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jpeg" ContentType="image/jpeg"/>
  <Default Extension="JPG" ContentType="image/.jp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3CFA78">
      <w:pPr>
        <w:pStyle w:val="9"/>
        <w:keepNext w:val="0"/>
        <w:keepLines w:val="0"/>
        <w:pageBreakBefore w:val="0"/>
        <w:widowControl w:val="0"/>
        <w:kinsoku/>
        <w:wordWrap/>
        <w:overflowPunct/>
        <w:topLinePunct w:val="0"/>
        <w:autoSpaceDE/>
        <w:autoSpaceDN/>
        <w:bidi w:val="0"/>
        <w:adjustRightInd/>
        <w:snapToGrid/>
        <w:spacing w:line="240" w:lineRule="auto"/>
        <w:ind w:firstLine="0"/>
        <w:jc w:val="both"/>
        <w:textAlignment w:val="auto"/>
        <w:rPr>
          <w:rFonts w:hint="eastAsia"/>
          <w:b/>
          <w:bCs/>
          <w:kern w:val="2"/>
          <w:sz w:val="84"/>
          <w:szCs w:val="84"/>
        </w:rPr>
      </w:pPr>
      <w:r>
        <w:rPr>
          <w:b/>
          <w:bCs/>
          <w:kern w:val="2"/>
          <w:sz w:val="32"/>
          <w:szCs w:val="32"/>
        </w:rPr>
        <w:t>Supplementary Information</w:t>
      </w:r>
    </w:p>
    <w:p w14:paraId="0F0898DA">
      <w:pPr>
        <w:keepNext w:val="0"/>
        <w:keepLines w:val="0"/>
        <w:pageBreakBefore w:val="0"/>
        <w:widowControl w:val="0"/>
        <w:kinsoku/>
        <w:wordWrap/>
        <w:overflowPunct/>
        <w:topLinePunct w:val="0"/>
        <w:autoSpaceDE/>
        <w:autoSpaceDN/>
        <w:bidi w:val="0"/>
        <w:adjustRightInd/>
        <w:snapToGrid/>
        <w:spacing w:after="240" w:line="240" w:lineRule="auto"/>
        <w:ind w:firstLine="0"/>
        <w:jc w:val="both"/>
        <w:textAlignment w:val="auto"/>
        <w:rPr>
          <w:rFonts w:eastAsia="宋体"/>
          <w:b/>
          <w:bCs/>
          <w:color w:val="000000"/>
          <w:sz w:val="28"/>
          <w:szCs w:val="28"/>
          <w:lang w:val="en-US" w:eastAsia="zh-CN"/>
        </w:rPr>
      </w:pPr>
      <w:r>
        <w:rPr>
          <w:rFonts w:hint="eastAsia" w:eastAsia="宋体"/>
          <w:b/>
          <w:bCs/>
          <w:color w:val="000000"/>
          <w:sz w:val="28"/>
          <w:szCs w:val="28"/>
          <w:lang w:val="en-US" w:eastAsia="zh-CN"/>
        </w:rPr>
        <w:t>Denisovans from southwestern China and their subsistence strategies</w:t>
      </w:r>
    </w:p>
    <w:p w14:paraId="1C7994D5">
      <w:pPr>
        <w:keepNext w:val="0"/>
        <w:keepLines w:val="0"/>
        <w:pageBreakBefore w:val="0"/>
        <w:widowControl/>
        <w:kinsoku/>
        <w:wordWrap/>
        <w:overflowPunct/>
        <w:topLinePunct w:val="0"/>
        <w:autoSpaceDE/>
        <w:autoSpaceDN/>
        <w:bidi w:val="0"/>
        <w:adjustRightInd/>
        <w:snapToGrid/>
        <w:spacing w:after="240" w:line="240" w:lineRule="auto"/>
        <w:ind w:firstLine="0"/>
        <w:jc w:val="both"/>
        <w:textAlignment w:val="auto"/>
        <w:rPr>
          <w:lang w:val="en-GB"/>
        </w:rPr>
      </w:pPr>
      <w:r>
        <w:t>Qijun Ruan</w:t>
      </w:r>
      <w:r>
        <w:rPr>
          <w:rFonts w:hint="eastAsia"/>
          <w:vertAlign w:val="superscript"/>
        </w:rPr>
        <w:t>1,2,2</w:t>
      </w:r>
      <w:r>
        <w:rPr>
          <w:rFonts w:hint="eastAsia"/>
          <w:vertAlign w:val="superscript"/>
          <w:lang w:val="en-US" w:eastAsia="zh-CN"/>
        </w:rPr>
        <w:t>3</w:t>
      </w:r>
      <w:r>
        <w:rPr>
          <w:rFonts w:hint="eastAsia"/>
        </w:rPr>
        <w:t>, Hao Li</w:t>
      </w:r>
      <w:r>
        <w:rPr>
          <w:rFonts w:hint="eastAsia"/>
          <w:vertAlign w:val="superscript"/>
          <w:lang w:val="en-US" w:eastAsia="zh-CN"/>
        </w:rPr>
        <w:t>1</w:t>
      </w:r>
      <w:r>
        <w:rPr>
          <w:rFonts w:hint="eastAsia"/>
          <w:vertAlign w:val="superscript"/>
        </w:rPr>
        <w:t>,3,2</w:t>
      </w:r>
      <w:r>
        <w:rPr>
          <w:rFonts w:hint="eastAsia"/>
          <w:vertAlign w:val="superscript"/>
          <w:lang w:val="en-US" w:eastAsia="zh-CN"/>
        </w:rPr>
        <w:t>3</w:t>
      </w:r>
      <w:r>
        <w:rPr>
          <w:rFonts w:hint="eastAsia"/>
          <w:vertAlign w:val="superscript"/>
        </w:rPr>
        <w:t>*</w:t>
      </w:r>
      <w:r>
        <w:rPr>
          <w:rFonts w:hint="eastAsia"/>
        </w:rPr>
        <w:t>, Song Xing</w:t>
      </w:r>
      <w:r>
        <w:rPr>
          <w:rFonts w:hint="eastAsia"/>
          <w:vertAlign w:val="superscript"/>
        </w:rPr>
        <w:t>4,5,2</w:t>
      </w:r>
      <w:r>
        <w:rPr>
          <w:rFonts w:hint="eastAsia"/>
          <w:vertAlign w:val="superscript"/>
          <w:lang w:val="en-US" w:eastAsia="zh-CN"/>
        </w:rPr>
        <w:t>3</w:t>
      </w:r>
      <w:r>
        <w:rPr>
          <w:rFonts w:hint="eastAsia"/>
        </w:rPr>
        <w:t>, Keliang Zhao</w:t>
      </w:r>
      <w:r>
        <w:rPr>
          <w:rFonts w:hint="eastAsia"/>
          <w:vertAlign w:val="superscript"/>
        </w:rPr>
        <w:t>4,2</w:t>
      </w:r>
      <w:r>
        <w:rPr>
          <w:rFonts w:hint="eastAsia"/>
          <w:vertAlign w:val="superscript"/>
          <w:lang w:val="en-US" w:eastAsia="zh-CN"/>
        </w:rPr>
        <w:t>3</w:t>
      </w:r>
      <w:r>
        <w:rPr>
          <w:rFonts w:hint="eastAsia"/>
        </w:rPr>
        <w:t>, Jianhui Liu</w:t>
      </w:r>
      <w:r>
        <w:rPr>
          <w:rFonts w:hint="eastAsia"/>
          <w:vertAlign w:val="superscript"/>
          <w:lang w:val="en-US" w:eastAsia="zh-CN"/>
        </w:rPr>
        <w:t>2</w:t>
      </w:r>
      <w:r>
        <w:rPr>
          <w:rFonts w:hint="eastAsia"/>
        </w:rPr>
        <w:t>, Clément Zanolli</w:t>
      </w:r>
      <w:r>
        <w:rPr>
          <w:rFonts w:hint="eastAsia"/>
          <w:vertAlign w:val="superscript"/>
        </w:rPr>
        <w:t>6</w:t>
      </w:r>
      <w:r>
        <w:rPr>
          <w:rFonts w:hint="eastAsia"/>
        </w:rPr>
        <w:t>, Luc Doyon</w:t>
      </w:r>
      <w:r>
        <w:rPr>
          <w:rFonts w:hint="eastAsia"/>
          <w:vertAlign w:val="superscript"/>
          <w:lang w:val="en-US" w:eastAsia="zh-CN"/>
        </w:rPr>
        <w:t>7,8</w:t>
      </w:r>
      <w:r>
        <w:rPr>
          <w:rFonts w:hint="eastAsia"/>
        </w:rPr>
        <w:t>, Davide Delpiano</w:t>
      </w:r>
      <w:r>
        <w:rPr>
          <w:rFonts w:hint="eastAsia"/>
          <w:vertAlign w:val="superscript"/>
          <w:lang w:val="en-US" w:eastAsia="zh-CN"/>
        </w:rPr>
        <w:t>9</w:t>
      </w:r>
      <w:r>
        <w:rPr>
          <w:rFonts w:hint="eastAsia"/>
        </w:rPr>
        <w:t>, Marco Peresani</w:t>
      </w:r>
      <w:r>
        <w:rPr>
          <w:rFonts w:hint="eastAsia"/>
          <w:vertAlign w:val="superscript"/>
          <w:lang w:val="en-US" w:eastAsia="zh-CN"/>
        </w:rPr>
        <w:t>9</w:t>
      </w:r>
      <w:r>
        <w:rPr>
          <w:rFonts w:hint="eastAsia"/>
          <w:vertAlign w:val="superscript"/>
        </w:rPr>
        <w:t>,</w:t>
      </w:r>
      <w:r>
        <w:rPr>
          <w:rFonts w:hint="eastAsia"/>
          <w:vertAlign w:val="superscript"/>
          <w:lang w:val="en-US" w:eastAsia="zh-CN"/>
        </w:rPr>
        <w:t>10</w:t>
      </w:r>
      <w:r>
        <w:rPr>
          <w:rFonts w:hint="eastAsia"/>
        </w:rPr>
        <w:t>, Francesco d</w:t>
      </w:r>
      <w:r>
        <w:t>’</w:t>
      </w:r>
      <w:r>
        <w:rPr>
          <w:rFonts w:hint="eastAsia"/>
        </w:rPr>
        <w:t>Errico</w:t>
      </w:r>
      <w:r>
        <w:rPr>
          <w:rFonts w:hint="eastAsia"/>
          <w:vertAlign w:val="superscript"/>
        </w:rPr>
        <w:t>6,</w:t>
      </w:r>
      <w:r>
        <w:rPr>
          <w:rFonts w:hint="eastAsia"/>
          <w:vertAlign w:val="superscript"/>
          <w:lang w:val="en-US" w:eastAsia="zh-CN"/>
        </w:rPr>
        <w:t>11</w:t>
      </w:r>
      <w:r>
        <w:rPr>
          <w:rFonts w:hint="eastAsia"/>
        </w:rPr>
        <w:t>, Fabrice Demeter</w:t>
      </w:r>
      <w:r>
        <w:rPr>
          <w:rFonts w:hint="eastAsia"/>
          <w:vertAlign w:val="superscript"/>
        </w:rPr>
        <w:t>1</w:t>
      </w:r>
      <w:r>
        <w:rPr>
          <w:rFonts w:hint="eastAsia"/>
          <w:vertAlign w:val="superscript"/>
          <w:lang w:val="en-US" w:eastAsia="zh-CN"/>
        </w:rPr>
        <w:t>2</w:t>
      </w:r>
      <w:r>
        <w:rPr>
          <w:rFonts w:hint="eastAsia"/>
          <w:vertAlign w:val="superscript"/>
        </w:rPr>
        <w:t>,1</w:t>
      </w:r>
      <w:r>
        <w:rPr>
          <w:rFonts w:hint="eastAsia"/>
          <w:vertAlign w:val="superscript"/>
          <w:lang w:val="en-US" w:eastAsia="zh-CN"/>
        </w:rPr>
        <w:t>3</w:t>
      </w:r>
      <w:r>
        <w:rPr>
          <w:rFonts w:hint="eastAsia"/>
        </w:rPr>
        <w:t>, Jean-Jacques Hublin</w:t>
      </w:r>
      <w:r>
        <w:rPr>
          <w:rFonts w:hint="eastAsia"/>
          <w:vertAlign w:val="superscript"/>
        </w:rPr>
        <w:t>1</w:t>
      </w:r>
      <w:r>
        <w:rPr>
          <w:rFonts w:hint="eastAsia"/>
          <w:vertAlign w:val="superscript"/>
          <w:lang w:val="en-US" w:eastAsia="zh-CN"/>
        </w:rPr>
        <w:t>4</w:t>
      </w:r>
      <w:r>
        <w:rPr>
          <w:rFonts w:hint="eastAsia"/>
        </w:rPr>
        <w:t>, Peiyuan Xiao</w:t>
      </w:r>
      <w:r>
        <w:rPr>
          <w:rFonts w:hint="eastAsia"/>
          <w:vertAlign w:val="superscript"/>
          <w:lang w:val="en-US" w:eastAsia="zh-CN"/>
        </w:rPr>
        <w:t>1,15</w:t>
      </w:r>
      <w:r>
        <w:rPr>
          <w:rFonts w:hint="eastAsia"/>
        </w:rPr>
        <w:t>, Yuqing Wang</w:t>
      </w:r>
      <w:r>
        <w:rPr>
          <w:rFonts w:hint="eastAsia"/>
          <w:vertAlign w:val="superscript"/>
          <w:lang w:val="en-US" w:eastAsia="zh-CN"/>
        </w:rPr>
        <w:t>1,15</w:t>
      </w:r>
      <w:r>
        <w:rPr>
          <w:rFonts w:hint="eastAsia"/>
        </w:rPr>
        <w:t>, Zhenxiu Jia</w:t>
      </w:r>
      <w:r>
        <w:rPr>
          <w:rFonts w:hint="eastAsia"/>
          <w:vertAlign w:val="superscript"/>
          <w:lang w:val="en-US" w:eastAsia="zh-CN"/>
        </w:rPr>
        <w:t>1</w:t>
      </w:r>
      <w:r>
        <w:rPr>
          <w:rFonts w:hint="eastAsia"/>
        </w:rPr>
        <w:t>, Qingjiang Yang</w:t>
      </w:r>
      <w:r>
        <w:rPr>
          <w:rFonts w:hint="eastAsia"/>
          <w:vertAlign w:val="superscript"/>
        </w:rPr>
        <w:t>1</w:t>
      </w:r>
      <w:r>
        <w:rPr>
          <w:rFonts w:hint="eastAsia"/>
          <w:vertAlign w:val="superscript"/>
          <w:lang w:val="en-US" w:eastAsia="zh-CN"/>
        </w:rPr>
        <w:t>6</w:t>
      </w:r>
      <w:r>
        <w:rPr>
          <w:rFonts w:hint="eastAsia"/>
        </w:rPr>
        <w:t>, Qiaomei Fu</w:t>
      </w:r>
      <w:r>
        <w:rPr>
          <w:rFonts w:hint="eastAsia"/>
          <w:vertAlign w:val="superscript"/>
        </w:rPr>
        <w:t>4</w:t>
      </w:r>
      <w:r>
        <w:rPr>
          <w:rFonts w:hint="eastAsia"/>
        </w:rPr>
        <w:t>, Qiyahui Sun</w:t>
      </w:r>
      <w:r>
        <w:rPr>
          <w:rFonts w:hint="eastAsia"/>
          <w:vertAlign w:val="superscript"/>
        </w:rPr>
        <w:t>4</w:t>
      </w:r>
      <w:r>
        <w:rPr>
          <w:rFonts w:hint="eastAsia"/>
          <w:vertAlign w:val="superscript"/>
          <w:lang w:val="en-US" w:eastAsia="zh-CN"/>
        </w:rPr>
        <w:t>,15</w:t>
      </w:r>
      <w:r>
        <w:rPr>
          <w:rFonts w:hint="eastAsia"/>
        </w:rPr>
        <w:t>, Yuhao Zhao</w:t>
      </w:r>
      <w:r>
        <w:rPr>
          <w:rFonts w:hint="eastAsia"/>
          <w:vertAlign w:val="superscript"/>
        </w:rPr>
        <w:t>1</w:t>
      </w:r>
      <w:r>
        <w:rPr>
          <w:rFonts w:hint="eastAsia"/>
          <w:vertAlign w:val="superscript"/>
          <w:lang w:val="en-US" w:eastAsia="zh-CN"/>
        </w:rPr>
        <w:t>7</w:t>
      </w:r>
      <w:r>
        <w:rPr>
          <w:rFonts w:hint="eastAsia"/>
        </w:rPr>
        <w:t>, Sungui Lin</w:t>
      </w:r>
      <w:r>
        <w:rPr>
          <w:rFonts w:hint="eastAsia"/>
          <w:vertAlign w:val="superscript"/>
        </w:rPr>
        <w:t>4</w:t>
      </w:r>
      <w:r>
        <w:rPr>
          <w:rFonts w:hint="eastAsia"/>
          <w:vertAlign w:val="superscript"/>
          <w:lang w:val="en-US" w:eastAsia="zh-CN"/>
        </w:rPr>
        <w:t>,15</w:t>
      </w:r>
      <w:r>
        <w:rPr>
          <w:rFonts w:hint="eastAsia"/>
        </w:rPr>
        <w:t>, Anchuan Fan</w:t>
      </w:r>
      <w:r>
        <w:rPr>
          <w:rFonts w:hint="eastAsia"/>
          <w:vertAlign w:val="superscript"/>
        </w:rPr>
        <w:t>1</w:t>
      </w:r>
      <w:r>
        <w:rPr>
          <w:rFonts w:hint="eastAsia"/>
          <w:vertAlign w:val="superscript"/>
          <w:lang w:val="en-US" w:eastAsia="zh-CN"/>
        </w:rPr>
        <w:t>8</w:t>
      </w:r>
      <w:r>
        <w:rPr>
          <w:rFonts w:hint="eastAsia"/>
        </w:rPr>
        <w:t>, Youping Wang</w:t>
      </w:r>
      <w:r>
        <w:rPr>
          <w:rFonts w:hint="eastAsia"/>
          <w:vertAlign w:val="superscript"/>
        </w:rPr>
        <w:t>1</w:t>
      </w:r>
      <w:r>
        <w:rPr>
          <w:rFonts w:hint="eastAsia"/>
          <w:vertAlign w:val="superscript"/>
          <w:lang w:val="en-US" w:eastAsia="zh-CN"/>
        </w:rPr>
        <w:t>7</w:t>
      </w:r>
      <w:r>
        <w:rPr>
          <w:rFonts w:hint="eastAsia"/>
        </w:rPr>
        <w:t>, Qingfeng Shao</w:t>
      </w:r>
      <w:r>
        <w:rPr>
          <w:rFonts w:hint="eastAsia"/>
          <w:vertAlign w:val="superscript"/>
        </w:rPr>
        <w:t>1</w:t>
      </w:r>
      <w:r>
        <w:rPr>
          <w:rFonts w:hint="eastAsia"/>
          <w:vertAlign w:val="superscript"/>
          <w:lang w:val="en-US" w:eastAsia="zh-CN"/>
        </w:rPr>
        <w:t>9</w:t>
      </w:r>
      <w:r>
        <w:rPr>
          <w:rFonts w:hint="eastAsia"/>
          <w:vertAlign w:val="superscript"/>
        </w:rPr>
        <w:t>,</w:t>
      </w:r>
      <w:r>
        <w:rPr>
          <w:rFonts w:hint="eastAsia"/>
          <w:vertAlign w:val="superscript"/>
          <w:lang w:val="en-US" w:eastAsia="zh-CN"/>
        </w:rPr>
        <w:t>20,3</w:t>
      </w:r>
      <w:r>
        <w:rPr>
          <w:rFonts w:hint="eastAsia"/>
          <w:vertAlign w:val="superscript"/>
        </w:rPr>
        <w:t>*</w:t>
      </w:r>
      <w:r>
        <w:rPr>
          <w:rFonts w:hint="eastAsia"/>
        </w:rPr>
        <w:t>, Bo Li</w:t>
      </w:r>
      <w:r>
        <w:rPr>
          <w:rFonts w:hint="eastAsia"/>
          <w:vertAlign w:val="superscript"/>
          <w:lang w:val="en-US" w:eastAsia="zh-CN"/>
        </w:rPr>
        <w:t>21</w:t>
      </w:r>
      <w:r>
        <w:rPr>
          <w:rFonts w:hint="eastAsia"/>
          <w:vertAlign w:val="superscript"/>
        </w:rPr>
        <w:t>,</w:t>
      </w:r>
      <w:r>
        <w:rPr>
          <w:rFonts w:hint="eastAsia"/>
          <w:vertAlign w:val="superscript"/>
          <w:lang w:val="en-US" w:eastAsia="zh-CN"/>
        </w:rPr>
        <w:t>22</w:t>
      </w:r>
      <w:r>
        <w:rPr>
          <w:rFonts w:hint="eastAsia"/>
          <w:vertAlign w:val="superscript"/>
        </w:rPr>
        <w:t>*</w:t>
      </w:r>
      <w:r>
        <w:rPr>
          <w:rFonts w:hint="eastAsia"/>
        </w:rPr>
        <w:t>, Fahu Chen</w:t>
      </w:r>
      <w:r>
        <w:rPr>
          <w:rFonts w:hint="eastAsia"/>
          <w:vertAlign w:val="superscript"/>
          <w:lang w:val="en-US" w:eastAsia="zh-CN"/>
        </w:rPr>
        <w:t>3,1</w:t>
      </w:r>
      <w:r>
        <w:rPr>
          <w:rFonts w:hint="eastAsia"/>
          <w:vertAlign w:val="superscript"/>
        </w:rPr>
        <w:t>*</w:t>
      </w:r>
      <w:r>
        <w:rPr>
          <w:rFonts w:hint="eastAsia"/>
        </w:rPr>
        <w:t xml:space="preserve">  </w:t>
      </w:r>
    </w:p>
    <w:p w14:paraId="338F6E4E">
      <w:pPr>
        <w:keepNext w:val="0"/>
        <w:keepLines w:val="0"/>
        <w:pageBreakBefore w:val="0"/>
        <w:widowControl/>
        <w:kinsoku/>
        <w:wordWrap/>
        <w:overflowPunct/>
        <w:topLinePunct w:val="0"/>
        <w:autoSpaceDE/>
        <w:autoSpaceDN/>
        <w:bidi w:val="0"/>
        <w:adjustRightInd/>
        <w:snapToGrid/>
        <w:spacing w:after="0" w:line="240" w:lineRule="auto"/>
        <w:ind w:firstLine="0"/>
        <w:jc w:val="both"/>
        <w:textAlignment w:val="auto"/>
        <w:rPr>
          <w:rFonts w:hint="eastAsia"/>
          <w:sz w:val="21"/>
          <w:szCs w:val="21"/>
        </w:rPr>
      </w:pPr>
      <w:r>
        <w:rPr>
          <w:rFonts w:hint="eastAsia"/>
          <w:sz w:val="21"/>
          <w:szCs w:val="21"/>
          <w:vertAlign w:val="superscript"/>
          <w:lang w:val="en-US" w:eastAsia="zh-CN"/>
        </w:rPr>
        <w:t>1</w:t>
      </w:r>
      <w:r>
        <w:rPr>
          <w:sz w:val="21"/>
          <w:szCs w:val="21"/>
        </w:rPr>
        <w:t>State Key Laboratory of Tibetan Plateau Earth System, Environment</w:t>
      </w:r>
      <w:r>
        <w:rPr>
          <w:rFonts w:hint="eastAsia"/>
          <w:sz w:val="21"/>
          <w:szCs w:val="21"/>
          <w:lang w:val="en-US" w:eastAsia="zh-CN"/>
        </w:rPr>
        <w:t xml:space="preserve"> and </w:t>
      </w:r>
      <w:r>
        <w:rPr>
          <w:sz w:val="21"/>
          <w:szCs w:val="21"/>
        </w:rPr>
        <w:t>Resources, Institute of Tibetan Plateau Research, Chinese Academy of Sciences, Beijing, 100101, China</w:t>
      </w:r>
      <w:r>
        <w:rPr>
          <w:rFonts w:hint="eastAsia"/>
          <w:sz w:val="21"/>
          <w:szCs w:val="21"/>
        </w:rPr>
        <w:t>.</w:t>
      </w:r>
    </w:p>
    <w:p w14:paraId="2561E848">
      <w:pPr>
        <w:keepNext w:val="0"/>
        <w:keepLines w:val="0"/>
        <w:pageBreakBefore w:val="0"/>
        <w:widowControl/>
        <w:kinsoku/>
        <w:wordWrap/>
        <w:overflowPunct/>
        <w:topLinePunct w:val="0"/>
        <w:autoSpaceDE/>
        <w:autoSpaceDN/>
        <w:bidi w:val="0"/>
        <w:adjustRightInd/>
        <w:snapToGrid/>
        <w:spacing w:after="0" w:line="240" w:lineRule="auto"/>
        <w:ind w:firstLine="0"/>
        <w:jc w:val="both"/>
        <w:textAlignment w:val="auto"/>
        <w:rPr>
          <w:sz w:val="21"/>
          <w:szCs w:val="21"/>
          <w:vertAlign w:val="superscript"/>
        </w:rPr>
      </w:pPr>
      <w:r>
        <w:rPr>
          <w:rFonts w:hint="eastAsia"/>
          <w:sz w:val="21"/>
          <w:szCs w:val="21"/>
          <w:vertAlign w:val="superscript"/>
          <w:lang w:val="en-US" w:eastAsia="zh-CN"/>
        </w:rPr>
        <w:t>2</w:t>
      </w:r>
      <w:r>
        <w:rPr>
          <w:sz w:val="21"/>
          <w:szCs w:val="21"/>
        </w:rPr>
        <w:t>Yunnan Provincial Institute of Cultural Relics and Archaeology, Kunming, 650</w:t>
      </w:r>
      <w:r>
        <w:rPr>
          <w:rFonts w:hint="eastAsia"/>
          <w:sz w:val="21"/>
          <w:szCs w:val="21"/>
        </w:rPr>
        <w:t>206</w:t>
      </w:r>
      <w:r>
        <w:rPr>
          <w:sz w:val="21"/>
          <w:szCs w:val="21"/>
        </w:rPr>
        <w:t>, China</w:t>
      </w:r>
      <w:r>
        <w:rPr>
          <w:rFonts w:hint="eastAsia"/>
          <w:sz w:val="21"/>
          <w:szCs w:val="21"/>
        </w:rPr>
        <w:t>.</w:t>
      </w:r>
    </w:p>
    <w:p w14:paraId="4C3448FB">
      <w:pPr>
        <w:keepNext w:val="0"/>
        <w:keepLines w:val="0"/>
        <w:pageBreakBefore w:val="0"/>
        <w:widowControl/>
        <w:kinsoku/>
        <w:wordWrap/>
        <w:overflowPunct/>
        <w:topLinePunct w:val="0"/>
        <w:autoSpaceDE/>
        <w:autoSpaceDN/>
        <w:bidi w:val="0"/>
        <w:adjustRightInd/>
        <w:snapToGrid/>
        <w:spacing w:after="0" w:line="240" w:lineRule="auto"/>
        <w:ind w:firstLine="0"/>
        <w:textAlignment w:val="auto"/>
        <w:rPr>
          <w:rFonts w:hint="eastAsia"/>
          <w:sz w:val="21"/>
          <w:szCs w:val="21"/>
          <w:lang w:val="en-US"/>
        </w:rPr>
      </w:pPr>
      <w:r>
        <w:rPr>
          <w:rFonts w:hint="eastAsia"/>
          <w:sz w:val="21"/>
          <w:szCs w:val="21"/>
          <w:vertAlign w:val="superscript"/>
          <w:lang w:val="en-US" w:eastAsia="zh-CN"/>
        </w:rPr>
        <w:t>3</w:t>
      </w:r>
      <w:r>
        <w:rPr>
          <w:rFonts w:hint="eastAsia"/>
          <w:sz w:val="21"/>
          <w:szCs w:val="21"/>
          <w:lang w:val="en-US"/>
        </w:rPr>
        <w:t>MOE Key Laboratory of Western China</w:t>
      </w:r>
      <w:r>
        <w:rPr>
          <w:sz w:val="21"/>
          <w:szCs w:val="21"/>
          <w:lang w:val="en-US"/>
        </w:rPr>
        <w:t>’</w:t>
      </w:r>
      <w:r>
        <w:rPr>
          <w:rFonts w:hint="eastAsia"/>
          <w:sz w:val="21"/>
          <w:szCs w:val="21"/>
          <w:lang w:val="en-US"/>
        </w:rPr>
        <w:t xml:space="preserve">s Environmental System, </w:t>
      </w:r>
      <w:r>
        <w:rPr>
          <w:rFonts w:hint="eastAsia" w:eastAsia="宋体"/>
          <w:sz w:val="21"/>
          <w:szCs w:val="21"/>
          <w:lang w:val="en-US" w:eastAsia="zh-CN"/>
        </w:rPr>
        <w:t xml:space="preserve">Center for Excellence in Archaeological Science and Cultural Heritage, </w:t>
      </w:r>
      <w:r>
        <w:rPr>
          <w:rFonts w:hint="eastAsia"/>
          <w:sz w:val="21"/>
          <w:szCs w:val="21"/>
          <w:lang w:val="en-US"/>
        </w:rPr>
        <w:t xml:space="preserve">Lanzhou University, Lanzhou, </w:t>
      </w:r>
      <w:r>
        <w:rPr>
          <w:rFonts w:hint="eastAsia" w:eastAsia="宋体"/>
          <w:sz w:val="21"/>
          <w:szCs w:val="21"/>
          <w:lang w:val="en-US" w:eastAsia="zh-CN"/>
        </w:rPr>
        <w:t xml:space="preserve">730000, </w:t>
      </w:r>
      <w:r>
        <w:rPr>
          <w:rFonts w:hint="eastAsia"/>
          <w:sz w:val="21"/>
          <w:szCs w:val="21"/>
          <w:lang w:val="en-US"/>
        </w:rPr>
        <w:t>China.</w:t>
      </w:r>
    </w:p>
    <w:p w14:paraId="2CC102BA">
      <w:pPr>
        <w:keepNext w:val="0"/>
        <w:keepLines w:val="0"/>
        <w:pageBreakBefore w:val="0"/>
        <w:widowControl/>
        <w:kinsoku/>
        <w:wordWrap/>
        <w:overflowPunct/>
        <w:topLinePunct w:val="0"/>
        <w:autoSpaceDE/>
        <w:autoSpaceDN/>
        <w:bidi w:val="0"/>
        <w:adjustRightInd/>
        <w:snapToGrid/>
        <w:spacing w:after="0" w:line="240" w:lineRule="auto"/>
        <w:ind w:firstLine="0"/>
        <w:jc w:val="both"/>
        <w:textAlignment w:val="auto"/>
        <w:rPr>
          <w:sz w:val="21"/>
          <w:szCs w:val="21"/>
        </w:rPr>
      </w:pPr>
      <w:r>
        <w:rPr>
          <w:rFonts w:hint="eastAsia"/>
          <w:sz w:val="21"/>
          <w:szCs w:val="21"/>
          <w:vertAlign w:val="superscript"/>
        </w:rPr>
        <w:t>4</w:t>
      </w:r>
      <w:r>
        <w:rPr>
          <w:sz w:val="21"/>
          <w:szCs w:val="21"/>
        </w:rPr>
        <w:t xml:space="preserve">Key Scientific Research Base on Paleolithic Human Evolution and Paleogenetics, Institute of Vertebrate Paleontology and Paleoanthropology, Chinese Academy of Sciences, Beijing, 100044, China. </w:t>
      </w:r>
    </w:p>
    <w:p w14:paraId="03926A46">
      <w:pPr>
        <w:keepNext w:val="0"/>
        <w:keepLines w:val="0"/>
        <w:pageBreakBefore w:val="0"/>
        <w:widowControl/>
        <w:kinsoku/>
        <w:wordWrap/>
        <w:overflowPunct/>
        <w:topLinePunct w:val="0"/>
        <w:autoSpaceDE/>
        <w:autoSpaceDN/>
        <w:bidi w:val="0"/>
        <w:adjustRightInd/>
        <w:snapToGrid/>
        <w:spacing w:after="0" w:line="240" w:lineRule="auto"/>
        <w:ind w:firstLine="0"/>
        <w:jc w:val="both"/>
        <w:textAlignment w:val="auto"/>
        <w:rPr>
          <w:sz w:val="21"/>
          <w:szCs w:val="21"/>
          <w:lang w:val="es-ES"/>
        </w:rPr>
      </w:pPr>
      <w:r>
        <w:rPr>
          <w:rFonts w:hint="eastAsia"/>
          <w:sz w:val="21"/>
          <w:szCs w:val="21"/>
          <w:vertAlign w:val="superscript"/>
          <w:lang w:val="it-IT"/>
        </w:rPr>
        <w:t>5</w:t>
      </w:r>
      <w:r>
        <w:rPr>
          <w:sz w:val="21"/>
          <w:szCs w:val="21"/>
          <w:lang w:val="es-ES"/>
        </w:rPr>
        <w:t>Centro Nacional de Investigación sobre la Evolución Humana (CENIEH), Paseo Sierra de Atapuerca 3, 09002 Burgos, Spain.</w:t>
      </w:r>
    </w:p>
    <w:p w14:paraId="2303A499">
      <w:pPr>
        <w:keepNext w:val="0"/>
        <w:keepLines w:val="0"/>
        <w:pageBreakBefore w:val="0"/>
        <w:widowControl/>
        <w:kinsoku/>
        <w:wordWrap/>
        <w:overflowPunct/>
        <w:topLinePunct w:val="0"/>
        <w:autoSpaceDE/>
        <w:autoSpaceDN/>
        <w:bidi w:val="0"/>
        <w:adjustRightInd/>
        <w:snapToGrid/>
        <w:spacing w:after="0" w:line="240" w:lineRule="auto"/>
        <w:ind w:firstLine="0"/>
        <w:jc w:val="both"/>
        <w:textAlignment w:val="auto"/>
        <w:rPr>
          <w:sz w:val="21"/>
          <w:szCs w:val="21"/>
        </w:rPr>
      </w:pPr>
      <w:r>
        <w:rPr>
          <w:rFonts w:hint="eastAsia"/>
          <w:sz w:val="21"/>
          <w:szCs w:val="21"/>
          <w:vertAlign w:val="superscript"/>
        </w:rPr>
        <w:t>6</w:t>
      </w:r>
      <w:r>
        <w:rPr>
          <w:sz w:val="21"/>
          <w:szCs w:val="21"/>
        </w:rPr>
        <w:t>Univ</w:t>
      </w:r>
      <w:r>
        <w:rPr>
          <w:rFonts w:hint="eastAsia"/>
          <w:sz w:val="21"/>
          <w:szCs w:val="21"/>
          <w:lang w:val="en-US" w:eastAsia="zh-CN"/>
        </w:rPr>
        <w:t>.</w:t>
      </w:r>
      <w:r>
        <w:rPr>
          <w:sz w:val="21"/>
          <w:szCs w:val="21"/>
        </w:rPr>
        <w:t xml:space="preserve"> Bordeaux, CNRS, MCC, PACEA, UMR 5199, F-33600 Pessac, France.</w:t>
      </w:r>
    </w:p>
    <w:p w14:paraId="43ED12B5">
      <w:pPr>
        <w:keepNext w:val="0"/>
        <w:keepLines w:val="0"/>
        <w:pageBreakBefore w:val="0"/>
        <w:widowControl/>
        <w:kinsoku/>
        <w:wordWrap/>
        <w:overflowPunct/>
        <w:topLinePunct w:val="0"/>
        <w:autoSpaceDE/>
        <w:autoSpaceDN/>
        <w:bidi w:val="0"/>
        <w:adjustRightInd/>
        <w:snapToGrid/>
        <w:spacing w:after="0" w:line="240" w:lineRule="auto"/>
        <w:ind w:firstLine="0"/>
        <w:textAlignment w:val="auto"/>
        <w:rPr>
          <w:rFonts w:hint="eastAsia" w:eastAsia="宋体"/>
          <w:sz w:val="21"/>
          <w:szCs w:val="21"/>
          <w:lang w:val="en-US" w:eastAsia="zh-CN"/>
        </w:rPr>
      </w:pPr>
      <w:r>
        <w:rPr>
          <w:rFonts w:hint="eastAsia" w:eastAsia="宋体"/>
          <w:sz w:val="21"/>
          <w:szCs w:val="21"/>
          <w:vertAlign w:val="superscript"/>
          <w:lang w:val="en-US" w:eastAsia="zh-CN"/>
        </w:rPr>
        <w:t>7</w:t>
      </w:r>
      <w:r>
        <w:rPr>
          <w:rFonts w:hint="eastAsia"/>
          <w:sz w:val="21"/>
          <w:szCs w:val="21"/>
          <w:lang w:val="en-US"/>
        </w:rPr>
        <w:t>IKERBASQUE, Basque Foundation for Science, Bilbao, 48009, Spain</w:t>
      </w:r>
      <w:r>
        <w:rPr>
          <w:rFonts w:hint="eastAsia" w:eastAsia="宋体"/>
          <w:sz w:val="21"/>
          <w:szCs w:val="21"/>
          <w:lang w:val="en-US" w:eastAsia="zh-CN"/>
        </w:rPr>
        <w:t>.</w:t>
      </w:r>
    </w:p>
    <w:p w14:paraId="6C4BEDE3">
      <w:pPr>
        <w:keepNext w:val="0"/>
        <w:keepLines w:val="0"/>
        <w:pageBreakBefore w:val="0"/>
        <w:widowControl/>
        <w:kinsoku/>
        <w:wordWrap/>
        <w:overflowPunct/>
        <w:topLinePunct w:val="0"/>
        <w:autoSpaceDE/>
        <w:autoSpaceDN/>
        <w:bidi w:val="0"/>
        <w:adjustRightInd/>
        <w:snapToGrid/>
        <w:spacing w:after="0" w:line="240" w:lineRule="auto"/>
        <w:ind w:firstLine="0"/>
        <w:jc w:val="left"/>
        <w:textAlignment w:val="auto"/>
        <w:rPr>
          <w:rFonts w:hint="eastAsia"/>
          <w:sz w:val="21"/>
          <w:szCs w:val="21"/>
          <w:vertAlign w:val="superscript"/>
        </w:rPr>
      </w:pPr>
      <w:r>
        <w:rPr>
          <w:rFonts w:hint="eastAsia" w:eastAsia="宋体"/>
          <w:sz w:val="21"/>
          <w:szCs w:val="21"/>
          <w:vertAlign w:val="superscript"/>
          <w:lang w:val="en-US" w:eastAsia="zh-CN"/>
        </w:rPr>
        <w:t>8</w:t>
      </w:r>
      <w:r>
        <w:rPr>
          <w:rFonts w:hint="eastAsia"/>
          <w:sz w:val="21"/>
          <w:szCs w:val="21"/>
          <w:lang w:val="en-US"/>
        </w:rPr>
        <w:t>Universidad del Pais Vasco/Euskal Herriko Unibersitatea, Vitoria-Gasteiz, 01003, Spain</w:t>
      </w:r>
      <w:r>
        <w:rPr>
          <w:rFonts w:hint="eastAsia" w:eastAsia="宋体"/>
          <w:sz w:val="21"/>
          <w:szCs w:val="21"/>
          <w:lang w:val="en-US" w:eastAsia="zh-CN"/>
        </w:rPr>
        <w:t>.</w:t>
      </w:r>
    </w:p>
    <w:p w14:paraId="5DCE38A7">
      <w:pPr>
        <w:keepNext w:val="0"/>
        <w:keepLines w:val="0"/>
        <w:pageBreakBefore w:val="0"/>
        <w:widowControl/>
        <w:kinsoku/>
        <w:wordWrap/>
        <w:overflowPunct/>
        <w:topLinePunct w:val="0"/>
        <w:autoSpaceDE/>
        <w:autoSpaceDN/>
        <w:bidi w:val="0"/>
        <w:adjustRightInd/>
        <w:snapToGrid/>
        <w:spacing w:after="0" w:line="240" w:lineRule="auto"/>
        <w:ind w:firstLine="0"/>
        <w:jc w:val="both"/>
        <w:textAlignment w:val="auto"/>
        <w:rPr>
          <w:sz w:val="21"/>
          <w:szCs w:val="21"/>
          <w:lang w:bidi="ar"/>
        </w:rPr>
      </w:pPr>
      <w:r>
        <w:rPr>
          <w:rFonts w:hint="eastAsia"/>
          <w:sz w:val="21"/>
          <w:szCs w:val="21"/>
          <w:vertAlign w:val="superscript"/>
          <w:lang w:val="en-US" w:eastAsia="zh-CN"/>
        </w:rPr>
        <w:t>9</w:t>
      </w:r>
      <w:r>
        <w:rPr>
          <w:sz w:val="21"/>
          <w:szCs w:val="21"/>
        </w:rPr>
        <w:t>Department of Human Studies, Prehistoric and Anthropological Science Unit, University of Ferrara</w:t>
      </w:r>
      <w:r>
        <w:rPr>
          <w:rFonts w:eastAsia="STIX-Regular"/>
          <w:sz w:val="21"/>
          <w:szCs w:val="21"/>
          <w:lang w:val="en-GB" w:bidi="ar"/>
        </w:rPr>
        <w:t>, Ferrara, 44121</w:t>
      </w:r>
      <w:r>
        <w:rPr>
          <w:sz w:val="21"/>
          <w:szCs w:val="21"/>
          <w:lang w:bidi="ar"/>
        </w:rPr>
        <w:t>,</w:t>
      </w:r>
      <w:r>
        <w:rPr>
          <w:rFonts w:eastAsia="STIX-Regular"/>
          <w:sz w:val="21"/>
          <w:szCs w:val="21"/>
          <w:lang w:val="en-GB" w:bidi="ar"/>
        </w:rPr>
        <w:t xml:space="preserve"> Italy</w:t>
      </w:r>
      <w:r>
        <w:rPr>
          <w:rFonts w:hint="eastAsia"/>
          <w:sz w:val="21"/>
          <w:szCs w:val="21"/>
          <w:lang w:bidi="ar"/>
        </w:rPr>
        <w:t>.</w:t>
      </w:r>
    </w:p>
    <w:p w14:paraId="4B604BEA">
      <w:pPr>
        <w:keepNext w:val="0"/>
        <w:keepLines w:val="0"/>
        <w:pageBreakBefore w:val="0"/>
        <w:widowControl/>
        <w:kinsoku/>
        <w:wordWrap/>
        <w:overflowPunct/>
        <w:topLinePunct w:val="0"/>
        <w:autoSpaceDE/>
        <w:autoSpaceDN/>
        <w:bidi w:val="0"/>
        <w:adjustRightInd/>
        <w:snapToGrid/>
        <w:spacing w:after="0" w:line="240" w:lineRule="auto"/>
        <w:ind w:firstLine="0"/>
        <w:jc w:val="both"/>
        <w:textAlignment w:val="auto"/>
        <w:rPr>
          <w:sz w:val="21"/>
          <w:szCs w:val="21"/>
        </w:rPr>
      </w:pPr>
      <w:r>
        <w:rPr>
          <w:rFonts w:hint="eastAsia"/>
          <w:sz w:val="21"/>
          <w:szCs w:val="21"/>
          <w:vertAlign w:val="superscript"/>
          <w:lang w:val="en-US" w:eastAsia="zh-CN"/>
        </w:rPr>
        <w:t>10</w:t>
      </w:r>
      <w:r>
        <w:rPr>
          <w:sz w:val="21"/>
          <w:szCs w:val="21"/>
        </w:rPr>
        <w:t>CNR-Institute of Environmental Geology and Geoengineering, Lab. of Palynology and Palaeoecology, Research Group on Vegetation, Climate and Human Stratigraphy, Milan, 20126, Italy</w:t>
      </w:r>
      <w:r>
        <w:rPr>
          <w:rFonts w:hint="eastAsia"/>
          <w:sz w:val="21"/>
          <w:szCs w:val="21"/>
        </w:rPr>
        <w:t>.</w:t>
      </w:r>
    </w:p>
    <w:p w14:paraId="484D2367">
      <w:pPr>
        <w:keepNext w:val="0"/>
        <w:keepLines w:val="0"/>
        <w:pageBreakBefore w:val="0"/>
        <w:widowControl/>
        <w:kinsoku/>
        <w:wordWrap/>
        <w:overflowPunct/>
        <w:topLinePunct w:val="0"/>
        <w:autoSpaceDE/>
        <w:autoSpaceDN/>
        <w:bidi w:val="0"/>
        <w:adjustRightInd/>
        <w:snapToGrid/>
        <w:spacing w:after="0" w:line="240" w:lineRule="auto"/>
        <w:ind w:firstLine="0"/>
        <w:jc w:val="both"/>
        <w:textAlignment w:val="auto"/>
        <w:rPr>
          <w:sz w:val="21"/>
          <w:szCs w:val="21"/>
        </w:rPr>
      </w:pPr>
      <w:r>
        <w:rPr>
          <w:rFonts w:hint="eastAsia"/>
          <w:sz w:val="21"/>
          <w:szCs w:val="21"/>
          <w:vertAlign w:val="superscript"/>
          <w:lang w:val="en-US" w:eastAsia="zh-CN"/>
        </w:rPr>
        <w:t>11</w:t>
      </w:r>
      <w:r>
        <w:rPr>
          <w:sz w:val="21"/>
          <w:szCs w:val="21"/>
        </w:rPr>
        <w:t>SFF Centre for Early Sapiens Behaviour (SapienCE), University of Bergen, Bergen, Norway</w:t>
      </w:r>
      <w:r>
        <w:rPr>
          <w:rFonts w:hint="eastAsia"/>
          <w:sz w:val="21"/>
          <w:szCs w:val="21"/>
        </w:rPr>
        <w:t>.</w:t>
      </w:r>
    </w:p>
    <w:p w14:paraId="525406A0">
      <w:pPr>
        <w:keepNext w:val="0"/>
        <w:keepLines w:val="0"/>
        <w:pageBreakBefore w:val="0"/>
        <w:widowControl/>
        <w:kinsoku/>
        <w:wordWrap/>
        <w:overflowPunct/>
        <w:topLinePunct w:val="0"/>
        <w:autoSpaceDE/>
        <w:autoSpaceDN/>
        <w:bidi w:val="0"/>
        <w:adjustRightInd/>
        <w:snapToGrid/>
        <w:spacing w:after="0" w:line="240" w:lineRule="auto"/>
        <w:ind w:firstLine="0"/>
        <w:jc w:val="both"/>
        <w:textAlignment w:val="auto"/>
        <w:rPr>
          <w:sz w:val="21"/>
          <w:szCs w:val="21"/>
          <w:lang w:val="es-ES"/>
        </w:rPr>
      </w:pPr>
      <w:r>
        <w:rPr>
          <w:rFonts w:hint="eastAsia"/>
          <w:sz w:val="21"/>
          <w:szCs w:val="21"/>
          <w:vertAlign w:val="superscript"/>
        </w:rPr>
        <w:t>1</w:t>
      </w:r>
      <w:r>
        <w:rPr>
          <w:rFonts w:hint="eastAsia"/>
          <w:sz w:val="21"/>
          <w:szCs w:val="21"/>
          <w:vertAlign w:val="superscript"/>
          <w:lang w:val="en-US" w:eastAsia="zh-CN"/>
        </w:rPr>
        <w:t>2</w:t>
      </w:r>
      <w:r>
        <w:rPr>
          <w:sz w:val="21"/>
          <w:szCs w:val="21"/>
          <w:lang w:val="es-ES"/>
        </w:rPr>
        <w:t xml:space="preserve">GeoGenetics Centre, Globe Institute, University of Copenhagen, Copenhagen, Denmark. </w:t>
      </w:r>
    </w:p>
    <w:p w14:paraId="7C8F0AA7">
      <w:pPr>
        <w:keepNext w:val="0"/>
        <w:keepLines w:val="0"/>
        <w:pageBreakBefore w:val="0"/>
        <w:widowControl/>
        <w:kinsoku/>
        <w:wordWrap/>
        <w:overflowPunct/>
        <w:topLinePunct w:val="0"/>
        <w:autoSpaceDE/>
        <w:autoSpaceDN/>
        <w:bidi w:val="0"/>
        <w:adjustRightInd/>
        <w:snapToGrid/>
        <w:spacing w:after="0" w:line="240" w:lineRule="auto"/>
        <w:ind w:firstLine="0"/>
        <w:jc w:val="both"/>
        <w:textAlignment w:val="auto"/>
        <w:rPr>
          <w:sz w:val="21"/>
          <w:szCs w:val="21"/>
          <w:lang w:val="es-ES"/>
        </w:rPr>
      </w:pPr>
      <w:r>
        <w:rPr>
          <w:rFonts w:hint="eastAsia"/>
          <w:sz w:val="21"/>
          <w:szCs w:val="21"/>
          <w:vertAlign w:val="superscript"/>
        </w:rPr>
        <w:t>1</w:t>
      </w:r>
      <w:r>
        <w:rPr>
          <w:rFonts w:hint="eastAsia"/>
          <w:sz w:val="21"/>
          <w:szCs w:val="21"/>
          <w:vertAlign w:val="superscript"/>
          <w:lang w:val="en-US" w:eastAsia="zh-CN"/>
        </w:rPr>
        <w:t>3</w:t>
      </w:r>
      <w:r>
        <w:rPr>
          <w:sz w:val="21"/>
          <w:szCs w:val="21"/>
          <w:lang w:val="es-ES"/>
        </w:rPr>
        <w:t>Eco-anthropologie (EA),</w:t>
      </w:r>
      <w:r>
        <w:rPr>
          <w:rFonts w:hint="eastAsia"/>
          <w:sz w:val="21"/>
          <w:szCs w:val="21"/>
          <w:lang w:val="es-ES"/>
        </w:rPr>
        <w:t xml:space="preserve"> </w:t>
      </w:r>
      <w:r>
        <w:rPr>
          <w:sz w:val="21"/>
          <w:szCs w:val="21"/>
          <w:lang w:val="es-ES"/>
        </w:rPr>
        <w:t>Muséum national d’Histoire naturelle, CNRS, Université de Paris, Musée de l’Homme 17 place du Trocadéro, Paris, 75016</w:t>
      </w:r>
      <w:r>
        <w:rPr>
          <w:rFonts w:hint="eastAsia"/>
          <w:sz w:val="21"/>
          <w:szCs w:val="21"/>
        </w:rPr>
        <w:t xml:space="preserve">, </w:t>
      </w:r>
      <w:r>
        <w:rPr>
          <w:sz w:val="21"/>
          <w:szCs w:val="21"/>
          <w:lang w:val="es-ES"/>
        </w:rPr>
        <w:t>France.</w:t>
      </w:r>
    </w:p>
    <w:p w14:paraId="1698A367">
      <w:pPr>
        <w:keepNext w:val="0"/>
        <w:keepLines w:val="0"/>
        <w:pageBreakBefore w:val="0"/>
        <w:widowControl/>
        <w:kinsoku/>
        <w:wordWrap/>
        <w:overflowPunct/>
        <w:topLinePunct w:val="0"/>
        <w:autoSpaceDE/>
        <w:autoSpaceDN/>
        <w:bidi w:val="0"/>
        <w:adjustRightInd/>
        <w:snapToGrid/>
        <w:spacing w:after="0" w:line="240" w:lineRule="auto"/>
        <w:ind w:firstLine="0"/>
        <w:jc w:val="both"/>
        <w:textAlignment w:val="auto"/>
        <w:rPr>
          <w:sz w:val="21"/>
          <w:szCs w:val="21"/>
          <w:vertAlign w:val="superscript"/>
        </w:rPr>
      </w:pPr>
      <w:r>
        <w:rPr>
          <w:rFonts w:hint="eastAsia"/>
          <w:sz w:val="21"/>
          <w:szCs w:val="21"/>
          <w:vertAlign w:val="superscript"/>
        </w:rPr>
        <w:t>1</w:t>
      </w:r>
      <w:r>
        <w:rPr>
          <w:rFonts w:hint="eastAsia"/>
          <w:sz w:val="21"/>
          <w:szCs w:val="21"/>
          <w:vertAlign w:val="superscript"/>
          <w:lang w:val="en-US" w:eastAsia="zh-CN"/>
        </w:rPr>
        <w:t>4</w:t>
      </w:r>
      <w:r>
        <w:rPr>
          <w:rFonts w:hint="eastAsia"/>
          <w:sz w:val="21"/>
          <w:szCs w:val="21"/>
        </w:rPr>
        <w:t>Collège de France-CNRS/UMR 7241-Inserm U1050, Paris, France.</w:t>
      </w:r>
    </w:p>
    <w:p w14:paraId="2977EC3E">
      <w:pPr>
        <w:keepNext w:val="0"/>
        <w:keepLines w:val="0"/>
        <w:pageBreakBefore w:val="0"/>
        <w:widowControl/>
        <w:kinsoku/>
        <w:wordWrap/>
        <w:overflowPunct/>
        <w:topLinePunct w:val="0"/>
        <w:autoSpaceDE/>
        <w:autoSpaceDN/>
        <w:bidi w:val="0"/>
        <w:adjustRightInd/>
        <w:snapToGrid/>
        <w:spacing w:after="0" w:line="240" w:lineRule="auto"/>
        <w:ind w:firstLine="0"/>
        <w:jc w:val="both"/>
        <w:textAlignment w:val="auto"/>
        <w:rPr>
          <w:sz w:val="21"/>
          <w:szCs w:val="21"/>
          <w:vertAlign w:val="superscript"/>
        </w:rPr>
      </w:pPr>
      <w:r>
        <w:rPr>
          <w:rFonts w:hint="eastAsia"/>
          <w:sz w:val="21"/>
          <w:szCs w:val="21"/>
          <w:vertAlign w:val="superscript"/>
          <w:lang w:val="en-US" w:eastAsia="zh-CN"/>
        </w:rPr>
        <w:t>15</w:t>
      </w:r>
      <w:r>
        <w:rPr>
          <w:sz w:val="21"/>
          <w:szCs w:val="21"/>
        </w:rPr>
        <w:t>University of Chinese Academy of Sciences, Beijing, 100049, China.</w:t>
      </w:r>
    </w:p>
    <w:p w14:paraId="78C16E45">
      <w:pPr>
        <w:keepNext w:val="0"/>
        <w:keepLines w:val="0"/>
        <w:pageBreakBefore w:val="0"/>
        <w:widowControl/>
        <w:kinsoku/>
        <w:wordWrap/>
        <w:overflowPunct/>
        <w:topLinePunct w:val="0"/>
        <w:autoSpaceDE/>
        <w:autoSpaceDN/>
        <w:bidi w:val="0"/>
        <w:adjustRightInd/>
        <w:snapToGrid/>
        <w:spacing w:after="0" w:line="240" w:lineRule="auto"/>
        <w:ind w:firstLine="0"/>
        <w:jc w:val="both"/>
        <w:textAlignment w:val="auto"/>
        <w:rPr>
          <w:sz w:val="21"/>
          <w:szCs w:val="21"/>
        </w:rPr>
      </w:pPr>
      <w:r>
        <w:rPr>
          <w:rFonts w:hint="eastAsia"/>
          <w:sz w:val="21"/>
          <w:szCs w:val="21"/>
          <w:vertAlign w:val="superscript"/>
        </w:rPr>
        <w:t>1</w:t>
      </w:r>
      <w:r>
        <w:rPr>
          <w:rFonts w:hint="eastAsia"/>
          <w:sz w:val="21"/>
          <w:szCs w:val="21"/>
          <w:vertAlign w:val="superscript"/>
          <w:lang w:val="en-US" w:eastAsia="zh-CN"/>
        </w:rPr>
        <w:t>6</w:t>
      </w:r>
      <w:r>
        <w:rPr>
          <w:rFonts w:hint="eastAsia"/>
          <w:sz w:val="21"/>
          <w:szCs w:val="21"/>
        </w:rPr>
        <w:t>College of Resources and Environment, Chengdu University of Information Technology, Chengdu, 610225, China.</w:t>
      </w:r>
    </w:p>
    <w:p w14:paraId="2FB054B0">
      <w:pPr>
        <w:keepNext w:val="0"/>
        <w:keepLines w:val="0"/>
        <w:pageBreakBefore w:val="0"/>
        <w:widowControl/>
        <w:kinsoku/>
        <w:wordWrap/>
        <w:overflowPunct/>
        <w:topLinePunct w:val="0"/>
        <w:autoSpaceDE/>
        <w:autoSpaceDN/>
        <w:bidi w:val="0"/>
        <w:adjustRightInd/>
        <w:snapToGrid/>
        <w:spacing w:after="0" w:line="240" w:lineRule="auto"/>
        <w:ind w:firstLine="0"/>
        <w:jc w:val="both"/>
        <w:textAlignment w:val="auto"/>
        <w:rPr>
          <w:sz w:val="21"/>
          <w:szCs w:val="21"/>
        </w:rPr>
      </w:pPr>
      <w:r>
        <w:rPr>
          <w:rFonts w:hint="eastAsia"/>
          <w:sz w:val="21"/>
          <w:szCs w:val="21"/>
          <w:vertAlign w:val="superscript"/>
        </w:rPr>
        <w:t>1</w:t>
      </w:r>
      <w:r>
        <w:rPr>
          <w:rFonts w:hint="eastAsia"/>
          <w:sz w:val="21"/>
          <w:szCs w:val="21"/>
          <w:vertAlign w:val="superscript"/>
          <w:lang w:val="en-US" w:eastAsia="zh-CN"/>
        </w:rPr>
        <w:t>7</w:t>
      </w:r>
      <w:r>
        <w:rPr>
          <w:sz w:val="21"/>
          <w:szCs w:val="21"/>
        </w:rPr>
        <w:t>School of Archaeology and Museology, Peking University, Beijing, 100871, China.</w:t>
      </w:r>
    </w:p>
    <w:p w14:paraId="1AADB516">
      <w:pPr>
        <w:keepNext w:val="0"/>
        <w:keepLines w:val="0"/>
        <w:pageBreakBefore w:val="0"/>
        <w:widowControl/>
        <w:kinsoku/>
        <w:wordWrap/>
        <w:overflowPunct/>
        <w:topLinePunct w:val="0"/>
        <w:autoSpaceDE/>
        <w:autoSpaceDN/>
        <w:bidi w:val="0"/>
        <w:adjustRightInd/>
        <w:snapToGrid/>
        <w:spacing w:after="0" w:line="240" w:lineRule="auto"/>
        <w:ind w:firstLine="0"/>
        <w:jc w:val="both"/>
        <w:textAlignment w:val="auto"/>
        <w:rPr>
          <w:sz w:val="21"/>
          <w:szCs w:val="21"/>
          <w:vertAlign w:val="superscript"/>
        </w:rPr>
      </w:pPr>
      <w:r>
        <w:rPr>
          <w:rFonts w:hint="eastAsia"/>
          <w:sz w:val="21"/>
          <w:szCs w:val="21"/>
          <w:vertAlign w:val="superscript"/>
        </w:rPr>
        <w:t>1</w:t>
      </w:r>
      <w:r>
        <w:rPr>
          <w:rFonts w:hint="eastAsia"/>
          <w:sz w:val="21"/>
          <w:szCs w:val="21"/>
          <w:vertAlign w:val="superscript"/>
          <w:lang w:val="en-US" w:eastAsia="zh-CN"/>
        </w:rPr>
        <w:t>8</w:t>
      </w:r>
      <w:r>
        <w:rPr>
          <w:sz w:val="21"/>
          <w:szCs w:val="21"/>
          <w:lang w:bidi="ar"/>
        </w:rPr>
        <w:t>Department for the History of Science and Scientific Archaeology, University of Science and Technology of China, Hefei, 230026, China</w:t>
      </w:r>
      <w:r>
        <w:rPr>
          <w:rFonts w:hint="eastAsia"/>
          <w:sz w:val="21"/>
          <w:szCs w:val="21"/>
          <w:lang w:bidi="ar"/>
        </w:rPr>
        <w:t>.</w:t>
      </w:r>
    </w:p>
    <w:p w14:paraId="1508DBF8">
      <w:pPr>
        <w:keepNext w:val="0"/>
        <w:keepLines w:val="0"/>
        <w:pageBreakBefore w:val="0"/>
        <w:widowControl/>
        <w:kinsoku/>
        <w:wordWrap/>
        <w:overflowPunct/>
        <w:topLinePunct w:val="0"/>
        <w:autoSpaceDE/>
        <w:autoSpaceDN/>
        <w:bidi w:val="0"/>
        <w:adjustRightInd/>
        <w:snapToGrid/>
        <w:spacing w:after="0" w:line="240" w:lineRule="auto"/>
        <w:ind w:firstLine="0"/>
        <w:jc w:val="both"/>
        <w:textAlignment w:val="auto"/>
        <w:rPr>
          <w:sz w:val="21"/>
          <w:szCs w:val="21"/>
        </w:rPr>
      </w:pPr>
      <w:r>
        <w:rPr>
          <w:rFonts w:hint="eastAsia"/>
          <w:sz w:val="21"/>
          <w:szCs w:val="21"/>
          <w:vertAlign w:val="superscript"/>
        </w:rPr>
        <w:t>1</w:t>
      </w:r>
      <w:r>
        <w:rPr>
          <w:rFonts w:hint="eastAsia"/>
          <w:sz w:val="21"/>
          <w:szCs w:val="21"/>
          <w:vertAlign w:val="superscript"/>
          <w:lang w:val="en-US" w:eastAsia="zh-CN"/>
        </w:rPr>
        <w:t>9</w:t>
      </w:r>
      <w:r>
        <w:rPr>
          <w:rFonts w:hint="eastAsia"/>
          <w:sz w:val="21"/>
          <w:szCs w:val="21"/>
        </w:rPr>
        <w:t>School of Geography, Nanjing Normal University, Nanjing, China</w:t>
      </w:r>
    </w:p>
    <w:p w14:paraId="0FEB7DCE">
      <w:pPr>
        <w:keepNext w:val="0"/>
        <w:keepLines w:val="0"/>
        <w:pageBreakBefore w:val="0"/>
        <w:widowControl/>
        <w:kinsoku/>
        <w:wordWrap/>
        <w:overflowPunct/>
        <w:topLinePunct w:val="0"/>
        <w:autoSpaceDE/>
        <w:autoSpaceDN/>
        <w:bidi w:val="0"/>
        <w:adjustRightInd/>
        <w:snapToGrid/>
        <w:spacing w:after="0" w:line="240" w:lineRule="auto"/>
        <w:ind w:firstLine="0"/>
        <w:jc w:val="both"/>
        <w:textAlignment w:val="auto"/>
        <w:rPr>
          <w:sz w:val="21"/>
          <w:szCs w:val="21"/>
        </w:rPr>
      </w:pPr>
      <w:r>
        <w:rPr>
          <w:rFonts w:hint="eastAsia"/>
          <w:sz w:val="21"/>
          <w:szCs w:val="21"/>
          <w:vertAlign w:val="superscript"/>
          <w:lang w:val="en-US" w:eastAsia="zh-CN"/>
        </w:rPr>
        <w:t>20</w:t>
      </w:r>
      <w:r>
        <w:rPr>
          <w:rFonts w:hint="eastAsia"/>
          <w:sz w:val="21"/>
          <w:szCs w:val="21"/>
        </w:rPr>
        <w:t>Key Laboratory of Virtual Geographic Environment, Ministry of Education, Nanjing Normal University, Nanjing, China</w:t>
      </w:r>
    </w:p>
    <w:p w14:paraId="584610F7">
      <w:pPr>
        <w:keepNext w:val="0"/>
        <w:keepLines w:val="0"/>
        <w:pageBreakBefore w:val="0"/>
        <w:widowControl/>
        <w:kinsoku/>
        <w:wordWrap/>
        <w:overflowPunct/>
        <w:topLinePunct w:val="0"/>
        <w:autoSpaceDE/>
        <w:autoSpaceDN/>
        <w:bidi w:val="0"/>
        <w:adjustRightInd/>
        <w:snapToGrid/>
        <w:spacing w:after="0" w:line="240" w:lineRule="auto"/>
        <w:ind w:firstLine="0"/>
        <w:jc w:val="both"/>
        <w:textAlignment w:val="auto"/>
        <w:rPr>
          <w:sz w:val="21"/>
          <w:szCs w:val="21"/>
          <w:vertAlign w:val="superscript"/>
        </w:rPr>
      </w:pPr>
      <w:r>
        <w:rPr>
          <w:rFonts w:hint="eastAsia"/>
          <w:sz w:val="21"/>
          <w:szCs w:val="21"/>
          <w:vertAlign w:val="superscript"/>
          <w:lang w:val="en-US" w:eastAsia="zh-CN"/>
        </w:rPr>
        <w:t>21</w:t>
      </w:r>
      <w:r>
        <w:rPr>
          <w:rFonts w:hint="eastAsia"/>
          <w:sz w:val="21"/>
          <w:szCs w:val="21"/>
        </w:rPr>
        <w:t xml:space="preserve">School of Science, University of Wollongong, Wollongong, Australia. </w:t>
      </w:r>
    </w:p>
    <w:p w14:paraId="1305B85D">
      <w:pPr>
        <w:keepNext w:val="0"/>
        <w:keepLines w:val="0"/>
        <w:pageBreakBefore w:val="0"/>
        <w:widowControl/>
        <w:kinsoku/>
        <w:wordWrap/>
        <w:overflowPunct/>
        <w:topLinePunct w:val="0"/>
        <w:autoSpaceDE/>
        <w:autoSpaceDN/>
        <w:bidi w:val="0"/>
        <w:adjustRightInd/>
        <w:snapToGrid/>
        <w:spacing w:after="0" w:line="240" w:lineRule="auto"/>
        <w:ind w:firstLine="0"/>
        <w:jc w:val="both"/>
        <w:textAlignment w:val="auto"/>
        <w:rPr>
          <w:sz w:val="21"/>
          <w:szCs w:val="21"/>
        </w:rPr>
      </w:pPr>
      <w:r>
        <w:rPr>
          <w:rFonts w:hint="eastAsia"/>
          <w:sz w:val="21"/>
          <w:szCs w:val="21"/>
          <w:vertAlign w:val="superscript"/>
          <w:lang w:val="en-US" w:eastAsia="zh-CN"/>
        </w:rPr>
        <w:t>22</w:t>
      </w:r>
      <w:r>
        <w:rPr>
          <w:rFonts w:hint="eastAsia"/>
          <w:sz w:val="21"/>
          <w:szCs w:val="21"/>
        </w:rPr>
        <w:t xml:space="preserve">Environmental Futures Research Centre, University of Wollongong, Wollongong, Australia. </w:t>
      </w:r>
    </w:p>
    <w:p w14:paraId="07E6ED91">
      <w:pPr>
        <w:keepNext w:val="0"/>
        <w:keepLines w:val="0"/>
        <w:pageBreakBefore w:val="0"/>
        <w:widowControl/>
        <w:kinsoku/>
        <w:wordWrap/>
        <w:overflowPunct/>
        <w:topLinePunct w:val="0"/>
        <w:autoSpaceDE/>
        <w:autoSpaceDN/>
        <w:bidi w:val="0"/>
        <w:adjustRightInd/>
        <w:snapToGrid/>
        <w:spacing w:line="240" w:lineRule="auto"/>
        <w:ind w:firstLine="0"/>
        <w:jc w:val="both"/>
        <w:textAlignment w:val="auto"/>
        <w:rPr>
          <w:vertAlign w:val="superscript"/>
          <w:lang w:val="en-GB"/>
        </w:rPr>
      </w:pPr>
    </w:p>
    <w:p w14:paraId="38188B26">
      <w:pPr>
        <w:ind w:firstLine="0"/>
        <w:jc w:val="both"/>
        <w:rPr>
          <w:b/>
          <w:bCs/>
          <w:lang w:val="en-GB"/>
        </w:rPr>
      </w:pPr>
      <w:r>
        <w:rPr>
          <w:b/>
          <w:bCs/>
          <w:vertAlign w:val="superscript"/>
          <w:lang w:val="en-GB"/>
        </w:rPr>
        <w:t>2</w:t>
      </w:r>
      <w:r>
        <w:rPr>
          <w:rFonts w:hint="eastAsia"/>
          <w:b/>
          <w:bCs/>
          <w:vertAlign w:val="superscript"/>
          <w:lang w:val="en-US" w:eastAsia="zh-CN"/>
        </w:rPr>
        <w:t>3</w:t>
      </w:r>
      <w:r>
        <w:rPr>
          <w:b/>
          <w:bCs/>
          <w:lang w:val="en-GB"/>
        </w:rPr>
        <w:t>These authors contributed equally: Qijun Ruan, Hao Li, Song Xing, Keliang Zhao.</w:t>
      </w:r>
    </w:p>
    <w:p w14:paraId="0A83A8FD">
      <w:pPr>
        <w:keepNext w:val="0"/>
        <w:keepLines w:val="0"/>
        <w:pageBreakBefore w:val="0"/>
        <w:widowControl/>
        <w:kinsoku/>
        <w:wordWrap/>
        <w:overflowPunct/>
        <w:topLinePunct w:val="0"/>
        <w:autoSpaceDE/>
        <w:autoSpaceDN/>
        <w:bidi w:val="0"/>
        <w:adjustRightInd/>
        <w:snapToGrid/>
        <w:spacing w:line="240" w:lineRule="auto"/>
        <w:ind w:firstLine="0"/>
        <w:jc w:val="both"/>
        <w:textAlignment w:val="auto"/>
        <w:rPr>
          <w:lang w:val="en-GB"/>
        </w:rPr>
      </w:pPr>
    </w:p>
    <w:p w14:paraId="5685E607">
      <w:pPr>
        <w:keepNext w:val="0"/>
        <w:keepLines w:val="0"/>
        <w:pageBreakBefore w:val="0"/>
        <w:widowControl/>
        <w:kinsoku/>
        <w:wordWrap/>
        <w:overflowPunct/>
        <w:topLinePunct w:val="0"/>
        <w:autoSpaceDE/>
        <w:autoSpaceDN/>
        <w:bidi w:val="0"/>
        <w:adjustRightInd/>
        <w:snapToGrid/>
        <w:spacing w:line="240" w:lineRule="auto"/>
        <w:ind w:firstLine="0"/>
        <w:jc w:val="both"/>
        <w:textAlignment w:val="auto"/>
        <w:rPr>
          <w:b/>
          <w:bCs/>
          <w:lang w:val="en-GB"/>
        </w:rPr>
      </w:pPr>
      <w:r>
        <w:rPr>
          <w:b/>
          <w:bCs/>
          <w:lang w:val="en-GB"/>
        </w:rPr>
        <w:t>Corresponding Authors:</w:t>
      </w:r>
    </w:p>
    <w:p w14:paraId="1937F6CB">
      <w:pPr>
        <w:keepNext w:val="0"/>
        <w:keepLines w:val="0"/>
        <w:pageBreakBefore w:val="0"/>
        <w:widowControl/>
        <w:kinsoku/>
        <w:wordWrap/>
        <w:overflowPunct/>
        <w:topLinePunct w:val="0"/>
        <w:autoSpaceDE/>
        <w:autoSpaceDN/>
        <w:bidi w:val="0"/>
        <w:adjustRightInd/>
        <w:snapToGrid/>
        <w:spacing w:line="240" w:lineRule="auto"/>
        <w:ind w:firstLine="0"/>
        <w:jc w:val="both"/>
        <w:textAlignment w:val="auto"/>
        <w:rPr>
          <w:lang w:val="en-GB"/>
        </w:rPr>
      </w:pPr>
      <w:r>
        <w:rPr>
          <w:lang w:val="en-GB"/>
        </w:rPr>
        <w:t xml:space="preserve">Hao Li, lihao@itpcas.ac.cn; </w:t>
      </w:r>
    </w:p>
    <w:p w14:paraId="69D67FB2">
      <w:pPr>
        <w:keepNext w:val="0"/>
        <w:keepLines w:val="0"/>
        <w:pageBreakBefore w:val="0"/>
        <w:widowControl/>
        <w:kinsoku/>
        <w:wordWrap/>
        <w:overflowPunct/>
        <w:topLinePunct w:val="0"/>
        <w:autoSpaceDE/>
        <w:autoSpaceDN/>
        <w:bidi w:val="0"/>
        <w:adjustRightInd/>
        <w:snapToGrid/>
        <w:spacing w:line="240" w:lineRule="auto"/>
        <w:ind w:firstLine="0"/>
        <w:jc w:val="both"/>
        <w:textAlignment w:val="auto"/>
        <w:rPr>
          <w:lang w:val="en-GB"/>
        </w:rPr>
      </w:pPr>
      <w:r>
        <w:rPr>
          <w:lang w:val="en-GB"/>
        </w:rPr>
        <w:t xml:space="preserve">Qingfeng Shao, </w:t>
      </w:r>
      <w:r>
        <w:fldChar w:fldCharType="begin"/>
      </w:r>
      <w:r>
        <w:instrText xml:space="preserve"> HYPERLINK "mailto:qingfengshao@njnu.edu.cn" \h </w:instrText>
      </w:r>
      <w:r>
        <w:fldChar w:fldCharType="separate"/>
      </w:r>
      <w:r>
        <w:rPr>
          <w:lang w:val="en-GB"/>
        </w:rPr>
        <w:t>qingfengshao@njnu.edu.cn</w:t>
      </w:r>
      <w:r>
        <w:rPr>
          <w:lang w:val="en-GB"/>
        </w:rPr>
        <w:fldChar w:fldCharType="end"/>
      </w:r>
      <w:r>
        <w:rPr>
          <w:lang w:val="en-GB"/>
        </w:rPr>
        <w:t xml:space="preserve">; </w:t>
      </w:r>
    </w:p>
    <w:p w14:paraId="4CBF7BBD">
      <w:pPr>
        <w:keepNext w:val="0"/>
        <w:keepLines w:val="0"/>
        <w:pageBreakBefore w:val="0"/>
        <w:widowControl/>
        <w:kinsoku/>
        <w:wordWrap/>
        <w:overflowPunct/>
        <w:topLinePunct w:val="0"/>
        <w:autoSpaceDE/>
        <w:autoSpaceDN/>
        <w:bidi w:val="0"/>
        <w:adjustRightInd/>
        <w:snapToGrid/>
        <w:spacing w:line="240" w:lineRule="auto"/>
        <w:ind w:firstLine="0"/>
        <w:jc w:val="both"/>
        <w:textAlignment w:val="auto"/>
        <w:rPr>
          <w:lang w:val="it-IT"/>
        </w:rPr>
      </w:pPr>
      <w:r>
        <w:rPr>
          <w:lang w:val="it-IT"/>
        </w:rPr>
        <w:t xml:space="preserve">Bo Li, </w:t>
      </w:r>
      <w:r>
        <w:fldChar w:fldCharType="begin"/>
      </w:r>
      <w:r>
        <w:instrText xml:space="preserve">HYPERLINK "about:blank" \h</w:instrText>
      </w:r>
      <w:r>
        <w:fldChar w:fldCharType="separate"/>
      </w:r>
      <w:r>
        <w:rPr>
          <w:color w:val="000000"/>
          <w:lang w:val="it-IT"/>
        </w:rPr>
        <w:t>bli@uow.edu.au;</w:t>
      </w:r>
      <w:r>
        <w:fldChar w:fldCharType="end"/>
      </w:r>
      <w:r>
        <w:rPr>
          <w:lang w:val="it-IT"/>
        </w:rPr>
        <w:t xml:space="preserve"> </w:t>
      </w:r>
    </w:p>
    <w:p w14:paraId="1888FA7B">
      <w:pPr>
        <w:keepNext w:val="0"/>
        <w:keepLines w:val="0"/>
        <w:pageBreakBefore w:val="0"/>
        <w:widowControl/>
        <w:kinsoku/>
        <w:wordWrap/>
        <w:overflowPunct/>
        <w:topLinePunct w:val="0"/>
        <w:autoSpaceDE/>
        <w:autoSpaceDN/>
        <w:bidi w:val="0"/>
        <w:adjustRightInd/>
        <w:snapToGrid/>
        <w:spacing w:line="240" w:lineRule="auto"/>
        <w:ind w:firstLine="0"/>
        <w:jc w:val="both"/>
        <w:textAlignment w:val="auto"/>
        <w:rPr>
          <w:b/>
          <w:bCs/>
          <w:kern w:val="2"/>
        </w:rPr>
      </w:pPr>
      <w:r>
        <w:rPr>
          <w:lang w:val="it-IT"/>
        </w:rPr>
        <w:t>Fahu Chen, fhchen@itpcas.ac.cn.</w:t>
      </w:r>
    </w:p>
    <w:p w14:paraId="07FA9C27">
      <w:pPr>
        <w:pStyle w:val="9"/>
        <w:widowControl w:val="0"/>
        <w:ind w:firstLine="0"/>
        <w:jc w:val="both"/>
        <w:rPr>
          <w:b/>
          <w:bCs/>
          <w:kern w:val="2"/>
        </w:rPr>
      </w:pPr>
    </w:p>
    <w:p w14:paraId="3531A091">
      <w:pPr>
        <w:pStyle w:val="9"/>
        <w:widowControl w:val="0"/>
        <w:ind w:firstLine="0"/>
        <w:jc w:val="both"/>
        <w:rPr>
          <w:b/>
          <w:bCs/>
          <w:kern w:val="2"/>
        </w:rPr>
      </w:pPr>
    </w:p>
    <w:p w14:paraId="0096E915">
      <w:pPr>
        <w:pStyle w:val="9"/>
        <w:widowControl w:val="0"/>
        <w:ind w:firstLine="0"/>
        <w:jc w:val="both"/>
        <w:rPr>
          <w:b/>
          <w:bCs/>
          <w:kern w:val="2"/>
        </w:rPr>
      </w:pPr>
    </w:p>
    <w:p w14:paraId="544BE792">
      <w:pPr>
        <w:pStyle w:val="9"/>
        <w:widowControl w:val="0"/>
        <w:ind w:firstLine="0"/>
        <w:jc w:val="both"/>
        <w:rPr>
          <w:b/>
          <w:bCs/>
          <w:kern w:val="2"/>
        </w:rPr>
      </w:pPr>
    </w:p>
    <w:p w14:paraId="4309D83F">
      <w:pPr>
        <w:pStyle w:val="9"/>
        <w:widowControl w:val="0"/>
        <w:ind w:firstLine="0"/>
        <w:jc w:val="both"/>
        <w:rPr>
          <w:b/>
          <w:bCs/>
          <w:kern w:val="2"/>
        </w:rPr>
      </w:pPr>
    </w:p>
    <w:p w14:paraId="62278DAF">
      <w:pPr>
        <w:pStyle w:val="9"/>
        <w:widowControl w:val="0"/>
        <w:ind w:firstLine="0"/>
        <w:jc w:val="both"/>
        <w:rPr>
          <w:b/>
          <w:bCs/>
          <w:kern w:val="2"/>
        </w:rPr>
      </w:pPr>
    </w:p>
    <w:p w14:paraId="057709D9">
      <w:pPr>
        <w:pStyle w:val="9"/>
        <w:widowControl w:val="0"/>
        <w:ind w:firstLine="0"/>
        <w:jc w:val="both"/>
        <w:rPr>
          <w:b/>
          <w:bCs/>
          <w:kern w:val="2"/>
        </w:rPr>
      </w:pPr>
    </w:p>
    <w:p w14:paraId="0E01B259">
      <w:pPr>
        <w:pStyle w:val="9"/>
        <w:widowControl w:val="0"/>
        <w:ind w:firstLine="0"/>
        <w:jc w:val="both"/>
        <w:rPr>
          <w:b/>
          <w:bCs/>
          <w:kern w:val="2"/>
        </w:rPr>
      </w:pPr>
    </w:p>
    <w:p w14:paraId="6913B0AD">
      <w:pPr>
        <w:pStyle w:val="9"/>
        <w:widowControl w:val="0"/>
        <w:ind w:firstLine="0"/>
        <w:jc w:val="both"/>
        <w:rPr>
          <w:b/>
          <w:bCs/>
          <w:kern w:val="2"/>
        </w:rPr>
      </w:pPr>
    </w:p>
    <w:p w14:paraId="0DC3E9E7">
      <w:pPr>
        <w:pStyle w:val="9"/>
        <w:widowControl w:val="0"/>
        <w:ind w:firstLine="0"/>
        <w:jc w:val="both"/>
        <w:rPr>
          <w:b/>
          <w:bCs/>
          <w:kern w:val="2"/>
        </w:rPr>
      </w:pPr>
    </w:p>
    <w:p w14:paraId="35A94CAE">
      <w:pPr>
        <w:pStyle w:val="9"/>
        <w:widowControl w:val="0"/>
        <w:ind w:firstLine="0"/>
        <w:jc w:val="both"/>
        <w:rPr>
          <w:b/>
          <w:bCs/>
          <w:kern w:val="2"/>
        </w:rPr>
      </w:pPr>
    </w:p>
    <w:p w14:paraId="0685D3BF">
      <w:pPr>
        <w:pStyle w:val="9"/>
        <w:widowControl w:val="0"/>
        <w:ind w:firstLine="0"/>
        <w:jc w:val="both"/>
        <w:rPr>
          <w:b/>
          <w:bCs/>
          <w:kern w:val="2"/>
        </w:rPr>
      </w:pPr>
    </w:p>
    <w:p w14:paraId="20E857F8">
      <w:pPr>
        <w:pStyle w:val="9"/>
        <w:widowControl w:val="0"/>
        <w:ind w:firstLine="0"/>
        <w:jc w:val="both"/>
        <w:rPr>
          <w:b/>
          <w:bCs/>
          <w:kern w:val="2"/>
        </w:rPr>
      </w:pPr>
    </w:p>
    <w:p w14:paraId="2C770A6C">
      <w:pPr>
        <w:pStyle w:val="9"/>
        <w:widowControl w:val="0"/>
        <w:ind w:firstLine="0"/>
        <w:jc w:val="both"/>
        <w:rPr>
          <w:b/>
          <w:bCs/>
          <w:kern w:val="2"/>
        </w:rPr>
      </w:pPr>
    </w:p>
    <w:p w14:paraId="1CB253A5">
      <w:pPr>
        <w:pStyle w:val="9"/>
        <w:widowControl w:val="0"/>
        <w:ind w:firstLine="0"/>
        <w:jc w:val="both"/>
        <w:rPr>
          <w:b/>
          <w:bCs/>
          <w:kern w:val="2"/>
        </w:rPr>
      </w:pPr>
    </w:p>
    <w:p w14:paraId="3E1FB165">
      <w:pPr>
        <w:pStyle w:val="9"/>
        <w:widowControl w:val="0"/>
        <w:ind w:firstLine="0"/>
        <w:jc w:val="both"/>
        <w:rPr>
          <w:b/>
          <w:bCs/>
          <w:kern w:val="2"/>
        </w:rPr>
      </w:pPr>
    </w:p>
    <w:p w14:paraId="72C55781">
      <w:pPr>
        <w:pStyle w:val="9"/>
        <w:widowControl w:val="0"/>
        <w:ind w:firstLine="0"/>
        <w:jc w:val="both"/>
        <w:rPr>
          <w:b/>
          <w:bCs/>
          <w:kern w:val="2"/>
        </w:rPr>
      </w:pPr>
    </w:p>
    <w:p w14:paraId="70D41824">
      <w:pPr>
        <w:pStyle w:val="9"/>
        <w:widowControl w:val="0"/>
        <w:ind w:firstLine="0"/>
        <w:jc w:val="both"/>
        <w:rPr>
          <w:b/>
          <w:bCs/>
          <w:kern w:val="2"/>
        </w:rPr>
      </w:pPr>
    </w:p>
    <w:p w14:paraId="6B3C6730">
      <w:pPr>
        <w:pStyle w:val="9"/>
        <w:widowControl w:val="0"/>
        <w:ind w:firstLine="0"/>
        <w:jc w:val="both"/>
        <w:rPr>
          <w:b/>
          <w:bCs/>
          <w:kern w:val="2"/>
        </w:rPr>
      </w:pPr>
    </w:p>
    <w:p w14:paraId="2E7194C5">
      <w:pPr>
        <w:pStyle w:val="9"/>
        <w:widowControl w:val="0"/>
        <w:ind w:firstLine="0"/>
        <w:jc w:val="both"/>
        <w:rPr>
          <w:b/>
          <w:bCs/>
          <w:kern w:val="2"/>
        </w:rPr>
      </w:pPr>
    </w:p>
    <w:p w14:paraId="3F9D5D80">
      <w:pPr>
        <w:pStyle w:val="9"/>
        <w:widowControl w:val="0"/>
        <w:ind w:firstLine="0"/>
        <w:jc w:val="both"/>
        <w:rPr>
          <w:b/>
          <w:bCs/>
          <w:kern w:val="2"/>
        </w:rPr>
      </w:pPr>
    </w:p>
    <w:p w14:paraId="687B5D23">
      <w:pPr>
        <w:pStyle w:val="9"/>
        <w:keepNext w:val="0"/>
        <w:keepLines w:val="0"/>
        <w:pageBreakBefore w:val="0"/>
        <w:widowControl w:val="0"/>
        <w:kinsoku/>
        <w:wordWrap/>
        <w:overflowPunct/>
        <w:topLinePunct w:val="0"/>
        <w:autoSpaceDE/>
        <w:autoSpaceDN/>
        <w:bidi w:val="0"/>
        <w:adjustRightInd/>
        <w:snapToGrid/>
        <w:spacing w:after="60"/>
        <w:ind w:firstLine="0"/>
        <w:jc w:val="both"/>
        <w:textAlignment w:val="auto"/>
        <w:rPr>
          <w:rFonts w:hint="default" w:eastAsia="宋体"/>
          <w:b/>
          <w:bCs/>
          <w:kern w:val="2"/>
          <w:sz w:val="30"/>
          <w:szCs w:val="30"/>
          <w:lang w:val="en-US" w:eastAsia="zh-CN"/>
        </w:rPr>
      </w:pPr>
      <w:r>
        <w:rPr>
          <w:b/>
          <w:bCs/>
          <w:kern w:val="2"/>
        </w:rPr>
        <w:t>This PDF file includes:</w:t>
      </w:r>
      <w:r>
        <w:rPr>
          <w:rFonts w:hint="eastAsia" w:eastAsia="宋体"/>
          <w:b/>
          <w:bCs/>
          <w:kern w:val="2"/>
          <w:lang w:val="en-US" w:eastAsia="zh-CN"/>
        </w:rPr>
        <w:t xml:space="preserve"> </w:t>
      </w:r>
    </w:p>
    <w:p w14:paraId="5FB0F6D5">
      <w:pPr>
        <w:pStyle w:val="9"/>
        <w:keepNext w:val="0"/>
        <w:keepLines w:val="0"/>
        <w:pageBreakBefore w:val="0"/>
        <w:widowControl w:val="0"/>
        <w:kinsoku/>
        <w:wordWrap/>
        <w:overflowPunct/>
        <w:topLinePunct w:val="0"/>
        <w:autoSpaceDE/>
        <w:autoSpaceDN/>
        <w:bidi w:val="0"/>
        <w:adjustRightInd/>
        <w:snapToGrid/>
        <w:spacing w:after="60"/>
        <w:jc w:val="both"/>
        <w:textAlignment w:val="auto"/>
        <w:rPr>
          <w:kern w:val="2"/>
        </w:rPr>
      </w:pPr>
    </w:p>
    <w:p w14:paraId="22FA3188">
      <w:pPr>
        <w:pStyle w:val="16"/>
        <w:keepNext w:val="0"/>
        <w:keepLines w:val="0"/>
        <w:pageBreakBefore w:val="0"/>
        <w:widowControl/>
        <w:tabs>
          <w:tab w:val="right" w:leader="dot" w:pos="9059"/>
        </w:tabs>
        <w:kinsoku/>
        <w:wordWrap/>
        <w:overflowPunct/>
        <w:topLinePunct w:val="0"/>
        <w:autoSpaceDE/>
        <w:autoSpaceDN/>
        <w:bidi w:val="0"/>
        <w:adjustRightInd/>
        <w:snapToGrid/>
        <w:spacing w:after="60"/>
        <w:ind w:firstLine="0"/>
        <w:textAlignment w:val="auto"/>
        <w:rPr>
          <w:rFonts w:hint="eastAsia" w:eastAsia="宋体" w:asciiTheme="minorHAnsi" w:hAnsiTheme="minorHAnsi" w:cstheme="minorBidi"/>
          <w:kern w:val="2"/>
          <w:sz w:val="22"/>
          <w:highlight w:val="none"/>
          <w:lang w:eastAsia="zh-CN"/>
          <w14:ligatures w14:val="standardContextual"/>
        </w:rPr>
      </w:pPr>
      <w:r>
        <w:rPr>
          <w:kern w:val="2"/>
          <w:highlight w:val="none"/>
        </w:rPr>
        <w:fldChar w:fldCharType="begin"/>
      </w:r>
      <w:r>
        <w:rPr>
          <w:kern w:val="2"/>
          <w:highlight w:val="none"/>
        </w:rPr>
        <w:instrText xml:space="preserve"> TOC \o "1-1" \h \z \u </w:instrText>
      </w:r>
      <w:r>
        <w:rPr>
          <w:kern w:val="2"/>
          <w:highlight w:val="none"/>
        </w:rPr>
        <w:fldChar w:fldCharType="separate"/>
      </w:r>
      <w:r>
        <w:rPr>
          <w:highlight w:val="none"/>
        </w:rPr>
        <w:fldChar w:fldCharType="begin"/>
      </w:r>
      <w:r>
        <w:rPr>
          <w:highlight w:val="none"/>
        </w:rPr>
        <w:instrText xml:space="preserve"> HYPERLINK \l "_Toc209814666" </w:instrText>
      </w:r>
      <w:r>
        <w:rPr>
          <w:highlight w:val="none"/>
        </w:rPr>
        <w:fldChar w:fldCharType="separate"/>
      </w:r>
      <w:r>
        <w:rPr>
          <w:rStyle w:val="30"/>
          <w:rFonts w:hint="eastAsia"/>
          <w:highlight w:val="none"/>
        </w:rPr>
        <w:t>Supplementary Information A: Site and Stratigraphy</w:t>
      </w:r>
      <w:r>
        <w:rPr>
          <w:rFonts w:hint="eastAsia"/>
          <w:highlight w:val="none"/>
        </w:rPr>
        <w:tab/>
      </w:r>
      <w:r>
        <w:rPr>
          <w:rFonts w:hint="eastAsia"/>
          <w:highlight w:val="none"/>
        </w:rPr>
        <w:fldChar w:fldCharType="end"/>
      </w:r>
      <w:r>
        <w:rPr>
          <w:rFonts w:hint="eastAsia"/>
          <w:highlight w:val="none"/>
          <w:lang w:val="en-US" w:eastAsia="zh-CN"/>
        </w:rPr>
        <w:t>4</w:t>
      </w:r>
    </w:p>
    <w:p w14:paraId="734AF450">
      <w:pPr>
        <w:pStyle w:val="16"/>
        <w:keepNext w:val="0"/>
        <w:keepLines w:val="0"/>
        <w:pageBreakBefore w:val="0"/>
        <w:widowControl/>
        <w:tabs>
          <w:tab w:val="right" w:leader="dot" w:pos="9059"/>
        </w:tabs>
        <w:kinsoku/>
        <w:wordWrap/>
        <w:overflowPunct/>
        <w:topLinePunct w:val="0"/>
        <w:autoSpaceDE/>
        <w:autoSpaceDN/>
        <w:bidi w:val="0"/>
        <w:adjustRightInd/>
        <w:snapToGrid/>
        <w:spacing w:after="60"/>
        <w:ind w:firstLine="0"/>
        <w:textAlignment w:val="auto"/>
        <w:rPr>
          <w:rFonts w:hint="eastAsia" w:eastAsia="宋体" w:asciiTheme="minorHAnsi" w:hAnsiTheme="minorHAnsi" w:cstheme="minorBidi"/>
          <w:kern w:val="2"/>
          <w:sz w:val="22"/>
          <w:highlight w:val="none"/>
          <w:lang w:eastAsia="zh-CN"/>
          <w14:ligatures w14:val="standardContextual"/>
        </w:rPr>
      </w:pPr>
      <w:r>
        <w:rPr>
          <w:highlight w:val="none"/>
        </w:rPr>
        <w:fldChar w:fldCharType="begin"/>
      </w:r>
      <w:r>
        <w:rPr>
          <w:highlight w:val="none"/>
        </w:rPr>
        <w:instrText xml:space="preserve"> HYPERLINK \l "_Toc209814667" </w:instrText>
      </w:r>
      <w:r>
        <w:rPr>
          <w:highlight w:val="none"/>
        </w:rPr>
        <w:fldChar w:fldCharType="separate"/>
      </w:r>
      <w:r>
        <w:rPr>
          <w:rStyle w:val="30"/>
          <w:rFonts w:hint="eastAsia"/>
          <w:highlight w:val="none"/>
        </w:rPr>
        <w:t>Supplementary Information B: Chronology</w:t>
      </w:r>
      <w:r>
        <w:rPr>
          <w:rFonts w:hint="eastAsia"/>
          <w:highlight w:val="none"/>
        </w:rPr>
        <w:tab/>
      </w:r>
      <w:r>
        <w:rPr>
          <w:rFonts w:hint="eastAsia"/>
          <w:highlight w:val="none"/>
        </w:rPr>
        <w:fldChar w:fldCharType="end"/>
      </w:r>
      <w:r>
        <w:rPr>
          <w:rFonts w:hint="eastAsia"/>
          <w:highlight w:val="none"/>
          <w:lang w:val="en-US" w:eastAsia="zh-CN"/>
        </w:rPr>
        <w:t>7</w:t>
      </w:r>
    </w:p>
    <w:p w14:paraId="317E3F1D">
      <w:pPr>
        <w:pStyle w:val="16"/>
        <w:keepNext w:val="0"/>
        <w:keepLines w:val="0"/>
        <w:pageBreakBefore w:val="0"/>
        <w:widowControl/>
        <w:tabs>
          <w:tab w:val="right" w:leader="dot" w:pos="9059"/>
        </w:tabs>
        <w:kinsoku/>
        <w:wordWrap/>
        <w:overflowPunct/>
        <w:topLinePunct w:val="0"/>
        <w:autoSpaceDE/>
        <w:autoSpaceDN/>
        <w:bidi w:val="0"/>
        <w:adjustRightInd/>
        <w:snapToGrid/>
        <w:spacing w:after="60"/>
        <w:ind w:firstLine="0"/>
        <w:textAlignment w:val="auto"/>
        <w:rPr>
          <w:rFonts w:hint="default"/>
          <w:highlight w:val="none"/>
          <w:lang w:val="en-US" w:eastAsia="zh-CN"/>
        </w:rPr>
      </w:pPr>
      <w:r>
        <w:rPr>
          <w:highlight w:val="none"/>
        </w:rPr>
        <w:fldChar w:fldCharType="begin"/>
      </w:r>
      <w:r>
        <w:rPr>
          <w:highlight w:val="none"/>
        </w:rPr>
        <w:instrText xml:space="preserve"> HYPERLINK \l "_Toc209814670" </w:instrText>
      </w:r>
      <w:r>
        <w:rPr>
          <w:highlight w:val="none"/>
        </w:rPr>
        <w:fldChar w:fldCharType="separate"/>
      </w:r>
      <w:r>
        <w:rPr>
          <w:rStyle w:val="30"/>
          <w:rFonts w:hint="eastAsia"/>
          <w:highlight w:val="none"/>
        </w:rPr>
        <w:t xml:space="preserve">Supplementary Information </w:t>
      </w:r>
      <w:r>
        <w:rPr>
          <w:rStyle w:val="30"/>
          <w:rFonts w:hint="eastAsia"/>
          <w:highlight w:val="none"/>
          <w:lang w:val="en-US" w:eastAsia="zh-CN"/>
        </w:rPr>
        <w:t>C</w:t>
      </w:r>
      <w:r>
        <w:rPr>
          <w:rStyle w:val="30"/>
          <w:rFonts w:hint="eastAsia"/>
          <w:highlight w:val="none"/>
        </w:rPr>
        <w:t>: Pollen</w:t>
      </w:r>
      <w:r>
        <w:rPr>
          <w:rStyle w:val="30"/>
          <w:rFonts w:hint="eastAsia"/>
          <w:highlight w:val="none"/>
          <w:lang w:val="en-US" w:eastAsia="zh-CN"/>
        </w:rPr>
        <w:t xml:space="preserve"> Analysis</w:t>
      </w:r>
      <w:r>
        <w:rPr>
          <w:rFonts w:hint="eastAsia"/>
          <w:highlight w:val="none"/>
        </w:rPr>
        <w:tab/>
      </w:r>
      <w:r>
        <w:rPr>
          <w:rFonts w:hint="eastAsia"/>
          <w:highlight w:val="none"/>
        </w:rPr>
        <w:fldChar w:fldCharType="end"/>
      </w:r>
      <w:r>
        <w:rPr>
          <w:rFonts w:hint="eastAsia"/>
          <w:highlight w:val="none"/>
          <w:lang w:val="en-US" w:eastAsia="zh-CN"/>
        </w:rPr>
        <w:t>18</w:t>
      </w:r>
    </w:p>
    <w:p w14:paraId="1D8B8CF6">
      <w:pPr>
        <w:pStyle w:val="16"/>
        <w:keepNext w:val="0"/>
        <w:keepLines w:val="0"/>
        <w:pageBreakBefore w:val="0"/>
        <w:widowControl/>
        <w:tabs>
          <w:tab w:val="right" w:leader="dot" w:pos="9059"/>
        </w:tabs>
        <w:kinsoku/>
        <w:wordWrap/>
        <w:overflowPunct/>
        <w:topLinePunct w:val="0"/>
        <w:autoSpaceDE/>
        <w:autoSpaceDN/>
        <w:bidi w:val="0"/>
        <w:adjustRightInd/>
        <w:snapToGrid/>
        <w:spacing w:after="60"/>
        <w:ind w:firstLine="0"/>
        <w:textAlignment w:val="auto"/>
        <w:rPr>
          <w:rFonts w:hint="default" w:eastAsia="宋体" w:asciiTheme="minorHAnsi" w:hAnsiTheme="minorHAnsi" w:cstheme="minorBidi"/>
          <w:kern w:val="2"/>
          <w:sz w:val="22"/>
          <w:highlight w:val="none"/>
          <w:lang w:val="en-US" w:eastAsia="zh-CN"/>
          <w14:ligatures w14:val="standardContextual"/>
        </w:rPr>
      </w:pPr>
      <w:r>
        <w:rPr>
          <w:highlight w:val="none"/>
        </w:rPr>
        <w:fldChar w:fldCharType="begin"/>
      </w:r>
      <w:r>
        <w:rPr>
          <w:highlight w:val="none"/>
        </w:rPr>
        <w:instrText xml:space="preserve"> HYPERLINK \l "_Toc209814668" </w:instrText>
      </w:r>
      <w:r>
        <w:rPr>
          <w:highlight w:val="none"/>
        </w:rPr>
        <w:fldChar w:fldCharType="separate"/>
      </w:r>
      <w:r>
        <w:rPr>
          <w:rStyle w:val="30"/>
          <w:rFonts w:hint="eastAsia"/>
          <w:highlight w:val="none"/>
        </w:rPr>
        <w:t xml:space="preserve">Supplementary Information </w:t>
      </w:r>
      <w:r>
        <w:rPr>
          <w:rStyle w:val="30"/>
          <w:rFonts w:hint="eastAsia"/>
          <w:highlight w:val="none"/>
          <w:lang w:val="en-US" w:eastAsia="zh-CN"/>
        </w:rPr>
        <w:t>D</w:t>
      </w:r>
      <w:r>
        <w:rPr>
          <w:rStyle w:val="30"/>
          <w:rFonts w:hint="eastAsia"/>
          <w:highlight w:val="none"/>
        </w:rPr>
        <w:t>: Hominin Fossils</w:t>
      </w:r>
      <w:r>
        <w:rPr>
          <w:rFonts w:hint="eastAsia"/>
          <w:highlight w:val="none"/>
        </w:rPr>
        <w:tab/>
      </w:r>
      <w:r>
        <w:rPr>
          <w:rFonts w:hint="eastAsia"/>
          <w:highlight w:val="none"/>
        </w:rPr>
        <w:fldChar w:fldCharType="end"/>
      </w:r>
      <w:r>
        <w:rPr>
          <w:rFonts w:hint="eastAsia"/>
          <w:highlight w:val="none"/>
          <w:lang w:val="en-US" w:eastAsia="zh-CN"/>
        </w:rPr>
        <w:t>22</w:t>
      </w:r>
    </w:p>
    <w:p w14:paraId="07B746E6">
      <w:pPr>
        <w:pStyle w:val="16"/>
        <w:keepNext w:val="0"/>
        <w:keepLines w:val="0"/>
        <w:pageBreakBefore w:val="0"/>
        <w:widowControl/>
        <w:tabs>
          <w:tab w:val="right" w:leader="dot" w:pos="9059"/>
        </w:tabs>
        <w:kinsoku/>
        <w:wordWrap/>
        <w:overflowPunct/>
        <w:topLinePunct w:val="0"/>
        <w:autoSpaceDE/>
        <w:autoSpaceDN/>
        <w:bidi w:val="0"/>
        <w:adjustRightInd/>
        <w:snapToGrid/>
        <w:spacing w:after="60"/>
        <w:ind w:firstLine="0"/>
        <w:textAlignment w:val="auto"/>
        <w:rPr>
          <w:rFonts w:hint="default" w:eastAsia="宋体" w:asciiTheme="minorHAnsi" w:hAnsiTheme="minorHAnsi" w:cstheme="minorBidi"/>
          <w:kern w:val="2"/>
          <w:sz w:val="22"/>
          <w:highlight w:val="none"/>
          <w:lang w:val="en-US" w:eastAsia="zh-CN"/>
          <w14:ligatures w14:val="standardContextual"/>
        </w:rPr>
      </w:pPr>
      <w:r>
        <w:rPr>
          <w:highlight w:val="none"/>
        </w:rPr>
        <w:fldChar w:fldCharType="begin"/>
      </w:r>
      <w:r>
        <w:rPr>
          <w:highlight w:val="none"/>
        </w:rPr>
        <w:instrText xml:space="preserve"> HYPERLINK \l "_Toc209814669" </w:instrText>
      </w:r>
      <w:r>
        <w:rPr>
          <w:highlight w:val="none"/>
        </w:rPr>
        <w:fldChar w:fldCharType="separate"/>
      </w:r>
      <w:r>
        <w:rPr>
          <w:rStyle w:val="30"/>
          <w:rFonts w:hint="eastAsia"/>
          <w:highlight w:val="none"/>
        </w:rPr>
        <w:t xml:space="preserve">Supplementary Information </w:t>
      </w:r>
      <w:r>
        <w:rPr>
          <w:rStyle w:val="30"/>
          <w:rFonts w:hint="eastAsia"/>
          <w:highlight w:val="none"/>
          <w:lang w:val="en-US" w:eastAsia="zh-CN"/>
        </w:rPr>
        <w:t>E</w:t>
      </w:r>
      <w:r>
        <w:rPr>
          <w:rStyle w:val="30"/>
          <w:rFonts w:hint="eastAsia"/>
          <w:highlight w:val="none"/>
        </w:rPr>
        <w:t>: Stone and Bone Artefacts</w:t>
      </w:r>
      <w:r>
        <w:rPr>
          <w:rFonts w:hint="eastAsia"/>
          <w:highlight w:val="none"/>
        </w:rPr>
        <w:tab/>
      </w:r>
      <w:r>
        <w:rPr>
          <w:rFonts w:hint="eastAsia"/>
          <w:highlight w:val="none"/>
        </w:rPr>
        <w:fldChar w:fldCharType="end"/>
      </w:r>
      <w:r>
        <w:rPr>
          <w:rFonts w:hint="eastAsia"/>
          <w:highlight w:val="none"/>
          <w:lang w:val="en-US" w:eastAsia="zh-CN"/>
        </w:rPr>
        <w:t>32</w:t>
      </w:r>
    </w:p>
    <w:p w14:paraId="70115B97">
      <w:pPr>
        <w:pStyle w:val="16"/>
        <w:keepNext w:val="0"/>
        <w:keepLines w:val="0"/>
        <w:pageBreakBefore w:val="0"/>
        <w:widowControl/>
        <w:tabs>
          <w:tab w:val="right" w:leader="dot" w:pos="9059"/>
        </w:tabs>
        <w:kinsoku/>
        <w:wordWrap/>
        <w:overflowPunct/>
        <w:topLinePunct w:val="0"/>
        <w:autoSpaceDE/>
        <w:autoSpaceDN/>
        <w:bidi w:val="0"/>
        <w:adjustRightInd/>
        <w:snapToGrid/>
        <w:spacing w:after="60"/>
        <w:ind w:firstLine="0"/>
        <w:textAlignment w:val="auto"/>
        <w:rPr>
          <w:rStyle w:val="30"/>
          <w:rFonts w:hint="default"/>
          <w:highlight w:val="none"/>
        </w:rPr>
      </w:pPr>
      <w:r>
        <w:rPr>
          <w:rStyle w:val="30"/>
          <w:highlight w:val="none"/>
        </w:rPr>
        <w:t>Supplementary Information F: Faunal Assemblages and Taphonomy</w:t>
      </w:r>
      <w:r>
        <w:rPr>
          <w:rFonts w:hint="eastAsia"/>
          <w:highlight w:val="none"/>
        </w:rPr>
        <w:tab/>
      </w:r>
      <w:r>
        <w:rPr>
          <w:rStyle w:val="30"/>
          <w:rFonts w:hint="eastAsia"/>
          <w:highlight w:val="none"/>
          <w:lang w:eastAsia="zh-CN"/>
        </w:rPr>
        <w:t>4</w:t>
      </w:r>
      <w:r>
        <w:rPr>
          <w:rStyle w:val="30"/>
          <w:rFonts w:hint="eastAsia"/>
          <w:highlight w:val="none"/>
          <w:lang w:val="en-US" w:eastAsia="zh-CN"/>
        </w:rPr>
        <w:t>3</w:t>
      </w:r>
    </w:p>
    <w:p w14:paraId="1D279AFB">
      <w:pPr>
        <w:pStyle w:val="16"/>
        <w:keepNext w:val="0"/>
        <w:keepLines w:val="0"/>
        <w:pageBreakBefore w:val="0"/>
        <w:widowControl/>
        <w:tabs>
          <w:tab w:val="right" w:leader="dot" w:pos="9059"/>
        </w:tabs>
        <w:kinsoku/>
        <w:wordWrap/>
        <w:overflowPunct/>
        <w:topLinePunct w:val="0"/>
        <w:autoSpaceDE/>
        <w:autoSpaceDN/>
        <w:bidi w:val="0"/>
        <w:adjustRightInd/>
        <w:snapToGrid/>
        <w:spacing w:after="60"/>
        <w:ind w:firstLine="0"/>
        <w:textAlignment w:val="auto"/>
        <w:rPr>
          <w:rFonts w:hint="default" w:eastAsia="宋体" w:asciiTheme="minorHAnsi" w:hAnsiTheme="minorHAnsi" w:cstheme="minorBidi"/>
          <w:kern w:val="2"/>
          <w:sz w:val="22"/>
          <w:highlight w:val="none"/>
          <w:lang w:val="en-US" w:eastAsia="zh-CN"/>
          <w14:ligatures w14:val="standardContextual"/>
        </w:rPr>
      </w:pPr>
      <w:r>
        <w:rPr>
          <w:highlight w:val="none"/>
        </w:rPr>
        <w:fldChar w:fldCharType="begin"/>
      </w:r>
      <w:r>
        <w:rPr>
          <w:highlight w:val="none"/>
        </w:rPr>
        <w:instrText xml:space="preserve"> HYPERLINK \l "_Toc209814671" </w:instrText>
      </w:r>
      <w:r>
        <w:rPr>
          <w:highlight w:val="none"/>
        </w:rPr>
        <w:fldChar w:fldCharType="separate"/>
      </w:r>
      <w:r>
        <w:rPr>
          <w:rStyle w:val="30"/>
          <w:rFonts w:hint="eastAsia"/>
          <w:highlight w:val="none"/>
        </w:rPr>
        <w:t>Supplementary References</w:t>
      </w:r>
      <w:r>
        <w:rPr>
          <w:rFonts w:hint="eastAsia"/>
          <w:highlight w:val="none"/>
        </w:rPr>
        <w:tab/>
      </w:r>
      <w:r>
        <w:rPr>
          <w:rFonts w:hint="eastAsia"/>
          <w:highlight w:val="none"/>
        </w:rPr>
        <w:fldChar w:fldCharType="end"/>
      </w:r>
      <w:r>
        <w:rPr>
          <w:rFonts w:hint="eastAsia"/>
          <w:highlight w:val="none"/>
          <w:lang w:val="en-US" w:eastAsia="zh-CN"/>
        </w:rPr>
        <w:t>52</w:t>
      </w:r>
    </w:p>
    <w:p w14:paraId="13715638">
      <w:pPr>
        <w:pStyle w:val="16"/>
        <w:keepNext w:val="0"/>
        <w:keepLines w:val="0"/>
        <w:pageBreakBefore w:val="0"/>
        <w:widowControl/>
        <w:tabs>
          <w:tab w:val="right" w:leader="dot" w:pos="9059"/>
        </w:tabs>
        <w:kinsoku/>
        <w:wordWrap/>
        <w:overflowPunct/>
        <w:topLinePunct w:val="0"/>
        <w:autoSpaceDE/>
        <w:autoSpaceDN/>
        <w:bidi w:val="0"/>
        <w:adjustRightInd/>
        <w:snapToGrid/>
        <w:spacing w:after="60"/>
        <w:ind w:firstLine="0"/>
        <w:textAlignment w:val="auto"/>
        <w:rPr>
          <w:rFonts w:hint="default" w:eastAsia="宋体"/>
          <w:lang w:val="en-US" w:eastAsia="zh-CN"/>
        </w:rPr>
      </w:pPr>
      <w:r>
        <w:fldChar w:fldCharType="begin"/>
      </w:r>
      <w:r>
        <w:instrText xml:space="preserve"> HYPERLINK \l "_Toc209814672" </w:instrText>
      </w:r>
      <w:r>
        <w:fldChar w:fldCharType="separate"/>
      </w:r>
      <w:r>
        <w:rPr>
          <w:rStyle w:val="30"/>
          <w:rFonts w:hint="eastAsia"/>
          <w:lang w:eastAsia="zh-CN"/>
        </w:rPr>
        <w:t>Supplementary Fig</w:t>
      </w:r>
      <w:r>
        <w:rPr>
          <w:rStyle w:val="30"/>
          <w:rFonts w:hint="eastAsia"/>
          <w:lang w:val="en-US" w:eastAsia="zh-CN"/>
        </w:rPr>
        <w:t>ure</w:t>
      </w:r>
      <w:r>
        <w:rPr>
          <w:rStyle w:val="30"/>
          <w:rFonts w:hint="eastAsia"/>
        </w:rPr>
        <w:t>s</w:t>
      </w:r>
      <w:r>
        <w:rPr>
          <w:rStyle w:val="30"/>
          <w:rFonts w:hint="eastAsia"/>
          <w:lang w:val="en-US" w:eastAsia="zh-CN"/>
        </w:rPr>
        <w:t xml:space="preserve"> 1</w:t>
      </w:r>
      <w:r>
        <w:rPr>
          <w:kern w:val="2"/>
        </w:rPr>
        <w:t>–</w:t>
      </w:r>
      <w:r>
        <w:rPr>
          <w:rStyle w:val="30"/>
          <w:rFonts w:hint="eastAsia"/>
          <w:lang w:val="en-US" w:eastAsia="zh-CN"/>
        </w:rPr>
        <w:t>45</w:t>
      </w:r>
      <w:r>
        <w:rPr>
          <w:rFonts w:hint="eastAsia"/>
        </w:rPr>
        <w:tab/>
      </w:r>
      <w:r>
        <w:rPr>
          <w:rFonts w:hint="eastAsia"/>
        </w:rPr>
        <w:fldChar w:fldCharType="end"/>
      </w:r>
      <w:r>
        <w:rPr>
          <w:rFonts w:hint="eastAsia"/>
          <w:lang w:val="en-US" w:eastAsia="zh-CN"/>
        </w:rPr>
        <w:t>5</w:t>
      </w:r>
      <w:r>
        <w:rPr>
          <w:rFonts w:hint="default"/>
          <w:lang w:val="en-US" w:eastAsia="zh-CN"/>
        </w:rPr>
        <w:t>9</w:t>
      </w:r>
    </w:p>
    <w:p w14:paraId="7E055D4F">
      <w:pPr>
        <w:pStyle w:val="16"/>
        <w:keepNext w:val="0"/>
        <w:keepLines w:val="0"/>
        <w:pageBreakBefore w:val="0"/>
        <w:widowControl/>
        <w:tabs>
          <w:tab w:val="right" w:leader="dot" w:pos="9059"/>
        </w:tabs>
        <w:kinsoku/>
        <w:wordWrap/>
        <w:overflowPunct/>
        <w:topLinePunct w:val="0"/>
        <w:autoSpaceDE/>
        <w:autoSpaceDN/>
        <w:bidi w:val="0"/>
        <w:adjustRightInd/>
        <w:snapToGrid/>
        <w:spacing w:after="60"/>
        <w:ind w:firstLine="0"/>
        <w:textAlignment w:val="auto"/>
        <w:rPr>
          <w:rFonts w:hint="default" w:eastAsia="宋体" w:asciiTheme="minorHAnsi" w:hAnsiTheme="minorHAnsi" w:cstheme="minorBidi"/>
          <w:kern w:val="2"/>
          <w:sz w:val="22"/>
          <w:highlight w:val="none"/>
          <w:lang w:val="en-US" w:eastAsia="zh-CN"/>
          <w14:ligatures w14:val="standardContextual"/>
        </w:rPr>
      </w:pPr>
      <w:r>
        <w:fldChar w:fldCharType="begin"/>
      </w:r>
      <w:r>
        <w:instrText xml:space="preserve"> HYPERLINK \l "_Toc209814672" </w:instrText>
      </w:r>
      <w:r>
        <w:fldChar w:fldCharType="separate"/>
      </w:r>
      <w:r>
        <w:rPr>
          <w:rStyle w:val="30"/>
          <w:rFonts w:hint="eastAsia"/>
        </w:rPr>
        <w:t>Supplementary Tables</w:t>
      </w:r>
      <w:r>
        <w:rPr>
          <w:rStyle w:val="30"/>
          <w:rFonts w:hint="eastAsia"/>
          <w:lang w:val="en-US" w:eastAsia="zh-CN"/>
        </w:rPr>
        <w:t xml:space="preserve"> 1</w:t>
      </w:r>
      <w:r>
        <w:rPr>
          <w:kern w:val="2"/>
        </w:rPr>
        <w:t>–</w:t>
      </w:r>
      <w:r>
        <w:rPr>
          <w:rStyle w:val="30"/>
          <w:rFonts w:hint="eastAsia"/>
          <w:lang w:val="en-US" w:eastAsia="zh-CN"/>
        </w:rPr>
        <w:t>30</w:t>
      </w:r>
      <w:r>
        <w:rPr>
          <w:rFonts w:hint="eastAsia"/>
        </w:rPr>
        <w:tab/>
      </w:r>
      <w:r>
        <w:rPr>
          <w:rFonts w:hint="eastAsia"/>
        </w:rPr>
        <w:fldChar w:fldCharType="end"/>
      </w:r>
      <w:r>
        <w:rPr>
          <w:rFonts w:hint="eastAsia"/>
          <w:lang w:val="en-US" w:eastAsia="zh-CN"/>
        </w:rPr>
        <w:t>104</w:t>
      </w:r>
    </w:p>
    <w:p w14:paraId="2ED99E08">
      <w:pPr>
        <w:keepNext w:val="0"/>
        <w:keepLines w:val="0"/>
        <w:pageBreakBefore w:val="0"/>
        <w:widowControl w:val="0"/>
        <w:kinsoku/>
        <w:wordWrap/>
        <w:overflowPunct/>
        <w:topLinePunct w:val="0"/>
        <w:autoSpaceDE/>
        <w:autoSpaceDN/>
        <w:bidi w:val="0"/>
        <w:adjustRightInd/>
        <w:snapToGrid/>
        <w:spacing w:after="60"/>
        <w:jc w:val="both"/>
        <w:textAlignment w:val="auto"/>
        <w:rPr>
          <w:kern w:val="2"/>
          <w:highlight w:val="none"/>
        </w:rPr>
        <w:sectPr>
          <w:footerReference r:id="rId5" w:type="default"/>
          <w:pgSz w:w="11905" w:h="16838"/>
          <w:pgMar w:top="1440" w:right="1418" w:bottom="1418" w:left="1803" w:header="851" w:footer="992" w:gutter="0"/>
          <w:lnNumType w:countBy="0" w:restart="continuous"/>
          <w:cols w:space="0" w:num="1"/>
          <w:docGrid w:type="lines" w:linePitch="317" w:charSpace="0"/>
        </w:sectPr>
      </w:pPr>
      <w:r>
        <w:rPr>
          <w:kern w:val="2"/>
          <w:highlight w:val="none"/>
        </w:rPr>
        <w:fldChar w:fldCharType="end"/>
      </w:r>
    </w:p>
    <w:p w14:paraId="6D9055F8">
      <w:pPr>
        <w:pStyle w:val="2"/>
      </w:pPr>
      <w:bookmarkStart w:id="0" w:name="bookmark10"/>
      <w:bookmarkEnd w:id="0"/>
      <w:bookmarkStart w:id="1" w:name="bookmark1"/>
      <w:bookmarkEnd w:id="1"/>
      <w:bookmarkStart w:id="2" w:name="_Toc209814666"/>
      <w:r>
        <w:t xml:space="preserve">Supplementary Information A: </w:t>
      </w:r>
      <w:r>
        <w:rPr>
          <w:rFonts w:hint="eastAsia"/>
        </w:rPr>
        <w:t>Site</w:t>
      </w:r>
      <w:r>
        <w:t xml:space="preserve"> and Stratigraphy</w:t>
      </w:r>
      <w:bookmarkEnd w:id="2"/>
    </w:p>
    <w:p w14:paraId="553F0CB8">
      <w:pPr>
        <w:pStyle w:val="3"/>
        <w:rPr>
          <w:snapToGrid/>
        </w:rPr>
      </w:pPr>
      <w:r>
        <w:rPr>
          <w:rFonts w:hint="eastAsia"/>
          <w:snapToGrid/>
        </w:rPr>
        <w:t>Site setting and excavation history</w:t>
      </w:r>
    </w:p>
    <w:p w14:paraId="6ED7D1F9">
      <w:pPr>
        <w:jc w:val="both"/>
      </w:pPr>
      <w:r>
        <w:rPr>
          <w:rFonts w:hint="eastAsia"/>
        </w:rPr>
        <w:t>Bianfu</w:t>
      </w:r>
      <w:r>
        <w:t xml:space="preserve"> Cave site (26°27′43.65″ N, 100°09′55.45″ E; 2,370 m</w:t>
      </w:r>
      <w:r>
        <w:rPr>
          <w:rFonts w:hint="eastAsia"/>
        </w:rPr>
        <w:t xml:space="preserve"> above sea level</w:t>
      </w:r>
      <w:r>
        <w:t>)</w:t>
      </w:r>
      <w:r>
        <w:rPr>
          <w:rFonts w:hint="eastAsia"/>
        </w:rPr>
        <w:t xml:space="preserve"> </w:t>
      </w:r>
      <w:r>
        <w:t xml:space="preserve">is </w:t>
      </w:r>
      <w:r>
        <w:rPr>
          <w:rFonts w:hint="eastAsia"/>
          <w:lang w:val="en-US" w:eastAsia="zh-CN"/>
        </w:rPr>
        <w:t>located</w:t>
      </w:r>
      <w:r>
        <w:t xml:space="preserve"> on the southern edge of the Hengduan Mountains in the southeastern Tibetan Plateau, approximately 10 km south of Heqing County, Dali Prefecture, northwestern Yunnan</w:t>
      </w:r>
      <w:r>
        <w:rPr>
          <w:rFonts w:hint="eastAsia"/>
        </w:rPr>
        <w:t xml:space="preserve"> Province</w:t>
      </w:r>
      <w:r>
        <w:t>, China. The cave is developed in the upper section of the Middle Triassic Beiya Formation, which consists of limestone, dolomitic limestone, and dolomite</w:t>
      </w:r>
      <w:r>
        <w:rPr>
          <w:vertAlign w:val="superscript"/>
        </w:rPr>
        <w:t>1</w:t>
      </w:r>
      <w:r>
        <w:t xml:space="preserve">. The site lies about 2 km north of the Yinhe </w:t>
      </w:r>
      <w:r>
        <w:rPr>
          <w:rFonts w:hint="eastAsia"/>
        </w:rPr>
        <w:t>r</w:t>
      </w:r>
      <w:r>
        <w:t>iver, a secondary tributary of the</w:t>
      </w:r>
      <w:r>
        <w:rPr>
          <w:rFonts w:hint="eastAsia"/>
        </w:rPr>
        <w:t xml:space="preserve"> Yangtze</w:t>
      </w:r>
      <w:r>
        <w:t xml:space="preserve"> River</w:t>
      </w:r>
      <w:r>
        <w:rPr>
          <w:rFonts w:hint="eastAsia"/>
        </w:rPr>
        <w:t xml:space="preserve"> (</w:t>
      </w:r>
      <w:r>
        <w:rPr>
          <w:rFonts w:hint="eastAsia"/>
          <w:color w:val="0000FF"/>
        </w:rPr>
        <w:t>Fig. 1</w:t>
      </w:r>
      <w:r>
        <w:rPr>
          <w:rFonts w:hint="eastAsia"/>
        </w:rPr>
        <w:t>)</w:t>
      </w:r>
      <w:r>
        <w:t>.</w:t>
      </w:r>
    </w:p>
    <w:p w14:paraId="689F2335">
      <w:pPr>
        <w:pStyle w:val="22"/>
        <w:jc w:val="both"/>
        <w:rPr>
          <w:kern w:val="2"/>
        </w:rPr>
      </w:pPr>
      <w:r>
        <w:rPr>
          <w:kern w:val="2"/>
        </w:rPr>
        <w:t>Originally</w:t>
      </w:r>
      <w:r>
        <w:rPr>
          <w:rFonts w:hint="eastAsia"/>
          <w:kern w:val="2"/>
        </w:rPr>
        <w:t xml:space="preserve"> </w:t>
      </w:r>
      <w:r>
        <w:rPr>
          <w:kern w:val="2"/>
        </w:rPr>
        <w:t xml:space="preserve">a complete cave, </w:t>
      </w:r>
      <w:r>
        <w:rPr>
          <w:rFonts w:hint="eastAsia"/>
          <w:kern w:val="2"/>
        </w:rPr>
        <w:t xml:space="preserve">Bianfu </w:t>
      </w:r>
      <w:r>
        <w:rPr>
          <w:kern w:val="2"/>
        </w:rPr>
        <w:t xml:space="preserve">Cave’s roof, entrance, and frontal section were severely damaged by </w:t>
      </w:r>
      <w:r>
        <w:rPr>
          <w:rFonts w:hint="eastAsia"/>
          <w:kern w:val="2"/>
        </w:rPr>
        <w:t xml:space="preserve">early </w:t>
      </w:r>
      <w:r>
        <w:rPr>
          <w:kern w:val="2"/>
        </w:rPr>
        <w:t xml:space="preserve">quarrying blasts. The site was discovered in April 2019 during </w:t>
      </w:r>
      <w:r>
        <w:rPr>
          <w:rFonts w:hint="eastAsia"/>
          <w:kern w:val="2"/>
        </w:rPr>
        <w:t xml:space="preserve">an </w:t>
      </w:r>
      <w:r>
        <w:rPr>
          <w:kern w:val="2"/>
        </w:rPr>
        <w:t xml:space="preserve">ecological restoration </w:t>
      </w:r>
      <w:r>
        <w:rPr>
          <w:rFonts w:hint="eastAsia"/>
          <w:kern w:val="2"/>
        </w:rPr>
        <w:t>project</w:t>
      </w:r>
      <w:r>
        <w:rPr>
          <w:kern w:val="2"/>
        </w:rPr>
        <w:t xml:space="preserve"> i</w:t>
      </w:r>
      <w:r>
        <w:rPr>
          <w:rFonts w:hint="eastAsia"/>
          <w:kern w:val="2"/>
        </w:rPr>
        <w:t>n</w:t>
      </w:r>
      <w:r>
        <w:rPr>
          <w:kern w:val="2"/>
        </w:rPr>
        <w:t xml:space="preserve"> </w:t>
      </w:r>
      <w:r>
        <w:rPr>
          <w:rFonts w:hint="eastAsia"/>
          <w:kern w:val="2"/>
        </w:rPr>
        <w:t xml:space="preserve">an </w:t>
      </w:r>
      <w:r>
        <w:rPr>
          <w:kern w:val="2"/>
        </w:rPr>
        <w:t xml:space="preserve">abandoned mining area. </w:t>
      </w:r>
      <w:r>
        <w:rPr>
          <w:rFonts w:hint="eastAsia"/>
          <w:kern w:val="2"/>
        </w:rPr>
        <w:t>A</w:t>
      </w:r>
      <w:r>
        <w:rPr>
          <w:kern w:val="2"/>
        </w:rPr>
        <w:t xml:space="preserve"> joint archaeological </w:t>
      </w:r>
      <w:r>
        <w:t>excavation</w:t>
      </w:r>
      <w:r>
        <w:rPr>
          <w:kern w:val="2"/>
        </w:rPr>
        <w:t xml:space="preserve"> of the </w:t>
      </w:r>
      <w:r>
        <w:rPr>
          <w:rFonts w:eastAsia="Arial" w:cs="Arial"/>
          <w:szCs w:val="21"/>
        </w:rPr>
        <w:t>remaining</w:t>
      </w:r>
      <w:r>
        <w:rPr>
          <w:kern w:val="2"/>
        </w:rPr>
        <w:t xml:space="preserve"> </w:t>
      </w:r>
      <w:r>
        <w:rPr>
          <w:rFonts w:hint="eastAsia"/>
          <w:kern w:val="2"/>
        </w:rPr>
        <w:t xml:space="preserve">cave </w:t>
      </w:r>
      <w:r>
        <w:rPr>
          <w:kern w:val="2"/>
        </w:rPr>
        <w:t xml:space="preserve">deposits was </w:t>
      </w:r>
      <w:r>
        <w:rPr>
          <w:rFonts w:hint="eastAsia"/>
          <w:kern w:val="2"/>
        </w:rPr>
        <w:t xml:space="preserve">led </w:t>
      </w:r>
      <w:r>
        <w:rPr>
          <w:kern w:val="2"/>
        </w:rPr>
        <w:t xml:space="preserve">by the Yunnan Provincial Institute of Cultural Relics and Archaeology </w:t>
      </w:r>
      <w:r>
        <w:rPr>
          <w:rFonts w:hint="eastAsia"/>
          <w:kern w:val="2"/>
        </w:rPr>
        <w:t>in the second half of 2019</w:t>
      </w:r>
      <w:r>
        <w:rPr>
          <w:kern w:val="2"/>
        </w:rPr>
        <w:t>. Due to</w:t>
      </w:r>
      <w:r>
        <w:rPr>
          <w:rFonts w:hint="eastAsia"/>
          <w:kern w:val="2"/>
        </w:rPr>
        <w:t xml:space="preserve"> the damage </w:t>
      </w:r>
      <w:r>
        <w:rPr>
          <w:kern w:val="2"/>
        </w:rPr>
        <w:t>caused</w:t>
      </w:r>
      <w:r>
        <w:rPr>
          <w:rFonts w:hint="eastAsia"/>
          <w:kern w:val="2"/>
        </w:rPr>
        <w:t xml:space="preserve"> by the</w:t>
      </w:r>
      <w:r>
        <w:rPr>
          <w:kern w:val="2"/>
        </w:rPr>
        <w:t xml:space="preserve"> extensive quarrying </w:t>
      </w:r>
      <w:r>
        <w:rPr>
          <w:rFonts w:hint="eastAsia"/>
          <w:kern w:val="2"/>
        </w:rPr>
        <w:t>activities</w:t>
      </w:r>
      <w:r>
        <w:rPr>
          <w:kern w:val="2"/>
        </w:rPr>
        <w:t xml:space="preserve">, the cave’s original spatial structure, </w:t>
      </w:r>
      <w:r>
        <w:rPr>
          <w:rFonts w:hint="eastAsia"/>
          <w:kern w:val="2"/>
        </w:rPr>
        <w:t xml:space="preserve">the complete </w:t>
      </w:r>
      <w:r>
        <w:rPr>
          <w:kern w:val="2"/>
        </w:rPr>
        <w:t xml:space="preserve">stratigraphic sequence, and </w:t>
      </w:r>
      <w:r>
        <w:rPr>
          <w:rFonts w:hint="eastAsia"/>
          <w:kern w:val="2"/>
        </w:rPr>
        <w:t xml:space="preserve">site </w:t>
      </w:r>
      <w:r>
        <w:rPr>
          <w:kern w:val="2"/>
        </w:rPr>
        <w:t>formation processes</w:t>
      </w:r>
      <w:r>
        <w:rPr>
          <w:rFonts w:hint="eastAsia"/>
          <w:kern w:val="2"/>
        </w:rPr>
        <w:t xml:space="preserve"> </w:t>
      </w:r>
      <w:r>
        <w:rPr>
          <w:rFonts w:hint="eastAsia"/>
          <w:kern w:val="2"/>
          <w:lang w:val="en-US" w:eastAsia="zh-CN"/>
        </w:rPr>
        <w:t>cannot be accurately</w:t>
      </w:r>
      <w:r>
        <w:rPr>
          <w:rFonts w:hint="eastAsia"/>
          <w:kern w:val="2"/>
        </w:rPr>
        <w:t xml:space="preserve"> reconstruct</w:t>
      </w:r>
      <w:r>
        <w:rPr>
          <w:rFonts w:hint="eastAsia"/>
          <w:kern w:val="2"/>
          <w:lang w:val="en-US" w:eastAsia="zh-CN"/>
        </w:rPr>
        <w:t>ed</w:t>
      </w:r>
      <w:r>
        <w:rPr>
          <w:kern w:val="2"/>
        </w:rPr>
        <w:t xml:space="preserve">. </w:t>
      </w:r>
      <w:r>
        <w:rPr>
          <w:rFonts w:hint="eastAsia"/>
          <w:kern w:val="2"/>
        </w:rPr>
        <w:t>However, b</w:t>
      </w:r>
      <w:r>
        <w:rPr>
          <w:kern w:val="2"/>
        </w:rPr>
        <w:t>ased on field surveys</w:t>
      </w:r>
      <w:r>
        <w:rPr>
          <w:rFonts w:hint="eastAsia"/>
          <w:kern w:val="2"/>
          <w:lang w:val="en-US" w:eastAsia="zh-CN"/>
        </w:rPr>
        <w:t>,</w:t>
      </w:r>
      <w:r>
        <w:rPr>
          <w:kern w:val="2"/>
        </w:rPr>
        <w:t xml:space="preserve"> observations of the preserved sections</w:t>
      </w:r>
      <w:r>
        <w:rPr>
          <w:rFonts w:hint="eastAsia"/>
          <w:kern w:val="2"/>
          <w:lang w:val="en-US" w:eastAsia="zh-CN"/>
        </w:rPr>
        <w:t xml:space="preserve"> and related accounts from local villagers</w:t>
      </w:r>
      <w:r>
        <w:rPr>
          <w:kern w:val="2"/>
        </w:rPr>
        <w:t xml:space="preserve">, we </w:t>
      </w:r>
      <w:r>
        <w:rPr>
          <w:rFonts w:hint="eastAsia"/>
          <w:kern w:val="2"/>
        </w:rPr>
        <w:t xml:space="preserve">have attempted to </w:t>
      </w:r>
      <w:r>
        <w:rPr>
          <w:kern w:val="2"/>
        </w:rPr>
        <w:t xml:space="preserve">reconstruct the cave’s approximate morphology: the entrance faced southeast, with a height and width exceeding </w:t>
      </w:r>
      <w:r>
        <w:rPr>
          <w:rFonts w:hint="eastAsia"/>
          <w:kern w:val="2"/>
        </w:rPr>
        <w:t>~</w:t>
      </w:r>
      <w:r>
        <w:rPr>
          <w:kern w:val="2"/>
        </w:rPr>
        <w:t xml:space="preserve">5 m; the internal </w:t>
      </w:r>
      <w:r>
        <w:rPr>
          <w:rFonts w:hint="eastAsia"/>
          <w:kern w:val="2"/>
        </w:rPr>
        <w:t xml:space="preserve">cave </w:t>
      </w:r>
      <w:r>
        <w:rPr>
          <w:kern w:val="2"/>
        </w:rPr>
        <w:t xml:space="preserve">height </w:t>
      </w:r>
      <w:r>
        <w:rPr>
          <w:rFonts w:hint="eastAsia"/>
          <w:kern w:val="2"/>
        </w:rPr>
        <w:t>remains</w:t>
      </w:r>
      <w:r>
        <w:rPr>
          <w:kern w:val="2"/>
        </w:rPr>
        <w:t xml:space="preserve"> unknown. Excavation area was likely within </w:t>
      </w:r>
      <w:r>
        <w:rPr>
          <w:rFonts w:hint="eastAsia"/>
          <w:kern w:val="2"/>
        </w:rPr>
        <w:t>~</w:t>
      </w:r>
      <w:r>
        <w:rPr>
          <w:rFonts w:hint="eastAsia"/>
          <w:kern w:val="2"/>
          <w:lang w:val="en-US" w:eastAsia="zh-CN"/>
        </w:rPr>
        <w:t>20</w:t>
      </w:r>
      <w:r>
        <w:rPr>
          <w:kern w:val="2"/>
        </w:rPr>
        <w:t xml:space="preserve">–30 m </w:t>
      </w:r>
      <w:r>
        <w:rPr>
          <w:rFonts w:hint="eastAsia"/>
          <w:kern w:val="2"/>
        </w:rPr>
        <w:t>from</w:t>
      </w:r>
      <w:r>
        <w:rPr>
          <w:kern w:val="2"/>
        </w:rPr>
        <w:t xml:space="preserve"> the entrance</w:t>
      </w:r>
      <w:r>
        <w:rPr>
          <w:rFonts w:hint="eastAsia"/>
          <w:kern w:val="2"/>
        </w:rPr>
        <w:t xml:space="preserve"> and has a w</w:t>
      </w:r>
      <w:r>
        <w:rPr>
          <w:kern w:val="2"/>
        </w:rPr>
        <w:t xml:space="preserve">idth of </w:t>
      </w:r>
      <w:r>
        <w:rPr>
          <w:rFonts w:hint="eastAsia"/>
          <w:kern w:val="2"/>
        </w:rPr>
        <w:t>~</w:t>
      </w:r>
      <w:r>
        <w:rPr>
          <w:kern w:val="2"/>
        </w:rPr>
        <w:t>3–5 m.</w:t>
      </w:r>
    </w:p>
    <w:p w14:paraId="3C169BDE">
      <w:pPr>
        <w:pStyle w:val="3"/>
        <w:rPr>
          <w:snapToGrid/>
        </w:rPr>
      </w:pPr>
      <w:r>
        <w:rPr>
          <w:rFonts w:hint="eastAsia"/>
          <w:snapToGrid/>
        </w:rPr>
        <w:t>Stratigraphy</w:t>
      </w:r>
    </w:p>
    <w:p w14:paraId="4A6677E7">
      <w:pPr>
        <w:jc w:val="both"/>
      </w:pPr>
      <w:r>
        <w:rPr>
          <w:rFonts w:hint="eastAsia"/>
          <w:lang w:val="en-US" w:eastAsia="zh-CN"/>
        </w:rPr>
        <w:t xml:space="preserve">Three trenches have been excavated at the cave, while hominin fossils and cultural remains were exclusively revealed from Trench 2 (T2). </w:t>
      </w:r>
      <w:r>
        <w:t>The T2 excavation unit reached a depth of ~4 m (</w:t>
      </w:r>
      <w:r>
        <w:rPr>
          <w:color w:val="0000FF"/>
        </w:rPr>
        <w:t>Fig. 1d</w:t>
      </w:r>
      <w:r>
        <w:t>)</w:t>
      </w:r>
      <w:r>
        <w:rPr>
          <w:rFonts w:hint="eastAsia"/>
        </w:rPr>
        <w:t xml:space="preserve">. From top to bottom the deposits can be broadly divided into </w:t>
      </w:r>
      <w:r>
        <w:t xml:space="preserve">three </w:t>
      </w:r>
      <w:r>
        <w:rPr>
          <w:rFonts w:hint="eastAsia"/>
        </w:rPr>
        <w:t xml:space="preserve">major </w:t>
      </w:r>
      <w:r>
        <w:t>units</w:t>
      </w:r>
      <w:r>
        <w:rPr>
          <w:rFonts w:hint="eastAsia"/>
        </w:rPr>
        <w:t xml:space="preserve"> (Units I</w:t>
      </w:r>
      <w:r>
        <w:t>–</w:t>
      </w:r>
      <w:r>
        <w:rPr>
          <w:rFonts w:hint="eastAsia"/>
        </w:rPr>
        <w:t>III) based on archaeological findings and a total of 18 stratigraphic layers (Layers 18</w:t>
      </w:r>
      <w:r>
        <w:t>–</w:t>
      </w:r>
      <w:r>
        <w:rPr>
          <w:rFonts w:hint="eastAsia"/>
        </w:rPr>
        <w:t>1) based on the sediment features.</w:t>
      </w:r>
      <w:r>
        <w:t xml:space="preserve"> </w:t>
      </w:r>
    </w:p>
    <w:p w14:paraId="5812B41B">
      <w:pPr>
        <w:jc w:val="both"/>
      </w:pPr>
      <w:r>
        <w:rPr>
          <w:rFonts w:hint="eastAsia"/>
        </w:rPr>
        <w:t>Unit I</w:t>
      </w:r>
      <w:r>
        <w:t xml:space="preserve"> comprises the</w:t>
      </w:r>
      <w:r>
        <w:rPr>
          <w:rFonts w:hint="eastAsia"/>
        </w:rPr>
        <w:t xml:space="preserve"> </w:t>
      </w:r>
      <w:r>
        <w:t xml:space="preserve">modern deposits </w:t>
      </w:r>
      <w:r>
        <w:rPr>
          <w:rFonts w:hint="eastAsia"/>
        </w:rPr>
        <w:t>on</w:t>
      </w:r>
      <w:r>
        <w:t xml:space="preserve"> the top</w:t>
      </w:r>
      <w:r>
        <w:rPr>
          <w:rFonts w:hint="eastAsia"/>
        </w:rPr>
        <w:t xml:space="preserve"> (total thickness ~80</w:t>
      </w:r>
      <w:r>
        <w:t>–</w:t>
      </w:r>
      <w:r>
        <w:rPr>
          <w:rFonts w:hint="eastAsia"/>
        </w:rPr>
        <w:t>120 cm)</w:t>
      </w:r>
      <w:r>
        <w:t>, including quarry rubble</w:t>
      </w:r>
      <w:r>
        <w:rPr>
          <w:rFonts w:hint="eastAsia"/>
        </w:rPr>
        <w:t xml:space="preserve"> in Layer 1</w:t>
      </w:r>
      <w:r>
        <w:t xml:space="preserve"> and </w:t>
      </w:r>
      <w:r>
        <w:rPr>
          <w:rFonts w:hint="eastAsia"/>
        </w:rPr>
        <w:t xml:space="preserve">recent </w:t>
      </w:r>
      <w:r>
        <w:t>disturbed</w:t>
      </w:r>
      <w:r>
        <w:rPr>
          <w:rFonts w:hint="eastAsia"/>
        </w:rPr>
        <w:t xml:space="preserve"> deposit in</w:t>
      </w:r>
      <w:r>
        <w:t xml:space="preserve"> </w:t>
      </w:r>
      <w:r>
        <w:rPr>
          <w:rFonts w:hint="eastAsia"/>
        </w:rPr>
        <w:t>L</w:t>
      </w:r>
      <w:r>
        <w:t>ayer</w:t>
      </w:r>
      <w:r>
        <w:rPr>
          <w:rFonts w:hint="eastAsia"/>
        </w:rPr>
        <w:t xml:space="preserve"> 2.</w:t>
      </w:r>
      <w:r>
        <w:t xml:space="preserve"> </w:t>
      </w:r>
    </w:p>
    <w:p w14:paraId="60944BD2">
      <w:pPr>
        <w:jc w:val="both"/>
      </w:pPr>
      <w:r>
        <w:rPr>
          <w:rFonts w:hint="eastAsia"/>
        </w:rPr>
        <w:t>Unit II</w:t>
      </w:r>
      <w:r>
        <w:t xml:space="preserve"> presents</w:t>
      </w:r>
      <w:r>
        <w:rPr>
          <w:rFonts w:hint="eastAsia"/>
        </w:rPr>
        <w:t xml:space="preserve"> </w:t>
      </w:r>
      <w:r>
        <w:rPr>
          <w:rFonts w:hint="eastAsia"/>
          <w:lang w:val="en-US" w:eastAsia="zh-CN"/>
        </w:rPr>
        <w:t>undisturbed</w:t>
      </w:r>
      <w:r>
        <w:rPr>
          <w:rFonts w:hint="eastAsia"/>
        </w:rPr>
        <w:t xml:space="preserve"> </w:t>
      </w:r>
      <w:r>
        <w:t>cultural layers (Layers 3–12; total thickness ~23</w:t>
      </w:r>
      <w:r>
        <w:rPr>
          <w:rFonts w:hint="eastAsia"/>
        </w:rPr>
        <w:t>0</w:t>
      </w:r>
      <w:r>
        <w:t xml:space="preserve"> </w:t>
      </w:r>
      <w:r>
        <w:rPr>
          <w:rFonts w:hint="eastAsia"/>
        </w:rPr>
        <w:t>c</w:t>
      </w:r>
      <w:r>
        <w:t xml:space="preserve">m), </w:t>
      </w:r>
      <w:r>
        <w:rPr>
          <w:rFonts w:hint="eastAsia"/>
        </w:rPr>
        <w:t xml:space="preserve">which can be further </w:t>
      </w:r>
      <w:r>
        <w:t xml:space="preserve">subdivided into </w:t>
      </w:r>
      <w:r>
        <w:rPr>
          <w:rFonts w:hint="eastAsia"/>
        </w:rPr>
        <w:t xml:space="preserve">two parts, i.e., the </w:t>
      </w:r>
      <w:r>
        <w:t>upper</w:t>
      </w:r>
      <w:r>
        <w:rPr>
          <w:rFonts w:hint="eastAsia"/>
        </w:rPr>
        <w:t xml:space="preserve"> part from</w:t>
      </w:r>
      <w:r>
        <w:t xml:space="preserve"> Layer 3</w:t>
      </w:r>
      <w:r>
        <w:rPr>
          <w:rFonts w:hint="eastAsia"/>
        </w:rPr>
        <w:t xml:space="preserve"> to Layer </w:t>
      </w:r>
      <w:r>
        <w:t>6</w:t>
      </w:r>
      <w:r>
        <w:rPr>
          <w:rFonts w:hint="eastAsia"/>
        </w:rPr>
        <w:t xml:space="preserve">, featured by </w:t>
      </w:r>
      <w:r>
        <w:t>sandy clay</w:t>
      </w:r>
      <w:r>
        <w:rPr>
          <w:rFonts w:hint="eastAsia"/>
        </w:rPr>
        <w:t xml:space="preserve"> with</w:t>
      </w:r>
      <w:r>
        <w:t xml:space="preserve"> </w:t>
      </w:r>
      <w:r>
        <w:rPr>
          <w:rFonts w:hint="eastAsia"/>
        </w:rPr>
        <w:t xml:space="preserve">a thickness of </w:t>
      </w:r>
      <w:r>
        <w:t>~85 cm</w:t>
      </w:r>
      <w:r>
        <w:rPr>
          <w:rFonts w:hint="eastAsia"/>
        </w:rPr>
        <w:t>,</w:t>
      </w:r>
      <w:r>
        <w:t xml:space="preserve"> and </w:t>
      </w:r>
      <w:r>
        <w:rPr>
          <w:rFonts w:hint="eastAsia"/>
        </w:rPr>
        <w:t xml:space="preserve">the </w:t>
      </w:r>
      <w:r>
        <w:t>lower</w:t>
      </w:r>
      <w:r>
        <w:rPr>
          <w:rFonts w:hint="eastAsia"/>
        </w:rPr>
        <w:t xml:space="preserve"> part from</w:t>
      </w:r>
      <w:r>
        <w:t xml:space="preserve"> Layer 7</w:t>
      </w:r>
      <w:r>
        <w:rPr>
          <w:rFonts w:hint="eastAsia"/>
        </w:rPr>
        <w:t xml:space="preserve"> to Layer </w:t>
      </w:r>
      <w:r>
        <w:t>12</w:t>
      </w:r>
      <w:r>
        <w:rPr>
          <w:rFonts w:hint="eastAsia"/>
        </w:rPr>
        <w:t>, consisting of</w:t>
      </w:r>
      <w:r>
        <w:t xml:space="preserve"> alternating cemented breccia and sandy clay</w:t>
      </w:r>
      <w:r>
        <w:rPr>
          <w:rFonts w:hint="eastAsia"/>
        </w:rPr>
        <w:t xml:space="preserve"> with a depth of </w:t>
      </w:r>
      <w:r>
        <w:t>~145 cm</w:t>
      </w:r>
      <w:r>
        <w:rPr>
          <w:rFonts w:hint="eastAsia"/>
        </w:rPr>
        <w:t xml:space="preserve">. </w:t>
      </w:r>
    </w:p>
    <w:p w14:paraId="342D933A">
      <w:pPr>
        <w:jc w:val="both"/>
      </w:pPr>
      <w:r>
        <w:rPr>
          <w:rFonts w:hint="eastAsia"/>
        </w:rPr>
        <w:t xml:space="preserve">Unit III includes </w:t>
      </w:r>
      <w:r>
        <w:t xml:space="preserve">sterile sediments </w:t>
      </w:r>
      <w:r>
        <w:rPr>
          <w:rFonts w:hint="eastAsia"/>
        </w:rPr>
        <w:t xml:space="preserve">from </w:t>
      </w:r>
      <w:r>
        <w:t>Layer 13</w:t>
      </w:r>
      <w:r>
        <w:rPr>
          <w:rFonts w:hint="eastAsia"/>
        </w:rPr>
        <w:t xml:space="preserve"> to Layer </w:t>
      </w:r>
      <w:r>
        <w:t>18</w:t>
      </w:r>
      <w:r>
        <w:rPr>
          <w:rFonts w:hint="eastAsia"/>
        </w:rPr>
        <w:t xml:space="preserve"> and</w:t>
      </w:r>
      <w:r>
        <w:t xml:space="preserve"> </w:t>
      </w:r>
      <w:r>
        <w:rPr>
          <w:rFonts w:hint="eastAsia"/>
        </w:rPr>
        <w:t xml:space="preserve">consists of sandy clay with a thickness of </w:t>
      </w:r>
      <w:r>
        <w:t>~70 cm.</w:t>
      </w:r>
      <w:r>
        <w:rPr>
          <w:rFonts w:hint="eastAsia"/>
        </w:rPr>
        <w:t xml:space="preserve"> </w:t>
      </w:r>
    </w:p>
    <w:p w14:paraId="5375ED0A">
      <w:pPr>
        <w:jc w:val="both"/>
      </w:pPr>
      <w:r>
        <w:rPr>
          <w:rFonts w:hint="eastAsia"/>
        </w:rPr>
        <w:t>Detailed description of individual layers is provided below.</w:t>
      </w:r>
    </w:p>
    <w:p w14:paraId="6E1371B8">
      <w:pPr>
        <w:pStyle w:val="33"/>
        <w:numPr>
          <w:ilvl w:val="0"/>
          <w:numId w:val="1"/>
        </w:numPr>
        <w:jc w:val="both"/>
      </w:pPr>
      <w:r>
        <w:t>Layer 1</w:t>
      </w:r>
      <w:r>
        <w:rPr>
          <w:rFonts w:hint="eastAsia"/>
        </w:rPr>
        <w:t xml:space="preserve"> </w:t>
      </w:r>
      <w:r>
        <w:t>(70–100 cm</w:t>
      </w:r>
      <w:r>
        <w:rPr>
          <w:rFonts w:hint="eastAsia"/>
        </w:rPr>
        <w:t xml:space="preserve"> thick</w:t>
      </w:r>
      <w:r>
        <w:t>): Quarry-</w:t>
      </w:r>
      <w:r>
        <w:rPr>
          <w:rFonts w:eastAsia="Arial" w:cs="Arial"/>
          <w:szCs w:val="21"/>
        </w:rPr>
        <w:t>derived</w:t>
      </w:r>
      <w:r>
        <w:t xml:space="preserve"> rubble</w:t>
      </w:r>
      <w:r>
        <w:rPr>
          <w:rFonts w:hint="eastAsia"/>
        </w:rPr>
        <w:t>s.</w:t>
      </w:r>
    </w:p>
    <w:p w14:paraId="7AFE9EEB">
      <w:pPr>
        <w:pStyle w:val="33"/>
        <w:numPr>
          <w:ilvl w:val="0"/>
          <w:numId w:val="1"/>
        </w:numPr>
        <w:jc w:val="both"/>
        <w:rPr>
          <w:kern w:val="2"/>
        </w:rPr>
      </w:pPr>
      <w:r>
        <w:rPr>
          <w:kern w:val="2"/>
        </w:rPr>
        <w:t>Layer 2</w:t>
      </w:r>
      <w:r>
        <w:rPr>
          <w:rFonts w:hint="eastAsia"/>
          <w:kern w:val="2"/>
        </w:rPr>
        <w:t xml:space="preserve"> </w:t>
      </w:r>
      <w:r>
        <w:rPr>
          <w:kern w:val="2"/>
        </w:rPr>
        <w:t>(10–20 cm</w:t>
      </w:r>
      <w:r>
        <w:rPr>
          <w:rFonts w:hint="eastAsia"/>
          <w:kern w:val="2"/>
        </w:rPr>
        <w:t xml:space="preserve"> thick</w:t>
      </w:r>
      <w:r>
        <w:rPr>
          <w:kern w:val="2"/>
        </w:rPr>
        <w:t xml:space="preserve">): </w:t>
      </w:r>
      <w:r>
        <w:t>Disturbed</w:t>
      </w:r>
      <w:r>
        <w:rPr>
          <w:kern w:val="2"/>
        </w:rPr>
        <w:t xml:space="preserve"> </w:t>
      </w:r>
      <w:r>
        <w:rPr>
          <w:rFonts w:eastAsia="Arial" w:cs="Arial"/>
          <w:szCs w:val="21"/>
        </w:rPr>
        <w:t>deposits</w:t>
      </w:r>
      <w:r>
        <w:rPr>
          <w:kern w:val="2"/>
        </w:rPr>
        <w:t xml:space="preserve">, comprising </w:t>
      </w:r>
      <w:r>
        <w:rPr>
          <w:rFonts w:hint="eastAsia"/>
          <w:kern w:val="2"/>
        </w:rPr>
        <w:t xml:space="preserve">recent </w:t>
      </w:r>
      <w:r>
        <w:rPr>
          <w:kern w:val="2"/>
        </w:rPr>
        <w:t>ash</w:t>
      </w:r>
      <w:r>
        <w:rPr>
          <w:rFonts w:hint="eastAsia"/>
          <w:kern w:val="2"/>
        </w:rPr>
        <w:t>es</w:t>
      </w:r>
      <w:r>
        <w:rPr>
          <w:kern w:val="2"/>
        </w:rPr>
        <w:t xml:space="preserve"> and </w:t>
      </w:r>
      <w:r>
        <w:rPr>
          <w:rFonts w:hint="eastAsia"/>
          <w:kern w:val="2"/>
          <w:lang w:val="en-US" w:eastAsia="zh-CN"/>
        </w:rPr>
        <w:t>remains</w:t>
      </w:r>
      <w:r>
        <w:rPr>
          <w:kern w:val="2"/>
        </w:rPr>
        <w:t>.</w:t>
      </w:r>
    </w:p>
    <w:p w14:paraId="15239FF9">
      <w:pPr>
        <w:pStyle w:val="33"/>
        <w:numPr>
          <w:ilvl w:val="0"/>
          <w:numId w:val="1"/>
        </w:numPr>
        <w:jc w:val="both"/>
        <w:rPr>
          <w:kern w:val="2"/>
        </w:rPr>
      </w:pPr>
      <w:r>
        <w:rPr>
          <w:kern w:val="2"/>
        </w:rPr>
        <w:t>Layer</w:t>
      </w:r>
      <w:r>
        <w:rPr>
          <w:rFonts w:hint="eastAsia"/>
          <w:kern w:val="2"/>
        </w:rPr>
        <w:t xml:space="preserve"> </w:t>
      </w:r>
      <w:r>
        <w:rPr>
          <w:kern w:val="2"/>
        </w:rPr>
        <w:t>3 (0–27 cm</w:t>
      </w:r>
      <w:r>
        <w:rPr>
          <w:rFonts w:hint="eastAsia"/>
          <w:kern w:val="2"/>
        </w:rPr>
        <w:t xml:space="preserve"> thick</w:t>
      </w:r>
      <w:r>
        <w:rPr>
          <w:kern w:val="2"/>
        </w:rPr>
        <w:t>): Compact</w:t>
      </w:r>
      <w:r>
        <w:rPr>
          <w:rFonts w:hint="eastAsia"/>
          <w:kern w:val="2"/>
        </w:rPr>
        <w:t xml:space="preserve"> </w:t>
      </w:r>
      <w:r>
        <w:rPr>
          <w:rFonts w:eastAsia="Arial" w:cs="Arial"/>
          <w:szCs w:val="21"/>
        </w:rPr>
        <w:t>yellowish</w:t>
      </w:r>
      <w:r>
        <w:rPr>
          <w:kern w:val="2"/>
        </w:rPr>
        <w:t>-brown sandy clay</w:t>
      </w:r>
      <w:r>
        <w:rPr>
          <w:rFonts w:hint="eastAsia"/>
          <w:kern w:val="2"/>
        </w:rPr>
        <w:t>,</w:t>
      </w:r>
      <w:r>
        <w:rPr>
          <w:kern w:val="2"/>
        </w:rPr>
        <w:t xml:space="preserve"> </w:t>
      </w:r>
      <w:r>
        <w:rPr>
          <w:rFonts w:hint="eastAsia"/>
          <w:kern w:val="2"/>
        </w:rPr>
        <w:t>with flowstone</w:t>
      </w:r>
      <w:r>
        <w:rPr>
          <w:kern w:val="2"/>
        </w:rPr>
        <w:t xml:space="preserve"> </w:t>
      </w:r>
      <w:r>
        <w:rPr>
          <w:rFonts w:hint="eastAsia"/>
          <w:kern w:val="2"/>
        </w:rPr>
        <w:t>coverage on the top</w:t>
      </w:r>
      <w:r>
        <w:rPr>
          <w:kern w:val="2"/>
        </w:rPr>
        <w:t xml:space="preserve"> </w:t>
      </w:r>
      <w:r>
        <w:rPr>
          <w:rFonts w:hint="eastAsia"/>
          <w:kern w:val="2"/>
        </w:rPr>
        <w:t xml:space="preserve">of </w:t>
      </w:r>
      <w:r>
        <w:rPr>
          <w:rFonts w:hint="eastAsia"/>
        </w:rPr>
        <w:t>the</w:t>
      </w:r>
      <w:r>
        <w:rPr>
          <w:rFonts w:hint="eastAsia"/>
          <w:kern w:val="2"/>
        </w:rPr>
        <w:t xml:space="preserve"> layer </w:t>
      </w:r>
      <w:r>
        <w:rPr>
          <w:kern w:val="2"/>
        </w:rPr>
        <w:t xml:space="preserve">and </w:t>
      </w:r>
      <w:r>
        <w:rPr>
          <w:rFonts w:hint="eastAsia"/>
          <w:i/>
          <w:iCs/>
          <w:kern w:val="2"/>
        </w:rPr>
        <w:t>in situ</w:t>
      </w:r>
      <w:r>
        <w:rPr>
          <w:rFonts w:hint="eastAsia"/>
          <w:kern w:val="2"/>
        </w:rPr>
        <w:t xml:space="preserve"> developed s</w:t>
      </w:r>
      <w:r>
        <w:rPr>
          <w:kern w:val="2"/>
        </w:rPr>
        <w:t>talagmite</w:t>
      </w:r>
      <w:r>
        <w:rPr>
          <w:rFonts w:hint="eastAsia"/>
          <w:kern w:val="2"/>
        </w:rPr>
        <w:t>s</w:t>
      </w:r>
      <w:r>
        <w:rPr>
          <w:kern w:val="2"/>
        </w:rPr>
        <w:t>. Contain</w:t>
      </w:r>
      <w:r>
        <w:rPr>
          <w:rFonts w:hint="eastAsia"/>
          <w:kern w:val="2"/>
        </w:rPr>
        <w:t>ing</w:t>
      </w:r>
      <w:r>
        <w:rPr>
          <w:kern w:val="2"/>
        </w:rPr>
        <w:t xml:space="preserve"> abundant limestone rocks </w:t>
      </w:r>
      <w:r>
        <w:rPr>
          <w:rFonts w:hint="eastAsia"/>
          <w:kern w:val="2"/>
        </w:rPr>
        <w:t xml:space="preserve">of </w:t>
      </w:r>
      <w:r>
        <w:rPr>
          <w:kern w:val="2"/>
        </w:rPr>
        <w:t xml:space="preserve">1–20 cm </w:t>
      </w:r>
      <w:r>
        <w:rPr>
          <w:rFonts w:hint="eastAsia"/>
          <w:kern w:val="2"/>
        </w:rPr>
        <w:t>long</w:t>
      </w:r>
      <w:r>
        <w:rPr>
          <w:kern w:val="2"/>
        </w:rPr>
        <w:t xml:space="preserve">, lithics, and </w:t>
      </w:r>
      <w:r>
        <w:rPr>
          <w:rFonts w:hint="eastAsia"/>
          <w:kern w:val="2"/>
        </w:rPr>
        <w:t>animal fossils</w:t>
      </w:r>
      <w:r>
        <w:rPr>
          <w:kern w:val="2"/>
        </w:rPr>
        <w:t>.</w:t>
      </w:r>
    </w:p>
    <w:p w14:paraId="12BCDE04">
      <w:pPr>
        <w:pStyle w:val="33"/>
        <w:numPr>
          <w:ilvl w:val="0"/>
          <w:numId w:val="1"/>
        </w:numPr>
        <w:jc w:val="both"/>
        <w:rPr>
          <w:kern w:val="2"/>
        </w:rPr>
      </w:pPr>
      <w:r>
        <w:rPr>
          <w:kern w:val="2"/>
        </w:rPr>
        <w:t>Layer 4</w:t>
      </w:r>
      <w:r>
        <w:rPr>
          <w:rFonts w:hint="eastAsia"/>
          <w:kern w:val="2"/>
        </w:rPr>
        <w:t xml:space="preserve"> </w:t>
      </w:r>
      <w:r>
        <w:rPr>
          <w:kern w:val="2"/>
        </w:rPr>
        <w:t>(4–10 cm</w:t>
      </w:r>
      <w:r>
        <w:rPr>
          <w:rFonts w:hint="eastAsia"/>
          <w:kern w:val="2"/>
        </w:rPr>
        <w:t xml:space="preserve"> thick</w:t>
      </w:r>
      <w:r>
        <w:rPr>
          <w:kern w:val="2"/>
        </w:rPr>
        <w:t xml:space="preserve">): </w:t>
      </w:r>
      <w:r>
        <w:rPr>
          <w:rFonts w:hint="eastAsia"/>
        </w:rPr>
        <w:t>Compact</w:t>
      </w:r>
      <w:r>
        <w:rPr>
          <w:kern w:val="2"/>
        </w:rPr>
        <w:t xml:space="preserve"> </w:t>
      </w:r>
      <w:r>
        <w:rPr>
          <w:rFonts w:eastAsia="Arial" w:cs="Arial"/>
          <w:szCs w:val="21"/>
        </w:rPr>
        <w:t>reddish</w:t>
      </w:r>
      <w:r>
        <w:rPr>
          <w:kern w:val="2"/>
        </w:rPr>
        <w:t xml:space="preserve">-brown sandy clay with limestone fragments </w:t>
      </w:r>
      <w:r>
        <w:rPr>
          <w:rFonts w:hint="eastAsia"/>
          <w:kern w:val="2"/>
        </w:rPr>
        <w:t xml:space="preserve">of </w:t>
      </w:r>
      <w:r>
        <w:rPr>
          <w:kern w:val="2"/>
        </w:rPr>
        <w:t>2–15 cm</w:t>
      </w:r>
      <w:r>
        <w:rPr>
          <w:rFonts w:hint="eastAsia"/>
          <w:kern w:val="2"/>
        </w:rPr>
        <w:t xml:space="preserve"> in size</w:t>
      </w:r>
      <w:r>
        <w:rPr>
          <w:rFonts w:hint="eastAsia"/>
          <w:kern w:val="2"/>
          <w:lang w:val="en-US" w:eastAsia="zh-CN"/>
        </w:rPr>
        <w:t>,</w:t>
      </w:r>
      <w:r>
        <w:rPr>
          <w:kern w:val="2"/>
        </w:rPr>
        <w:t xml:space="preserve"> </w:t>
      </w:r>
      <w:r>
        <w:rPr>
          <w:rFonts w:hint="eastAsia"/>
          <w:kern w:val="2"/>
          <w:lang w:val="en-US" w:eastAsia="zh-CN"/>
        </w:rPr>
        <w:t xml:space="preserve">and </w:t>
      </w:r>
      <w:r>
        <w:rPr>
          <w:kern w:val="2"/>
        </w:rPr>
        <w:t xml:space="preserve">a few </w:t>
      </w:r>
      <w:r>
        <w:t>lithics</w:t>
      </w:r>
      <w:r>
        <w:rPr>
          <w:kern w:val="2"/>
        </w:rPr>
        <w:t xml:space="preserve"> and </w:t>
      </w:r>
      <w:r>
        <w:rPr>
          <w:rFonts w:hint="eastAsia"/>
          <w:kern w:val="2"/>
          <w:lang w:val="en-US" w:eastAsia="zh-CN"/>
        </w:rPr>
        <w:t>faunal remains</w:t>
      </w:r>
      <w:r>
        <w:rPr>
          <w:rFonts w:hint="eastAsia"/>
          <w:kern w:val="2"/>
        </w:rPr>
        <w:t xml:space="preserve">. </w:t>
      </w:r>
    </w:p>
    <w:p w14:paraId="729DE8A9">
      <w:pPr>
        <w:pStyle w:val="33"/>
        <w:numPr>
          <w:ilvl w:val="0"/>
          <w:numId w:val="1"/>
        </w:numPr>
        <w:jc w:val="both"/>
        <w:rPr>
          <w:kern w:val="2"/>
        </w:rPr>
      </w:pPr>
      <w:r>
        <w:rPr>
          <w:kern w:val="2"/>
        </w:rPr>
        <w:t>Layer 5</w:t>
      </w:r>
      <w:r>
        <w:rPr>
          <w:rFonts w:hint="eastAsia"/>
          <w:kern w:val="2"/>
        </w:rPr>
        <w:t xml:space="preserve"> </w:t>
      </w:r>
      <w:r>
        <w:rPr>
          <w:kern w:val="2"/>
        </w:rPr>
        <w:t>(15–</w:t>
      </w:r>
      <w:r>
        <w:rPr>
          <w:rFonts w:hint="eastAsia"/>
          <w:kern w:val="2"/>
        </w:rPr>
        <w:t>38</w:t>
      </w:r>
      <w:r>
        <w:rPr>
          <w:kern w:val="2"/>
        </w:rPr>
        <w:t xml:space="preserve"> cm</w:t>
      </w:r>
      <w:r>
        <w:rPr>
          <w:rFonts w:hint="eastAsia"/>
          <w:kern w:val="2"/>
        </w:rPr>
        <w:t xml:space="preserve"> thick</w:t>
      </w:r>
      <w:r>
        <w:rPr>
          <w:kern w:val="2"/>
        </w:rPr>
        <w:t xml:space="preserve">): </w:t>
      </w:r>
      <w:r>
        <w:t>Compact</w:t>
      </w:r>
      <w:r>
        <w:rPr>
          <w:kern w:val="2"/>
        </w:rPr>
        <w:t xml:space="preserve"> brownish-red sandy clay with abundant clasts</w:t>
      </w:r>
      <w:r>
        <w:rPr>
          <w:rFonts w:hint="eastAsia"/>
          <w:kern w:val="2"/>
        </w:rPr>
        <w:t xml:space="preserve"> of</w:t>
      </w:r>
      <w:r>
        <w:rPr>
          <w:kern w:val="2"/>
        </w:rPr>
        <w:t xml:space="preserve"> 1–15 cm</w:t>
      </w:r>
      <w:r>
        <w:rPr>
          <w:rFonts w:hint="eastAsia"/>
          <w:kern w:val="2"/>
        </w:rPr>
        <w:t xml:space="preserve"> in size</w:t>
      </w:r>
      <w:r>
        <w:rPr>
          <w:rFonts w:hint="eastAsia"/>
          <w:kern w:val="2"/>
          <w:lang w:val="en-US" w:eastAsia="zh-CN"/>
        </w:rPr>
        <w:t>,</w:t>
      </w:r>
      <w:r>
        <w:rPr>
          <w:kern w:val="2"/>
        </w:rPr>
        <w:t xml:space="preserve"> </w:t>
      </w:r>
      <w:r>
        <w:rPr>
          <w:rFonts w:hint="eastAsia"/>
          <w:kern w:val="2"/>
          <w:lang w:val="en-US" w:eastAsia="zh-CN"/>
        </w:rPr>
        <w:t xml:space="preserve">and </w:t>
      </w:r>
      <w:r>
        <w:rPr>
          <w:rFonts w:hint="eastAsia"/>
          <w:kern w:val="2"/>
        </w:rPr>
        <w:t xml:space="preserve">a </w:t>
      </w:r>
      <w:r>
        <w:rPr>
          <w:kern w:val="2"/>
        </w:rPr>
        <w:t xml:space="preserve">few </w:t>
      </w:r>
      <w:r>
        <w:rPr>
          <w:rFonts w:eastAsia="Arial" w:cs="Arial"/>
          <w:szCs w:val="21"/>
        </w:rPr>
        <w:t>lithics</w:t>
      </w:r>
      <w:r>
        <w:rPr>
          <w:kern w:val="2"/>
        </w:rPr>
        <w:t xml:space="preserve"> and </w:t>
      </w:r>
      <w:r>
        <w:rPr>
          <w:rFonts w:hint="eastAsia"/>
          <w:kern w:val="2"/>
          <w:lang w:val="en-US" w:eastAsia="zh-CN"/>
        </w:rPr>
        <w:t>faunal remains</w:t>
      </w:r>
      <w:r>
        <w:rPr>
          <w:kern w:val="2"/>
        </w:rPr>
        <w:t>.</w:t>
      </w:r>
    </w:p>
    <w:p w14:paraId="2EF397DA">
      <w:pPr>
        <w:pStyle w:val="33"/>
        <w:numPr>
          <w:ilvl w:val="0"/>
          <w:numId w:val="1"/>
        </w:numPr>
        <w:jc w:val="both"/>
        <w:rPr>
          <w:kern w:val="2"/>
        </w:rPr>
      </w:pPr>
      <w:r>
        <w:rPr>
          <w:kern w:val="2"/>
        </w:rPr>
        <w:t>Layer 6</w:t>
      </w:r>
      <w:r>
        <w:rPr>
          <w:rFonts w:hint="eastAsia"/>
          <w:kern w:val="2"/>
        </w:rPr>
        <w:t xml:space="preserve"> </w:t>
      </w:r>
      <w:r>
        <w:rPr>
          <w:kern w:val="2"/>
        </w:rPr>
        <w:t>(5–</w:t>
      </w:r>
      <w:r>
        <w:rPr>
          <w:rFonts w:hint="eastAsia"/>
          <w:kern w:val="2"/>
        </w:rPr>
        <w:t>18</w:t>
      </w:r>
      <w:r>
        <w:rPr>
          <w:kern w:val="2"/>
        </w:rPr>
        <w:t xml:space="preserve"> cm</w:t>
      </w:r>
      <w:r>
        <w:rPr>
          <w:rFonts w:hint="eastAsia"/>
          <w:kern w:val="2"/>
        </w:rPr>
        <w:t xml:space="preserve"> thick</w:t>
      </w:r>
      <w:r>
        <w:rPr>
          <w:kern w:val="2"/>
        </w:rPr>
        <w:t>): Loose</w:t>
      </w:r>
      <w:r>
        <w:rPr>
          <w:rFonts w:hint="eastAsia"/>
          <w:kern w:val="2"/>
        </w:rPr>
        <w:t xml:space="preserve"> and</w:t>
      </w:r>
      <w:r>
        <w:rPr>
          <w:kern w:val="2"/>
        </w:rPr>
        <w:t xml:space="preserve"> soft reddish-brown sandy clay with sparse clasts </w:t>
      </w:r>
      <w:r>
        <w:rPr>
          <w:rFonts w:hint="eastAsia"/>
          <w:kern w:val="2"/>
        </w:rPr>
        <w:t xml:space="preserve">of </w:t>
      </w:r>
      <w:r>
        <w:rPr>
          <w:kern w:val="2"/>
        </w:rPr>
        <w:t>1–15 cm</w:t>
      </w:r>
      <w:r>
        <w:rPr>
          <w:rFonts w:hint="eastAsia"/>
          <w:kern w:val="2"/>
        </w:rPr>
        <w:t xml:space="preserve"> in size</w:t>
      </w:r>
      <w:r>
        <w:rPr>
          <w:rFonts w:hint="eastAsia"/>
          <w:kern w:val="2"/>
          <w:lang w:val="en-US" w:eastAsia="zh-CN"/>
        </w:rPr>
        <w:t>,</w:t>
      </w:r>
      <w:r>
        <w:rPr>
          <w:kern w:val="2"/>
        </w:rPr>
        <w:t xml:space="preserve"> </w:t>
      </w:r>
      <w:r>
        <w:rPr>
          <w:rFonts w:hint="eastAsia"/>
          <w:kern w:val="2"/>
          <w:lang w:val="en-US" w:eastAsia="zh-CN"/>
        </w:rPr>
        <w:t xml:space="preserve">and rare </w:t>
      </w:r>
      <w:r>
        <w:rPr>
          <w:kern w:val="2"/>
        </w:rPr>
        <w:t xml:space="preserve">lithics and </w:t>
      </w:r>
      <w:r>
        <w:rPr>
          <w:rFonts w:hint="eastAsia"/>
          <w:kern w:val="2"/>
          <w:lang w:val="en-US" w:eastAsia="zh-CN"/>
        </w:rPr>
        <w:t>faunal remains</w:t>
      </w:r>
      <w:r>
        <w:rPr>
          <w:kern w:val="2"/>
        </w:rPr>
        <w:t>.</w:t>
      </w:r>
    </w:p>
    <w:p w14:paraId="521554CB">
      <w:pPr>
        <w:pStyle w:val="33"/>
        <w:numPr>
          <w:ilvl w:val="0"/>
          <w:numId w:val="1"/>
        </w:numPr>
        <w:jc w:val="both"/>
        <w:rPr>
          <w:kern w:val="2"/>
        </w:rPr>
      </w:pPr>
      <w:r>
        <w:rPr>
          <w:kern w:val="2"/>
        </w:rPr>
        <w:t>Layer 7</w:t>
      </w:r>
      <w:r>
        <w:rPr>
          <w:rFonts w:hint="eastAsia"/>
          <w:kern w:val="2"/>
        </w:rPr>
        <w:t xml:space="preserve"> </w:t>
      </w:r>
      <w:r>
        <w:rPr>
          <w:kern w:val="2"/>
        </w:rPr>
        <w:t xml:space="preserve">(15–35 cm): Cemented </w:t>
      </w:r>
      <w:r>
        <w:t>bluish</w:t>
      </w:r>
      <w:r>
        <w:rPr>
          <w:kern w:val="2"/>
        </w:rPr>
        <w:t>-gr</w:t>
      </w:r>
      <w:r>
        <w:rPr>
          <w:rFonts w:hint="eastAsia"/>
          <w:kern w:val="2"/>
        </w:rPr>
        <w:t>e</w:t>
      </w:r>
      <w:r>
        <w:rPr>
          <w:kern w:val="2"/>
        </w:rPr>
        <w:t>y limestone breccia</w:t>
      </w:r>
      <w:r>
        <w:rPr>
          <w:rFonts w:hint="eastAsia"/>
          <w:kern w:val="2"/>
        </w:rPr>
        <w:t xml:space="preserve">, with diameters of </w:t>
      </w:r>
      <w:r>
        <w:rPr>
          <w:kern w:val="2"/>
        </w:rPr>
        <w:t xml:space="preserve">2–30 cm, minimally matrix-supported, </w:t>
      </w:r>
      <w:r>
        <w:rPr>
          <w:rFonts w:hint="eastAsia" w:eastAsia="Arial" w:cs="Arial"/>
          <w:szCs w:val="21"/>
        </w:rPr>
        <w:t>some</w:t>
      </w:r>
      <w:r>
        <w:rPr>
          <w:rFonts w:hint="eastAsia"/>
          <w:kern w:val="2"/>
        </w:rPr>
        <w:t xml:space="preserve"> areas developed</w:t>
      </w:r>
      <w:r>
        <w:rPr>
          <w:kern w:val="2"/>
        </w:rPr>
        <w:t xml:space="preserve"> </w:t>
      </w:r>
      <w:r>
        <w:rPr>
          <w:rFonts w:hint="eastAsia"/>
          <w:kern w:val="2"/>
        </w:rPr>
        <w:t>flowstone and s</w:t>
      </w:r>
      <w:r>
        <w:rPr>
          <w:kern w:val="2"/>
        </w:rPr>
        <w:t>talagmite</w:t>
      </w:r>
      <w:r>
        <w:rPr>
          <w:rFonts w:hint="eastAsia"/>
          <w:kern w:val="2"/>
        </w:rPr>
        <w:t>s</w:t>
      </w:r>
      <w:r>
        <w:rPr>
          <w:kern w:val="2"/>
        </w:rPr>
        <w:t xml:space="preserve">. </w:t>
      </w:r>
      <w:r>
        <w:rPr>
          <w:rFonts w:hint="eastAsia"/>
          <w:kern w:val="2"/>
        </w:rPr>
        <w:t>Six</w:t>
      </w:r>
      <w:r>
        <w:rPr>
          <w:kern w:val="2"/>
        </w:rPr>
        <w:t xml:space="preserve"> hominin fossils,</w:t>
      </w:r>
      <w:r>
        <w:rPr>
          <w:rFonts w:hint="eastAsia"/>
          <w:kern w:val="2"/>
        </w:rPr>
        <w:t xml:space="preserve"> </w:t>
      </w:r>
      <w:r>
        <w:rPr>
          <w:kern w:val="2"/>
        </w:rPr>
        <w:t>consisting of</w:t>
      </w:r>
      <w:r>
        <w:rPr>
          <w:rFonts w:hint="eastAsia"/>
          <w:kern w:val="2"/>
        </w:rPr>
        <w:t xml:space="preserve"> </w:t>
      </w:r>
      <w:r>
        <w:rPr>
          <w:kern w:val="2"/>
        </w:rPr>
        <w:t xml:space="preserve">four </w:t>
      </w:r>
      <w:r>
        <w:rPr>
          <w:rFonts w:hint="eastAsia"/>
          <w:kern w:val="2"/>
        </w:rPr>
        <w:t xml:space="preserve">isolated </w:t>
      </w:r>
      <w:r>
        <w:rPr>
          <w:kern w:val="2"/>
        </w:rPr>
        <w:t>teeth</w:t>
      </w:r>
      <w:r>
        <w:rPr>
          <w:rFonts w:hint="eastAsia"/>
          <w:kern w:val="2"/>
        </w:rPr>
        <w:t>, one</w:t>
      </w:r>
      <w:r>
        <w:rPr>
          <w:kern w:val="2"/>
        </w:rPr>
        <w:t xml:space="preserve"> cranial fragment and one partial radius</w:t>
      </w:r>
      <w:r>
        <w:rPr>
          <w:rFonts w:hint="eastAsia"/>
          <w:kern w:val="2"/>
        </w:rPr>
        <w:t>,</w:t>
      </w:r>
      <w:r>
        <w:rPr>
          <w:kern w:val="2"/>
        </w:rPr>
        <w:t xml:space="preserve"> as well as</w:t>
      </w:r>
      <w:r>
        <w:rPr>
          <w:rFonts w:hint="eastAsia"/>
          <w:kern w:val="2"/>
        </w:rPr>
        <w:t xml:space="preserve"> </w:t>
      </w:r>
      <w:r>
        <w:rPr>
          <w:kern w:val="2"/>
        </w:rPr>
        <w:t xml:space="preserve">lithics and </w:t>
      </w:r>
      <w:r>
        <w:rPr>
          <w:rFonts w:hint="eastAsia"/>
          <w:kern w:val="2"/>
          <w:lang w:val="en-US" w:eastAsia="zh-CN"/>
        </w:rPr>
        <w:t xml:space="preserve">abundant </w:t>
      </w:r>
      <w:r>
        <w:rPr>
          <w:kern w:val="2"/>
        </w:rPr>
        <w:t>fauna</w:t>
      </w:r>
      <w:r>
        <w:rPr>
          <w:rFonts w:hint="eastAsia"/>
          <w:kern w:val="2"/>
          <w:lang w:val="en-US" w:eastAsia="zh-CN"/>
        </w:rPr>
        <w:t>l remains</w:t>
      </w:r>
      <w:r>
        <w:rPr>
          <w:rFonts w:hint="eastAsia"/>
          <w:kern w:val="2"/>
        </w:rPr>
        <w:t xml:space="preserve"> were recovered from this layer</w:t>
      </w:r>
      <w:r>
        <w:rPr>
          <w:kern w:val="2"/>
        </w:rPr>
        <w:t>.</w:t>
      </w:r>
    </w:p>
    <w:p w14:paraId="1762DE58">
      <w:pPr>
        <w:pStyle w:val="33"/>
        <w:numPr>
          <w:ilvl w:val="0"/>
          <w:numId w:val="1"/>
        </w:numPr>
        <w:jc w:val="both"/>
        <w:rPr>
          <w:kern w:val="2"/>
        </w:rPr>
      </w:pPr>
      <w:r>
        <w:rPr>
          <w:kern w:val="2"/>
        </w:rPr>
        <w:t>Layer 8</w:t>
      </w:r>
      <w:r>
        <w:rPr>
          <w:rFonts w:hint="eastAsia"/>
          <w:kern w:val="2"/>
        </w:rPr>
        <w:t xml:space="preserve"> </w:t>
      </w:r>
      <w:r>
        <w:rPr>
          <w:kern w:val="2"/>
        </w:rPr>
        <w:t>(10–20 cm</w:t>
      </w:r>
      <w:r>
        <w:rPr>
          <w:rFonts w:hint="eastAsia"/>
          <w:kern w:val="2"/>
        </w:rPr>
        <w:t xml:space="preserve"> thick</w:t>
      </w:r>
      <w:r>
        <w:rPr>
          <w:kern w:val="2"/>
        </w:rPr>
        <w:t xml:space="preserve">): Soft </w:t>
      </w:r>
      <w:r>
        <w:t>brownish</w:t>
      </w:r>
      <w:r>
        <w:rPr>
          <w:kern w:val="2"/>
        </w:rPr>
        <w:t>-red sandy clay</w:t>
      </w:r>
      <w:r>
        <w:rPr>
          <w:rFonts w:hint="eastAsia"/>
          <w:kern w:val="2"/>
        </w:rPr>
        <w:t>,</w:t>
      </w:r>
      <w:r>
        <w:rPr>
          <w:kern w:val="2"/>
        </w:rPr>
        <w:t xml:space="preserve"> containing </w:t>
      </w:r>
      <w:r>
        <w:rPr>
          <w:rFonts w:hint="eastAsia"/>
          <w:kern w:val="2"/>
        </w:rPr>
        <w:t>a small number of</w:t>
      </w:r>
      <w:r>
        <w:rPr>
          <w:kern w:val="2"/>
        </w:rPr>
        <w:t xml:space="preserve"> clasts</w:t>
      </w:r>
      <w:r>
        <w:rPr>
          <w:rFonts w:hint="eastAsia"/>
          <w:kern w:val="2"/>
        </w:rPr>
        <w:t xml:space="preserve"> </w:t>
      </w:r>
      <w:r>
        <w:rPr>
          <w:kern w:val="2"/>
        </w:rPr>
        <w:t>2–20 cm</w:t>
      </w:r>
      <w:r>
        <w:rPr>
          <w:rFonts w:hint="eastAsia"/>
          <w:kern w:val="2"/>
        </w:rPr>
        <w:t xml:space="preserve"> in size and a </w:t>
      </w:r>
      <w:r>
        <w:rPr>
          <w:kern w:val="2"/>
        </w:rPr>
        <w:t>few</w:t>
      </w:r>
      <w:r>
        <w:rPr>
          <w:rFonts w:hint="eastAsia"/>
          <w:kern w:val="2"/>
        </w:rPr>
        <w:t xml:space="preserve"> </w:t>
      </w:r>
      <w:r>
        <w:rPr>
          <w:kern w:val="2"/>
        </w:rPr>
        <w:t xml:space="preserve">lithics and </w:t>
      </w:r>
      <w:r>
        <w:rPr>
          <w:rFonts w:hint="eastAsia"/>
          <w:kern w:val="2"/>
          <w:lang w:val="en-US" w:eastAsia="zh-CN"/>
        </w:rPr>
        <w:t>faunal remains</w:t>
      </w:r>
      <w:r>
        <w:rPr>
          <w:kern w:val="2"/>
        </w:rPr>
        <w:t>.</w:t>
      </w:r>
    </w:p>
    <w:p w14:paraId="46F88D57">
      <w:pPr>
        <w:pStyle w:val="33"/>
        <w:numPr>
          <w:ilvl w:val="0"/>
          <w:numId w:val="1"/>
        </w:numPr>
        <w:jc w:val="both"/>
        <w:rPr>
          <w:kern w:val="2"/>
        </w:rPr>
      </w:pPr>
      <w:r>
        <w:rPr>
          <w:kern w:val="2"/>
        </w:rPr>
        <w:t>Layer 9</w:t>
      </w:r>
      <w:r>
        <w:rPr>
          <w:rFonts w:hint="eastAsia"/>
          <w:kern w:val="2"/>
        </w:rPr>
        <w:t xml:space="preserve"> </w:t>
      </w:r>
      <w:r>
        <w:rPr>
          <w:kern w:val="2"/>
        </w:rPr>
        <w:t>(10–25 cm</w:t>
      </w:r>
      <w:r>
        <w:rPr>
          <w:rFonts w:hint="eastAsia"/>
          <w:kern w:val="2"/>
        </w:rPr>
        <w:t xml:space="preserve"> thick</w:t>
      </w:r>
      <w:r>
        <w:rPr>
          <w:kern w:val="2"/>
        </w:rPr>
        <w:t>): Cemented bluish-gr</w:t>
      </w:r>
      <w:r>
        <w:rPr>
          <w:rFonts w:hint="eastAsia"/>
          <w:kern w:val="2"/>
        </w:rPr>
        <w:t>e</w:t>
      </w:r>
      <w:r>
        <w:rPr>
          <w:kern w:val="2"/>
        </w:rPr>
        <w:t xml:space="preserve">y breccia </w:t>
      </w:r>
      <w:r>
        <w:rPr>
          <w:rFonts w:hint="eastAsia"/>
          <w:kern w:val="2"/>
        </w:rPr>
        <w:t xml:space="preserve">of </w:t>
      </w:r>
      <w:r>
        <w:rPr>
          <w:kern w:val="2"/>
        </w:rPr>
        <w:t>2–30 cm</w:t>
      </w:r>
      <w:r>
        <w:rPr>
          <w:rFonts w:hint="eastAsia"/>
          <w:kern w:val="2"/>
        </w:rPr>
        <w:t xml:space="preserve"> in size,</w:t>
      </w:r>
      <w:r>
        <w:rPr>
          <w:kern w:val="2"/>
        </w:rPr>
        <w:t xml:space="preserve"> </w:t>
      </w:r>
      <w:r>
        <w:rPr>
          <w:rFonts w:hint="eastAsia"/>
          <w:kern w:val="2"/>
        </w:rPr>
        <w:t>some areas developed flowstone and s</w:t>
      </w:r>
      <w:r>
        <w:rPr>
          <w:kern w:val="2"/>
        </w:rPr>
        <w:t>talagmite</w:t>
      </w:r>
      <w:r>
        <w:rPr>
          <w:rFonts w:hint="eastAsia"/>
          <w:kern w:val="2"/>
        </w:rPr>
        <w:t>s</w:t>
      </w:r>
      <w:r>
        <w:rPr>
          <w:kern w:val="2"/>
        </w:rPr>
        <w:t xml:space="preserve">. </w:t>
      </w:r>
      <w:r>
        <w:rPr>
          <w:rFonts w:hint="eastAsia"/>
          <w:kern w:val="2"/>
        </w:rPr>
        <w:t>This layer yielded</w:t>
      </w:r>
      <w:r>
        <w:rPr>
          <w:kern w:val="2"/>
        </w:rPr>
        <w:t xml:space="preserve"> </w:t>
      </w:r>
      <w:r>
        <w:rPr>
          <w:rFonts w:hint="eastAsia"/>
          <w:kern w:val="2"/>
        </w:rPr>
        <w:t>one</w:t>
      </w:r>
      <w:r>
        <w:rPr>
          <w:kern w:val="2"/>
        </w:rPr>
        <w:t xml:space="preserve"> hominin </w:t>
      </w:r>
      <w:r>
        <w:rPr>
          <w:rFonts w:hint="eastAsia"/>
          <w:kern w:val="2"/>
        </w:rPr>
        <w:t>cranial fragment</w:t>
      </w:r>
      <w:r>
        <w:rPr>
          <w:kern w:val="2"/>
        </w:rPr>
        <w:t xml:space="preserve"> as well as</w:t>
      </w:r>
      <w:r>
        <w:rPr>
          <w:rFonts w:hint="eastAsia"/>
          <w:kern w:val="2"/>
        </w:rPr>
        <w:t xml:space="preserve"> </w:t>
      </w:r>
      <w:r>
        <w:rPr>
          <w:kern w:val="2"/>
        </w:rPr>
        <w:t>lithics</w:t>
      </w:r>
      <w:r>
        <w:rPr>
          <w:rFonts w:hint="eastAsia"/>
          <w:kern w:val="2"/>
        </w:rPr>
        <w:t xml:space="preserve"> </w:t>
      </w:r>
      <w:r>
        <w:rPr>
          <w:kern w:val="2"/>
        </w:rPr>
        <w:t xml:space="preserve">and </w:t>
      </w:r>
      <w:r>
        <w:rPr>
          <w:rFonts w:hint="eastAsia"/>
          <w:kern w:val="2"/>
          <w:lang w:val="en-US" w:eastAsia="zh-CN"/>
        </w:rPr>
        <w:t xml:space="preserve">rich </w:t>
      </w:r>
      <w:r>
        <w:rPr>
          <w:kern w:val="2"/>
        </w:rPr>
        <w:t>fauna</w:t>
      </w:r>
      <w:r>
        <w:rPr>
          <w:rFonts w:hint="eastAsia"/>
          <w:kern w:val="2"/>
          <w:lang w:val="en-US" w:eastAsia="zh-CN"/>
        </w:rPr>
        <w:t>l</w:t>
      </w:r>
      <w:r>
        <w:rPr>
          <w:rFonts w:hint="eastAsia"/>
          <w:kern w:val="2"/>
        </w:rPr>
        <w:t xml:space="preserve"> remains.</w:t>
      </w:r>
    </w:p>
    <w:p w14:paraId="4853255C">
      <w:pPr>
        <w:pStyle w:val="33"/>
        <w:numPr>
          <w:ilvl w:val="0"/>
          <w:numId w:val="1"/>
        </w:numPr>
        <w:jc w:val="both"/>
        <w:rPr>
          <w:kern w:val="2"/>
        </w:rPr>
      </w:pPr>
      <w:r>
        <w:rPr>
          <w:kern w:val="2"/>
        </w:rPr>
        <w:t>Layer 10</w:t>
      </w:r>
      <w:r>
        <w:rPr>
          <w:rFonts w:hint="eastAsia"/>
          <w:kern w:val="2"/>
        </w:rPr>
        <w:t xml:space="preserve"> </w:t>
      </w:r>
      <w:r>
        <w:rPr>
          <w:kern w:val="2"/>
        </w:rPr>
        <w:t>(3–7 cm</w:t>
      </w:r>
      <w:r>
        <w:rPr>
          <w:rFonts w:hint="eastAsia"/>
          <w:kern w:val="2"/>
        </w:rPr>
        <w:t xml:space="preserve"> thick</w:t>
      </w:r>
      <w:r>
        <w:rPr>
          <w:kern w:val="2"/>
        </w:rPr>
        <w:t xml:space="preserve">): Loose </w:t>
      </w:r>
      <w:r>
        <w:t>brownish</w:t>
      </w:r>
      <w:r>
        <w:rPr>
          <w:kern w:val="2"/>
        </w:rPr>
        <w:t>-red sandy clay with abundant rocks fragments</w:t>
      </w:r>
      <w:r>
        <w:rPr>
          <w:rFonts w:hint="eastAsia"/>
          <w:kern w:val="2"/>
        </w:rPr>
        <w:t xml:space="preserve"> </w:t>
      </w:r>
      <w:r>
        <w:rPr>
          <w:kern w:val="2"/>
        </w:rPr>
        <w:t>2–20 cm</w:t>
      </w:r>
      <w:r>
        <w:rPr>
          <w:rFonts w:hint="eastAsia"/>
          <w:kern w:val="2"/>
        </w:rPr>
        <w:t xml:space="preserve"> long and</w:t>
      </w:r>
      <w:r>
        <w:rPr>
          <w:kern w:val="2"/>
        </w:rPr>
        <w:t xml:space="preserve"> </w:t>
      </w:r>
      <w:r>
        <w:rPr>
          <w:rFonts w:hint="eastAsia"/>
          <w:kern w:val="2"/>
        </w:rPr>
        <w:t xml:space="preserve">a small </w:t>
      </w:r>
      <w:r>
        <w:rPr>
          <w:rFonts w:hint="eastAsia"/>
        </w:rPr>
        <w:t>number</w:t>
      </w:r>
      <w:r>
        <w:rPr>
          <w:rFonts w:hint="eastAsia"/>
          <w:kern w:val="2"/>
        </w:rPr>
        <w:t xml:space="preserve"> of </w:t>
      </w:r>
      <w:r>
        <w:rPr>
          <w:kern w:val="2"/>
        </w:rPr>
        <w:t>art</w:t>
      </w:r>
      <w:r>
        <w:rPr>
          <w:rFonts w:hint="eastAsia"/>
          <w:kern w:val="2"/>
          <w:lang w:val="en-US" w:eastAsia="zh-CN"/>
        </w:rPr>
        <w:t>e</w:t>
      </w:r>
      <w:r>
        <w:rPr>
          <w:kern w:val="2"/>
        </w:rPr>
        <w:t>facts.</w:t>
      </w:r>
    </w:p>
    <w:p w14:paraId="38CD23B2">
      <w:pPr>
        <w:pStyle w:val="33"/>
        <w:numPr>
          <w:ilvl w:val="0"/>
          <w:numId w:val="1"/>
        </w:numPr>
        <w:jc w:val="both"/>
        <w:rPr>
          <w:kern w:val="2"/>
        </w:rPr>
      </w:pPr>
      <w:r>
        <w:rPr>
          <w:kern w:val="2"/>
        </w:rPr>
        <w:t>Layer 11</w:t>
      </w:r>
      <w:r>
        <w:rPr>
          <w:rFonts w:hint="eastAsia"/>
          <w:kern w:val="2"/>
        </w:rPr>
        <w:t xml:space="preserve"> </w:t>
      </w:r>
      <w:r>
        <w:rPr>
          <w:kern w:val="2"/>
        </w:rPr>
        <w:t>(20–35 cm</w:t>
      </w:r>
      <w:r>
        <w:rPr>
          <w:rFonts w:hint="eastAsia"/>
          <w:kern w:val="2"/>
        </w:rPr>
        <w:t xml:space="preserve"> thick</w:t>
      </w:r>
      <w:r>
        <w:rPr>
          <w:kern w:val="2"/>
        </w:rPr>
        <w:t>): Hard</w:t>
      </w:r>
      <w:r>
        <w:rPr>
          <w:rFonts w:hint="eastAsia"/>
          <w:kern w:val="2"/>
        </w:rPr>
        <w:t xml:space="preserve"> and cemented</w:t>
      </w:r>
      <w:r>
        <w:rPr>
          <w:kern w:val="2"/>
        </w:rPr>
        <w:t xml:space="preserve"> bluish-gr</w:t>
      </w:r>
      <w:r>
        <w:rPr>
          <w:rFonts w:hint="eastAsia"/>
          <w:kern w:val="2"/>
        </w:rPr>
        <w:t>e</w:t>
      </w:r>
      <w:r>
        <w:rPr>
          <w:kern w:val="2"/>
        </w:rPr>
        <w:t xml:space="preserve">y breccia </w:t>
      </w:r>
      <w:r>
        <w:rPr>
          <w:rFonts w:hint="eastAsia"/>
          <w:kern w:val="2"/>
        </w:rPr>
        <w:t xml:space="preserve">of </w:t>
      </w:r>
      <w:r>
        <w:rPr>
          <w:kern w:val="2"/>
        </w:rPr>
        <w:t>2–30 cm</w:t>
      </w:r>
      <w:r>
        <w:rPr>
          <w:rFonts w:hint="eastAsia"/>
          <w:kern w:val="2"/>
        </w:rPr>
        <w:t xml:space="preserve"> in size, </w:t>
      </w:r>
      <w:r>
        <w:rPr>
          <w:rFonts w:hint="eastAsia"/>
          <w:kern w:val="2"/>
          <w:lang w:val="en-US" w:eastAsia="zh-CN"/>
        </w:rPr>
        <w:t xml:space="preserve">along </w:t>
      </w:r>
      <w:r>
        <w:rPr>
          <w:rFonts w:hint="eastAsia"/>
          <w:kern w:val="2"/>
        </w:rPr>
        <w:t xml:space="preserve">with </w:t>
      </w:r>
      <w:r>
        <w:rPr>
          <w:rFonts w:hint="eastAsia"/>
          <w:i/>
          <w:iCs/>
          <w:kern w:val="2"/>
        </w:rPr>
        <w:t>in situ</w:t>
      </w:r>
      <w:r>
        <w:rPr>
          <w:rFonts w:hint="eastAsia"/>
          <w:kern w:val="2"/>
        </w:rPr>
        <w:t xml:space="preserve"> developed flowstone and s</w:t>
      </w:r>
      <w:r>
        <w:rPr>
          <w:kern w:val="2"/>
        </w:rPr>
        <w:t>talagmite</w:t>
      </w:r>
      <w:r>
        <w:rPr>
          <w:rFonts w:hint="eastAsia"/>
          <w:kern w:val="2"/>
        </w:rPr>
        <w:t>s.</w:t>
      </w:r>
      <w:r>
        <w:rPr>
          <w:kern w:val="2"/>
        </w:rPr>
        <w:t xml:space="preserve"> </w:t>
      </w:r>
      <w:r>
        <w:rPr>
          <w:rFonts w:hint="eastAsia"/>
          <w:kern w:val="2"/>
          <w:lang w:val="en-US" w:eastAsia="zh-CN"/>
        </w:rPr>
        <w:t>L</w:t>
      </w:r>
      <w:r>
        <w:rPr>
          <w:kern w:val="2"/>
        </w:rPr>
        <w:t xml:space="preserve">ithics and </w:t>
      </w:r>
      <w:r>
        <w:rPr>
          <w:rFonts w:hint="eastAsia"/>
          <w:kern w:val="2"/>
          <w:lang w:val="en-US" w:eastAsia="zh-CN"/>
        </w:rPr>
        <w:t xml:space="preserve">rich </w:t>
      </w:r>
      <w:r>
        <w:rPr>
          <w:kern w:val="2"/>
        </w:rPr>
        <w:t>fauna</w:t>
      </w:r>
      <w:r>
        <w:rPr>
          <w:rFonts w:hint="eastAsia"/>
          <w:kern w:val="2"/>
          <w:lang w:val="en-US" w:eastAsia="zh-CN"/>
        </w:rPr>
        <w:t>l</w:t>
      </w:r>
      <w:r>
        <w:rPr>
          <w:rFonts w:hint="eastAsia"/>
          <w:kern w:val="2"/>
        </w:rPr>
        <w:t xml:space="preserve"> remains were</w:t>
      </w:r>
      <w:r>
        <w:rPr>
          <w:rFonts w:hint="eastAsia"/>
          <w:kern w:val="2"/>
          <w:lang w:val="en-US" w:eastAsia="zh-CN"/>
        </w:rPr>
        <w:t xml:space="preserve"> unearthed from this layer</w:t>
      </w:r>
      <w:r>
        <w:rPr>
          <w:rFonts w:hint="eastAsia"/>
          <w:kern w:val="2"/>
        </w:rPr>
        <w:t xml:space="preserve">.  </w:t>
      </w:r>
    </w:p>
    <w:p w14:paraId="30DF455F">
      <w:pPr>
        <w:pStyle w:val="33"/>
        <w:numPr>
          <w:ilvl w:val="0"/>
          <w:numId w:val="1"/>
        </w:numPr>
        <w:jc w:val="both"/>
        <w:rPr>
          <w:kern w:val="2"/>
        </w:rPr>
      </w:pPr>
      <w:r>
        <w:rPr>
          <w:kern w:val="2"/>
        </w:rPr>
        <w:t>Layer 12</w:t>
      </w:r>
      <w:r>
        <w:rPr>
          <w:rFonts w:hint="eastAsia"/>
          <w:kern w:val="2"/>
        </w:rPr>
        <w:t xml:space="preserve"> </w:t>
      </w:r>
      <w:r>
        <w:rPr>
          <w:kern w:val="2"/>
        </w:rPr>
        <w:t>(5–18 cm</w:t>
      </w:r>
      <w:r>
        <w:rPr>
          <w:rFonts w:hint="eastAsia"/>
          <w:kern w:val="2"/>
        </w:rPr>
        <w:t xml:space="preserve"> thick</w:t>
      </w:r>
      <w:r>
        <w:rPr>
          <w:kern w:val="2"/>
        </w:rPr>
        <w:t>): Friable brownish-yellow sandy clay</w:t>
      </w:r>
      <w:r>
        <w:rPr>
          <w:rFonts w:hint="eastAsia"/>
          <w:kern w:val="2"/>
        </w:rPr>
        <w:t>,</w:t>
      </w:r>
      <w:r>
        <w:rPr>
          <w:kern w:val="2"/>
        </w:rPr>
        <w:t xml:space="preserve"> with </w:t>
      </w:r>
      <w:r>
        <w:rPr>
          <w:rFonts w:hint="eastAsia"/>
          <w:kern w:val="2"/>
        </w:rPr>
        <w:t xml:space="preserve">thin </w:t>
      </w:r>
      <w:r>
        <w:rPr>
          <w:kern w:val="2"/>
        </w:rPr>
        <w:t xml:space="preserve">laminated </w:t>
      </w:r>
      <w:r>
        <w:rPr>
          <w:rFonts w:hint="eastAsia"/>
          <w:kern w:val="2"/>
        </w:rPr>
        <w:t>flowstone</w:t>
      </w:r>
      <w:r>
        <w:rPr>
          <w:kern w:val="2"/>
        </w:rPr>
        <w:t xml:space="preserve"> and </w:t>
      </w:r>
      <w:r>
        <w:t>abundant</w:t>
      </w:r>
      <w:r>
        <w:rPr>
          <w:kern w:val="2"/>
        </w:rPr>
        <w:t xml:space="preserve"> rock fragments </w:t>
      </w:r>
      <w:r>
        <w:rPr>
          <w:rFonts w:hint="eastAsia"/>
          <w:kern w:val="2"/>
        </w:rPr>
        <w:t xml:space="preserve">of </w:t>
      </w:r>
      <w:r>
        <w:rPr>
          <w:kern w:val="2"/>
        </w:rPr>
        <w:t>2–15 cm</w:t>
      </w:r>
      <w:r>
        <w:rPr>
          <w:rFonts w:hint="eastAsia"/>
          <w:kern w:val="2"/>
        </w:rPr>
        <w:t xml:space="preserve"> in size</w:t>
      </w:r>
      <w:r>
        <w:rPr>
          <w:kern w:val="2"/>
        </w:rPr>
        <w:t xml:space="preserve">; </w:t>
      </w:r>
      <w:r>
        <w:rPr>
          <w:rFonts w:hint="eastAsia"/>
          <w:kern w:val="2"/>
        </w:rPr>
        <w:t>containing rich</w:t>
      </w:r>
      <w:r>
        <w:rPr>
          <w:kern w:val="2"/>
        </w:rPr>
        <w:t xml:space="preserve"> lithics and </w:t>
      </w:r>
      <w:r>
        <w:rPr>
          <w:rFonts w:hint="eastAsia"/>
          <w:kern w:val="2"/>
          <w:lang w:val="en-US" w:eastAsia="zh-CN"/>
        </w:rPr>
        <w:t xml:space="preserve">faunal </w:t>
      </w:r>
      <w:r>
        <w:rPr>
          <w:rFonts w:hint="eastAsia"/>
          <w:kern w:val="2"/>
        </w:rPr>
        <w:t>remain</w:t>
      </w:r>
      <w:r>
        <w:rPr>
          <w:kern w:val="2"/>
        </w:rPr>
        <w:t>s.</w:t>
      </w:r>
    </w:p>
    <w:p w14:paraId="007521F6">
      <w:pPr>
        <w:pStyle w:val="33"/>
        <w:numPr>
          <w:ilvl w:val="0"/>
          <w:numId w:val="1"/>
        </w:numPr>
        <w:jc w:val="both"/>
        <w:rPr>
          <w:kern w:val="2"/>
        </w:rPr>
      </w:pPr>
      <w:r>
        <w:rPr>
          <w:kern w:val="2"/>
        </w:rPr>
        <w:t>Layer 13–18</w:t>
      </w:r>
      <w:r>
        <w:rPr>
          <w:rFonts w:hint="eastAsia"/>
          <w:kern w:val="2"/>
        </w:rPr>
        <w:t xml:space="preserve"> (</w:t>
      </w:r>
      <w:r>
        <w:rPr>
          <w:kern w:val="2"/>
        </w:rPr>
        <w:t>total thickness ~70 cm): Sterile sandy clay</w:t>
      </w:r>
      <w:r>
        <w:rPr>
          <w:rFonts w:hint="eastAsia"/>
          <w:kern w:val="2"/>
        </w:rPr>
        <w:t xml:space="preserve"> layers</w:t>
      </w:r>
      <w:r>
        <w:rPr>
          <w:kern w:val="2"/>
        </w:rPr>
        <w:t>.</w:t>
      </w:r>
    </w:p>
    <w:p w14:paraId="28A482AE">
      <w:pPr>
        <w:pStyle w:val="2"/>
      </w:pPr>
      <w:r>
        <w:br w:type="column"/>
      </w:r>
      <w:bookmarkStart w:id="3" w:name="_Toc209814667"/>
      <w:r>
        <w:t xml:space="preserve">Supplementary Information </w:t>
      </w:r>
      <w:r>
        <w:rPr>
          <w:rFonts w:hint="eastAsia"/>
        </w:rPr>
        <w:t>B</w:t>
      </w:r>
      <w:r>
        <w:t>: Chronology</w:t>
      </w:r>
      <w:bookmarkEnd w:id="3"/>
    </w:p>
    <w:p w14:paraId="3116851D">
      <w:pPr>
        <w:pStyle w:val="3"/>
        <w:rPr>
          <w:snapToGrid/>
        </w:rPr>
      </w:pPr>
      <w:r>
        <w:rPr>
          <w:snapToGrid/>
        </w:rPr>
        <w:t>Optical dating</w:t>
      </w:r>
    </w:p>
    <w:p w14:paraId="47FD6F85">
      <w:pPr>
        <w:pStyle w:val="4"/>
      </w:pPr>
      <w:r>
        <w:t>Modelling gamma dose rate</w:t>
      </w:r>
    </w:p>
    <w:p w14:paraId="60AC0DD1">
      <w:pPr>
        <w:jc w:val="both"/>
        <w:rPr>
          <w:kern w:val="2"/>
          <w:lang w:val="en-AU"/>
        </w:rPr>
      </w:pPr>
      <w:r>
        <w:rPr>
          <w:kern w:val="2"/>
        </w:rPr>
        <w:t xml:space="preserve">Estimation of the gamma dose rate for the samples from </w:t>
      </w:r>
      <w:r>
        <w:rPr>
          <w:rFonts w:hint="eastAsia"/>
          <w:kern w:val="2"/>
          <w:lang w:val="en-US" w:eastAsia="zh-CN"/>
        </w:rPr>
        <w:t>Bianfu Cave</w:t>
      </w:r>
      <w:r>
        <w:rPr>
          <w:kern w:val="2"/>
        </w:rPr>
        <w:t xml:space="preserve"> is less straightforward, given the highly heterogeneous composition of the deposits, especially for the Layers 7–11 (see the description of </w:t>
      </w:r>
      <w:r>
        <w:rPr>
          <w:rFonts w:hint="eastAsia"/>
          <w:kern w:val="2"/>
        </w:rPr>
        <w:t>S</w:t>
      </w:r>
      <w:r>
        <w:rPr>
          <w:kern w:val="2"/>
        </w:rPr>
        <w:t xml:space="preserve">tratigraphy; </w:t>
      </w:r>
      <w:r>
        <w:rPr>
          <w:color w:val="0000FF"/>
          <w:kern w:val="2"/>
        </w:rPr>
        <w:t xml:space="preserve">Extended Data Fig. </w:t>
      </w:r>
      <w:r>
        <w:rPr>
          <w:rFonts w:hint="eastAsia"/>
          <w:color w:val="0000FF"/>
          <w:kern w:val="2"/>
        </w:rPr>
        <w:t>1</w:t>
      </w:r>
      <w:r>
        <w:rPr>
          <w:kern w:val="2"/>
        </w:rPr>
        <w:t xml:space="preserve">) and the fact that gamma rays can penetrate ~30 cm in typical sediments and rocks. The best way to </w:t>
      </w:r>
      <w:r>
        <w:t>estimate</w:t>
      </w:r>
      <w:r>
        <w:rPr>
          <w:kern w:val="2"/>
        </w:rPr>
        <w:t xml:space="preserve"> gamma dose rates for such context is </w:t>
      </w:r>
      <w:r>
        <w:rPr>
          <w:i/>
          <w:iCs/>
          <w:kern w:val="2"/>
        </w:rPr>
        <w:t>in-situ</w:t>
      </w:r>
      <w:r>
        <w:rPr>
          <w:kern w:val="2"/>
        </w:rPr>
        <w:t xml:space="preserve"> measurement using portable gamma spectrometer. However, since the excavation of the site was conducted in a short period of time with the aims to rescue and preserve the cultural remains before the large-scale engineering and construction work in the area, the team had no opportunity to </w:t>
      </w:r>
      <w:r>
        <w:rPr>
          <w:rFonts w:eastAsia="Arial" w:cs="Arial"/>
          <w:szCs w:val="21"/>
        </w:rPr>
        <w:t>conduct</w:t>
      </w:r>
      <w:r>
        <w:rPr>
          <w:kern w:val="2"/>
        </w:rPr>
        <w:t xml:space="preserve"> </w:t>
      </w:r>
      <w:r>
        <w:rPr>
          <w:i/>
          <w:iCs/>
          <w:kern w:val="2"/>
        </w:rPr>
        <w:t>in-situ</w:t>
      </w:r>
      <w:r>
        <w:rPr>
          <w:kern w:val="2"/>
        </w:rPr>
        <w:t xml:space="preserve"> gamma dose measurements. Fortunately, the lateral continuity and integrity of the stratigraphy at the site allow </w:t>
      </w:r>
      <w:r>
        <w:rPr>
          <w:rFonts w:hint="eastAsia"/>
          <w:kern w:val="2"/>
        </w:rPr>
        <w:t>the</w:t>
      </w:r>
      <w:r>
        <w:rPr>
          <w:kern w:val="2"/>
        </w:rPr>
        <w:t xml:space="preserve"> model</w:t>
      </w:r>
      <w:r>
        <w:rPr>
          <w:rFonts w:hint="eastAsia"/>
          <w:kern w:val="2"/>
        </w:rPr>
        <w:t>ling of</w:t>
      </w:r>
      <w:r>
        <w:rPr>
          <w:kern w:val="2"/>
        </w:rPr>
        <w:t xml:space="preserve"> the gamma dose rate </w:t>
      </w:r>
      <w:r>
        <w:rPr>
          <w:kern w:val="2"/>
          <w:lang w:val="en-AU"/>
        </w:rPr>
        <w:t>by constructing a gamma-dose-rate gradient for the sediment profile. We first estimated the average gamma dose rate for each layer by assuming that the radioactivit</w:t>
      </w:r>
      <w:r>
        <w:rPr>
          <w:rFonts w:hint="eastAsia"/>
          <w:kern w:val="2"/>
          <w:lang w:val="en-US" w:eastAsia="zh-CN"/>
        </w:rPr>
        <w:t>y</w:t>
      </w:r>
      <w:r>
        <w:rPr>
          <w:kern w:val="2"/>
          <w:lang w:val="en-AU"/>
        </w:rPr>
        <w:t xml:space="preserve"> measure</w:t>
      </w:r>
      <w:r>
        <w:rPr>
          <w:rFonts w:hint="eastAsia"/>
          <w:kern w:val="2"/>
          <w:lang w:val="en-US" w:eastAsia="zh-CN"/>
        </w:rPr>
        <w:t>s</w:t>
      </w:r>
      <w:r>
        <w:rPr>
          <w:kern w:val="2"/>
          <w:lang w:val="en-AU"/>
        </w:rPr>
        <w:t xml:space="preserve"> for the OSL samples are representative </w:t>
      </w:r>
      <w:r>
        <w:rPr>
          <w:rFonts w:hint="eastAsia"/>
          <w:kern w:val="2"/>
          <w:lang w:val="en-US" w:eastAsia="zh-CN"/>
        </w:rPr>
        <w:t>of</w:t>
      </w:r>
      <w:r>
        <w:rPr>
          <w:kern w:val="2"/>
          <w:lang w:val="en-AU"/>
        </w:rPr>
        <w:t xml:space="preserve"> their corresponding layers. Since the U, Th and K concentrations were measured based on the fine clasts of the layers only, correction</w:t>
      </w:r>
      <w:r>
        <w:rPr>
          <w:rFonts w:hint="eastAsia"/>
          <w:kern w:val="2"/>
          <w:lang w:val="en-AU"/>
        </w:rPr>
        <w:t>s</w:t>
      </w:r>
      <w:r>
        <w:rPr>
          <w:kern w:val="2"/>
          <w:lang w:val="en-AU"/>
        </w:rPr>
        <w:t xml:space="preserve"> </w:t>
      </w:r>
      <w:r>
        <w:rPr>
          <w:rFonts w:hint="eastAsia"/>
          <w:kern w:val="2"/>
          <w:lang w:val="en-US" w:eastAsia="zh-CN"/>
        </w:rPr>
        <w:t>were</w:t>
      </w:r>
      <w:r>
        <w:rPr>
          <w:kern w:val="2"/>
          <w:lang w:val="en-AU"/>
        </w:rPr>
        <w:t xml:space="preserve"> needed </w:t>
      </w:r>
      <w:r>
        <w:rPr>
          <w:rFonts w:hint="eastAsia"/>
          <w:kern w:val="2"/>
          <w:lang w:val="en-AU"/>
        </w:rPr>
        <w:t>for</w:t>
      </w:r>
      <w:r>
        <w:rPr>
          <w:kern w:val="2"/>
          <w:lang w:val="en-AU"/>
        </w:rPr>
        <w:t xml:space="preserve"> </w:t>
      </w:r>
      <w:r>
        <w:rPr>
          <w:rFonts w:eastAsia="Arial" w:cs="Arial"/>
          <w:szCs w:val="21"/>
        </w:rPr>
        <w:t>the</w:t>
      </w:r>
      <w:r>
        <w:rPr>
          <w:kern w:val="2"/>
          <w:lang w:val="en-AU"/>
        </w:rPr>
        <w:t xml:space="preserve"> presence of larger clasts in the deposits. Considering that the composition of the rock fragments in the deposits </w:t>
      </w:r>
      <w:r>
        <w:rPr>
          <w:rFonts w:hint="eastAsia"/>
          <w:kern w:val="2"/>
          <w:lang w:val="en-US" w:eastAsia="zh-CN"/>
        </w:rPr>
        <w:t>is</w:t>
      </w:r>
      <w:r>
        <w:rPr>
          <w:kern w:val="2"/>
          <w:lang w:val="en-AU"/>
        </w:rPr>
        <w:t xml:space="preserve"> predominantly limestones, which has negligible radioactivity compared to fine sediments, we estimated the </w:t>
      </w:r>
      <w:r>
        <w:rPr>
          <w:rFonts w:eastAsia="Arial" w:cs="Arial"/>
          <w:szCs w:val="21"/>
        </w:rPr>
        <w:t>average</w:t>
      </w:r>
      <w:r>
        <w:rPr>
          <w:kern w:val="2"/>
          <w:lang w:val="en-AU"/>
        </w:rPr>
        <w:t xml:space="preserve"> gamma dose rates of the layers by multiplying those obtained from the fine clasts by a correction factor defined as: </w:t>
      </w:r>
    </w:p>
    <w:p w14:paraId="439AF639">
      <w:pPr>
        <w:spacing w:after="163" w:afterLines="50"/>
        <w:ind w:firstLine="0"/>
        <w:jc w:val="both"/>
        <w:rPr>
          <w:kern w:val="2"/>
          <w:lang w:val="en-AU"/>
        </w:rPr>
      </w:pPr>
      <m:oMath>
        <m:r>
          <m:rPr>
            <m:sty m:val="p"/>
          </m:rPr>
          <w:rPr>
            <w:rFonts w:ascii="Cambria Math" w:hAnsi="Cambria Math"/>
            <w:kern w:val="2"/>
            <w:lang w:val="en-AU"/>
          </w:rPr>
          <m:t>φ=</m:t>
        </m:r>
        <m:f>
          <m:fPr>
            <m:ctrlPr>
              <w:rPr>
                <w:rFonts w:ascii="Cambria Math" w:hAnsi="Cambria Math"/>
                <w:kern w:val="2"/>
                <w:lang w:val="en-AU"/>
              </w:rPr>
            </m:ctrlPr>
          </m:fPr>
          <m:num>
            <m:sSub>
              <m:sSubPr>
                <m:ctrlPr>
                  <w:rPr>
                    <w:rFonts w:ascii="Cambria Math" w:hAnsi="Cambria Math"/>
                    <w:kern w:val="2"/>
                    <w:lang w:val="en-AU"/>
                  </w:rPr>
                </m:ctrlPr>
              </m:sSubPr>
              <m:e>
                <m:r>
                  <m:rPr>
                    <m:sty m:val="p"/>
                  </m:rPr>
                  <w:rPr>
                    <w:rFonts w:ascii="Cambria Math" w:hAnsi="Cambria Math"/>
                    <w:kern w:val="2"/>
                    <w:lang w:val="en-AU"/>
                  </w:rPr>
                  <m:t>ρ</m:t>
                </m:r>
                <m:ctrlPr>
                  <w:rPr>
                    <w:rFonts w:ascii="Cambria Math" w:hAnsi="Cambria Math"/>
                    <w:kern w:val="2"/>
                    <w:lang w:val="en-AU"/>
                  </w:rPr>
                </m:ctrlPr>
              </m:e>
              <m:sub>
                <m:r>
                  <m:rPr>
                    <m:sty m:val="p"/>
                  </m:rPr>
                  <w:rPr>
                    <w:rFonts w:ascii="Cambria Math" w:hAnsi="Cambria Math"/>
                    <w:kern w:val="2"/>
                    <w:lang w:val="en-AU"/>
                  </w:rPr>
                  <m:t>s</m:t>
                </m:r>
                <m:ctrlPr>
                  <w:rPr>
                    <w:rFonts w:ascii="Cambria Math" w:hAnsi="Cambria Math"/>
                    <w:kern w:val="2"/>
                    <w:lang w:val="en-AU"/>
                  </w:rPr>
                </m:ctrlPr>
              </m:sub>
            </m:sSub>
            <m:r>
              <m:rPr>
                <m:sty m:val="p"/>
              </m:rPr>
              <w:rPr>
                <w:rFonts w:ascii="Cambria Math" w:hAnsi="Cambria Math"/>
                <w:kern w:val="2"/>
                <w:lang w:val="en-AU"/>
              </w:rPr>
              <m:t>(1−</m:t>
            </m:r>
            <m:sSub>
              <m:sSubPr>
                <m:ctrlPr>
                  <w:rPr>
                    <w:rFonts w:ascii="Cambria Math" w:hAnsi="Cambria Math"/>
                    <w:kern w:val="2"/>
                    <w:lang w:val="en-AU"/>
                  </w:rPr>
                </m:ctrlPr>
              </m:sSubPr>
              <m:e>
                <m:r>
                  <m:rPr>
                    <m:sty m:val="p"/>
                  </m:rPr>
                  <w:rPr>
                    <w:rFonts w:ascii="Cambria Math" w:hAnsi="Cambria Math"/>
                    <w:kern w:val="2"/>
                    <w:lang w:val="en-AU"/>
                  </w:rPr>
                  <m:t>f</m:t>
                </m:r>
                <m:ctrlPr>
                  <w:rPr>
                    <w:rFonts w:ascii="Cambria Math" w:hAnsi="Cambria Math"/>
                    <w:kern w:val="2"/>
                    <w:lang w:val="en-AU"/>
                  </w:rPr>
                </m:ctrlPr>
              </m:e>
              <m:sub>
                <m:r>
                  <m:rPr>
                    <m:sty m:val="p"/>
                  </m:rPr>
                  <w:rPr>
                    <w:rFonts w:ascii="Cambria Math" w:hAnsi="Cambria Math"/>
                    <w:kern w:val="2"/>
                    <w:lang w:val="en-AU"/>
                  </w:rPr>
                  <m:t>c</m:t>
                </m:r>
                <m:ctrlPr>
                  <w:rPr>
                    <w:rFonts w:ascii="Cambria Math" w:hAnsi="Cambria Math"/>
                    <w:kern w:val="2"/>
                    <w:lang w:val="en-AU"/>
                  </w:rPr>
                </m:ctrlPr>
              </m:sub>
            </m:sSub>
            <m:r>
              <m:rPr>
                <m:sty m:val="p"/>
              </m:rPr>
              <w:rPr>
                <w:rFonts w:ascii="Cambria Math" w:hAnsi="Cambria Math"/>
                <w:kern w:val="2"/>
                <w:lang w:val="en-AU"/>
              </w:rPr>
              <m:t>)</m:t>
            </m:r>
            <m:ctrlPr>
              <w:rPr>
                <w:rFonts w:ascii="Cambria Math" w:hAnsi="Cambria Math"/>
                <w:kern w:val="2"/>
                <w:lang w:val="en-AU"/>
              </w:rPr>
            </m:ctrlPr>
          </m:num>
          <m:den>
            <m:sSub>
              <m:sSubPr>
                <m:ctrlPr>
                  <w:rPr>
                    <w:rFonts w:ascii="Cambria Math" w:hAnsi="Cambria Math"/>
                    <w:kern w:val="2"/>
                    <w:lang w:val="en-AU"/>
                  </w:rPr>
                </m:ctrlPr>
              </m:sSubPr>
              <m:e>
                <m:r>
                  <m:rPr>
                    <m:sty m:val="p"/>
                  </m:rPr>
                  <w:rPr>
                    <w:rFonts w:ascii="Cambria Math" w:hAnsi="Cambria Math"/>
                    <w:kern w:val="2"/>
                    <w:lang w:val="en-AU"/>
                  </w:rPr>
                  <m:t>ρ</m:t>
                </m:r>
                <m:ctrlPr>
                  <w:rPr>
                    <w:rFonts w:ascii="Cambria Math" w:hAnsi="Cambria Math"/>
                    <w:kern w:val="2"/>
                    <w:lang w:val="en-AU"/>
                  </w:rPr>
                </m:ctrlPr>
              </m:e>
              <m:sub>
                <m:r>
                  <m:rPr>
                    <m:sty m:val="p"/>
                  </m:rPr>
                  <w:rPr>
                    <w:rFonts w:ascii="Cambria Math" w:hAnsi="Cambria Math"/>
                    <w:kern w:val="2"/>
                    <w:lang w:val="en-AU"/>
                  </w:rPr>
                  <m:t>s</m:t>
                </m:r>
                <m:ctrlPr>
                  <w:rPr>
                    <w:rFonts w:ascii="Cambria Math" w:hAnsi="Cambria Math"/>
                    <w:kern w:val="2"/>
                    <w:lang w:val="en-AU"/>
                  </w:rPr>
                </m:ctrlPr>
              </m:sub>
            </m:sSub>
            <m:d>
              <m:dPr>
                <m:ctrlPr>
                  <w:rPr>
                    <w:rFonts w:ascii="Cambria Math" w:hAnsi="Cambria Math"/>
                    <w:kern w:val="2"/>
                    <w:lang w:val="en-AU"/>
                  </w:rPr>
                </m:ctrlPr>
              </m:dPr>
              <m:e>
                <m:r>
                  <m:rPr>
                    <m:sty m:val="p"/>
                  </m:rPr>
                  <w:rPr>
                    <w:rFonts w:ascii="Cambria Math" w:hAnsi="Cambria Math"/>
                    <w:kern w:val="2"/>
                    <w:lang w:val="en-AU"/>
                  </w:rPr>
                  <m:t>1−</m:t>
                </m:r>
                <m:sSub>
                  <m:sSubPr>
                    <m:ctrlPr>
                      <w:rPr>
                        <w:rFonts w:ascii="Cambria Math" w:hAnsi="Cambria Math"/>
                        <w:kern w:val="2"/>
                        <w:lang w:val="en-AU"/>
                      </w:rPr>
                    </m:ctrlPr>
                  </m:sSubPr>
                  <m:e>
                    <m:r>
                      <m:rPr>
                        <m:sty m:val="p"/>
                      </m:rPr>
                      <w:rPr>
                        <w:rFonts w:ascii="Cambria Math" w:hAnsi="Cambria Math"/>
                        <w:kern w:val="2"/>
                        <w:lang w:val="en-AU"/>
                      </w:rPr>
                      <m:t>f</m:t>
                    </m:r>
                    <m:ctrlPr>
                      <w:rPr>
                        <w:rFonts w:ascii="Cambria Math" w:hAnsi="Cambria Math"/>
                        <w:kern w:val="2"/>
                        <w:lang w:val="en-AU"/>
                      </w:rPr>
                    </m:ctrlPr>
                  </m:e>
                  <m:sub>
                    <m:r>
                      <m:rPr>
                        <m:sty m:val="p"/>
                      </m:rPr>
                      <w:rPr>
                        <w:rFonts w:ascii="Cambria Math" w:hAnsi="Cambria Math"/>
                        <w:kern w:val="2"/>
                        <w:lang w:val="en-AU"/>
                      </w:rPr>
                      <m:t>c</m:t>
                    </m:r>
                    <m:ctrlPr>
                      <w:rPr>
                        <w:rFonts w:ascii="Cambria Math" w:hAnsi="Cambria Math"/>
                        <w:kern w:val="2"/>
                        <w:lang w:val="en-AU"/>
                      </w:rPr>
                    </m:ctrlPr>
                  </m:sub>
                </m:sSub>
                <m:ctrlPr>
                  <w:rPr>
                    <w:rFonts w:ascii="Cambria Math" w:hAnsi="Cambria Math"/>
                    <w:kern w:val="2"/>
                    <w:lang w:val="en-AU"/>
                  </w:rPr>
                </m:ctrlPr>
              </m:e>
            </m:d>
            <m:r>
              <m:rPr>
                <m:sty m:val="p"/>
              </m:rPr>
              <w:rPr>
                <w:rFonts w:ascii="Cambria Math" w:hAnsi="Cambria Math"/>
                <w:kern w:val="2"/>
                <w:lang w:val="en-AU"/>
              </w:rPr>
              <m:t>+</m:t>
            </m:r>
            <m:sSub>
              <m:sSubPr>
                <m:ctrlPr>
                  <w:rPr>
                    <w:rFonts w:ascii="Cambria Math" w:hAnsi="Cambria Math"/>
                    <w:kern w:val="2"/>
                    <w:lang w:val="en-AU"/>
                  </w:rPr>
                </m:ctrlPr>
              </m:sSubPr>
              <m:e>
                <m:r>
                  <m:rPr>
                    <m:sty m:val="p"/>
                  </m:rPr>
                  <w:rPr>
                    <w:rFonts w:ascii="Cambria Math" w:hAnsi="Cambria Math"/>
                    <w:kern w:val="2"/>
                    <w:lang w:val="en-AU"/>
                  </w:rPr>
                  <m:t>ρ</m:t>
                </m:r>
                <m:ctrlPr>
                  <w:rPr>
                    <w:rFonts w:ascii="Cambria Math" w:hAnsi="Cambria Math"/>
                    <w:kern w:val="2"/>
                    <w:lang w:val="en-AU"/>
                  </w:rPr>
                </m:ctrlPr>
              </m:e>
              <m:sub>
                <m:r>
                  <m:rPr>
                    <m:sty m:val="p"/>
                  </m:rPr>
                  <w:rPr>
                    <w:rFonts w:ascii="Cambria Math" w:hAnsi="Cambria Math"/>
                    <w:kern w:val="2"/>
                    <w:lang w:val="en-AU"/>
                  </w:rPr>
                  <m:t>c</m:t>
                </m:r>
                <m:ctrlPr>
                  <w:rPr>
                    <w:rFonts w:ascii="Cambria Math" w:hAnsi="Cambria Math"/>
                    <w:kern w:val="2"/>
                    <w:lang w:val="en-AU"/>
                  </w:rPr>
                </m:ctrlPr>
              </m:sub>
            </m:sSub>
            <m:sSub>
              <m:sSubPr>
                <m:ctrlPr>
                  <w:rPr>
                    <w:rFonts w:ascii="Cambria Math" w:hAnsi="Cambria Math"/>
                    <w:kern w:val="2"/>
                    <w:lang w:val="en-AU"/>
                  </w:rPr>
                </m:ctrlPr>
              </m:sSubPr>
              <m:e>
                <m:r>
                  <m:rPr>
                    <m:sty m:val="p"/>
                  </m:rPr>
                  <w:rPr>
                    <w:rFonts w:ascii="Cambria Math" w:hAnsi="Cambria Math"/>
                    <w:kern w:val="2"/>
                    <w:lang w:val="en-AU"/>
                  </w:rPr>
                  <m:t>f</m:t>
                </m:r>
                <m:ctrlPr>
                  <w:rPr>
                    <w:rFonts w:ascii="Cambria Math" w:hAnsi="Cambria Math"/>
                    <w:kern w:val="2"/>
                    <w:lang w:val="en-AU"/>
                  </w:rPr>
                </m:ctrlPr>
              </m:e>
              <m:sub>
                <m:r>
                  <m:rPr>
                    <m:sty m:val="p"/>
                  </m:rPr>
                  <w:rPr>
                    <w:rFonts w:ascii="Cambria Math" w:hAnsi="Cambria Math"/>
                    <w:kern w:val="2"/>
                    <w:lang w:val="en-AU"/>
                  </w:rPr>
                  <m:t>c</m:t>
                </m:r>
                <m:ctrlPr>
                  <w:rPr>
                    <w:rFonts w:ascii="Cambria Math" w:hAnsi="Cambria Math"/>
                    <w:kern w:val="2"/>
                    <w:lang w:val="en-AU"/>
                  </w:rPr>
                </m:ctrlPr>
              </m:sub>
            </m:sSub>
            <m:ctrlPr>
              <w:rPr>
                <w:rFonts w:ascii="Cambria Math" w:hAnsi="Cambria Math"/>
                <w:kern w:val="2"/>
                <w:lang w:val="en-AU"/>
              </w:rPr>
            </m:ctrlPr>
          </m:den>
        </m:f>
      </m:oMath>
      <w:r>
        <w:rPr>
          <w:kern w:val="2"/>
          <w:lang w:val="en-AU"/>
        </w:rPr>
        <w:t xml:space="preserve"> </w:t>
      </w:r>
    </w:p>
    <w:p w14:paraId="2AE4C6BE">
      <w:pPr>
        <w:ind w:firstLine="0"/>
        <w:jc w:val="both"/>
        <w:rPr>
          <w:lang w:val="en-AU"/>
        </w:rPr>
      </w:pPr>
      <w:r>
        <w:rPr>
          <w:lang w:val="en-AU"/>
        </w:rPr>
        <w:t xml:space="preserve">where </w:t>
      </w:r>
      <m:oMath>
        <m:sSub>
          <m:sSubPr>
            <m:ctrlPr>
              <w:rPr>
                <w:rFonts w:ascii="Cambria Math" w:hAnsi="Cambria Math"/>
                <w:lang w:val="en-AU"/>
              </w:rPr>
            </m:ctrlPr>
          </m:sSubPr>
          <m:e>
            <m:r>
              <m:rPr>
                <m:sty m:val="p"/>
              </m:rPr>
              <w:rPr>
                <w:rFonts w:ascii="Cambria Math" w:hAnsi="Cambria Math"/>
                <w:lang w:val="en-AU"/>
              </w:rPr>
              <m:t>f</m:t>
            </m:r>
            <m:ctrlPr>
              <w:rPr>
                <w:rFonts w:ascii="Cambria Math" w:hAnsi="Cambria Math"/>
                <w:lang w:val="en-AU"/>
              </w:rPr>
            </m:ctrlPr>
          </m:e>
          <m:sub>
            <m:r>
              <m:rPr>
                <m:sty m:val="p"/>
              </m:rPr>
              <w:rPr>
                <w:rFonts w:ascii="Cambria Math" w:hAnsi="Cambria Math"/>
                <w:lang w:val="en-AU"/>
              </w:rPr>
              <m:t>c</m:t>
            </m:r>
            <m:ctrlPr>
              <w:rPr>
                <w:rFonts w:ascii="Cambria Math" w:hAnsi="Cambria Math"/>
                <w:lang w:val="en-AU"/>
              </w:rPr>
            </m:ctrlPr>
          </m:sub>
        </m:sSub>
      </m:oMath>
      <w:r>
        <w:rPr>
          <w:lang w:val="en-AU"/>
        </w:rPr>
        <w:t xml:space="preserve"> is the volume fraction of limestone fragments in the layer, </w:t>
      </w:r>
      <m:oMath>
        <m:sSub>
          <m:sSubPr>
            <m:ctrlPr>
              <w:rPr>
                <w:rFonts w:ascii="Cambria Math" w:hAnsi="Cambria Math"/>
                <w:lang w:val="en-AU"/>
              </w:rPr>
            </m:ctrlPr>
          </m:sSubPr>
          <m:e>
            <m:r>
              <m:rPr>
                <m:sty m:val="p"/>
              </m:rPr>
              <w:rPr>
                <w:rFonts w:ascii="Cambria Math" w:hAnsi="Cambria Math"/>
                <w:lang w:val="en-AU"/>
              </w:rPr>
              <m:t>ρ</m:t>
            </m:r>
            <m:ctrlPr>
              <w:rPr>
                <w:rFonts w:ascii="Cambria Math" w:hAnsi="Cambria Math"/>
                <w:lang w:val="en-AU"/>
              </w:rPr>
            </m:ctrlPr>
          </m:e>
          <m:sub>
            <m:r>
              <m:rPr>
                <m:sty m:val="p"/>
              </m:rPr>
              <w:rPr>
                <w:rFonts w:ascii="Cambria Math" w:hAnsi="Cambria Math"/>
                <w:lang w:val="en-AU"/>
              </w:rPr>
              <m:t>s</m:t>
            </m:r>
            <m:ctrlPr>
              <w:rPr>
                <w:rFonts w:ascii="Cambria Math" w:hAnsi="Cambria Math"/>
                <w:lang w:val="en-AU"/>
              </w:rPr>
            </m:ctrlPr>
          </m:sub>
        </m:sSub>
      </m:oMath>
      <w:r>
        <w:rPr>
          <w:lang w:val="en-AU"/>
        </w:rPr>
        <w:t xml:space="preserve"> and </w:t>
      </w:r>
      <m:oMath>
        <m:sSub>
          <m:sSubPr>
            <m:ctrlPr>
              <w:rPr>
                <w:rFonts w:ascii="Cambria Math" w:hAnsi="Cambria Math"/>
                <w:lang w:val="en-AU"/>
              </w:rPr>
            </m:ctrlPr>
          </m:sSubPr>
          <m:e>
            <m:r>
              <m:rPr>
                <m:sty m:val="p"/>
              </m:rPr>
              <w:rPr>
                <w:rFonts w:ascii="Cambria Math" w:hAnsi="Cambria Math"/>
                <w:lang w:val="en-AU"/>
              </w:rPr>
              <m:t>ρ</m:t>
            </m:r>
            <m:ctrlPr>
              <w:rPr>
                <w:rFonts w:ascii="Cambria Math" w:hAnsi="Cambria Math"/>
                <w:lang w:val="en-AU"/>
              </w:rPr>
            </m:ctrlPr>
          </m:e>
          <m:sub>
            <m:r>
              <m:rPr>
                <m:sty m:val="p"/>
              </m:rPr>
              <w:rPr>
                <w:rFonts w:ascii="Cambria Math" w:hAnsi="Cambria Math"/>
                <w:lang w:val="en-AU"/>
              </w:rPr>
              <m:t>c</m:t>
            </m:r>
            <m:ctrlPr>
              <w:rPr>
                <w:rFonts w:ascii="Cambria Math" w:hAnsi="Cambria Math"/>
                <w:lang w:val="en-AU"/>
              </w:rPr>
            </m:ctrlPr>
          </m:sub>
        </m:sSub>
      </m:oMath>
      <w:r>
        <w:rPr>
          <w:lang w:val="en-AU"/>
        </w:rPr>
        <w:t xml:space="preserve"> are the densities of fine clasts </w:t>
      </w:r>
      <w:r>
        <w:rPr>
          <w:rFonts w:eastAsia="Arial" w:cs="Arial"/>
          <w:szCs w:val="21"/>
        </w:rPr>
        <w:t>and</w:t>
      </w:r>
      <w:r>
        <w:rPr>
          <w:lang w:val="en-AU"/>
        </w:rPr>
        <w:t xml:space="preserve"> limestones, respectively. The density of typical sediments of 1.8 ± 0.1 g/cm</w:t>
      </w:r>
      <w:r>
        <w:rPr>
          <w:vertAlign w:val="superscript"/>
          <w:lang w:val="en-AU"/>
        </w:rPr>
        <w:t>3</w:t>
      </w:r>
      <w:r>
        <w:rPr>
          <w:lang w:val="en-AU"/>
        </w:rPr>
        <w:t xml:space="preserve"> is taken as the value of </w:t>
      </w:r>
      <m:oMath>
        <m:sSub>
          <m:sSubPr>
            <m:ctrlPr>
              <w:rPr>
                <w:rFonts w:ascii="Cambria Math" w:hAnsi="Cambria Math"/>
                <w:lang w:val="en-AU"/>
              </w:rPr>
            </m:ctrlPr>
          </m:sSubPr>
          <m:e>
            <m:r>
              <m:rPr>
                <m:sty m:val="p"/>
              </m:rPr>
              <w:rPr>
                <w:rFonts w:ascii="Cambria Math" w:hAnsi="Cambria Math"/>
                <w:lang w:val="en-AU"/>
              </w:rPr>
              <m:t>ρ</m:t>
            </m:r>
            <m:ctrlPr>
              <w:rPr>
                <w:rFonts w:ascii="Cambria Math" w:hAnsi="Cambria Math"/>
                <w:lang w:val="en-AU"/>
              </w:rPr>
            </m:ctrlPr>
          </m:e>
          <m:sub>
            <m:r>
              <m:rPr>
                <m:sty m:val="p"/>
              </m:rPr>
              <w:rPr>
                <w:rFonts w:ascii="Cambria Math" w:hAnsi="Cambria Math"/>
                <w:lang w:val="en-AU"/>
              </w:rPr>
              <m:t>s</m:t>
            </m:r>
            <m:ctrlPr>
              <w:rPr>
                <w:rFonts w:ascii="Cambria Math" w:hAnsi="Cambria Math"/>
                <w:lang w:val="en-AU"/>
              </w:rPr>
            </m:ctrlPr>
          </m:sub>
        </m:sSub>
      </m:oMath>
      <w:r>
        <w:rPr>
          <w:lang w:val="en-AU"/>
        </w:rPr>
        <w:t>, and a value of 2.5 g/cm</w:t>
      </w:r>
      <w:r>
        <w:rPr>
          <w:vertAlign w:val="superscript"/>
          <w:lang w:val="en-AU"/>
        </w:rPr>
        <w:t>3</w:t>
      </w:r>
      <w:r>
        <w:rPr>
          <w:lang w:val="en-AU"/>
        </w:rPr>
        <w:t xml:space="preserve"> is taken for limestone (</w:t>
      </w:r>
      <m:oMath>
        <m:sSub>
          <m:sSubPr>
            <m:ctrlPr>
              <w:rPr>
                <w:rFonts w:ascii="Cambria Math" w:hAnsi="Cambria Math"/>
                <w:lang w:val="en-AU"/>
              </w:rPr>
            </m:ctrlPr>
          </m:sSubPr>
          <m:e>
            <m:r>
              <m:rPr>
                <m:sty m:val="p"/>
              </m:rPr>
              <w:rPr>
                <w:rFonts w:ascii="Cambria Math" w:hAnsi="Cambria Math"/>
                <w:lang w:val="en-AU"/>
              </w:rPr>
              <m:t>ρ</m:t>
            </m:r>
            <m:ctrlPr>
              <w:rPr>
                <w:rFonts w:ascii="Cambria Math" w:hAnsi="Cambria Math"/>
                <w:lang w:val="en-AU"/>
              </w:rPr>
            </m:ctrlPr>
          </m:e>
          <m:sub>
            <m:r>
              <m:rPr>
                <m:sty m:val="p"/>
              </m:rPr>
              <w:rPr>
                <w:rFonts w:ascii="Cambria Math" w:hAnsi="Cambria Math"/>
                <w:lang w:val="en-AU"/>
              </w:rPr>
              <m:t>c</m:t>
            </m:r>
            <m:ctrlPr>
              <w:rPr>
                <w:rFonts w:ascii="Cambria Math" w:hAnsi="Cambria Math"/>
                <w:lang w:val="en-AU"/>
              </w:rPr>
            </m:ctrlPr>
          </m:sub>
        </m:sSub>
      </m:oMath>
      <w:r>
        <w:rPr>
          <w:lang w:val="en-AU"/>
        </w:rPr>
        <w:t xml:space="preserve">). The value of </w:t>
      </w:r>
      <m:oMath>
        <m:sSub>
          <m:sSubPr>
            <m:ctrlPr>
              <w:rPr>
                <w:rFonts w:ascii="Cambria Math" w:hAnsi="Cambria Math"/>
                <w:lang w:val="en-AU"/>
              </w:rPr>
            </m:ctrlPr>
          </m:sSubPr>
          <m:e>
            <m:r>
              <m:rPr>
                <m:sty m:val="p"/>
              </m:rPr>
              <w:rPr>
                <w:rFonts w:ascii="Cambria Math" w:hAnsi="Cambria Math"/>
                <w:lang w:val="en-AU"/>
              </w:rPr>
              <m:t>f</m:t>
            </m:r>
            <m:ctrlPr>
              <w:rPr>
                <w:rFonts w:ascii="Cambria Math" w:hAnsi="Cambria Math"/>
                <w:lang w:val="en-AU"/>
              </w:rPr>
            </m:ctrlPr>
          </m:e>
          <m:sub>
            <m:r>
              <m:rPr>
                <m:sty m:val="p"/>
              </m:rPr>
              <w:rPr>
                <w:rFonts w:ascii="Cambria Math" w:hAnsi="Cambria Math"/>
                <w:lang w:val="en-AU"/>
              </w:rPr>
              <m:t>c</m:t>
            </m:r>
            <m:ctrlPr>
              <w:rPr>
                <w:rFonts w:ascii="Cambria Math" w:hAnsi="Cambria Math"/>
                <w:lang w:val="en-AU"/>
              </w:rPr>
            </m:ctrlPr>
          </m:sub>
        </m:sSub>
      </m:oMath>
      <w:r>
        <w:rPr>
          <w:lang w:val="en-AU"/>
        </w:rPr>
        <w:t xml:space="preserve"> for each layer is based on field observations and stratigraphic analysis; the value ranges from 0 for the deeper layers (Layer 14 and below) to ~90% for the layers 7, 9 and 11 (</w:t>
      </w:r>
      <w:r>
        <w:rPr>
          <w:color w:val="0000FF"/>
        </w:rPr>
        <w:fldChar w:fldCharType="begin"/>
      </w:r>
      <w:r>
        <w:rPr>
          <w:color w:val="0000FF"/>
        </w:rPr>
        <w:instrText xml:space="preserve"> REF  _Ref208052476 \h  \* MERGEFORMAT </w:instrText>
      </w:r>
      <w:r>
        <w:rPr>
          <w:color w:val="0000FF"/>
        </w:rPr>
        <w:fldChar w:fldCharType="separate"/>
      </w:r>
      <w:r>
        <w:rPr>
          <w:color w:val="0000FF"/>
        </w:rPr>
        <w:t xml:space="preserve">Supplementary Table </w:t>
      </w:r>
      <w:r>
        <w:rPr>
          <w:rFonts w:hint="eastAsia"/>
          <w:color w:val="0000FF"/>
          <w:lang w:val="en-US" w:eastAsia="zh-CN"/>
        </w:rPr>
        <w:t>1</w:t>
      </w:r>
      <w:r>
        <w:rPr>
          <w:color w:val="0000FF"/>
        </w:rPr>
        <w:fldChar w:fldCharType="end"/>
      </w:r>
      <w:r>
        <w:rPr>
          <w:lang w:val="en-AU"/>
        </w:rPr>
        <w:t xml:space="preserve">). The contribution of gamma dose rate from each layer to the other layers was then calculated using the method </w:t>
      </w:r>
      <w:r>
        <w:rPr>
          <w:rFonts w:hint="eastAsia"/>
          <w:lang w:val="en-US" w:eastAsia="zh-CN"/>
        </w:rPr>
        <w:t>described by Aitken</w:t>
      </w:r>
      <w:r>
        <w:rPr>
          <w:color w:val="000000" w:themeColor="text1"/>
          <w:vertAlign w:val="superscript"/>
          <w14:textFill>
            <w14:solidFill>
              <w14:schemeClr w14:val="tx1"/>
            </w14:solidFill>
          </w14:textFill>
        </w:rPr>
        <w:t>2</w:t>
      </w:r>
      <w:r>
        <w:rPr>
          <w:lang w:val="en-AU"/>
        </w:rPr>
        <w:t xml:space="preserve">. The modelled gamma dose rates are plotted against depth in </w:t>
      </w:r>
      <w:r>
        <w:rPr>
          <w:color w:val="0000FF"/>
          <w:highlight w:val="yellow"/>
          <w:lang w:val="en-AU"/>
        </w:rPr>
        <w:fldChar w:fldCharType="begin"/>
      </w:r>
      <w:r>
        <w:rPr>
          <w:color w:val="0000FF"/>
          <w:highlight w:val="yellow"/>
          <w:lang w:val="en-AU"/>
        </w:rPr>
        <w:instrText xml:space="preserve"> REF _Ref208053139 \h </w:instrText>
      </w:r>
      <w:r>
        <w:rPr>
          <w:color w:val="0000FF"/>
          <w:highlight w:val="yellow"/>
          <w:lang w:val="en-AU"/>
        </w:rPr>
        <w:fldChar w:fldCharType="separate"/>
      </w:r>
      <w:r>
        <w:rPr>
          <w:rFonts w:hint="eastAsia"/>
          <w:color w:val="0000FF"/>
          <w:lang w:eastAsia="zh-CN"/>
        </w:rPr>
        <w:t>Supplementary Fig.</w:t>
      </w:r>
      <w:r>
        <w:rPr>
          <w:color w:val="0000FF"/>
        </w:rPr>
        <w:t xml:space="preserve"> </w:t>
      </w:r>
      <w:r>
        <w:rPr>
          <w:rFonts w:hint="eastAsia"/>
          <w:color w:val="0000FF"/>
          <w:lang w:val="en-US" w:eastAsia="zh-CN"/>
        </w:rPr>
        <w:t>1</w:t>
      </w:r>
      <w:r>
        <w:rPr>
          <w:color w:val="0000FF"/>
          <w:highlight w:val="yellow"/>
          <w:lang w:val="en-AU"/>
        </w:rPr>
        <w:fldChar w:fldCharType="end"/>
      </w:r>
      <w:r>
        <w:rPr>
          <w:lang w:val="en-AU"/>
        </w:rPr>
        <w:t>. The values corresponding to the sampling depths of the OSL samples were adopted for age calculation (</w:t>
      </w:r>
      <w:r>
        <w:rPr>
          <w:color w:val="0000FF"/>
          <w:lang w:val="en-AU"/>
        </w:rPr>
        <w:fldChar w:fldCharType="begin"/>
      </w:r>
      <w:r>
        <w:rPr>
          <w:color w:val="0000FF"/>
          <w:lang w:val="en-AU"/>
        </w:rPr>
        <w:instrText xml:space="preserve"> REF _Ref208053383 \h </w:instrText>
      </w:r>
      <w:r>
        <w:rPr>
          <w:color w:val="0000FF"/>
          <w:lang w:val="en-AU"/>
        </w:rPr>
        <w:fldChar w:fldCharType="separate"/>
      </w:r>
      <w:r>
        <w:rPr>
          <w:color w:val="0000FF"/>
        </w:rPr>
        <w:t xml:space="preserve">Supplementary Table </w:t>
      </w:r>
      <w:r>
        <w:rPr>
          <w:rFonts w:hint="eastAsia"/>
          <w:color w:val="0000FF"/>
          <w:lang w:val="en-US" w:eastAsia="zh-CN"/>
        </w:rPr>
        <w:t>2</w:t>
      </w:r>
      <w:r>
        <w:rPr>
          <w:color w:val="0000FF"/>
          <w:lang w:val="en-AU"/>
        </w:rPr>
        <w:fldChar w:fldCharType="end"/>
      </w:r>
      <w:r>
        <w:rPr>
          <w:lang w:val="en-AU"/>
        </w:rPr>
        <w:t>).</w:t>
      </w:r>
    </w:p>
    <w:p w14:paraId="25A93F4A">
      <w:pPr>
        <w:pStyle w:val="22"/>
        <w:ind w:firstLine="240" w:firstLineChars="100"/>
        <w:jc w:val="both"/>
      </w:pPr>
      <w:r>
        <w:rPr>
          <w:kern w:val="2"/>
        </w:rPr>
        <w:t xml:space="preserve">Both the gamma and beta dose rates were corrected for attenuation by water using the measured </w:t>
      </w:r>
      <w:r>
        <w:rPr>
          <w:i/>
          <w:iCs/>
          <w:kern w:val="2"/>
        </w:rPr>
        <w:t>in</w:t>
      </w:r>
      <w:r>
        <w:rPr>
          <w:rFonts w:hint="eastAsia"/>
          <w:i/>
          <w:iCs/>
          <w:kern w:val="2"/>
          <w:lang w:val="en-US" w:eastAsia="zh-CN"/>
        </w:rPr>
        <w:t xml:space="preserve"> </w:t>
      </w:r>
      <w:r>
        <w:rPr>
          <w:i/>
          <w:iCs/>
          <w:kern w:val="2"/>
        </w:rPr>
        <w:t>situ</w:t>
      </w:r>
      <w:r>
        <w:rPr>
          <w:kern w:val="2"/>
        </w:rPr>
        <w:t xml:space="preserve"> water content for each layer. A relative standard error of 25% </w:t>
      </w:r>
      <w:r>
        <w:rPr>
          <w:rFonts w:hint="eastAsia"/>
          <w:kern w:val="2"/>
        </w:rPr>
        <w:t>are</w:t>
      </w:r>
      <w:r>
        <w:rPr>
          <w:kern w:val="2"/>
        </w:rPr>
        <w:t xml:space="preserve"> assumed for the water content to capture possible fluctuation of water content in the past. Attenuation of the beta dose rate as a function of grain size was corrected using the coefficient factors </w:t>
      </w:r>
      <w:r>
        <w:rPr>
          <w:rFonts w:hint="eastAsia"/>
          <w:kern w:val="2"/>
          <w:lang w:val="en-US" w:eastAsia="zh-CN"/>
        </w:rPr>
        <w:t>proposed by Brennan</w:t>
      </w:r>
      <w:r>
        <w:rPr>
          <w:color w:val="000000" w:themeColor="text1"/>
          <w:vertAlign w:val="superscript"/>
          <w14:textFill>
            <w14:solidFill>
              <w14:schemeClr w14:val="tx1"/>
            </w14:solidFill>
          </w14:textFill>
        </w:rPr>
        <w:t>3</w:t>
      </w:r>
      <w:r>
        <w:rPr>
          <w:kern w:val="2"/>
        </w:rPr>
        <w:t xml:space="preserve">. The dosimetry results are summarized in </w:t>
      </w:r>
      <w:r>
        <w:rPr>
          <w:color w:val="0000FF"/>
          <w:kern w:val="2"/>
        </w:rPr>
        <w:fldChar w:fldCharType="begin"/>
      </w:r>
      <w:r>
        <w:rPr>
          <w:color w:val="0000FF"/>
          <w:kern w:val="2"/>
        </w:rPr>
        <w:instrText xml:space="preserve"> REF _Ref208053383 \h  \* MERGEFORMAT </w:instrText>
      </w:r>
      <w:r>
        <w:rPr>
          <w:color w:val="0000FF"/>
          <w:kern w:val="2"/>
        </w:rPr>
        <w:fldChar w:fldCharType="separate"/>
      </w:r>
      <w:r>
        <w:rPr>
          <w:color w:val="0000FF"/>
        </w:rPr>
        <w:t xml:space="preserve">Supplementary Table </w:t>
      </w:r>
      <w:r>
        <w:rPr>
          <w:rFonts w:hint="eastAsia"/>
          <w:color w:val="0000FF"/>
          <w:lang w:val="en-US" w:eastAsia="zh-CN"/>
        </w:rPr>
        <w:t>2</w:t>
      </w:r>
      <w:r>
        <w:rPr>
          <w:color w:val="0000FF"/>
          <w:kern w:val="2"/>
        </w:rPr>
        <w:fldChar w:fldCharType="end"/>
      </w:r>
      <w:r>
        <w:rPr>
          <w:kern w:val="2"/>
        </w:rPr>
        <w:t xml:space="preserve">. The beta dose rates fall within a small range </w:t>
      </w:r>
      <w:r>
        <w:rPr>
          <w:rFonts w:hint="eastAsia"/>
          <w:kern w:val="2"/>
          <w:lang w:val="en-US" w:eastAsia="zh-CN"/>
        </w:rPr>
        <w:t xml:space="preserve">comprised </w:t>
      </w:r>
      <w:r>
        <w:rPr>
          <w:kern w:val="2"/>
        </w:rPr>
        <w:t>between 1.0 to 1.3 Gy/ka. The modelled gamma dose rate ranges from 0.2 Gy/ka for layer 7 to 1.1 Gy/ka for layer 14. The low gamma dose rates for Layers 7–10 are due to the large fraction of limestones present in the layers (</w:t>
      </w:r>
      <w:r>
        <w:rPr>
          <w:color w:val="0000FF"/>
          <w:kern w:val="2"/>
        </w:rPr>
        <w:fldChar w:fldCharType="begin"/>
      </w:r>
      <w:r>
        <w:rPr>
          <w:color w:val="0000FF"/>
          <w:kern w:val="2"/>
        </w:rPr>
        <w:instrText xml:space="preserve"> REF _Ref208052476 \h </w:instrText>
      </w:r>
      <w:r>
        <w:rPr>
          <w:color w:val="0000FF"/>
          <w:kern w:val="2"/>
        </w:rPr>
        <w:fldChar w:fldCharType="separate"/>
      </w:r>
      <w:r>
        <w:rPr>
          <w:color w:val="0000FF"/>
        </w:rPr>
        <w:t xml:space="preserve">Supplementary Table </w:t>
      </w:r>
      <w:r>
        <w:rPr>
          <w:rFonts w:hint="eastAsia"/>
          <w:color w:val="0000FF"/>
          <w:lang w:val="en-US" w:eastAsia="zh-CN"/>
        </w:rPr>
        <w:t>1</w:t>
      </w:r>
      <w:r>
        <w:rPr>
          <w:color w:val="0000FF"/>
          <w:kern w:val="2"/>
        </w:rPr>
        <w:fldChar w:fldCharType="end"/>
      </w:r>
      <w:r>
        <w:rPr>
          <w:color w:val="0000FF"/>
          <w:kern w:val="2"/>
        </w:rPr>
        <w:t>; Extended Data Fig. 1d</w:t>
      </w:r>
      <w:r>
        <w:rPr>
          <w:kern w:val="2"/>
        </w:rPr>
        <w:t>).</w:t>
      </w:r>
    </w:p>
    <w:p w14:paraId="68EDD2AC">
      <w:pPr>
        <w:pStyle w:val="4"/>
        <w:rPr>
          <w:snapToGrid w:val="0"/>
        </w:rPr>
      </w:pPr>
      <w:r>
        <w:rPr>
          <w:snapToGrid w:val="0"/>
        </w:rPr>
        <w:t>D</w:t>
      </w:r>
      <w:r>
        <w:rPr>
          <w:snapToGrid w:val="0"/>
          <w:vertAlign w:val="subscript"/>
        </w:rPr>
        <w:t>e</w:t>
      </w:r>
      <w:r>
        <w:rPr>
          <w:snapToGrid w:val="0"/>
        </w:rPr>
        <w:t xml:space="preserve"> and age determination</w:t>
      </w:r>
    </w:p>
    <w:p w14:paraId="5A0C93A8">
      <w:pPr>
        <w:jc w:val="both"/>
        <w:rPr>
          <w:lang w:eastAsia="en-US"/>
        </w:rPr>
      </w:pPr>
      <w:r>
        <w:rPr>
          <w:rFonts w:hint="eastAsia"/>
          <w:lang w:val="en-US" w:eastAsia="zh-CN"/>
        </w:rPr>
        <w:t>T</w:t>
      </w:r>
      <w:r>
        <w:rPr>
          <w:lang w:eastAsia="en-US"/>
        </w:rPr>
        <w:t>o select the most reliable D</w:t>
      </w:r>
      <w:r>
        <w:rPr>
          <w:vertAlign w:val="subscript"/>
          <w:lang w:eastAsia="en-US"/>
        </w:rPr>
        <w:t>e</w:t>
      </w:r>
      <w:r>
        <w:rPr>
          <w:lang w:eastAsia="en-US"/>
        </w:rPr>
        <w:t xml:space="preserve"> results, several quality-assurance rejection criteria were adopted.</w:t>
      </w:r>
      <w:r>
        <w:t xml:space="preserve"> </w:t>
      </w:r>
      <w:r>
        <w:rPr>
          <w:lang w:eastAsia="en-US"/>
        </w:rPr>
        <w:t xml:space="preserve">Grains were rejected if they exhibited one or more of the following properties. </w:t>
      </w:r>
    </w:p>
    <w:p w14:paraId="2F898360">
      <w:pPr>
        <w:ind w:firstLine="480" w:firstLineChars="200"/>
        <w:jc w:val="both"/>
      </w:pPr>
      <w:r>
        <w:t>(1) The initial intensity of test-dose signal (T</w:t>
      </w:r>
      <w:r>
        <w:rPr>
          <w:vertAlign w:val="subscript"/>
        </w:rPr>
        <w:t>n</w:t>
      </w:r>
      <w:r>
        <w:t xml:space="preserve">) was below the instrument detection limit, defined as 3σ below the background intensity, and/or has a relative standard error more than 25%. </w:t>
      </w:r>
    </w:p>
    <w:p w14:paraId="4981D091">
      <w:pPr>
        <w:ind w:firstLine="480" w:firstLineChars="200"/>
        <w:jc w:val="both"/>
      </w:pPr>
      <w:r>
        <w:t>(2) The ratio between the L</w:t>
      </w:r>
      <w:r>
        <w:rPr>
          <w:vertAlign w:val="subscript"/>
        </w:rPr>
        <w:t>x</w:t>
      </w:r>
      <w:r>
        <w:t>/T</w:t>
      </w:r>
      <w:r>
        <w:rPr>
          <w:vertAlign w:val="subscript"/>
        </w:rPr>
        <w:t>x</w:t>
      </w:r>
      <w:r>
        <w:t xml:space="preserve"> values of the duplicate regenerative doses (i.e., recycling ratio) is outside the range of 0.9–1.1. </w:t>
      </w:r>
    </w:p>
    <w:p w14:paraId="142B2A96">
      <w:pPr>
        <w:ind w:firstLine="480" w:firstLineChars="200"/>
        <w:jc w:val="both"/>
      </w:pPr>
      <w:r>
        <w:t>(3) The ratio between the L</w:t>
      </w:r>
      <w:r>
        <w:rPr>
          <w:vertAlign w:val="subscript"/>
        </w:rPr>
        <w:t>x</w:t>
      </w:r>
      <w:r>
        <w:t>/T</w:t>
      </w:r>
      <w:r>
        <w:rPr>
          <w:vertAlign w:val="subscript"/>
        </w:rPr>
        <w:t>x</w:t>
      </w:r>
      <w:r>
        <w:t xml:space="preserve"> values of the zero dose and the largest regenerative dose is more than 5%. </w:t>
      </w:r>
    </w:p>
    <w:p w14:paraId="570D8326">
      <w:pPr>
        <w:ind w:firstLine="480" w:firstLineChars="200"/>
        <w:jc w:val="both"/>
      </w:pPr>
      <w:r>
        <w:t>(4) Poor dose response curve (e.g., the L</w:t>
      </w:r>
      <w:r>
        <w:rPr>
          <w:vertAlign w:val="subscript"/>
        </w:rPr>
        <w:t>x</w:t>
      </w:r>
      <w:r>
        <w:t>/T</w:t>
      </w:r>
      <w:r>
        <w:rPr>
          <w:vertAlign w:val="subscript"/>
        </w:rPr>
        <w:t>x</w:t>
      </w:r>
      <w:r>
        <w:t xml:space="preserve"> values are too scattered to allow a suitable fitted function). The goodness-of-fit was assessed using the figure-of-merit (FOM) and reduced</w:t>
      </w:r>
      <w:r>
        <w:rPr>
          <w:rFonts w:hint="eastAsia"/>
          <w:lang w:val="en-US" w:eastAsia="zh-CN"/>
        </w:rPr>
        <w:t xml:space="preserve"> </w:t>
      </w:r>
      <w:r>
        <w:t>chi</w:t>
      </w:r>
      <w:r>
        <w:rPr>
          <w:rFonts w:hint="eastAsia"/>
          <w:lang w:val="en-US" w:eastAsia="zh-CN"/>
        </w:rPr>
        <w:t>-</w:t>
      </w:r>
      <w:r>
        <w:t>square (RCS)</w:t>
      </w:r>
      <w:r>
        <w:rPr>
          <w:vertAlign w:val="superscript"/>
        </w:rPr>
        <w:t>4</w:t>
      </w:r>
      <w:r>
        <w:rPr>
          <w:rFonts w:hint="eastAsia"/>
        </w:rPr>
        <w:t xml:space="preserve"> </w:t>
      </w:r>
      <w:r>
        <w:t>with upper limits of 10% for the FOM and 5 for the RCS.</w:t>
      </w:r>
    </w:p>
    <w:p w14:paraId="3C6D2DA9">
      <w:pPr>
        <w:ind w:firstLine="480" w:firstLineChars="200"/>
        <w:jc w:val="both"/>
      </w:pPr>
      <w:r>
        <w:t>(5) Natural signals (L</w:t>
      </w:r>
      <w:r>
        <w:rPr>
          <w:vertAlign w:val="subscript"/>
        </w:rPr>
        <w:t>n</w:t>
      </w:r>
      <w:r>
        <w:t>/T</w:t>
      </w:r>
      <w:r>
        <w:rPr>
          <w:vertAlign w:val="subscript"/>
        </w:rPr>
        <w:t>n</w:t>
      </w:r>
      <w:r>
        <w:t>) are ‘saturated’, e.g., L</w:t>
      </w:r>
      <w:r>
        <w:rPr>
          <w:vertAlign w:val="subscript"/>
        </w:rPr>
        <w:t>n</w:t>
      </w:r>
      <w:r>
        <w:t>/T</w:t>
      </w:r>
      <w:r>
        <w:rPr>
          <w:vertAlign w:val="subscript"/>
        </w:rPr>
        <w:t>n</w:t>
      </w:r>
      <w:r>
        <w:t xml:space="preserve"> is statistically (at 2σ) equal to or greater than the saturation level of the corresponding DRC. </w:t>
      </w:r>
    </w:p>
    <w:p w14:paraId="437D729A">
      <w:pPr>
        <w:pStyle w:val="22"/>
        <w:jc w:val="both"/>
      </w:pPr>
      <w:r>
        <w:t>The quartz OSL signals of all the samples are generally bright and fast-</w:t>
      </w:r>
      <w:r>
        <w:rPr>
          <w:rFonts w:cs="Arial"/>
          <w:snapToGrid w:val="0"/>
          <w:szCs w:val="21"/>
        </w:rPr>
        <w:t>component</w:t>
      </w:r>
      <w:r>
        <w:t xml:space="preserve"> dominant. </w:t>
      </w:r>
      <w:r>
        <w:rPr>
          <w:color w:val="0000FF"/>
        </w:rPr>
        <w:fldChar w:fldCharType="begin"/>
      </w:r>
      <w:r>
        <w:rPr>
          <w:color w:val="0000FF"/>
        </w:rPr>
        <w:instrText xml:space="preserve"> REF _Ref208053621 \h  \* MERGEFORMAT </w:instrText>
      </w:r>
      <w:r>
        <w:rPr>
          <w:color w:val="0000FF"/>
        </w:rPr>
        <w:fldChar w:fldCharType="separate"/>
      </w:r>
      <w:r>
        <w:rPr>
          <w:rFonts w:hint="eastAsia"/>
          <w:color w:val="0000FF"/>
          <w:lang w:eastAsia="zh-CN"/>
        </w:rPr>
        <w:t>Supplementary Fig.</w:t>
      </w:r>
      <w:r>
        <w:rPr>
          <w:color w:val="0000FF"/>
        </w:rPr>
        <w:t xml:space="preserve"> </w:t>
      </w:r>
      <w:r>
        <w:rPr>
          <w:rFonts w:hint="eastAsia"/>
          <w:color w:val="0000FF"/>
          <w:lang w:val="en-US" w:eastAsia="zh-CN"/>
        </w:rPr>
        <w:t>2</w:t>
      </w:r>
      <w:r>
        <w:rPr>
          <w:color w:val="0000FF"/>
        </w:rPr>
        <w:fldChar w:fldCharType="end"/>
      </w:r>
      <w:r>
        <w:rPr>
          <w:color w:val="0000FF"/>
        </w:rPr>
        <w:t>a-c</w:t>
      </w:r>
      <w:r>
        <w:rPr>
          <w:color w:val="0432FF"/>
        </w:rPr>
        <w:t xml:space="preserve"> </w:t>
      </w:r>
      <w:r>
        <w:t>shows typical OSL decay curves of the T</w:t>
      </w:r>
      <w:r>
        <w:rPr>
          <w:vertAlign w:val="subscript"/>
        </w:rPr>
        <w:t>n</w:t>
      </w:r>
      <w:r>
        <w:t xml:space="preserve"> signals of several grains from three samples (BFD-OSL2, -OSL7 and -OSL10). The OSL signal decay to a negligible background level within the first 0.5 s stimulation, although the </w:t>
      </w:r>
      <w:r>
        <w:rPr>
          <w:rFonts w:cs="Arial"/>
          <w:snapToGrid w:val="0"/>
          <w:szCs w:val="21"/>
        </w:rPr>
        <w:t>intensity</w:t>
      </w:r>
      <w:r>
        <w:t xml:space="preserve"> of the signal varies significantly (from a few tens of counts to several thousand of counts per 0.1 s). The accumulative light sum of the T</w:t>
      </w:r>
      <w:r>
        <w:rPr>
          <w:vertAlign w:val="subscript"/>
        </w:rPr>
        <w:t>n</w:t>
      </w:r>
      <w:r>
        <w:t xml:space="preserve"> net OSL signals shows that about 20% of the grains contribute to ~80% of total OSL signals (</w:t>
      </w:r>
      <w:r>
        <w:rPr>
          <w:color w:val="0000FF"/>
        </w:rPr>
        <w:fldChar w:fldCharType="begin"/>
      </w:r>
      <w:r>
        <w:rPr>
          <w:color w:val="0000FF"/>
        </w:rPr>
        <w:instrText xml:space="preserve"> REF _Ref208053621 \h  \* MERGEFORMAT </w:instrText>
      </w:r>
      <w:r>
        <w:rPr>
          <w:color w:val="0000FF"/>
        </w:rPr>
        <w:fldChar w:fldCharType="separate"/>
      </w:r>
      <w:r>
        <w:rPr>
          <w:rFonts w:hint="eastAsia"/>
          <w:color w:val="0000FF"/>
          <w:lang w:eastAsia="zh-CN"/>
        </w:rPr>
        <w:t>Supplementary Fig.</w:t>
      </w:r>
      <w:r>
        <w:rPr>
          <w:color w:val="0000FF"/>
        </w:rPr>
        <w:t xml:space="preserve"> </w:t>
      </w:r>
      <w:r>
        <w:rPr>
          <w:rFonts w:hint="eastAsia"/>
          <w:color w:val="0000FF"/>
          <w:lang w:val="en-US" w:eastAsia="zh-CN"/>
        </w:rPr>
        <w:t>2</w:t>
      </w:r>
      <w:r>
        <w:rPr>
          <w:color w:val="0000FF"/>
        </w:rPr>
        <w:fldChar w:fldCharType="end"/>
      </w:r>
      <w:r>
        <w:rPr>
          <w:color w:val="0000FF"/>
        </w:rPr>
        <w:t>a-c</w:t>
      </w:r>
      <w:r>
        <w:t>).</w:t>
      </w:r>
    </w:p>
    <w:p w14:paraId="3EA25F5A">
      <w:pPr>
        <w:pStyle w:val="22"/>
        <w:jc w:val="both"/>
      </w:pPr>
      <w:r>
        <w:rPr>
          <w:rFonts w:eastAsia="Times New Roman"/>
          <w:lang w:eastAsia="en-US"/>
        </w:rPr>
        <w:t xml:space="preserve">We </w:t>
      </w:r>
      <w:r>
        <w:rPr>
          <w:rFonts w:hint="eastAsia"/>
          <w:lang w:val="en-US" w:eastAsia="zh-CN"/>
        </w:rPr>
        <w:t xml:space="preserve">evaluated </w:t>
      </w:r>
      <w:r>
        <w:t xml:space="preserve">the performance of SAR procedure based on a series of ‘dose recovery’ tests </w:t>
      </w:r>
      <w:r>
        <w:rPr>
          <w:rFonts w:cs="Arial"/>
          <w:snapToGrid w:val="0"/>
          <w:szCs w:val="21"/>
        </w:rPr>
        <w:t>using</w:t>
      </w:r>
      <w:r>
        <w:t xml:space="preserve"> different preheat conditions and given doses. In the tests, grains from three samples (BFD-OSL6, -OSL8 and -OSL10) were first bleached using blue LEDs at room temperature for 500 s. The grains were then stored at room temperature for 3 hours before another bleaching of 500 s using blue LEDs at room temperature. The bleached grains were then given different known doses (150, 200, 300 and 500 Gy, respectively) and then measured using the SAR procedure with different preheat temperatures (180, 200, 220, 240 and 260 </w:t>
      </w:r>
      <w:r>
        <w:rPr/>
        <w:sym w:font="Symbol" w:char="F0B0"/>
      </w:r>
      <w:r>
        <w:t xml:space="preserve">C for 10 s). For all the tests, we kept the same preheat of 160 </w:t>
      </w:r>
      <w:r>
        <w:rPr/>
        <w:sym w:font="Symbol" w:char="F0B0"/>
      </w:r>
      <w:r>
        <w:t>C for 5 s for all the test doses. To evaluate the performance of the dose recovery test, we used the signal recovery ratio</w:t>
      </w:r>
      <w:r>
        <w:rPr>
          <w:vertAlign w:val="superscript"/>
        </w:rPr>
        <w:t>5,6</w:t>
      </w:r>
      <w:r>
        <w:t>, which is calculated as the ratio between the ‘L</w:t>
      </w:r>
      <w:r>
        <w:rPr>
          <w:vertAlign w:val="subscript"/>
        </w:rPr>
        <w:t>n</w:t>
      </w:r>
      <w:r>
        <w:t>/T</w:t>
      </w:r>
      <w:r>
        <w:rPr>
          <w:vertAlign w:val="subscript"/>
        </w:rPr>
        <w:t>n</w:t>
      </w:r>
      <w:r>
        <w:t>’ of the given dose and the L</w:t>
      </w:r>
      <w:r>
        <w:rPr>
          <w:vertAlign w:val="subscript"/>
        </w:rPr>
        <w:t>x</w:t>
      </w:r>
      <w:r>
        <w:t>/T</w:t>
      </w:r>
      <w:r>
        <w:rPr>
          <w:vertAlign w:val="subscript"/>
        </w:rPr>
        <w:t>x</w:t>
      </w:r>
      <w:r>
        <w:t xml:space="preserve"> of the regenerative</w:t>
      </w:r>
      <w:r>
        <w:rPr>
          <w:rFonts w:hint="eastAsia"/>
          <w:lang w:val="en-US" w:eastAsia="zh-CN"/>
        </w:rPr>
        <w:t xml:space="preserve"> </w:t>
      </w:r>
      <w:r>
        <w:t xml:space="preserve">dose of the same size. The results are plotted against the preheat temperature in </w:t>
      </w:r>
      <w:r>
        <w:rPr>
          <w:color w:val="0000FF"/>
        </w:rPr>
        <w:fldChar w:fldCharType="begin"/>
      </w:r>
      <w:r>
        <w:rPr>
          <w:color w:val="0000FF"/>
        </w:rPr>
        <w:instrText xml:space="preserve"> REF _Ref208053621 \h </w:instrText>
      </w:r>
      <w:r>
        <w:rPr>
          <w:color w:val="0000FF"/>
        </w:rPr>
        <w:fldChar w:fldCharType="separate"/>
      </w:r>
      <w:r>
        <w:rPr>
          <w:rFonts w:hint="eastAsia"/>
          <w:color w:val="0000FF"/>
          <w:lang w:eastAsia="zh-CN"/>
        </w:rPr>
        <w:t>Supplementary Fig.</w:t>
      </w:r>
      <w:r>
        <w:rPr>
          <w:color w:val="0000FF"/>
        </w:rPr>
        <w:t xml:space="preserve"> </w:t>
      </w:r>
      <w:r>
        <w:rPr>
          <w:rFonts w:hint="eastAsia"/>
          <w:color w:val="0000FF"/>
          <w:lang w:val="en-US" w:eastAsia="zh-CN"/>
        </w:rPr>
        <w:t>2</w:t>
      </w:r>
      <w:r>
        <w:rPr>
          <w:color w:val="0000FF"/>
        </w:rPr>
        <w:fldChar w:fldCharType="end"/>
      </w:r>
      <w:r>
        <w:rPr>
          <w:color w:val="0432FF"/>
        </w:rPr>
        <w:t>d</w:t>
      </w:r>
      <w:r>
        <w:t xml:space="preserve">. </w:t>
      </w:r>
      <w:r>
        <w:rPr>
          <w:rFonts w:hint="eastAsia"/>
          <w:lang w:val="en-US" w:eastAsia="zh-CN"/>
        </w:rPr>
        <w:t>T</w:t>
      </w:r>
      <w:r>
        <w:t xml:space="preserve">he signals generated from known laboratory doses can be successfully recovered (within 5%) with a preheat temperature in the range from 200 to 240 </w:t>
      </w:r>
      <w:r>
        <w:rPr/>
        <w:sym w:font="Symbol" w:char="F0B0"/>
      </w:r>
      <w:r>
        <w:t xml:space="preserve">C. The weighted mean of all the signal recovery ratios obtained in this </w:t>
      </w:r>
      <w:r>
        <w:rPr>
          <w:rFonts w:hint="eastAsia"/>
          <w:lang w:val="en-US" w:eastAsia="zh-CN"/>
        </w:rPr>
        <w:t xml:space="preserve">temperature </w:t>
      </w:r>
      <w:r>
        <w:t xml:space="preserve">range is 1.01 </w:t>
      </w:r>
      <w:r>
        <w:rPr/>
        <w:sym w:font="Symbol" w:char="F0B1"/>
      </w:r>
      <w:r>
        <w:t xml:space="preserve"> 0.01. We, therefore, adopted a preheat </w:t>
      </w:r>
      <w:r>
        <w:rPr>
          <w:rFonts w:hint="eastAsia"/>
          <w:lang w:val="en-US" w:eastAsia="zh-CN"/>
        </w:rPr>
        <w:t xml:space="preserve">temperature </w:t>
      </w:r>
      <w:r>
        <w:t xml:space="preserve">of 220 </w:t>
      </w:r>
      <w:r>
        <w:rPr/>
        <w:sym w:font="Symbol" w:char="F0B0"/>
      </w:r>
      <w:r>
        <w:t xml:space="preserve">C for all the </w:t>
      </w:r>
      <w:r>
        <w:rPr>
          <w:rFonts w:hint="eastAsia"/>
          <w:lang w:val="en-US" w:eastAsia="zh-CN"/>
        </w:rPr>
        <w:t xml:space="preserve">subsequent </w:t>
      </w:r>
      <w:r>
        <w:t>samples.</w:t>
      </w:r>
    </w:p>
    <w:p w14:paraId="7630DEA0">
      <w:pPr>
        <w:pStyle w:val="22"/>
        <w:jc w:val="both"/>
      </w:pPr>
      <w:r>
        <w:t>Depending on the availability, from 300 to 1</w:t>
      </w:r>
      <w:r>
        <w:rPr>
          <w:rFonts w:hint="eastAsia"/>
          <w:lang w:val="en-US" w:eastAsia="zh-CN"/>
        </w:rPr>
        <w:t>,</w:t>
      </w:r>
      <w:r>
        <w:t xml:space="preserve">200 quartz grains were measured for each sample. The measured grains were analysed using the rejection criteria outlined above. </w:t>
      </w:r>
      <w:r>
        <w:rPr>
          <w:rFonts w:hint="eastAsia"/>
          <w:lang w:val="en-US" w:eastAsia="zh-CN"/>
        </w:rPr>
        <w:t>N</w:t>
      </w:r>
      <w:r>
        <w:t xml:space="preserve">umber of grains rejected by each of the criteria is summarized in </w:t>
      </w:r>
      <w:r>
        <w:rPr>
          <w:color w:val="0000FF"/>
        </w:rPr>
        <w:fldChar w:fldCharType="begin"/>
      </w:r>
      <w:r>
        <w:rPr>
          <w:color w:val="0000FF"/>
        </w:rPr>
        <w:instrText xml:space="preserve"> REF _Ref208053860 \h </w:instrText>
      </w:r>
      <w:r>
        <w:rPr>
          <w:color w:val="0000FF"/>
        </w:rPr>
        <w:fldChar w:fldCharType="separate"/>
      </w:r>
      <w:r>
        <w:rPr>
          <w:color w:val="0000FF"/>
        </w:rPr>
        <w:t xml:space="preserve">Supplementary Table </w:t>
      </w:r>
      <w:r>
        <w:rPr>
          <w:rFonts w:hint="eastAsia"/>
          <w:color w:val="0000FF"/>
          <w:lang w:val="en-US" w:eastAsia="zh-CN"/>
        </w:rPr>
        <w:t>3</w:t>
      </w:r>
      <w:r>
        <w:rPr>
          <w:color w:val="0000FF"/>
        </w:rPr>
        <w:fldChar w:fldCharType="end"/>
      </w:r>
      <w:r>
        <w:t>. From 24% to 56% of grains are rejected due to dim T</w:t>
      </w:r>
      <w:r>
        <w:rPr>
          <w:vertAlign w:val="subscript"/>
        </w:rPr>
        <w:t>n</w:t>
      </w:r>
      <w:r>
        <w:t xml:space="preserve"> signals. Among the grains that yielded sufficient T</w:t>
      </w:r>
      <w:r>
        <w:rPr>
          <w:vertAlign w:val="subscript"/>
        </w:rPr>
        <w:t>n</w:t>
      </w:r>
      <w:r>
        <w:t xml:space="preserve"> signals, 8% to 29% of them are rejected due to </w:t>
      </w:r>
      <w:r>
        <w:rPr>
          <w:rFonts w:cs="Arial"/>
          <w:snapToGrid w:val="0"/>
          <w:szCs w:val="21"/>
        </w:rPr>
        <w:t>poor</w:t>
      </w:r>
      <w:r>
        <w:t xml:space="preserve"> recycling ratios. </w:t>
      </w:r>
      <w:r>
        <w:rPr>
          <w:rFonts w:hint="eastAsia"/>
          <w:lang w:val="en-US" w:eastAsia="zh-CN"/>
        </w:rPr>
        <w:t>A low numbre of</w:t>
      </w:r>
      <w:r>
        <w:t xml:space="preserve"> grains (n=10 or less) </w:t>
      </w:r>
      <w:r>
        <w:rPr>
          <w:rFonts w:hint="eastAsia"/>
          <w:lang w:val="en-US" w:eastAsia="zh-CN"/>
        </w:rPr>
        <w:t>was</w:t>
      </w:r>
      <w:r>
        <w:t xml:space="preserve"> rejected because of recuperation greater than 5%. A significant proportion </w:t>
      </w:r>
      <w:r>
        <w:rPr>
          <w:rFonts w:hint="eastAsia"/>
          <w:lang w:val="en-US" w:eastAsia="zh-CN"/>
        </w:rPr>
        <w:t>ranging between</w:t>
      </w:r>
      <w:r>
        <w:t xml:space="preserve"> 14% </w:t>
      </w:r>
      <w:r>
        <w:rPr>
          <w:rFonts w:hint="eastAsia"/>
          <w:lang w:val="en-US" w:eastAsia="zh-CN"/>
        </w:rPr>
        <w:t>and</w:t>
      </w:r>
      <w:r>
        <w:t xml:space="preserve"> 46% of the </w:t>
      </w:r>
      <w:r>
        <w:rPr>
          <w:rFonts w:hint="eastAsia"/>
          <w:lang w:val="en-US" w:eastAsia="zh-CN"/>
        </w:rPr>
        <w:t>remaining</w:t>
      </w:r>
      <w:r>
        <w:t xml:space="preserve"> grains is further rejected </w:t>
      </w:r>
      <w:r>
        <w:rPr>
          <w:rFonts w:hint="eastAsia"/>
          <w:lang w:val="en-US" w:eastAsia="zh-CN"/>
        </w:rPr>
        <w:t>owing</w:t>
      </w:r>
      <w:r>
        <w:t xml:space="preserve"> to poor goodness-of-fit. Consequently, from 19% to 60% of the totally measured grains</w:t>
      </w:r>
      <w:r>
        <w:rPr>
          <w:rFonts w:hint="eastAsia"/>
          <w:lang w:val="en-US" w:eastAsia="zh-CN"/>
        </w:rPr>
        <w:t xml:space="preserve"> per sample</w:t>
      </w:r>
      <w:r>
        <w:t xml:space="preserve"> are considered to have reliable dose response curves and are suitable for D</w:t>
      </w:r>
      <w:r>
        <w:rPr>
          <w:vertAlign w:val="subscript"/>
        </w:rPr>
        <w:t>e</w:t>
      </w:r>
      <w:r>
        <w:t xml:space="preserve"> determination. Among these grains, however, a significant proportion (from 21% to 58%) has natural L</w:t>
      </w:r>
      <w:r>
        <w:rPr>
          <w:vertAlign w:val="subscript"/>
        </w:rPr>
        <w:t>n</w:t>
      </w:r>
      <w:r>
        <w:t>/T</w:t>
      </w:r>
      <w:r>
        <w:rPr>
          <w:vertAlign w:val="subscript"/>
        </w:rPr>
        <w:t>n</w:t>
      </w:r>
      <w:r>
        <w:t xml:space="preserve"> value that </w:t>
      </w:r>
      <w:r>
        <w:rPr>
          <w:rFonts w:hint="eastAsia"/>
        </w:rPr>
        <w:t>are</w:t>
      </w:r>
      <w:r>
        <w:t xml:space="preserve"> consistent with the saturation level of the corresponding DRC</w:t>
      </w:r>
      <w:r>
        <w:rPr>
          <w:rFonts w:hint="eastAsia"/>
        </w:rPr>
        <w:t>s</w:t>
      </w:r>
      <w:r>
        <w:t xml:space="preserve">, </w:t>
      </w:r>
      <w:r>
        <w:rPr>
          <w:rFonts w:hint="eastAsia"/>
          <w:lang w:val="en-US" w:eastAsia="zh-CN"/>
        </w:rPr>
        <w:t xml:space="preserve">which entails that </w:t>
      </w:r>
      <w:r>
        <w:t>finite D</w:t>
      </w:r>
      <w:r>
        <w:rPr>
          <w:vertAlign w:val="subscript"/>
        </w:rPr>
        <w:t>e</w:t>
      </w:r>
      <w:r>
        <w:t xml:space="preserve"> values cannot be obtained.</w:t>
      </w:r>
    </w:p>
    <w:p w14:paraId="4BD9A5A6">
      <w:pPr>
        <w:pStyle w:val="22"/>
        <w:jc w:val="both"/>
      </w:pPr>
      <w:r>
        <w:t>The single-grain D</w:t>
      </w:r>
      <w:r>
        <w:rPr>
          <w:vertAlign w:val="subscript"/>
        </w:rPr>
        <w:t>e</w:t>
      </w:r>
      <w:r>
        <w:t xml:space="preserve"> values </w:t>
      </w:r>
      <w:r>
        <w:rPr>
          <w:rFonts w:hint="eastAsia"/>
          <w:lang w:val="en-US" w:eastAsia="zh-CN"/>
        </w:rPr>
        <w:t>for</w:t>
      </w:r>
      <w:r>
        <w:t xml:space="preserve"> each sample are shown in radial plots in </w:t>
      </w:r>
      <w:r>
        <w:rPr>
          <w:color w:val="0000FF"/>
        </w:rPr>
        <w:fldChar w:fldCharType="begin"/>
      </w:r>
      <w:r>
        <w:rPr>
          <w:color w:val="0000FF"/>
        </w:rPr>
        <w:instrText xml:space="preserve"> REF _Ref208217883 \h  \* MERGEFORMAT </w:instrText>
      </w:r>
      <w:r>
        <w:rPr>
          <w:color w:val="0000FF"/>
        </w:rPr>
        <w:fldChar w:fldCharType="separate"/>
      </w:r>
      <w:r>
        <w:rPr>
          <w:rFonts w:hint="eastAsia"/>
          <w:color w:val="0000FF"/>
          <w:lang w:eastAsia="zh-CN"/>
        </w:rPr>
        <w:t>Supplementary Fig.</w:t>
      </w:r>
      <w:r>
        <w:rPr>
          <w:color w:val="0000FF"/>
        </w:rPr>
        <w:t xml:space="preserve"> </w:t>
      </w:r>
      <w:r>
        <w:rPr>
          <w:rFonts w:hint="eastAsia"/>
          <w:color w:val="0000FF"/>
          <w:lang w:val="en-US" w:eastAsia="zh-CN"/>
        </w:rPr>
        <w:t>3</w:t>
      </w:r>
      <w:r>
        <w:rPr>
          <w:color w:val="0000FF"/>
        </w:rPr>
        <w:fldChar w:fldCharType="end"/>
      </w:r>
      <w:r>
        <w:t>. We calculated the over-dispersion (OD) values for each sample based on the central age model</w:t>
      </w:r>
      <w:r>
        <w:rPr>
          <w:vertAlign w:val="superscript"/>
        </w:rPr>
        <w:t>7</w:t>
      </w:r>
      <w:r>
        <w:rPr>
          <w:color w:val="0000FF"/>
        </w:rPr>
        <w:t>.</w:t>
      </w:r>
      <w:r>
        <w:t xml:space="preserve"> The OD values range from 32% (BFD-OSL2) to 116% (BFD-OSL7) (</w:t>
      </w:r>
      <w:r>
        <w:rPr>
          <w:color w:val="0000FF"/>
        </w:rPr>
        <w:fldChar w:fldCharType="begin"/>
      </w:r>
      <w:r>
        <w:rPr>
          <w:color w:val="0000FF"/>
        </w:rPr>
        <w:instrText xml:space="preserve"> REF _Ref208217883 \h  \* MERGEFORMAT </w:instrText>
      </w:r>
      <w:r>
        <w:rPr>
          <w:color w:val="0000FF"/>
        </w:rPr>
        <w:fldChar w:fldCharType="separate"/>
      </w:r>
      <w:r>
        <w:rPr>
          <w:rFonts w:hint="eastAsia"/>
          <w:color w:val="0000FF"/>
          <w:lang w:eastAsia="zh-CN"/>
        </w:rPr>
        <w:t>Supplementary Fig.</w:t>
      </w:r>
      <w:r>
        <w:rPr>
          <w:color w:val="0000FF"/>
        </w:rPr>
        <w:t xml:space="preserve"> </w:t>
      </w:r>
      <w:r>
        <w:rPr>
          <w:rFonts w:hint="eastAsia"/>
          <w:color w:val="0000FF"/>
          <w:lang w:val="en-US" w:eastAsia="zh-CN"/>
        </w:rPr>
        <w:t>3</w:t>
      </w:r>
      <w:r>
        <w:rPr>
          <w:color w:val="0000FF"/>
        </w:rPr>
        <w:fldChar w:fldCharType="end"/>
      </w:r>
      <w:r>
        <w:t xml:space="preserve">). The relatively large and variable OD values for the samples can be explained </w:t>
      </w:r>
      <w:r>
        <w:rPr>
          <w:rFonts w:hint="eastAsia"/>
          <w:lang w:val="en-US" w:eastAsia="zh-CN"/>
        </w:rPr>
        <w:t xml:space="preserve">either </w:t>
      </w:r>
      <w:r>
        <w:t>by the presence of a small proportion of young grains for some samples (BDF-OSL4, -OSL7 and -OSL9)</w:t>
      </w:r>
      <w:r>
        <w:rPr>
          <w:rFonts w:hint="eastAsia"/>
          <w:lang w:val="en-US" w:eastAsia="zh-CN"/>
        </w:rPr>
        <w:t>,</w:t>
      </w:r>
      <w:r>
        <w:t xml:space="preserve"> </w:t>
      </w:r>
      <w:r>
        <w:rPr>
          <w:rFonts w:hint="eastAsia"/>
          <w:lang w:val="en-US" w:eastAsia="zh-CN"/>
        </w:rPr>
        <w:t xml:space="preserve">or </w:t>
      </w:r>
      <w:r>
        <w:t>the saturation of a significant proportion of grains, rang</w:t>
      </w:r>
      <w:r>
        <w:rPr>
          <w:rFonts w:hint="eastAsia"/>
          <w:lang w:val="en-US" w:eastAsia="zh-CN"/>
        </w:rPr>
        <w:t>ing</w:t>
      </w:r>
      <w:r>
        <w:t xml:space="preserve"> </w:t>
      </w:r>
      <w:r>
        <w:rPr>
          <w:rFonts w:hint="eastAsia"/>
          <w:lang w:val="en-US" w:eastAsia="zh-CN"/>
        </w:rPr>
        <w:t>between</w:t>
      </w:r>
      <w:r>
        <w:t xml:space="preserve"> ~20% (BFD-OSL8) </w:t>
      </w:r>
      <w:r>
        <w:rPr>
          <w:rFonts w:hint="eastAsia"/>
          <w:lang w:val="en-US" w:eastAsia="zh-CN"/>
        </w:rPr>
        <w:t>and</w:t>
      </w:r>
      <w:r>
        <w:t xml:space="preserve"> ~60% (BFD-OSL12). It </w:t>
      </w:r>
      <w:r>
        <w:rPr>
          <w:rFonts w:hint="eastAsia"/>
          <w:lang w:val="en-US" w:eastAsia="zh-CN"/>
        </w:rPr>
        <w:t>was</w:t>
      </w:r>
      <w:r>
        <w:t xml:space="preserve"> suggested that a large proportion of saturated grains can give rise to increased OD values because the presence of small D</w:t>
      </w:r>
      <w:r>
        <w:rPr>
          <w:vertAlign w:val="subscript"/>
        </w:rPr>
        <w:t>e</w:t>
      </w:r>
      <w:r>
        <w:t xml:space="preserve"> values may come from the lower tail of the D</w:t>
      </w:r>
      <w:r>
        <w:rPr>
          <w:vertAlign w:val="subscript"/>
        </w:rPr>
        <w:t>e</w:t>
      </w:r>
      <w:r>
        <w:t xml:space="preserve"> distribution of the early-saturated grains, even though their pal</w:t>
      </w:r>
      <w:r>
        <w:rPr>
          <w:rFonts w:hint="eastAsia"/>
        </w:rPr>
        <w:t>a</w:t>
      </w:r>
      <w:r>
        <w:t>eodoses are much higher</w:t>
      </w:r>
      <w:r>
        <w:rPr>
          <w:vertAlign w:val="superscript"/>
        </w:rPr>
        <w:t>8</w:t>
      </w:r>
      <w:r>
        <w:t>. Therefore, we expect that conventional D</w:t>
      </w:r>
      <w:r>
        <w:rPr>
          <w:vertAlign w:val="subscript"/>
        </w:rPr>
        <w:t>e</w:t>
      </w:r>
      <w:r>
        <w:t xml:space="preserve"> estimation based on SAR D</w:t>
      </w:r>
      <w:r>
        <w:rPr>
          <w:rFonts w:eastAsia="Times New Roman"/>
          <w:vertAlign w:val="subscript"/>
        </w:rPr>
        <w:t>e</w:t>
      </w:r>
      <w:r>
        <w:t xml:space="preserve"> values may be </w:t>
      </w:r>
      <w:r>
        <w:rPr>
          <w:rFonts w:hint="eastAsia"/>
          <w:lang w:val="en-US" w:eastAsia="zh-CN"/>
        </w:rPr>
        <w:t>substantially</w:t>
      </w:r>
      <w:r>
        <w:t xml:space="preserve"> underestimated </w:t>
      </w:r>
      <w:r>
        <w:rPr>
          <w:rFonts w:hint="eastAsia"/>
          <w:lang w:val="en-US" w:eastAsia="zh-CN"/>
        </w:rPr>
        <w:t>owing</w:t>
      </w:r>
      <w:r>
        <w:t xml:space="preserve"> to the truncation of the D</w:t>
      </w:r>
      <w:r>
        <w:rPr>
          <w:vertAlign w:val="subscript"/>
        </w:rPr>
        <w:t>e</w:t>
      </w:r>
      <w:r>
        <w:t xml:space="preserve"> distributions</w:t>
      </w:r>
      <w:r>
        <w:rPr>
          <w:vertAlign w:val="superscript"/>
        </w:rPr>
        <w:t>9</w:t>
      </w:r>
      <w:r>
        <w:t xml:space="preserve">. </w:t>
      </w:r>
    </w:p>
    <w:p w14:paraId="77B49F27">
      <w:pPr>
        <w:pStyle w:val="22"/>
        <w:jc w:val="both"/>
      </w:pPr>
      <w:r>
        <w:rPr>
          <w:rFonts w:hint="eastAsia"/>
          <w:lang w:val="en-US" w:eastAsia="zh-CN"/>
        </w:rPr>
        <w:t>T</w:t>
      </w:r>
      <w:r>
        <w:t xml:space="preserve">o overcome the issue caused by the saturation of grains, we applied the </w:t>
      </w:r>
      <w:r>
        <w:rPr>
          <w:rFonts w:eastAsia="Times New Roman"/>
        </w:rPr>
        <w:t>L</w:t>
      </w:r>
      <w:r>
        <w:rPr>
          <w:rFonts w:eastAsia="Times New Roman"/>
          <w:vertAlign w:val="subscript"/>
        </w:rPr>
        <w:t>n</w:t>
      </w:r>
      <w:r>
        <w:rPr>
          <w:rFonts w:eastAsia="Times New Roman"/>
        </w:rPr>
        <w:t>T</w:t>
      </w:r>
      <w:r>
        <w:rPr>
          <w:rFonts w:eastAsia="Times New Roman"/>
          <w:vertAlign w:val="subscript"/>
        </w:rPr>
        <w:t>n</w:t>
      </w:r>
      <w:r>
        <w:rPr>
          <w:rFonts w:eastAsia="Times New Roman"/>
        </w:rPr>
        <w:t xml:space="preserve"> </w:t>
      </w:r>
      <w:r>
        <w:t>and the</w:t>
      </w:r>
      <w:r>
        <w:rPr>
          <w:rFonts w:eastAsia="Times New Roman"/>
        </w:rPr>
        <w:t xml:space="preserve"> standardized growth curve (SGC) method to </w:t>
      </w:r>
      <w:r>
        <w:t>determine the D</w:t>
      </w:r>
      <w:r>
        <w:rPr>
          <w:rFonts w:eastAsia="Times New Roman"/>
          <w:vertAlign w:val="subscript"/>
        </w:rPr>
        <w:t>e</w:t>
      </w:r>
      <w:r>
        <w:t xml:space="preserve"> values for all the samples.</w:t>
      </w:r>
      <w:r>
        <w:rPr>
          <w:rFonts w:eastAsia="Times New Roman"/>
        </w:rPr>
        <w:t xml:space="preserve"> </w:t>
      </w:r>
      <w:r>
        <w:t>This method allows the incorporation of all the saturated grains into statistical analysis and, thus, enables reliable D</w:t>
      </w:r>
      <w:r>
        <w:rPr>
          <w:vertAlign w:val="subscript"/>
        </w:rPr>
        <w:t>e</w:t>
      </w:r>
      <w:r>
        <w:t xml:space="preserve"> determination based on full and untruncated </w:t>
      </w:r>
      <w:r>
        <w:rPr>
          <w:rFonts w:cs="Arial"/>
          <w:snapToGrid w:val="0"/>
          <w:szCs w:val="21"/>
        </w:rPr>
        <w:t>distribution</w:t>
      </w:r>
      <w:r>
        <w:rPr>
          <w:vertAlign w:val="superscript"/>
        </w:rPr>
        <w:t>8</w:t>
      </w:r>
      <w:r>
        <w:t xml:space="preserve">. The method involves grouping all the grains passed the above-mentioned rejection criteria 1–4 based on the shape of their DRCs and then establishing SGC for each group using the method described in </w:t>
      </w:r>
      <w:r>
        <w:rPr>
          <w:rFonts w:hint="eastAsia"/>
        </w:rPr>
        <w:t>Li et al.</w:t>
      </w:r>
      <w:r>
        <w:rPr>
          <w:vertAlign w:val="superscript"/>
        </w:rPr>
        <w:t>10</w:t>
      </w:r>
      <w:r>
        <w:t>. We first calculated the ratios of the L</w:t>
      </w:r>
      <w:r>
        <w:rPr>
          <w:vertAlign w:val="subscript"/>
        </w:rPr>
        <w:t>x</w:t>
      </w:r>
      <w:r>
        <w:t>/T</w:t>
      </w:r>
      <w:r>
        <w:rPr>
          <w:vertAlign w:val="subscript"/>
        </w:rPr>
        <w:t>x</w:t>
      </w:r>
      <w:r>
        <w:t xml:space="preserve"> values at two regenerative doses (250 Gy and 50 Gy, respectively) based on the best-fit DRCs for individual grains. These ratios are then analysed using a finite mixture model (FMM)</w:t>
      </w:r>
      <w:r>
        <w:rPr>
          <w:vertAlign w:val="superscript"/>
        </w:rPr>
        <w:t>11,12</w:t>
      </w:r>
      <w:r>
        <w:rPr>
          <w:rFonts w:hint="eastAsia"/>
          <w:color w:val="0000FF"/>
          <w:vertAlign w:val="superscript"/>
        </w:rPr>
        <w:t xml:space="preserve"> </w:t>
      </w:r>
      <w:r>
        <w:t>to identify the number of groups that have statistically</w:t>
      </w:r>
      <w:r>
        <w:rPr>
          <w:rFonts w:hint="eastAsia"/>
          <w:lang w:val="en-US" w:eastAsia="zh-CN"/>
        </w:rPr>
        <w:t xml:space="preserve"> </w:t>
      </w:r>
      <w:r>
        <w:t>consistent ratios. We then applied the least-square normali</w:t>
      </w:r>
      <w:r>
        <w:rPr>
          <w:rFonts w:hint="eastAsia"/>
        </w:rPr>
        <w:t>z</w:t>
      </w:r>
      <w:r>
        <w:t>ation (LS-normali</w:t>
      </w:r>
      <w:r>
        <w:rPr>
          <w:rFonts w:hint="eastAsia"/>
        </w:rPr>
        <w:t>z</w:t>
      </w:r>
      <w:r>
        <w:t>ation) procedure to establish SGC for each group based on a general-order kinetics (GOK) function</w:t>
      </w:r>
      <w:r>
        <w:rPr>
          <w:vertAlign w:val="superscript"/>
        </w:rPr>
        <w:t>13</w:t>
      </w:r>
      <w:r>
        <w:t>. From 5 to 9 SGC groups were identified for our samples (</w:t>
      </w:r>
      <w:r>
        <w:rPr>
          <w:color w:val="0000FF"/>
        </w:rPr>
        <w:fldChar w:fldCharType="begin"/>
      </w:r>
      <w:r>
        <w:rPr>
          <w:color w:val="0000FF"/>
        </w:rPr>
        <w:instrText xml:space="preserve"> REF _Ref208218383 \h </w:instrText>
      </w:r>
      <w:r>
        <w:rPr>
          <w:color w:val="0000FF"/>
        </w:rPr>
        <w:fldChar w:fldCharType="separate"/>
      </w:r>
      <w:r>
        <w:rPr>
          <w:rFonts w:hint="eastAsia"/>
          <w:color w:val="0000FF"/>
          <w:lang w:eastAsia="zh-CN"/>
        </w:rPr>
        <w:t>Supplementary Fig</w:t>
      </w:r>
      <w:r>
        <w:rPr>
          <w:rFonts w:hint="eastAsia"/>
          <w:color w:val="0000FF"/>
        </w:rPr>
        <w:t>s</w:t>
      </w:r>
      <w:r>
        <w:rPr>
          <w:rFonts w:hint="eastAsia"/>
          <w:color w:val="0000FF"/>
          <w:lang w:val="en-US" w:eastAsia="zh-CN"/>
        </w:rPr>
        <w:t>.</w:t>
      </w:r>
      <w:r>
        <w:rPr>
          <w:color w:val="0000FF"/>
        </w:rPr>
        <w:t xml:space="preserve"> </w:t>
      </w:r>
      <w:r>
        <w:rPr>
          <w:rFonts w:hint="eastAsia"/>
          <w:color w:val="0000FF"/>
          <w:lang w:val="en-US" w:eastAsia="zh-CN"/>
        </w:rPr>
        <w:t>4</w:t>
      </w:r>
      <w:r>
        <w:rPr>
          <w:color w:val="0000FF"/>
        </w:rPr>
        <w:fldChar w:fldCharType="end"/>
      </w:r>
      <w:r>
        <w:fldChar w:fldCharType="begin"/>
      </w:r>
      <w:r>
        <w:instrText xml:space="preserve"> REF _Ref202796161  \* MERGEFORMAT </w:instrText>
      </w:r>
      <w:r>
        <w:fldChar w:fldCharType="end"/>
      </w:r>
      <w:r>
        <w:t>–</w:t>
      </w:r>
      <w:r>
        <w:rPr>
          <w:color w:val="0000FF"/>
        </w:rPr>
        <w:t>1</w:t>
      </w:r>
      <w:r>
        <w:rPr>
          <w:rFonts w:hint="eastAsia"/>
          <w:color w:val="0000FF"/>
          <w:lang w:val="en-US" w:eastAsia="zh-CN"/>
        </w:rPr>
        <w:t>5</w:t>
      </w:r>
      <w:r>
        <w:t>). The reliability of grouping and SGCs was verified by comparing the D</w:t>
      </w:r>
      <w:r>
        <w:rPr>
          <w:vertAlign w:val="subscript"/>
        </w:rPr>
        <w:t>e</w:t>
      </w:r>
      <w:r>
        <w:t xml:space="preserve"> values obtained from their individual SAR DRCs and the corresponding group SGCs. For all the samples, nearly all the grains yielded SGC D</w:t>
      </w:r>
      <w:r>
        <w:rPr>
          <w:vertAlign w:val="subscript"/>
        </w:rPr>
        <w:t>e</w:t>
      </w:r>
      <w:r>
        <w:t xml:space="preserve"> consistent with the SAR D</w:t>
      </w:r>
      <w:r>
        <w:rPr>
          <w:vertAlign w:val="subscript"/>
        </w:rPr>
        <w:t>e</w:t>
      </w:r>
      <w:r>
        <w:t xml:space="preserve"> at 2</w:t>
      </w:r>
      <w:r>
        <w:rPr/>
        <w:sym w:font="Symbol" w:char="F073"/>
      </w:r>
      <w:r>
        <w:rPr>
          <w:color w:val="auto"/>
        </w:rPr>
        <w:t xml:space="preserve"> (</w:t>
      </w:r>
      <w:r>
        <w:rPr>
          <w:color w:val="0000FF"/>
        </w:rPr>
        <w:fldChar w:fldCharType="begin"/>
      </w:r>
      <w:r>
        <w:rPr>
          <w:color w:val="0000FF"/>
        </w:rPr>
        <w:instrText xml:space="preserve"> REF _Ref208218383 \h </w:instrText>
      </w:r>
      <w:r>
        <w:rPr>
          <w:color w:val="0000FF"/>
        </w:rPr>
        <w:fldChar w:fldCharType="separate"/>
      </w:r>
      <w:r>
        <w:rPr>
          <w:rFonts w:hint="eastAsia"/>
          <w:color w:val="0000FF"/>
          <w:lang w:eastAsia="zh-CN"/>
        </w:rPr>
        <w:t>Supplementary Fig</w:t>
      </w:r>
      <w:r>
        <w:rPr>
          <w:rFonts w:hint="eastAsia"/>
          <w:color w:val="0000FF"/>
        </w:rPr>
        <w:t>s</w:t>
      </w:r>
      <w:r>
        <w:rPr>
          <w:rFonts w:hint="eastAsia"/>
          <w:color w:val="0000FF"/>
          <w:lang w:val="en-US" w:eastAsia="zh-CN"/>
        </w:rPr>
        <w:t>.</w:t>
      </w:r>
      <w:r>
        <w:rPr>
          <w:color w:val="0000FF"/>
        </w:rPr>
        <w:t xml:space="preserve"> </w:t>
      </w:r>
      <w:r>
        <w:rPr>
          <w:rFonts w:hint="eastAsia"/>
          <w:color w:val="0000FF"/>
          <w:lang w:val="en-US" w:eastAsia="zh-CN"/>
        </w:rPr>
        <w:t>4</w:t>
      </w:r>
      <w:r>
        <w:rPr>
          <w:color w:val="0000FF"/>
        </w:rPr>
        <w:fldChar w:fldCharType="end"/>
      </w:r>
      <w:r>
        <w:rPr>
          <w:color w:val="0000FF"/>
        </w:rPr>
        <w:t>–1</w:t>
      </w:r>
      <w:r>
        <w:rPr>
          <w:rFonts w:hint="eastAsia"/>
          <w:color w:val="0000FF"/>
          <w:lang w:val="en-US" w:eastAsia="zh-CN"/>
        </w:rPr>
        <w:t>5</w:t>
      </w:r>
      <w:r>
        <w:t xml:space="preserve">), confirming that the SGCs established </w:t>
      </w:r>
      <w:r>
        <w:rPr>
          <w:rFonts w:hint="eastAsia"/>
          <w:lang w:val="en-US" w:eastAsia="zh-CN"/>
        </w:rPr>
        <w:t xml:space="preserve">here </w:t>
      </w:r>
      <w:r>
        <w:t>are reliable.</w:t>
      </w:r>
    </w:p>
    <w:p w14:paraId="674A90CE">
      <w:pPr>
        <w:pStyle w:val="22"/>
        <w:jc w:val="both"/>
      </w:pPr>
      <w:r>
        <w:rPr>
          <w:color w:val="0000FF"/>
        </w:rPr>
        <w:fldChar w:fldCharType="begin"/>
      </w:r>
      <w:r>
        <w:rPr>
          <w:color w:val="0000FF"/>
        </w:rPr>
        <w:instrText xml:space="preserve"> REF _Ref208218383 \h </w:instrText>
      </w:r>
      <w:r>
        <w:rPr>
          <w:color w:val="0000FF"/>
        </w:rPr>
        <w:fldChar w:fldCharType="separate"/>
      </w:r>
      <w:r>
        <w:rPr>
          <w:rFonts w:hint="eastAsia"/>
          <w:color w:val="0000FF"/>
          <w:lang w:eastAsia="zh-CN"/>
        </w:rPr>
        <w:t>Supplementary Fig</w:t>
      </w:r>
      <w:r>
        <w:rPr>
          <w:rFonts w:hint="eastAsia"/>
          <w:color w:val="0000FF"/>
        </w:rPr>
        <w:t>s</w:t>
      </w:r>
      <w:r>
        <w:rPr>
          <w:rFonts w:hint="eastAsia"/>
          <w:color w:val="0000FF"/>
          <w:lang w:val="en-US" w:eastAsia="zh-CN"/>
        </w:rPr>
        <w:t>.</w:t>
      </w:r>
      <w:r>
        <w:rPr>
          <w:color w:val="0000FF"/>
        </w:rPr>
        <w:t xml:space="preserve"> </w:t>
      </w:r>
      <w:r>
        <w:rPr>
          <w:rFonts w:hint="eastAsia"/>
          <w:color w:val="0000FF"/>
          <w:lang w:val="en-US" w:eastAsia="zh-CN"/>
        </w:rPr>
        <w:t>4</w:t>
      </w:r>
      <w:r>
        <w:rPr>
          <w:color w:val="0000FF"/>
        </w:rPr>
        <w:fldChar w:fldCharType="end"/>
      </w:r>
      <w:r>
        <w:t>–</w:t>
      </w:r>
      <w:r>
        <w:rPr>
          <w:color w:val="0000FF"/>
        </w:rPr>
        <w:t>1</w:t>
      </w:r>
      <w:r>
        <w:rPr>
          <w:rFonts w:hint="eastAsia"/>
          <w:color w:val="0000FF"/>
          <w:lang w:val="en-US" w:eastAsia="zh-CN"/>
        </w:rPr>
        <w:t>5</w:t>
      </w:r>
      <w:r>
        <w:rPr>
          <w:color w:val="0000FF"/>
        </w:rPr>
        <w:t xml:space="preserve"> </w:t>
      </w:r>
      <w:r>
        <w:t>show the distributions of LS-normalised L</w:t>
      </w:r>
      <w:r>
        <w:rPr>
          <w:vertAlign w:val="subscript"/>
        </w:rPr>
        <w:t>n</w:t>
      </w:r>
      <w:r>
        <w:t>/T</w:t>
      </w:r>
      <w:r>
        <w:rPr>
          <w:vertAlign w:val="subscript"/>
        </w:rPr>
        <w:t>n</w:t>
      </w:r>
      <w:r>
        <w:t xml:space="preserve"> values for different groups of all the samples. Unlike the </w:t>
      </w:r>
      <w:r>
        <w:rPr>
          <w:lang w:val="en-AU"/>
        </w:rPr>
        <w:t xml:space="preserve">wide </w:t>
      </w:r>
      <w:r>
        <w:t>distributions of SAR D</w:t>
      </w:r>
      <w:r>
        <w:rPr>
          <w:vertAlign w:val="subscript"/>
        </w:rPr>
        <w:t>e</w:t>
      </w:r>
      <w:r>
        <w:t xml:space="preserve"> values (</w:t>
      </w:r>
      <w:r>
        <w:rPr>
          <w:color w:val="0000FF"/>
        </w:rPr>
        <w:fldChar w:fldCharType="begin"/>
      </w:r>
      <w:r>
        <w:rPr>
          <w:color w:val="0000FF"/>
        </w:rPr>
        <w:instrText xml:space="preserve"> REF _Ref208217883 \h </w:instrText>
      </w:r>
      <w:r>
        <w:rPr>
          <w:color w:val="0000FF"/>
        </w:rPr>
        <w:fldChar w:fldCharType="separate"/>
      </w:r>
      <w:r>
        <w:rPr>
          <w:rFonts w:hint="eastAsia"/>
          <w:color w:val="0000FF"/>
          <w:lang w:eastAsia="zh-CN"/>
        </w:rPr>
        <w:t>Supplementary Fig.</w:t>
      </w:r>
      <w:r>
        <w:rPr>
          <w:color w:val="0000FF"/>
        </w:rPr>
        <w:t xml:space="preserve"> </w:t>
      </w:r>
      <w:r>
        <w:rPr>
          <w:rFonts w:hint="eastAsia"/>
          <w:color w:val="0000FF"/>
          <w:lang w:val="en-US" w:eastAsia="zh-CN"/>
        </w:rPr>
        <w:t>3</w:t>
      </w:r>
      <w:r>
        <w:rPr>
          <w:color w:val="0000FF"/>
        </w:rPr>
        <w:fldChar w:fldCharType="end"/>
      </w:r>
      <w:r>
        <w:t>), the LS-normalised L</w:t>
      </w:r>
      <w:r>
        <w:rPr>
          <w:vertAlign w:val="subscript"/>
        </w:rPr>
        <w:t>n</w:t>
      </w:r>
      <w:r>
        <w:t>/T</w:t>
      </w:r>
      <w:r>
        <w:rPr>
          <w:vertAlign w:val="subscript"/>
        </w:rPr>
        <w:t>n</w:t>
      </w:r>
      <w:r>
        <w:t xml:space="preserve"> values appear to be mostly clustered in the centre of the distribution with occasionally a few outliers (mostly younger grains)</w:t>
      </w:r>
      <w:r>
        <w:rPr>
          <w:rFonts w:hint="eastAsia"/>
          <w:lang w:val="en-US" w:eastAsia="zh-CN"/>
        </w:rPr>
        <w:t>.</w:t>
      </w:r>
      <w:r>
        <w:t xml:space="preserve"> </w:t>
      </w:r>
      <w:r>
        <w:rPr>
          <w:rFonts w:hint="eastAsia"/>
          <w:lang w:val="en-US" w:eastAsia="zh-CN"/>
        </w:rPr>
        <w:t xml:space="preserve">This distribution </w:t>
      </w:r>
      <w:r>
        <w:t>suggest</w:t>
      </w:r>
      <w:r>
        <w:rPr>
          <w:rFonts w:hint="eastAsia"/>
          <w:lang w:val="en-US" w:eastAsia="zh-CN"/>
        </w:rPr>
        <w:t>s</w:t>
      </w:r>
      <w:r>
        <w:t xml:space="preserve"> that all the samples are well bleached and remain</w:t>
      </w:r>
      <w:r>
        <w:rPr>
          <w:rFonts w:hint="eastAsia"/>
          <w:lang w:val="en-US" w:eastAsia="zh-CN"/>
        </w:rPr>
        <w:t>ed</w:t>
      </w:r>
      <w:r>
        <w:t xml:space="preserve"> undisturbed after </w:t>
      </w:r>
      <w:r>
        <w:rPr>
          <w:rFonts w:cs="Arial"/>
          <w:snapToGrid w:val="0"/>
          <w:szCs w:val="21"/>
        </w:rPr>
        <w:t>deposition</w:t>
      </w:r>
      <w:r>
        <w:t>. For this reason, we applied the central age model based on the Bayesian Hierarchical Age Model (BHAM-central)</w:t>
      </w:r>
      <w:r>
        <w:rPr>
          <w:vertAlign w:val="superscript"/>
        </w:rPr>
        <w:t>6</w:t>
      </w:r>
      <w:r>
        <w:t xml:space="preserve"> to estimate the D</w:t>
      </w:r>
      <w:r>
        <w:rPr>
          <w:vertAlign w:val="subscript"/>
        </w:rPr>
        <w:t>e</w:t>
      </w:r>
      <w:r>
        <w:t xml:space="preserve"> and ages for our samples.</w:t>
      </w:r>
    </w:p>
    <w:p w14:paraId="32A20F92">
      <w:pPr>
        <w:pStyle w:val="22"/>
        <w:jc w:val="both"/>
      </w:pPr>
      <w:r>
        <w:t xml:space="preserve">BHAM </w:t>
      </w:r>
      <w:r>
        <w:rPr>
          <w:rFonts w:hint="eastAsia"/>
          <w:lang w:val="en-US" w:eastAsia="zh-CN"/>
        </w:rPr>
        <w:t>is</w:t>
      </w:r>
      <w:r>
        <w:t xml:space="preserve"> suitable to </w:t>
      </w:r>
      <w:r>
        <w:rPr>
          <w:rFonts w:hint="eastAsia"/>
        </w:rPr>
        <w:t>analyse</w:t>
      </w:r>
      <w:r>
        <w:t xml:space="preserve"> data from samples whose natural signals are close to saturation. In addition, it is designed to detect and reject outliers from the distribution</w:t>
      </w:r>
      <w:r>
        <w:rPr>
          <w:rFonts w:hint="eastAsia"/>
          <w:lang w:val="en-US" w:eastAsia="zh-CN"/>
        </w:rPr>
        <w:t>, thus improving the ease of identifying</w:t>
      </w:r>
      <w:r>
        <w:t xml:space="preserve"> samples </w:t>
      </w:r>
      <w:r>
        <w:rPr>
          <w:rFonts w:hint="eastAsia"/>
          <w:lang w:val="en-US" w:eastAsia="zh-CN"/>
        </w:rPr>
        <w:t xml:space="preserve">that were likely </w:t>
      </w:r>
      <w:r>
        <w:t xml:space="preserve">subjected to post-depositional disturbance. </w:t>
      </w:r>
      <w:r>
        <w:rPr>
          <w:rFonts w:cs="Arial"/>
          <w:snapToGrid w:val="0"/>
          <w:szCs w:val="21"/>
        </w:rPr>
        <w:t>Furthermore</w:t>
      </w:r>
      <w:r>
        <w:t>, it incorporates various parameters that can contribute to the observed variability in the LS-normalised L</w:t>
      </w:r>
      <w:r>
        <w:rPr>
          <w:vertAlign w:val="subscript"/>
        </w:rPr>
        <w:t>n</w:t>
      </w:r>
      <w:r>
        <w:t>/T</w:t>
      </w:r>
      <w:r>
        <w:rPr>
          <w:vertAlign w:val="subscript"/>
        </w:rPr>
        <w:t>n</w:t>
      </w:r>
      <w:r>
        <w:t xml:space="preserve"> values as priors, including: </w:t>
      </w:r>
    </w:p>
    <w:p w14:paraId="0E3C1AA0">
      <w:pPr>
        <w:pStyle w:val="33"/>
        <w:numPr>
          <w:ilvl w:val="0"/>
          <w:numId w:val="2"/>
        </w:numPr>
        <w:jc w:val="both"/>
      </w:pPr>
      <w:r>
        <w:t>Gamma dose rate (</w:t>
      </w:r>
      <m:oMath>
        <m:acc>
          <m:accPr>
            <m:chr m:val="̇"/>
            <m:ctrlPr>
              <w:rPr>
                <w:rFonts w:ascii="Cambria Math" w:hAnsi="Cambria Math"/>
                <w:i/>
                <w:kern w:val="2"/>
                <w:lang w:val="en-US" w:bidi="ar-SA"/>
                <w14:ligatures w14:val="standardContextual"/>
              </w:rPr>
            </m:ctrlPr>
          </m:accPr>
          <m:e>
            <m:sSub>
              <m:sSubPr>
                <m:ctrlPr>
                  <w:rPr>
                    <w:rFonts w:ascii="Cambria Math" w:hAnsi="Cambria Math"/>
                    <w:i/>
                    <w:kern w:val="2"/>
                    <w:lang w:val="en-US" w:bidi="ar-SA"/>
                    <w14:ligatures w14:val="standardContextual"/>
                  </w:rPr>
                </m:ctrlPr>
              </m:sSubPr>
              <m:e>
                <m:r>
                  <m:rPr/>
                  <w:rPr>
                    <w:rFonts w:ascii="Cambria Math" w:hAnsi="Cambria Math"/>
                  </w:rPr>
                  <m:t>D</m:t>
                </m:r>
                <m:ctrlPr>
                  <w:rPr>
                    <w:rFonts w:ascii="Cambria Math" w:hAnsi="Cambria Math"/>
                    <w:i/>
                    <w:kern w:val="2"/>
                    <w:lang w:val="en-US" w:bidi="ar-SA"/>
                    <w14:ligatures w14:val="standardContextual"/>
                  </w:rPr>
                </m:ctrlPr>
              </m:e>
              <m:sub>
                <m:r>
                  <m:rPr/>
                  <w:rPr>
                    <w:rFonts w:ascii="Cambria Math" w:hAnsi="Cambria Math"/>
                  </w:rPr>
                  <m:t>γ</m:t>
                </m:r>
                <m:ctrlPr>
                  <w:rPr>
                    <w:rFonts w:ascii="Cambria Math" w:hAnsi="Cambria Math"/>
                    <w:i/>
                    <w:kern w:val="2"/>
                    <w:lang w:val="en-US" w:bidi="ar-SA"/>
                    <w14:ligatures w14:val="standardContextual"/>
                  </w:rPr>
                </m:ctrlPr>
              </m:sub>
            </m:sSub>
            <m:ctrlPr>
              <w:rPr>
                <w:rFonts w:ascii="Cambria Math" w:hAnsi="Cambria Math"/>
                <w:i/>
                <w:kern w:val="2"/>
                <w:lang w:val="en-US" w:bidi="ar-SA"/>
                <w14:ligatures w14:val="standardContextual"/>
              </w:rPr>
            </m:ctrlPr>
          </m:e>
        </m:acc>
      </m:oMath>
      <w:r>
        <w:t>).</w:t>
      </w:r>
    </w:p>
    <w:p w14:paraId="32D623A6">
      <w:pPr>
        <w:pStyle w:val="33"/>
        <w:numPr>
          <w:ilvl w:val="0"/>
          <w:numId w:val="2"/>
        </w:numPr>
        <w:jc w:val="both"/>
      </w:pPr>
      <w:r>
        <w:t>Mean beta dose rate (</w:t>
      </w:r>
      <m:oMath>
        <m:acc>
          <m:accPr>
            <m:chr m:val="̇"/>
            <m:ctrlPr>
              <w:rPr>
                <w:rFonts w:ascii="Cambria Math" w:hAnsi="Cambria Math"/>
                <w:i/>
                <w:kern w:val="2"/>
                <w:lang w:val="en-US" w:bidi="ar-SA"/>
                <w14:ligatures w14:val="standardContextual"/>
              </w:rPr>
            </m:ctrlPr>
          </m:accPr>
          <m:e>
            <m:sSub>
              <m:sSubPr>
                <m:ctrlPr>
                  <w:rPr>
                    <w:rFonts w:ascii="Cambria Math" w:hAnsi="Cambria Math"/>
                    <w:i/>
                    <w:kern w:val="2"/>
                    <w:lang w:val="en-US" w:bidi="ar-SA"/>
                    <w14:ligatures w14:val="standardContextual"/>
                  </w:rPr>
                </m:ctrlPr>
              </m:sSubPr>
              <m:e>
                <m:r>
                  <m:rPr/>
                  <w:rPr>
                    <w:rFonts w:ascii="Cambria Math" w:hAnsi="Cambria Math"/>
                  </w:rPr>
                  <m:t>D</m:t>
                </m:r>
                <m:ctrlPr>
                  <w:rPr>
                    <w:rFonts w:ascii="Cambria Math" w:hAnsi="Cambria Math"/>
                    <w:i/>
                    <w:kern w:val="2"/>
                    <w:lang w:val="en-US" w:bidi="ar-SA"/>
                    <w14:ligatures w14:val="standardContextual"/>
                  </w:rPr>
                </m:ctrlPr>
              </m:e>
              <m:sub>
                <m:r>
                  <m:rPr/>
                  <w:rPr>
                    <w:rFonts w:ascii="Cambria Math" w:hAnsi="Cambria Math"/>
                  </w:rPr>
                  <m:t>β</m:t>
                </m:r>
                <m:ctrlPr>
                  <w:rPr>
                    <w:rFonts w:ascii="Cambria Math" w:hAnsi="Cambria Math"/>
                    <w:i/>
                    <w:kern w:val="2"/>
                    <w:lang w:val="en-US" w:bidi="ar-SA"/>
                    <w14:ligatures w14:val="standardContextual"/>
                  </w:rPr>
                </m:ctrlPr>
              </m:sub>
            </m:sSub>
            <m:ctrlPr>
              <w:rPr>
                <w:rFonts w:ascii="Cambria Math" w:hAnsi="Cambria Math"/>
                <w:i/>
                <w:kern w:val="2"/>
                <w:lang w:val="en-US" w:bidi="ar-SA"/>
                <w14:ligatures w14:val="standardContextual"/>
              </w:rPr>
            </m:ctrlPr>
          </m:e>
        </m:acc>
      </m:oMath>
      <w:r>
        <w:t>).</w:t>
      </w:r>
    </w:p>
    <w:p w14:paraId="5C2261A2">
      <w:pPr>
        <w:pStyle w:val="33"/>
        <w:numPr>
          <w:ilvl w:val="0"/>
          <w:numId w:val="2"/>
        </w:numPr>
        <w:jc w:val="both"/>
      </w:pPr>
      <w:r>
        <w:t>Relative standard deviation of beta dose rate (</w:t>
      </w:r>
      <m:oMath>
        <m:sSub>
          <m:sSubPr>
            <m:ctrlPr>
              <w:rPr>
                <w:rFonts w:ascii="Cambria Math" w:hAnsi="Cambria Math"/>
                <w:i/>
                <w:iCs/>
              </w:rPr>
            </m:ctrlPr>
          </m:sSubPr>
          <m:e>
            <m:r>
              <m:rPr/>
              <w:rPr>
                <w:rFonts w:ascii="Cambria Math" w:hAnsi="Cambria Math"/>
              </w:rPr>
              <m:t>σ</m:t>
            </m:r>
            <m:ctrlPr>
              <w:rPr>
                <w:rFonts w:ascii="Cambria Math" w:hAnsi="Cambria Math"/>
                <w:i/>
                <w:iCs/>
              </w:rPr>
            </m:ctrlPr>
          </m:e>
          <m:sub>
            <m:r>
              <m:rPr/>
              <w:rPr>
                <w:rFonts w:ascii="Cambria Math" w:hAnsi="Cambria Math"/>
              </w:rPr>
              <m:t>β</m:t>
            </m:r>
            <m:ctrlPr>
              <w:rPr>
                <w:rFonts w:ascii="Cambria Math" w:hAnsi="Cambria Math"/>
                <w:i/>
                <w:iCs/>
              </w:rPr>
            </m:ctrlPr>
          </m:sub>
        </m:sSub>
      </m:oMath>
      <w:r>
        <w:t>), which is assumed to be 0.25 ± 0.05 and is similar to the range of values reported for different sediments from different contexts</w:t>
      </w:r>
      <w:r>
        <w:rPr>
          <w:vertAlign w:val="superscript"/>
        </w:rPr>
        <w:t>14</w:t>
      </w:r>
      <w:r>
        <w:t>. We also assume that the distribution of beta dose rates follows a lognormal distribution</w:t>
      </w:r>
      <w:r>
        <w:rPr>
          <w:vertAlign w:val="superscript"/>
        </w:rPr>
        <w:t>15,16</w:t>
      </w:r>
      <w:r>
        <w:rPr>
          <w:color w:val="0000FF"/>
        </w:rPr>
        <w:t>.</w:t>
      </w:r>
    </w:p>
    <w:p w14:paraId="2E0864E3">
      <w:pPr>
        <w:pStyle w:val="33"/>
        <w:numPr>
          <w:ilvl w:val="0"/>
          <w:numId w:val="2"/>
        </w:numPr>
        <w:jc w:val="both"/>
      </w:pPr>
      <w:r>
        <w:t>Best-fit SGC parameters for each group and the goodness-of-fit of each SGC; the latter is based on the deviation of the individual LS-normalised regenerative-dose signals (L</w:t>
      </w:r>
      <w:r>
        <w:rPr>
          <w:vertAlign w:val="subscript"/>
        </w:rPr>
        <w:t>x</w:t>
      </w:r>
      <w:r>
        <w:t>/T</w:t>
      </w:r>
      <w:r>
        <w:rPr>
          <w:vertAlign w:val="subscript"/>
        </w:rPr>
        <w:t>x</w:t>
      </w:r>
      <w:r>
        <w:t>) and the corresponding SGCs.</w:t>
      </w:r>
    </w:p>
    <w:p w14:paraId="1313148F">
      <w:pPr>
        <w:pStyle w:val="33"/>
        <w:numPr>
          <w:ilvl w:val="0"/>
          <w:numId w:val="2"/>
        </w:numPr>
        <w:jc w:val="both"/>
      </w:pPr>
      <w:r>
        <w:t>Intrinsic scatter in the natural signal (</w:t>
      </w:r>
      <m:oMath>
        <m:sSub>
          <m:sSubPr>
            <m:ctrlPr>
              <w:rPr>
                <w:rFonts w:ascii="Cambria Math" w:hAnsi="Cambria Math"/>
                <w:i/>
              </w:rPr>
            </m:ctrlPr>
          </m:sSubPr>
          <m:e>
            <m:r>
              <m:rPr/>
              <w:rPr>
                <w:rFonts w:ascii="Cambria Math" w:hAnsi="Cambria Math"/>
              </w:rPr>
              <m:t>σ</m:t>
            </m:r>
            <m:ctrlPr>
              <w:rPr>
                <w:rFonts w:ascii="Cambria Math" w:hAnsi="Cambria Math"/>
                <w:i/>
              </w:rPr>
            </m:ctrlPr>
          </m:e>
          <m:sub>
            <m:r>
              <m:rPr/>
              <w:rPr>
                <w:rFonts w:ascii="Cambria Math" w:hAnsi="Cambria Math"/>
              </w:rPr>
              <m:t>m</m:t>
            </m:r>
            <m:ctrlPr>
              <w:rPr>
                <w:rFonts w:ascii="Cambria Math" w:hAnsi="Cambria Math"/>
                <w:i/>
              </w:rPr>
            </m:ctrlPr>
          </m:sub>
        </m:sSub>
        <m:r>
          <m:rPr/>
          <w:rPr>
            <w:rFonts w:ascii="Cambria Math" w:hAnsi="Cambria Math"/>
          </w:rPr>
          <m:t>=0.1</m:t>
        </m:r>
      </m:oMath>
      <w:r>
        <w:t>). This estimate is based on the OD value of signal recovery tests.</w:t>
      </w:r>
    </w:p>
    <w:p w14:paraId="5E087F59">
      <w:pPr>
        <w:pStyle w:val="33"/>
        <w:numPr>
          <w:ilvl w:val="0"/>
          <w:numId w:val="2"/>
        </w:numPr>
        <w:jc w:val="both"/>
      </w:pPr>
      <w:r>
        <w:t xml:space="preserve">Prior distribution for the age. A non-informative prior (i.e., a uniform distribution between 0 and 1,000 ka, </w:t>
      </w:r>
      <m:oMath>
        <m:r>
          <m:rPr/>
          <w:rPr>
            <w:rFonts w:ascii="Cambria Math" w:hAnsi="Cambria Math"/>
            <w:lang w:val="en-AU" w:bidi="ar-SA"/>
          </w:rPr>
          <m:t xml:space="preserve">t </m:t>
        </m:r>
        <m:r>
          <m:rPr/>
          <w:rPr>
            <w:rFonts w:ascii="Cambria Math" w:hAnsi="Cambria Math"/>
          </w:rPr>
          <m:t>~ U(</m:t>
        </m:r>
        <m:r>
          <m:rPr>
            <m:sty m:val="p"/>
          </m:rPr>
          <w:rPr>
            <w:rFonts w:ascii="Cambria Math" w:hAnsi="Cambria Math"/>
          </w:rPr>
          <m:t>0</m:t>
        </m:r>
        <m:r>
          <m:rPr/>
          <w:rPr>
            <w:rFonts w:ascii="Cambria Math" w:hAnsi="Cambria Math"/>
          </w:rPr>
          <m:t>, 1</m:t>
        </m:r>
        <m:r>
          <m:rPr>
            <m:sty m:val="p"/>
          </m:rPr>
          <w:rPr>
            <w:rFonts w:ascii="Cambria Math" w:hAnsi="Cambria Math"/>
          </w:rPr>
          <m:t>000</m:t>
        </m:r>
        <m:r>
          <m:rPr/>
          <w:rPr>
            <w:rFonts w:ascii="Cambria Math" w:hAnsi="Cambria Math"/>
          </w:rPr>
          <m:t>)</m:t>
        </m:r>
      </m:oMath>
      <w:r>
        <w:t>) was assumed for all samples.</w:t>
      </w:r>
    </w:p>
    <w:p w14:paraId="070A6B87">
      <w:pPr>
        <w:pStyle w:val="33"/>
        <w:numPr>
          <w:ilvl w:val="0"/>
          <w:numId w:val="2"/>
        </w:numPr>
        <w:jc w:val="both"/>
      </w:pPr>
      <w:r>
        <w:t xml:space="preserve">Outlier probability. </w:t>
      </w:r>
      <w:r>
        <w:rPr>
          <w:lang w:val="en-AU"/>
        </w:rPr>
        <w:t xml:space="preserve">Outlier detection is achieved using two parameters in the model, the outlier </w:t>
      </w:r>
      <w:r>
        <w:t>probability</w:t>
      </w:r>
      <w:r>
        <w:rPr>
          <w:lang w:val="en-AU"/>
        </w:rPr>
        <w:t xml:space="preserve"> (</w:t>
      </w:r>
      <w:r>
        <w:rPr>
          <w:i/>
          <w:lang w:val="en-AU"/>
        </w:rPr>
        <w:t>q</w:t>
      </w:r>
      <w:r>
        <w:rPr>
          <w:lang w:val="en-AU"/>
        </w:rPr>
        <w:t>) of the sample and the offset scale (</w:t>
      </w:r>
      <m:oMath>
        <m:sSub>
          <m:sSubPr>
            <m:ctrlPr>
              <w:rPr>
                <w:rFonts w:ascii="Cambria Math" w:hAnsi="Cambria Math"/>
                <w:i/>
              </w:rPr>
            </m:ctrlPr>
          </m:sSubPr>
          <m:e>
            <m:r>
              <m:rPr/>
              <w:rPr>
                <w:rFonts w:ascii="Cambria Math" w:hAnsi="Cambria Math"/>
              </w:rPr>
              <m:t>δ</m:t>
            </m:r>
            <m:ctrlPr>
              <w:rPr>
                <w:rFonts w:ascii="Cambria Math" w:hAnsi="Cambria Math"/>
                <w:i/>
              </w:rPr>
            </m:ctrlPr>
          </m:e>
          <m:sub>
            <m:r>
              <m:rPr/>
              <w:rPr>
                <w:rFonts w:ascii="Cambria Math" w:hAnsi="Cambria Math"/>
              </w:rPr>
              <m:t>ij</m:t>
            </m:r>
            <m:ctrlPr>
              <w:rPr>
                <w:rFonts w:ascii="Cambria Math" w:hAnsi="Cambria Math"/>
                <w:i/>
              </w:rPr>
            </m:ctrlPr>
          </m:sub>
        </m:sSub>
      </m:oMath>
      <w:r>
        <w:t>)</w:t>
      </w:r>
      <w:r>
        <w:rPr>
          <w:lang w:val="en-AU"/>
        </w:rPr>
        <w:t>; the former is the prior probability to find outliers in the sample (e.g., q=0 means no outliers and q=0.5 means half of the grains being outliers) and the latter is the offset needed to move an outlier so that it cannot be distinguished from the target population. Since</w:t>
      </w:r>
      <w:r>
        <w:t xml:space="preserve"> our samples are dominant by a single population (according to the patterns of L</w:t>
      </w:r>
      <w:r>
        <w:rPr>
          <w:vertAlign w:val="subscript"/>
        </w:rPr>
        <w:t>n</w:t>
      </w:r>
      <w:r>
        <w:t>/T</w:t>
      </w:r>
      <w:r>
        <w:rPr>
          <w:vertAlign w:val="subscript"/>
        </w:rPr>
        <w:t>n</w:t>
      </w:r>
      <w:r>
        <w:t xml:space="preserve"> distributions;</w:t>
      </w:r>
      <w:r>
        <w:rPr>
          <w:color w:val="0000FF"/>
        </w:rPr>
        <w:t xml:space="preserve"> </w:t>
      </w:r>
      <w:r>
        <w:rPr>
          <w:color w:val="0000FF"/>
        </w:rPr>
        <w:fldChar w:fldCharType="begin"/>
      </w:r>
      <w:r>
        <w:rPr>
          <w:color w:val="0000FF"/>
        </w:rPr>
        <w:instrText xml:space="preserve"> REF _Ref208218383 \h  \* MERGEFORMAT </w:instrText>
      </w:r>
      <w:r>
        <w:rPr>
          <w:color w:val="0000FF"/>
        </w:rPr>
        <w:fldChar w:fldCharType="separate"/>
      </w:r>
      <w:r>
        <w:rPr>
          <w:rFonts w:hint="eastAsia"/>
          <w:color w:val="0000FF"/>
          <w:lang w:eastAsia="zh-CN"/>
        </w:rPr>
        <w:t>Supplementary Fig</w:t>
      </w:r>
      <w:r>
        <w:rPr>
          <w:rFonts w:hint="eastAsia"/>
          <w:color w:val="0000FF"/>
          <w:lang w:val="en-US" w:eastAsia="zh-CN"/>
        </w:rPr>
        <w:t>s.</w:t>
      </w:r>
      <w:r>
        <w:rPr>
          <w:color w:val="0000FF"/>
        </w:rPr>
        <w:t xml:space="preserve"> </w:t>
      </w:r>
      <w:r>
        <w:rPr>
          <w:color w:val="0000FF"/>
        </w:rPr>
        <w:fldChar w:fldCharType="end"/>
      </w:r>
      <w:r>
        <w:rPr>
          <w:rFonts w:hint="eastAsia"/>
          <w:color w:val="0000FF"/>
          <w:lang w:val="en-US" w:eastAsia="zh-CN"/>
        </w:rPr>
        <w:t>4</w:t>
      </w:r>
      <w:r>
        <w:t>–</w:t>
      </w:r>
      <w:r>
        <w:rPr>
          <w:color w:val="0000FF"/>
        </w:rPr>
        <w:t>1</w:t>
      </w:r>
      <w:r>
        <w:rPr>
          <w:rFonts w:hint="eastAsia"/>
          <w:color w:val="0000FF"/>
          <w:lang w:val="en-US" w:eastAsia="zh-CN"/>
        </w:rPr>
        <w:t>5</w:t>
      </w:r>
      <w:r>
        <w:t>) with only a small percentage of outliers, we applied a non-informative prior for q (</w:t>
      </w:r>
      <m:oMath>
        <m:r>
          <m:rPr/>
          <w:rPr>
            <w:rFonts w:ascii="Cambria Math" w:hAnsi="Cambria Math"/>
          </w:rPr>
          <m:t>q ~ Uniform(0, 1</m:t>
        </m:r>
      </m:oMath>
      <w:r>
        <w:t>)) so that the model is allowed to find the optimum posterior value for it.</w:t>
      </w:r>
      <w:r>
        <w:rPr>
          <w:lang w:val="en-AU"/>
        </w:rPr>
        <w:t xml:space="preserve"> </w:t>
      </w:r>
      <w:r>
        <w:rPr>
          <w:rFonts w:hint="eastAsia"/>
          <w:lang w:val="en-US" w:eastAsia="zh-CN"/>
        </w:rPr>
        <w:t>T</w:t>
      </w:r>
      <w:r>
        <w:rPr>
          <w:lang w:val="en-AU"/>
        </w:rPr>
        <w:t>he offset scale (</w:t>
      </w:r>
      <m:oMath>
        <m:sSub>
          <m:sSubPr>
            <m:ctrlPr>
              <w:rPr>
                <w:rFonts w:ascii="Cambria Math" w:hAnsi="Cambria Math"/>
                <w:lang w:val="en-AU"/>
              </w:rPr>
            </m:ctrlPr>
          </m:sSubPr>
          <m:e>
            <m:r>
              <m:rPr/>
              <w:rPr>
                <w:rFonts w:ascii="Cambria Math" w:hAnsi="Cambria Math"/>
                <w:lang w:val="en-AU"/>
              </w:rPr>
              <m:t>δ</m:t>
            </m:r>
            <m:ctrlPr>
              <w:rPr>
                <w:rFonts w:ascii="Cambria Math" w:hAnsi="Cambria Math"/>
                <w:lang w:val="en-AU"/>
              </w:rPr>
            </m:ctrlPr>
          </m:e>
          <m:sub>
            <m:r>
              <m:rPr/>
              <w:rPr>
                <w:rFonts w:ascii="Cambria Math" w:hAnsi="Cambria Math"/>
                <w:lang w:val="en-AU"/>
              </w:rPr>
              <m:t>ij</m:t>
            </m:r>
            <m:ctrlPr>
              <w:rPr>
                <w:rFonts w:ascii="Cambria Math" w:hAnsi="Cambria Math"/>
                <w:lang w:val="en-AU"/>
              </w:rPr>
            </m:ctrlPr>
          </m:sub>
        </m:sSub>
      </m:oMath>
      <w:r>
        <w:rPr>
          <w:lang w:val="en-AU"/>
        </w:rPr>
        <w:t xml:space="preserve">) is modelled using a normal distribution: </w:t>
      </w:r>
      <m:oMath>
        <m:sSub>
          <m:sSubPr>
            <m:ctrlPr>
              <w:rPr>
                <w:rFonts w:ascii="Cambria Math" w:hAnsi="Cambria Math"/>
                <w:lang w:val="en-AU"/>
              </w:rPr>
            </m:ctrlPr>
          </m:sSubPr>
          <m:e>
            <m:r>
              <m:rPr/>
              <w:rPr>
                <w:rFonts w:ascii="Cambria Math" w:hAnsi="Cambria Math"/>
                <w:lang w:val="en-AU"/>
              </w:rPr>
              <m:t>δ</m:t>
            </m:r>
            <m:ctrlPr>
              <w:rPr>
                <w:rFonts w:ascii="Cambria Math" w:hAnsi="Cambria Math"/>
                <w:lang w:val="en-AU"/>
              </w:rPr>
            </m:ctrlPr>
          </m:e>
          <m:sub>
            <m:r>
              <m:rPr/>
              <w:rPr>
                <w:rFonts w:ascii="Cambria Math" w:hAnsi="Cambria Math"/>
                <w:lang w:val="en-AU"/>
              </w:rPr>
              <m:t>ij</m:t>
            </m:r>
            <m:ctrlPr>
              <w:rPr>
                <w:rFonts w:ascii="Cambria Math" w:hAnsi="Cambria Math"/>
                <w:lang w:val="en-AU"/>
              </w:rPr>
            </m:ctrlPr>
          </m:sub>
        </m:sSub>
        <m:r>
          <m:rPr>
            <m:sty m:val="p"/>
          </m:rPr>
          <w:rPr>
            <w:rFonts w:ascii="Cambria Math" w:hAnsi="Cambria Math"/>
            <w:lang w:val="en-AU"/>
          </w:rPr>
          <m:t xml:space="preserve"> ~ </m:t>
        </m:r>
        <m:r>
          <m:rPr/>
          <w:rPr>
            <w:rFonts w:ascii="Cambria Math" w:hAnsi="Cambria Math"/>
            <w:lang w:val="en-AU"/>
          </w:rPr>
          <m:t>N</m:t>
        </m:r>
        <m:d>
          <m:dPr>
            <m:ctrlPr>
              <w:rPr>
                <w:rFonts w:ascii="Cambria Math" w:hAnsi="Cambria Math"/>
                <w:lang w:val="en-AU"/>
              </w:rPr>
            </m:ctrlPr>
          </m:dPr>
          <m:e>
            <m:r>
              <m:rPr>
                <m:sty m:val="p"/>
              </m:rPr>
              <w:rPr>
                <w:rFonts w:ascii="Cambria Math" w:hAnsi="Cambria Math"/>
                <w:lang w:val="en-AU"/>
              </w:rPr>
              <m:t>0,</m:t>
            </m:r>
            <m:func>
              <m:funcPr>
                <m:ctrlPr>
                  <w:rPr>
                    <w:rFonts w:ascii="Cambria Math" w:hAnsi="Cambria Math"/>
                    <w:lang w:val="en-AU"/>
                  </w:rPr>
                </m:ctrlPr>
              </m:funcPr>
              <m:fName>
                <m:r>
                  <m:rPr>
                    <m:sty m:val="p"/>
                  </m:rPr>
                  <w:rPr>
                    <w:rFonts w:ascii="Cambria Math" w:hAnsi="Cambria Math"/>
                    <w:lang w:val="en-AU"/>
                  </w:rPr>
                  <m:t>max</m:t>
                </m:r>
                <m:ctrlPr>
                  <w:rPr>
                    <w:rFonts w:ascii="Cambria Math" w:hAnsi="Cambria Math"/>
                    <w:lang w:val="en-AU"/>
                  </w:rPr>
                </m:ctrlPr>
              </m:fName>
              <m:e>
                <m:d>
                  <m:dPr>
                    <m:ctrlPr>
                      <w:rPr>
                        <w:rFonts w:ascii="Cambria Math" w:hAnsi="Cambria Math"/>
                        <w:lang w:val="en-AU"/>
                      </w:rPr>
                    </m:ctrlPr>
                  </m:dPr>
                  <m:e>
                    <m:sSub>
                      <m:sSubPr>
                        <m:ctrlPr>
                          <w:rPr>
                            <w:rFonts w:ascii="Cambria Math" w:hAnsi="Cambria Math"/>
                            <w:lang w:val="en-AU"/>
                          </w:rPr>
                        </m:ctrlPr>
                      </m:sSubPr>
                      <m:e>
                        <m:r>
                          <m:rPr/>
                          <w:rPr>
                            <w:rFonts w:ascii="Cambria Math" w:hAnsi="Cambria Math"/>
                            <w:lang w:val="en-AU"/>
                          </w:rPr>
                          <m:t>L</m:t>
                        </m:r>
                        <m:ctrlPr>
                          <w:rPr>
                            <w:rFonts w:ascii="Cambria Math" w:hAnsi="Cambria Math"/>
                            <w:lang w:val="en-AU"/>
                          </w:rPr>
                        </m:ctrlPr>
                      </m:e>
                      <m:sub>
                        <m:r>
                          <m:rPr/>
                          <w:rPr>
                            <w:rFonts w:ascii="Cambria Math" w:hAnsi="Cambria Math"/>
                            <w:lang w:val="en-AU"/>
                          </w:rPr>
                          <m:t>N</m:t>
                        </m:r>
                        <m:r>
                          <m:rPr>
                            <m:sty m:val="p"/>
                          </m:rPr>
                          <w:rPr>
                            <w:rFonts w:ascii="Cambria Math" w:hAnsi="Cambria Math"/>
                            <w:lang w:val="en-AU"/>
                          </w:rPr>
                          <m:t>,</m:t>
                        </m:r>
                        <m:r>
                          <m:rPr/>
                          <w:rPr>
                            <w:rFonts w:ascii="Cambria Math" w:hAnsi="Cambria Math"/>
                            <w:lang w:val="en-AU"/>
                          </w:rPr>
                          <m:t>ij</m:t>
                        </m:r>
                        <m:ctrlPr>
                          <w:rPr>
                            <w:rFonts w:ascii="Cambria Math" w:hAnsi="Cambria Math"/>
                            <w:lang w:val="en-AU"/>
                          </w:rPr>
                        </m:ctrlPr>
                      </m:sub>
                    </m:sSub>
                    <m:ctrlPr>
                      <w:rPr>
                        <w:rFonts w:ascii="Cambria Math" w:hAnsi="Cambria Math"/>
                        <w:lang w:val="en-AU"/>
                      </w:rPr>
                    </m:ctrlPr>
                  </m:e>
                </m:d>
                <m:ctrlPr>
                  <w:rPr>
                    <w:rFonts w:ascii="Cambria Math" w:hAnsi="Cambria Math"/>
                    <w:lang w:val="en-AU"/>
                  </w:rPr>
                </m:ctrlPr>
              </m:e>
            </m:func>
            <m:r>
              <m:rPr>
                <m:sty m:val="p"/>
              </m:rPr>
              <w:rPr>
                <w:rFonts w:ascii="Cambria Math" w:hAnsi="Cambria Math"/>
                <w:lang w:val="en-AU"/>
              </w:rPr>
              <m:t>−</m:t>
            </m:r>
            <m:func>
              <m:funcPr>
                <m:ctrlPr>
                  <w:rPr>
                    <w:rFonts w:ascii="Cambria Math" w:hAnsi="Cambria Math"/>
                    <w:lang w:val="en-AU"/>
                  </w:rPr>
                </m:ctrlPr>
              </m:funcPr>
              <m:fName>
                <m:r>
                  <m:rPr>
                    <m:sty m:val="p"/>
                  </m:rPr>
                  <w:rPr>
                    <w:rFonts w:ascii="Cambria Math" w:hAnsi="Cambria Math"/>
                    <w:lang w:val="en-AU"/>
                  </w:rPr>
                  <m:t>min</m:t>
                </m:r>
                <m:ctrlPr>
                  <w:rPr>
                    <w:rFonts w:ascii="Cambria Math" w:hAnsi="Cambria Math"/>
                    <w:lang w:val="en-AU"/>
                  </w:rPr>
                </m:ctrlPr>
              </m:fName>
              <m:e>
                <m:d>
                  <m:dPr>
                    <m:ctrlPr>
                      <w:rPr>
                        <w:rFonts w:ascii="Cambria Math" w:hAnsi="Cambria Math"/>
                        <w:lang w:val="en-AU"/>
                      </w:rPr>
                    </m:ctrlPr>
                  </m:dPr>
                  <m:e>
                    <m:sSub>
                      <m:sSubPr>
                        <m:ctrlPr>
                          <w:rPr>
                            <w:rFonts w:ascii="Cambria Math" w:hAnsi="Cambria Math"/>
                            <w:lang w:val="en-AU"/>
                          </w:rPr>
                        </m:ctrlPr>
                      </m:sSubPr>
                      <m:e>
                        <m:r>
                          <m:rPr/>
                          <w:rPr>
                            <w:rFonts w:ascii="Cambria Math" w:hAnsi="Cambria Math"/>
                            <w:lang w:val="en-AU"/>
                          </w:rPr>
                          <m:t>L</m:t>
                        </m:r>
                        <m:ctrlPr>
                          <w:rPr>
                            <w:rFonts w:ascii="Cambria Math" w:hAnsi="Cambria Math"/>
                            <w:lang w:val="en-AU"/>
                          </w:rPr>
                        </m:ctrlPr>
                      </m:e>
                      <m:sub>
                        <m:r>
                          <m:rPr/>
                          <w:rPr>
                            <w:rFonts w:ascii="Cambria Math" w:hAnsi="Cambria Math"/>
                            <w:lang w:val="en-AU"/>
                          </w:rPr>
                          <m:t>N</m:t>
                        </m:r>
                        <m:r>
                          <m:rPr>
                            <m:sty m:val="p"/>
                          </m:rPr>
                          <w:rPr>
                            <w:rFonts w:ascii="Cambria Math" w:hAnsi="Cambria Math"/>
                            <w:lang w:val="en-AU"/>
                          </w:rPr>
                          <m:t>,</m:t>
                        </m:r>
                        <m:r>
                          <m:rPr/>
                          <w:rPr>
                            <w:rFonts w:ascii="Cambria Math" w:hAnsi="Cambria Math"/>
                            <w:lang w:val="en-AU"/>
                          </w:rPr>
                          <m:t>ij</m:t>
                        </m:r>
                        <m:ctrlPr>
                          <w:rPr>
                            <w:rFonts w:ascii="Cambria Math" w:hAnsi="Cambria Math"/>
                            <w:lang w:val="en-AU"/>
                          </w:rPr>
                        </m:ctrlPr>
                      </m:sub>
                    </m:sSub>
                    <m:ctrlPr>
                      <w:rPr>
                        <w:rFonts w:ascii="Cambria Math" w:hAnsi="Cambria Math"/>
                        <w:lang w:val="en-AU"/>
                      </w:rPr>
                    </m:ctrlPr>
                  </m:e>
                </m:d>
                <m:ctrlPr>
                  <w:rPr>
                    <w:rFonts w:ascii="Cambria Math" w:hAnsi="Cambria Math"/>
                    <w:lang w:val="en-AU"/>
                  </w:rPr>
                </m:ctrlPr>
              </m:e>
            </m:func>
            <m:ctrlPr>
              <w:rPr>
                <w:rFonts w:ascii="Cambria Math" w:hAnsi="Cambria Math"/>
                <w:i/>
                <w:lang w:val="en-AU"/>
              </w:rPr>
            </m:ctrlPr>
          </m:e>
        </m:d>
      </m:oMath>
      <w:r>
        <w:rPr>
          <w:lang w:val="en-AU"/>
        </w:rPr>
        <w:t>.</w:t>
      </w:r>
    </w:p>
    <w:p w14:paraId="35CBC6A0">
      <w:pPr>
        <w:pStyle w:val="22"/>
        <w:jc w:val="both"/>
      </w:pPr>
      <w:r>
        <w:t xml:space="preserve">Finally, the </w:t>
      </w:r>
      <w:r>
        <w:rPr>
          <w:lang w:val="en-AU"/>
        </w:rPr>
        <w:t>LS-normalised L</w:t>
      </w:r>
      <w:r>
        <w:rPr>
          <w:vertAlign w:val="subscript"/>
          <w:lang w:val="en-AU"/>
        </w:rPr>
        <w:t>n</w:t>
      </w:r>
      <w:r>
        <w:rPr>
          <w:lang w:val="en-AU"/>
        </w:rPr>
        <w:t>/T</w:t>
      </w:r>
      <w:r>
        <w:rPr>
          <w:vertAlign w:val="subscript"/>
          <w:lang w:val="en-AU"/>
        </w:rPr>
        <w:t>n</w:t>
      </w:r>
      <w:r>
        <w:rPr>
          <w:lang w:val="en-AU"/>
        </w:rPr>
        <w:t xml:space="preserve"> values</w:t>
      </w:r>
      <w:r>
        <w:t xml:space="preserve"> and associated uncertainties were used as input data; the latter were calculated based on counting statistics and instrumental irreproducibility </w:t>
      </w:r>
      <w:r>
        <w:rPr>
          <w:rFonts w:cs="Arial"/>
          <w:snapToGrid w:val="0"/>
          <w:szCs w:val="21"/>
        </w:rPr>
        <w:t>of</w:t>
      </w:r>
      <w:r>
        <w:t xml:space="preserve"> the reader used. </w:t>
      </w:r>
    </w:p>
    <w:p w14:paraId="658FC4E2">
      <w:pPr>
        <w:pStyle w:val="22"/>
        <w:jc w:val="both"/>
        <w:rPr>
          <w:lang w:val="en-AU"/>
        </w:rPr>
      </w:pPr>
      <w:r>
        <w:rPr>
          <w:lang w:val="en-AU"/>
        </w:rPr>
        <w:t>The posterior distributions of all the parameters (including the ages and D</w:t>
      </w:r>
      <w:r>
        <w:rPr>
          <w:vertAlign w:val="subscript"/>
          <w:lang w:val="en-AU"/>
        </w:rPr>
        <w:t>e</w:t>
      </w:r>
      <w:r>
        <w:rPr>
          <w:lang w:val="en-AU"/>
        </w:rPr>
        <w:t xml:space="preserve"> values) are </w:t>
      </w:r>
      <w:r>
        <w:rPr>
          <w:rFonts w:cs="Arial"/>
          <w:snapToGrid w:val="0"/>
          <w:szCs w:val="21"/>
        </w:rPr>
        <w:t>approximated</w:t>
      </w:r>
      <w:r>
        <w:rPr>
          <w:lang w:val="en-AU"/>
        </w:rPr>
        <w:t xml:space="preserve"> using Markov chains using the Metropolis-within-Gibbs sampler for MCMC simulation. The model is set up using JAGS</w:t>
      </w:r>
      <w:r>
        <w:rPr>
          <w:vertAlign w:val="superscript"/>
        </w:rPr>
        <w:t>17</w:t>
      </w:r>
      <w:r>
        <w:rPr>
          <w:lang w:val="en-AU"/>
        </w:rPr>
        <w:t xml:space="preserve"> and implemented in R</w:t>
      </w:r>
      <w:r>
        <w:rPr>
          <w:vertAlign w:val="superscript"/>
        </w:rPr>
        <w:t>6</w:t>
      </w:r>
      <w:r>
        <w:t>.</w:t>
      </w:r>
      <w:r>
        <w:rPr>
          <w:lang w:val="en-AU"/>
        </w:rPr>
        <w:t xml:space="preserve"> A total of 3 MCMC chains each containing 10,000 iterations were used for both burn-in and sampling without any thinning of samples (i.e., thinning = 1). Trace plots of the MCMC samples of D</w:t>
      </w:r>
      <w:r>
        <w:rPr>
          <w:vertAlign w:val="subscript"/>
          <w:lang w:val="en-AU"/>
        </w:rPr>
        <w:t>e</w:t>
      </w:r>
      <w:r>
        <w:rPr>
          <w:lang w:val="en-AU"/>
        </w:rPr>
        <w:t xml:space="preserve"> values shows that convergence was achieved (</w:t>
      </w:r>
      <w:r>
        <w:rPr>
          <w:color w:val="0000FF"/>
        </w:rPr>
        <w:fldChar w:fldCharType="begin"/>
      </w:r>
      <w:r>
        <w:rPr>
          <w:color w:val="0000FF"/>
        </w:rPr>
        <w:instrText xml:space="preserve"> REF _Ref208218383 \h </w:instrText>
      </w:r>
      <w:r>
        <w:rPr>
          <w:color w:val="0000FF"/>
        </w:rPr>
        <w:fldChar w:fldCharType="separate"/>
      </w:r>
      <w:r>
        <w:rPr>
          <w:rFonts w:hint="eastAsia"/>
          <w:color w:val="0000FF"/>
          <w:lang w:eastAsia="zh-CN"/>
        </w:rPr>
        <w:t>Supplementary Fig</w:t>
      </w:r>
      <w:r>
        <w:rPr>
          <w:rFonts w:hint="eastAsia"/>
          <w:color w:val="0000FF"/>
        </w:rPr>
        <w:t>s</w:t>
      </w:r>
      <w:r>
        <w:rPr>
          <w:rFonts w:hint="eastAsia"/>
          <w:color w:val="0000FF"/>
          <w:lang w:val="en-US" w:eastAsia="zh-CN"/>
        </w:rPr>
        <w:t>.</w:t>
      </w:r>
      <w:r>
        <w:rPr>
          <w:color w:val="0000FF"/>
        </w:rPr>
        <w:t xml:space="preserve"> </w:t>
      </w:r>
      <w:r>
        <w:rPr>
          <w:rFonts w:hint="eastAsia"/>
          <w:color w:val="0000FF"/>
          <w:lang w:val="en-US" w:eastAsia="zh-CN"/>
        </w:rPr>
        <w:t>4</w:t>
      </w:r>
      <w:r>
        <w:rPr>
          <w:color w:val="0000FF"/>
        </w:rPr>
        <w:fldChar w:fldCharType="end"/>
      </w:r>
      <w:r>
        <w:t>–</w:t>
      </w:r>
      <w:r>
        <w:rPr>
          <w:color w:val="0000FF"/>
        </w:rPr>
        <w:t>1</w:t>
      </w:r>
      <w:r>
        <w:rPr>
          <w:rFonts w:hint="eastAsia"/>
          <w:color w:val="0000FF"/>
          <w:lang w:val="en-US" w:eastAsia="zh-CN"/>
        </w:rPr>
        <w:t>5</w:t>
      </w:r>
      <w:r>
        <w:rPr>
          <w:color w:val="0000FF"/>
        </w:rPr>
        <w:t>).</w:t>
      </w:r>
      <w:r>
        <w:rPr>
          <w:lang w:val="en-AU"/>
        </w:rPr>
        <w:t xml:space="preserve"> </w:t>
      </w:r>
    </w:p>
    <w:p w14:paraId="57810D5C">
      <w:pPr>
        <w:pStyle w:val="22"/>
        <w:jc w:val="both"/>
        <w:rPr>
          <w:lang w:eastAsia="en-US"/>
        </w:rPr>
      </w:pPr>
      <w:r>
        <w:t xml:space="preserve">The BHAM provided an estimation of the probabilities of individual </w:t>
      </w:r>
      <w:r>
        <w:rPr>
          <w:rFonts w:hint="eastAsia"/>
          <w:lang w:val="en-US" w:eastAsia="zh-CN"/>
        </w:rPr>
        <w:t xml:space="preserve">outlier </w:t>
      </w:r>
      <w:r>
        <w:t>grains</w:t>
      </w:r>
      <w:r>
        <w:rPr>
          <w:lang w:val="en-AU"/>
        </w:rPr>
        <w:t>. This is illustrated as colour code of the data points in the radial plots of the LS-normalised L</w:t>
      </w:r>
      <w:r>
        <w:rPr>
          <w:vertAlign w:val="subscript"/>
          <w:lang w:val="en-AU"/>
        </w:rPr>
        <w:t>n</w:t>
      </w:r>
      <w:r>
        <w:rPr>
          <w:lang w:val="en-AU"/>
        </w:rPr>
        <w:t>/T</w:t>
      </w:r>
      <w:r>
        <w:rPr>
          <w:vertAlign w:val="subscript"/>
          <w:lang w:val="en-AU"/>
        </w:rPr>
        <w:t>n</w:t>
      </w:r>
      <w:r>
        <w:rPr>
          <w:lang w:val="en-AU"/>
        </w:rPr>
        <w:t xml:space="preserve"> values (</w:t>
      </w:r>
      <w:r>
        <w:rPr>
          <w:color w:val="0000FF"/>
        </w:rPr>
        <w:fldChar w:fldCharType="begin"/>
      </w:r>
      <w:r>
        <w:rPr>
          <w:color w:val="0000FF"/>
        </w:rPr>
        <w:instrText xml:space="preserve"> REF _Ref208218383 \h </w:instrText>
      </w:r>
      <w:r>
        <w:rPr>
          <w:color w:val="0000FF"/>
        </w:rPr>
        <w:fldChar w:fldCharType="separate"/>
      </w:r>
      <w:r>
        <w:rPr>
          <w:rFonts w:hint="eastAsia"/>
          <w:color w:val="0000FF"/>
          <w:lang w:eastAsia="zh-CN"/>
        </w:rPr>
        <w:t>Supplementary Fig</w:t>
      </w:r>
      <w:r>
        <w:rPr>
          <w:rFonts w:hint="eastAsia"/>
          <w:color w:val="0000FF"/>
          <w:lang w:val="en-US" w:eastAsia="zh-CN"/>
        </w:rPr>
        <w:t>s.</w:t>
      </w:r>
      <w:r>
        <w:rPr>
          <w:color w:val="0000FF"/>
        </w:rPr>
        <w:t xml:space="preserve"> </w:t>
      </w:r>
      <w:r>
        <w:rPr>
          <w:rFonts w:hint="eastAsia"/>
          <w:color w:val="0000FF"/>
          <w:lang w:val="en-US" w:eastAsia="zh-CN"/>
        </w:rPr>
        <w:t>4</w:t>
      </w:r>
      <w:r>
        <w:rPr>
          <w:color w:val="0000FF"/>
        </w:rPr>
        <w:fldChar w:fldCharType="end"/>
      </w:r>
      <w:r>
        <w:t>–</w:t>
      </w:r>
      <w:r>
        <w:rPr>
          <w:color w:val="0000FF"/>
        </w:rPr>
        <w:t>1</w:t>
      </w:r>
      <w:r>
        <w:rPr>
          <w:rFonts w:hint="eastAsia"/>
          <w:color w:val="0000FF"/>
          <w:lang w:val="en-US" w:eastAsia="zh-CN"/>
        </w:rPr>
        <w:t>5</w:t>
      </w:r>
      <w:r>
        <w:rPr>
          <w:lang w:val="en-AU"/>
        </w:rPr>
        <w:t xml:space="preserve">), in which the outlier probability is </w:t>
      </w:r>
      <w:r>
        <w:rPr>
          <w:rFonts w:hint="eastAsia"/>
          <w:lang w:val="en-US" w:eastAsia="zh-CN"/>
        </w:rPr>
        <w:t xml:space="preserve">distributed </w:t>
      </w:r>
      <w:r>
        <w:rPr>
          <w:lang w:val="en-AU"/>
        </w:rPr>
        <w:t>into 20 intervals, equally spaced from 0 to 1 (i.e., 0</w:t>
      </w:r>
      <w:r>
        <w:t>-</w:t>
      </w:r>
      <w:r>
        <w:rPr>
          <w:lang w:val="en-AU"/>
        </w:rPr>
        <w:t>0.05, 0.05</w:t>
      </w:r>
      <w:r>
        <w:t>-</w:t>
      </w:r>
      <w:r>
        <w:rPr>
          <w:lang w:val="en-AU"/>
        </w:rPr>
        <w:t>0.10…, 0.95</w:t>
      </w:r>
      <w:r>
        <w:t>-</w:t>
      </w:r>
      <w:r>
        <w:rPr>
          <w:lang w:val="en-AU"/>
        </w:rPr>
        <w:t xml:space="preserve">1.00), with </w:t>
      </w:r>
      <w:r>
        <w:rPr>
          <w:rFonts w:cs="Arial"/>
          <w:snapToGrid w:val="0"/>
          <w:szCs w:val="21"/>
        </w:rPr>
        <w:t>negligible</w:t>
      </w:r>
      <w:r>
        <w:rPr>
          <w:lang w:val="en-AU"/>
        </w:rPr>
        <w:t xml:space="preserve"> outlier probability (&lt;5%) shown in blue and high outlier probability (&gt;95%) shown in red</w:t>
      </w:r>
      <w:r>
        <w:rPr>
          <w:rFonts w:hint="eastAsia"/>
          <w:lang w:val="en-US" w:eastAsia="zh-CN"/>
        </w:rPr>
        <w:t>. Probabilities ranging between these two extremes are</w:t>
      </w:r>
      <w:r>
        <w:rPr>
          <w:lang w:val="en-AU"/>
        </w:rPr>
        <w:t xml:space="preserve"> shown in purple. </w:t>
      </w:r>
      <w:r>
        <w:rPr>
          <w:rFonts w:hint="eastAsia"/>
          <w:lang w:val="en-US" w:eastAsia="zh-CN"/>
        </w:rPr>
        <w:t>A</w:t>
      </w:r>
      <w:r>
        <w:rPr>
          <w:lang w:val="en-AU"/>
        </w:rPr>
        <w:t xml:space="preserve">ll our samples are dominant with a single population (blue points) with only a small proportion of outliers (red points). We </w:t>
      </w:r>
      <w:r>
        <w:rPr>
          <w:lang w:eastAsia="en-US"/>
        </w:rPr>
        <w:t>estimated the probability of grains belonging to the target population (</w:t>
      </w:r>
      <w:r>
        <w:rPr>
          <w:i/>
          <w:iCs/>
          <w:lang w:eastAsia="en-US"/>
        </w:rPr>
        <w:t>p</w:t>
      </w:r>
      <w:r>
        <w:rPr>
          <w:i/>
          <w:iCs/>
          <w:vertAlign w:val="subscript"/>
          <w:lang w:eastAsia="en-US"/>
        </w:rPr>
        <w:t>0</w:t>
      </w:r>
      <w:r>
        <w:rPr>
          <w:lang w:eastAsia="en-US"/>
        </w:rPr>
        <w:t xml:space="preserve">) by subtracting 1 </w:t>
      </w:r>
      <w:r>
        <w:rPr>
          <w:rFonts w:hint="eastAsia"/>
        </w:rPr>
        <w:t>from</w:t>
      </w:r>
      <w:r>
        <w:rPr>
          <w:lang w:eastAsia="en-US"/>
        </w:rPr>
        <w:t xml:space="preserve"> the average outlier probabilities of all grains from each sample (</w:t>
      </w:r>
      <w:r>
        <w:rPr>
          <w:color w:val="0000FF"/>
          <w:lang w:eastAsia="en-US"/>
        </w:rPr>
        <w:fldChar w:fldCharType="begin"/>
      </w:r>
      <w:r>
        <w:rPr>
          <w:color w:val="0000FF"/>
          <w:lang w:eastAsia="en-US"/>
        </w:rPr>
        <w:instrText xml:space="preserve"> REF _Ref208219430 \h </w:instrText>
      </w:r>
      <w:r>
        <w:rPr>
          <w:color w:val="0000FF"/>
          <w:lang w:eastAsia="en-US"/>
        </w:rPr>
        <w:fldChar w:fldCharType="separate"/>
      </w:r>
      <w:r>
        <w:rPr>
          <w:color w:val="0000FF"/>
        </w:rPr>
        <w:t xml:space="preserve">Supplementary Table </w:t>
      </w:r>
      <w:r>
        <w:rPr>
          <w:rFonts w:hint="eastAsia"/>
          <w:color w:val="0000FF"/>
          <w:lang w:val="en-US" w:eastAsia="zh-CN"/>
        </w:rPr>
        <w:t>4</w:t>
      </w:r>
      <w:r>
        <w:rPr>
          <w:color w:val="0000FF"/>
          <w:lang w:eastAsia="en-US"/>
        </w:rPr>
        <w:fldChar w:fldCharType="end"/>
      </w:r>
      <w:r>
        <w:rPr>
          <w:lang w:eastAsia="en-US"/>
        </w:rPr>
        <w:t xml:space="preserve">). Except BFD-OSL7, whose </w:t>
      </w:r>
      <w:r>
        <w:rPr>
          <w:i/>
          <w:iCs/>
          <w:lang w:eastAsia="en-US"/>
        </w:rPr>
        <w:t>p</w:t>
      </w:r>
      <w:r>
        <w:rPr>
          <w:i/>
          <w:iCs/>
          <w:vertAlign w:val="subscript"/>
          <w:lang w:eastAsia="en-US"/>
        </w:rPr>
        <w:t>0</w:t>
      </w:r>
      <w:r>
        <w:rPr>
          <w:i/>
          <w:iCs/>
          <w:lang w:eastAsia="en-US"/>
        </w:rPr>
        <w:t xml:space="preserve"> </w:t>
      </w:r>
      <w:r>
        <w:rPr>
          <w:lang w:eastAsia="en-US"/>
        </w:rPr>
        <w:t xml:space="preserve">is 0.86, the </w:t>
      </w:r>
      <w:r>
        <w:rPr>
          <w:i/>
          <w:iCs/>
          <w:lang w:eastAsia="en-US"/>
        </w:rPr>
        <w:t>p</w:t>
      </w:r>
      <w:r>
        <w:rPr>
          <w:i/>
          <w:iCs/>
          <w:vertAlign w:val="subscript"/>
          <w:lang w:eastAsia="en-US"/>
        </w:rPr>
        <w:t>0</w:t>
      </w:r>
      <w:r>
        <w:rPr>
          <w:i/>
          <w:iCs/>
          <w:lang w:eastAsia="en-US"/>
        </w:rPr>
        <w:t xml:space="preserve"> </w:t>
      </w:r>
      <w:r>
        <w:rPr>
          <w:lang w:eastAsia="en-US"/>
        </w:rPr>
        <w:t xml:space="preserve">values </w:t>
      </w:r>
      <w:r>
        <w:rPr>
          <w:rFonts w:hint="eastAsia"/>
          <w:lang w:val="en-US" w:eastAsia="zh-CN"/>
        </w:rPr>
        <w:t>for</w:t>
      </w:r>
      <w:r>
        <w:rPr>
          <w:lang w:eastAsia="en-US"/>
        </w:rPr>
        <w:t xml:space="preserve"> the other samples are all higher than 0.9, confirming that our samples are dominant by a single population.  </w:t>
      </w:r>
    </w:p>
    <w:p w14:paraId="0CEA548C">
      <w:pPr>
        <w:pStyle w:val="22"/>
        <w:jc w:val="both"/>
        <w:rPr>
          <w:rStyle w:val="31"/>
          <w:color w:val="auto"/>
          <w:sz w:val="24"/>
          <w:szCs w:val="24"/>
          <w:lang w:val="en-AU"/>
        </w:rPr>
      </w:pPr>
      <w:r>
        <w:rPr>
          <w:lang w:val="en-AU"/>
        </w:rPr>
        <w:t>The final estimates of D</w:t>
      </w:r>
      <w:r>
        <w:rPr>
          <w:vertAlign w:val="subscript"/>
          <w:lang w:val="en-AU"/>
        </w:rPr>
        <w:t>e</w:t>
      </w:r>
      <w:r>
        <w:rPr>
          <w:lang w:val="en-AU"/>
        </w:rPr>
        <w:t xml:space="preserve"> and ages are provided in</w:t>
      </w:r>
      <w:r>
        <w:rPr>
          <w:color w:val="0432FF"/>
          <w:lang w:eastAsia="en-US"/>
        </w:rPr>
        <w:t xml:space="preserve"> </w:t>
      </w:r>
      <w:r>
        <w:rPr>
          <w:color w:val="0000FF"/>
          <w:lang w:eastAsia="en-US"/>
        </w:rPr>
        <w:fldChar w:fldCharType="begin"/>
      </w:r>
      <w:r>
        <w:rPr>
          <w:color w:val="0000FF"/>
          <w:lang w:eastAsia="en-US"/>
        </w:rPr>
        <w:instrText xml:space="preserve"> REF _Ref208219430 \h </w:instrText>
      </w:r>
      <w:r>
        <w:rPr>
          <w:color w:val="0000FF"/>
          <w:lang w:eastAsia="en-US"/>
        </w:rPr>
        <w:fldChar w:fldCharType="separate"/>
      </w:r>
      <w:r>
        <w:rPr>
          <w:color w:val="0000FF"/>
        </w:rPr>
        <w:t xml:space="preserve">Supplementary Table </w:t>
      </w:r>
      <w:r>
        <w:rPr>
          <w:rFonts w:hint="eastAsia"/>
          <w:color w:val="0000FF"/>
          <w:lang w:val="en-US" w:eastAsia="zh-CN"/>
        </w:rPr>
        <w:t>4</w:t>
      </w:r>
      <w:r>
        <w:rPr>
          <w:color w:val="0000FF"/>
          <w:lang w:eastAsia="en-US"/>
        </w:rPr>
        <w:fldChar w:fldCharType="end"/>
      </w:r>
      <w:r>
        <w:rPr>
          <w:color w:val="0432FF"/>
          <w:lang w:eastAsia="en-US"/>
        </w:rPr>
        <w:t xml:space="preserve">. </w:t>
      </w:r>
      <w:r>
        <w:rPr>
          <w:lang w:val="en-AU"/>
        </w:rPr>
        <w:t xml:space="preserve">The ages of the two </w:t>
      </w:r>
      <w:r>
        <w:rPr>
          <w:rFonts w:cs="Arial"/>
          <w:snapToGrid w:val="0"/>
          <w:szCs w:val="21"/>
        </w:rPr>
        <w:t>uppermost</w:t>
      </w:r>
      <w:r>
        <w:rPr>
          <w:lang w:val="en-AU"/>
        </w:rPr>
        <w:t xml:space="preserve"> samples (BFD-OSL2 and -OSL3) from Layer 4 are ~70 ka. There is a significant </w:t>
      </w:r>
      <w:r>
        <w:rPr>
          <w:rFonts w:hint="eastAsia"/>
          <w:lang w:val="en-AU"/>
        </w:rPr>
        <w:t xml:space="preserve">age </w:t>
      </w:r>
      <w:r>
        <w:rPr>
          <w:lang w:val="en-AU"/>
        </w:rPr>
        <w:t xml:space="preserve">increase for the lower samples, indicating a hiatus between Layers 5 and 4. The ages of the lower layers range from ~120 ka to ~180 ka. The ages appear to follow stratigraphic order, with only one exception observed for BFD-OSL9, which yielded an age of ~122 ka that is out of the sequence and significantly younger than the ages of the other samples immediately above it. This sample was collected from the Layer 10 near the slope of the profile </w:t>
      </w:r>
      <w:r>
        <w:rPr>
          <w:color w:val="0000FF"/>
          <w:lang w:val="en-AU"/>
        </w:rPr>
        <w:t xml:space="preserve">(Extended Data Fig. </w:t>
      </w:r>
      <w:r>
        <w:rPr>
          <w:rFonts w:hint="eastAsia"/>
          <w:color w:val="0000FF"/>
          <w:lang w:val="en-AU"/>
        </w:rPr>
        <w:t>1</w:t>
      </w:r>
      <w:r>
        <w:rPr>
          <w:lang w:val="en-AU"/>
        </w:rPr>
        <w:t xml:space="preserve">), </w:t>
      </w:r>
      <w:r>
        <w:rPr>
          <w:rFonts w:hint="eastAsia"/>
          <w:lang w:val="en-AU"/>
        </w:rPr>
        <w:t>which wa</w:t>
      </w:r>
      <w:r>
        <w:rPr>
          <w:rFonts w:hint="eastAsia"/>
          <w:color w:val="auto"/>
          <w:lang w:val="en-AU"/>
        </w:rPr>
        <w:t>s probably not intact</w:t>
      </w:r>
      <w:r>
        <w:rPr>
          <w:rFonts w:hint="eastAsia"/>
          <w:color w:val="auto"/>
          <w:lang w:val="en-GB"/>
        </w:rPr>
        <w:t>. Furthermore,</w:t>
      </w:r>
      <w:r>
        <w:rPr>
          <w:color w:val="auto"/>
          <w:lang w:val="en-GB"/>
        </w:rPr>
        <w:t xml:space="preserve"> the gamma dose rate </w:t>
      </w:r>
      <w:r>
        <w:rPr>
          <w:rFonts w:hint="eastAsia"/>
          <w:color w:val="auto"/>
          <w:lang w:val="en-GB"/>
        </w:rPr>
        <w:t>of this sample cannot be verified</w:t>
      </w:r>
      <w:r>
        <w:rPr>
          <w:color w:val="auto"/>
          <w:lang w:val="en-GB"/>
        </w:rPr>
        <w:t xml:space="preserve"> since its 30-cm gamma</w:t>
      </w:r>
      <w:r>
        <w:rPr>
          <w:rFonts w:hint="eastAsia"/>
          <w:color w:val="auto"/>
          <w:lang w:val="en-GB"/>
        </w:rPr>
        <w:t xml:space="preserve"> irradiation</w:t>
      </w:r>
      <w:r>
        <w:rPr>
          <w:color w:val="auto"/>
          <w:lang w:val="en-GB"/>
        </w:rPr>
        <w:t xml:space="preserve"> field </w:t>
      </w:r>
      <w:r>
        <w:rPr>
          <w:rFonts w:hint="eastAsia"/>
          <w:color w:val="auto"/>
          <w:lang w:val="en-US" w:eastAsia="zh-CN"/>
        </w:rPr>
        <w:t>was</w:t>
      </w:r>
      <w:r>
        <w:rPr>
          <w:color w:val="auto"/>
          <w:lang w:val="en-GB"/>
        </w:rPr>
        <w:t xml:space="preserve"> </w:t>
      </w:r>
      <w:r>
        <w:rPr>
          <w:rFonts w:hint="eastAsia"/>
          <w:color w:val="auto"/>
          <w:lang w:val="en-GB"/>
        </w:rPr>
        <w:t>lost</w:t>
      </w:r>
      <w:r>
        <w:rPr>
          <w:color w:val="auto"/>
          <w:lang w:val="en-GB"/>
        </w:rPr>
        <w:t>.</w:t>
      </w:r>
      <w:r>
        <w:rPr>
          <w:rFonts w:hint="eastAsia"/>
          <w:color w:val="auto"/>
          <w:lang w:val="en-GB"/>
        </w:rPr>
        <w:t xml:space="preserve"> Therefore, </w:t>
      </w:r>
      <w:r>
        <w:rPr>
          <w:rFonts w:hint="eastAsia"/>
          <w:color w:val="auto"/>
          <w:lang w:val="en-AU"/>
        </w:rPr>
        <w:t xml:space="preserve">we consider that </w:t>
      </w:r>
      <w:r>
        <w:rPr>
          <w:rFonts w:hint="eastAsia"/>
          <w:color w:val="auto"/>
          <w:lang w:val="en-GB"/>
        </w:rPr>
        <w:t>this</w:t>
      </w:r>
      <w:r>
        <w:rPr>
          <w:color w:val="auto"/>
          <w:lang w:val="en-GB"/>
        </w:rPr>
        <w:t xml:space="preserve"> age estimate is unreliable </w:t>
      </w:r>
      <w:r>
        <w:rPr>
          <w:rFonts w:hint="eastAsia"/>
          <w:color w:val="auto"/>
          <w:lang w:val="en-GB"/>
        </w:rPr>
        <w:t>and should be treated as an outlier</w:t>
      </w:r>
      <w:r>
        <w:rPr>
          <w:color w:val="auto"/>
          <w:lang w:val="en-AU"/>
        </w:rPr>
        <w:t>. The BHAM OSL ages of sedi</w:t>
      </w:r>
      <w:r>
        <w:rPr>
          <w:lang w:val="en-AU"/>
        </w:rPr>
        <w:t xml:space="preserve">ments and the U-series ages of </w:t>
      </w:r>
      <w:r>
        <w:rPr>
          <w:i/>
          <w:iCs/>
          <w:lang w:val="en-AU"/>
        </w:rPr>
        <w:t>in</w:t>
      </w:r>
      <w:r>
        <w:rPr>
          <w:rFonts w:hint="eastAsia"/>
          <w:i/>
          <w:iCs/>
          <w:lang w:val="en-US" w:eastAsia="zh-CN"/>
        </w:rPr>
        <w:t xml:space="preserve"> </w:t>
      </w:r>
      <w:r>
        <w:rPr>
          <w:i/>
          <w:iCs/>
          <w:lang w:val="en-AU"/>
        </w:rPr>
        <w:t>situ</w:t>
      </w:r>
      <w:r>
        <w:rPr>
          <w:lang w:val="en-AU"/>
        </w:rPr>
        <w:t xml:space="preserve"> flowstones are plotted against their corresponding layers in </w:t>
      </w:r>
      <w:r>
        <w:rPr>
          <w:rFonts w:hint="eastAsia"/>
          <w:color w:val="0000FF"/>
        </w:rPr>
        <w:t>Fig. 2</w:t>
      </w:r>
      <w:r>
        <w:rPr>
          <w:rFonts w:hint="eastAsia"/>
        </w:rPr>
        <w:t>.</w:t>
      </w:r>
      <w:r>
        <w:rPr>
          <w:lang w:val="en-AU"/>
        </w:rPr>
        <w:t xml:space="preserve"> It is shown that both OSL and U-series dating produced </w:t>
      </w:r>
      <w:r>
        <w:rPr>
          <w:rFonts w:hint="eastAsia"/>
          <w:lang w:val="en-US" w:eastAsia="zh-CN"/>
        </w:rPr>
        <w:t>coherent</w:t>
      </w:r>
      <w:r>
        <w:rPr>
          <w:lang w:val="en-AU"/>
        </w:rPr>
        <w:t xml:space="preserve"> results</w:t>
      </w:r>
      <w:r>
        <w:rPr>
          <w:rFonts w:hint="eastAsia"/>
          <w:lang w:val="en-US" w:eastAsia="zh-CN"/>
        </w:rPr>
        <w:t xml:space="preserve"> </w:t>
      </w:r>
      <w:r>
        <w:rPr>
          <w:rFonts w:hint="eastAsia"/>
          <w:lang w:val="en-AU"/>
        </w:rPr>
        <w:t xml:space="preserve">and follow </w:t>
      </w:r>
      <w:r>
        <w:rPr>
          <w:rFonts w:hint="eastAsia"/>
          <w:lang w:val="en-US" w:eastAsia="zh-CN"/>
        </w:rPr>
        <w:t xml:space="preserve">the </w:t>
      </w:r>
      <w:r>
        <w:rPr>
          <w:rFonts w:hint="eastAsia"/>
          <w:lang w:val="en-AU"/>
        </w:rPr>
        <w:t xml:space="preserve">stratigraphic </w:t>
      </w:r>
      <w:r>
        <w:rPr>
          <w:rFonts w:hint="eastAsia"/>
          <w:lang w:val="en-US" w:eastAsia="zh-CN"/>
        </w:rPr>
        <w:t>sequence</w:t>
      </w:r>
      <w:r>
        <w:rPr>
          <w:lang w:val="en-AU"/>
        </w:rPr>
        <w:t>, further confirming the reliability of both techniques.</w:t>
      </w:r>
      <w:r>
        <w:rPr>
          <w:rFonts w:hint="eastAsia"/>
          <w:lang w:val="en-US" w:eastAsia="zh-CN"/>
        </w:rPr>
        <w:t xml:space="preserve"> </w:t>
      </w:r>
      <w:r>
        <w:rPr>
          <w:rFonts w:hint="eastAsia"/>
          <w:lang w:val="en-AU"/>
        </w:rPr>
        <w:t xml:space="preserve">There appears to be a significant gap (~50 ka) between the </w:t>
      </w:r>
      <w:r>
        <w:rPr>
          <w:lang w:val="en-AU"/>
        </w:rPr>
        <w:t>ages</w:t>
      </w:r>
      <w:r>
        <w:rPr>
          <w:rFonts w:hint="eastAsia"/>
          <w:lang w:val="en-AU"/>
        </w:rPr>
        <w:t xml:space="preserve"> for samples from Layers 5 and 4, indicating the existence of a sedimentation hiatus. </w:t>
      </w:r>
      <w:r>
        <w:rPr>
          <w:color w:val="auto"/>
        </w:rPr>
        <w:t xml:space="preserve">Hiatus is commonly seen in cave sediments, which could result from erosion by rills during raining seasons or bioturbation activities in the cave. Unfortunately, given the limited area of excavation and </w:t>
      </w:r>
      <w:r>
        <w:rPr>
          <w:rFonts w:hint="eastAsia"/>
          <w:color w:val="auto"/>
        </w:rPr>
        <w:t xml:space="preserve">the low </w:t>
      </w:r>
      <w:r>
        <w:rPr>
          <w:color w:val="auto"/>
        </w:rPr>
        <w:t>spatial resolution of our sampling</w:t>
      </w:r>
      <w:r>
        <w:rPr>
          <w:rFonts w:hint="eastAsia"/>
          <w:color w:val="auto"/>
        </w:rPr>
        <w:t xml:space="preserve">, it is impossible to </w:t>
      </w:r>
      <w:r>
        <w:rPr>
          <w:color w:val="auto"/>
        </w:rPr>
        <w:t xml:space="preserve">assess whether </w:t>
      </w:r>
      <w:r>
        <w:rPr>
          <w:rFonts w:hint="eastAsia"/>
          <w:color w:val="auto"/>
        </w:rPr>
        <w:t>this</w:t>
      </w:r>
      <w:r>
        <w:rPr>
          <w:color w:val="auto"/>
        </w:rPr>
        <w:t xml:space="preserve"> hiatus is widespread across the entire cave or is simply a localized feature.</w:t>
      </w:r>
    </w:p>
    <w:p w14:paraId="14BA3556">
      <w:pPr>
        <w:pStyle w:val="3"/>
        <w:rPr>
          <w:rStyle w:val="31"/>
          <w:rFonts w:cs="Times New Roman"/>
          <w:i/>
          <w:iCs/>
          <w:sz w:val="24"/>
          <w:szCs w:val="24"/>
        </w:rPr>
      </w:pPr>
      <w:r>
        <w:rPr>
          <w:rStyle w:val="31"/>
          <w:rFonts w:cs="Times New Roman"/>
          <w:i/>
          <w:iCs/>
          <w:sz w:val="24"/>
          <w:szCs w:val="24"/>
        </w:rPr>
        <w:t>Bayesian age model</w:t>
      </w:r>
    </w:p>
    <w:p w14:paraId="469CD9BE">
      <w:pPr>
        <w:pStyle w:val="22"/>
        <w:jc w:val="both"/>
        <w:rPr>
          <w:lang w:val="en-AU"/>
        </w:rPr>
      </w:pPr>
      <w:r>
        <w:rPr>
          <w:rStyle w:val="31"/>
          <w:sz w:val="24"/>
          <w:szCs w:val="24"/>
        </w:rPr>
        <w:t>We established a chronological framework by combining the OSL and U-series dating results based on Bayesian modelling using OxCal (version 4.4.4)</w:t>
      </w:r>
      <w:r>
        <w:rPr>
          <w:vertAlign w:val="superscript"/>
        </w:rPr>
        <w:t>18</w:t>
      </w:r>
      <w:r>
        <w:rPr>
          <w:rStyle w:val="31"/>
          <w:color w:val="0000FF"/>
          <w:sz w:val="24"/>
          <w:szCs w:val="24"/>
        </w:rPr>
        <w:t>.</w:t>
      </w:r>
      <w:r>
        <w:rPr>
          <w:rStyle w:val="31"/>
          <w:sz w:val="24"/>
          <w:szCs w:val="24"/>
        </w:rPr>
        <w:t xml:space="preserve"> The model uses the stratigraphic relationship between the samples as priors. We assume that the deposition of the </w:t>
      </w:r>
      <w:r>
        <w:rPr>
          <w:lang w:val="en-AU"/>
        </w:rPr>
        <w:t>sediments</w:t>
      </w:r>
      <w:r>
        <w:rPr>
          <w:rStyle w:val="31"/>
          <w:sz w:val="24"/>
          <w:szCs w:val="24"/>
        </w:rPr>
        <w:t xml:space="preserve"> and flowstones follows the law of superposition (i.e., the samples from a lower layer must be older than those from an upper layer); </w:t>
      </w:r>
      <w:r>
        <w:rPr>
          <w:lang w:val="en-AU"/>
        </w:rPr>
        <w:t xml:space="preserve">the stratigraphic order of each sample was input using the </w:t>
      </w:r>
      <w:r>
        <w:rPr>
          <w:i/>
          <w:lang w:val="en-AU"/>
        </w:rPr>
        <w:t xml:space="preserve">Sequence </w:t>
      </w:r>
      <w:r>
        <w:rPr>
          <w:lang w:val="en-AU"/>
        </w:rPr>
        <w:t>function</w:t>
      </w:r>
      <w:r>
        <w:rPr>
          <w:rStyle w:val="31"/>
          <w:sz w:val="24"/>
          <w:szCs w:val="24"/>
        </w:rPr>
        <w:t xml:space="preserve"> in OxCal. </w:t>
      </w:r>
      <w:r>
        <w:rPr>
          <w:rStyle w:val="31"/>
          <w:rFonts w:hint="eastAsia"/>
          <w:sz w:val="24"/>
          <w:szCs w:val="24"/>
          <w:lang w:val="en-US" w:eastAsia="zh-CN"/>
        </w:rPr>
        <w:t>S</w:t>
      </w:r>
      <w:r>
        <w:rPr>
          <w:rStyle w:val="31"/>
          <w:sz w:val="24"/>
          <w:szCs w:val="24"/>
        </w:rPr>
        <w:t>amples collected from different excavation areas but from the same layers (e.g., the flowstone samples)</w:t>
      </w:r>
      <w:r>
        <w:rPr>
          <w:lang w:val="en-AU"/>
        </w:rPr>
        <w:t xml:space="preserve"> were modelled using the </w:t>
      </w:r>
      <w:r>
        <w:rPr>
          <w:i/>
          <w:lang w:val="en-AU"/>
        </w:rPr>
        <w:t>Phase</w:t>
      </w:r>
      <w:r>
        <w:rPr>
          <w:lang w:val="en-AU"/>
        </w:rPr>
        <w:t xml:space="preserve"> function because it is difficult to determine their relative depositional order. Each </w:t>
      </w:r>
      <w:r>
        <w:rPr>
          <w:i/>
          <w:lang w:val="en-AU"/>
        </w:rPr>
        <w:t>Phase</w:t>
      </w:r>
      <w:r>
        <w:rPr>
          <w:lang w:val="en-AU"/>
        </w:rPr>
        <w:t xml:space="preserve"> w</w:t>
      </w:r>
      <w:r>
        <w:rPr>
          <w:rFonts w:hint="eastAsia"/>
          <w:lang w:val="en-US" w:eastAsia="zh-CN"/>
        </w:rPr>
        <w:t>as</w:t>
      </w:r>
      <w:r>
        <w:rPr>
          <w:lang w:val="en-AU"/>
        </w:rPr>
        <w:t xml:space="preserve"> bracketed by a start and an end </w:t>
      </w:r>
      <w:r>
        <w:rPr>
          <w:i/>
          <w:lang w:val="en-AU"/>
        </w:rPr>
        <w:t>Boundary</w:t>
      </w:r>
      <w:r>
        <w:rPr>
          <w:lang w:val="en-AU"/>
        </w:rPr>
        <w:t xml:space="preserve"> to estimate the start and end ages of each phase of interest (e.g., the layers where human fossils were extracted). </w:t>
      </w:r>
      <w:r>
        <w:rPr>
          <w:color w:val="000000" w:themeColor="text1"/>
          <w14:textFill>
            <w14:solidFill>
              <w14:schemeClr w14:val="tx1"/>
            </w14:solidFill>
          </w14:textFill>
        </w:rPr>
        <w:t>We inserted a</w:t>
      </w:r>
      <w:r>
        <w:rPr>
          <w:rFonts w:hint="eastAsia"/>
          <w:color w:val="000000" w:themeColor="text1"/>
          <w:lang w:val="en-US" w:eastAsia="zh-CN"/>
          <w14:textFill>
            <w14:solidFill>
              <w14:schemeClr w14:val="tx1"/>
            </w14:solidFill>
          </w14:textFill>
        </w:rPr>
        <w:t>n</w:t>
      </w:r>
      <w:r>
        <w:rPr>
          <w:color w:val="000000" w:themeColor="text1"/>
          <w14:textFill>
            <w14:solidFill>
              <w14:schemeClr w14:val="tx1"/>
            </w14:solidFill>
          </w14:textFill>
        </w:rPr>
        <w:t xml:space="preserve"> </w:t>
      </w:r>
      <w:r>
        <w:rPr>
          <w:rFonts w:hint="eastAsia"/>
          <w:i/>
          <w:color w:val="000000" w:themeColor="text1"/>
          <w14:textFill>
            <w14:solidFill>
              <w14:schemeClr w14:val="tx1"/>
            </w14:solidFill>
          </w14:textFill>
        </w:rPr>
        <w:t>Interval</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between</w:t>
      </w:r>
      <w:r>
        <w:rPr>
          <w:color w:val="000000" w:themeColor="text1"/>
          <w14:textFill>
            <w14:solidFill>
              <w14:schemeClr w14:val="tx1"/>
            </w14:solidFill>
          </w14:textFill>
        </w:rPr>
        <w:t xml:space="preserve"> the </w:t>
      </w:r>
      <w:r>
        <w:rPr>
          <w:rFonts w:hint="eastAsia"/>
          <w:color w:val="000000" w:themeColor="text1"/>
          <w14:textFill>
            <w14:solidFill>
              <w14:schemeClr w14:val="tx1"/>
            </w14:solidFill>
          </w14:textFill>
        </w:rPr>
        <w:t xml:space="preserve">Layers 5 and 4, </w:t>
      </w:r>
      <w:r>
        <w:rPr>
          <w:color w:val="000000" w:themeColor="text1"/>
          <w14:textFill>
            <w14:solidFill>
              <w14:schemeClr w14:val="tx1"/>
            </w14:solidFill>
          </w14:textFill>
        </w:rPr>
        <w:t xml:space="preserve">based on the difference between the measured ages </w:t>
      </w:r>
      <w:r>
        <w:rPr>
          <w:rFonts w:hint="eastAsia"/>
          <w:color w:val="000000" w:themeColor="text1"/>
          <w:lang w:val="en-US" w:eastAsia="zh-CN"/>
          <w14:textFill>
            <w14:solidFill>
              <w14:schemeClr w14:val="tx1"/>
            </w14:solidFill>
          </w14:textFill>
        </w:rPr>
        <w:t xml:space="preserve">of </w:t>
      </w:r>
      <w:r>
        <w:rPr>
          <w:rFonts w:hint="eastAsia"/>
          <w:color w:val="000000" w:themeColor="text1"/>
          <w14:textFill>
            <w14:solidFill>
              <w14:schemeClr w14:val="tx1"/>
            </w14:solidFill>
          </w14:textFill>
        </w:rPr>
        <w:t>the two layers</w:t>
      </w:r>
      <w:r>
        <w:rPr>
          <w:color w:val="000000" w:themeColor="text1"/>
          <w14:textFill>
            <w14:solidFill>
              <w14:schemeClr w14:val="tx1"/>
            </w14:solidFill>
          </w14:textFill>
        </w:rPr>
        <w:t xml:space="preserve">. </w:t>
      </w:r>
      <w:r>
        <w:rPr>
          <w:lang w:val="en-AU"/>
        </w:rPr>
        <w:t>We also applied the general t-type outlier model to deal with outliers</w:t>
      </w:r>
      <w:r>
        <w:rPr>
          <w:vertAlign w:val="superscript"/>
        </w:rPr>
        <w:t>19</w:t>
      </w:r>
      <w:r>
        <w:rPr>
          <w:lang w:val="en-AU"/>
        </w:rPr>
        <w:t xml:space="preserve">. </w:t>
      </w:r>
      <w:r>
        <w:rPr>
          <w:rFonts w:hint="eastAsia"/>
          <w:lang w:val="en-US" w:eastAsia="zh-CN"/>
        </w:rPr>
        <w:t>W</w:t>
      </w:r>
      <w:r>
        <w:rPr>
          <w:lang w:val="en-AU"/>
        </w:rPr>
        <w:t xml:space="preserve">e assigned a prior outlier probability </w:t>
      </w:r>
      <w:r>
        <w:rPr>
          <w:rFonts w:hint="eastAsia"/>
          <w:lang w:val="en-AU"/>
        </w:rPr>
        <w:t>of 5%</w:t>
      </w:r>
      <w:r>
        <w:rPr>
          <w:rFonts w:hint="eastAsia"/>
          <w:lang w:val="en-US" w:eastAsia="zh-CN"/>
        </w:rPr>
        <w:t xml:space="preserve"> </w:t>
      </w:r>
      <w:r>
        <w:rPr>
          <w:lang w:val="en-AU"/>
        </w:rPr>
        <w:t xml:space="preserve">for </w:t>
      </w:r>
      <w:r>
        <w:rPr>
          <w:rFonts w:hint="eastAsia"/>
          <w:lang w:val="en-AU"/>
        </w:rPr>
        <w:t>all the dates</w:t>
      </w:r>
      <w:r>
        <w:rPr>
          <w:lang w:val="en-AU"/>
        </w:rPr>
        <w:t xml:space="preserve">. The CQL codes of the model are provided in </w:t>
      </w:r>
      <w:r>
        <w:rPr>
          <w:color w:val="0000FF"/>
          <w:lang w:val="en-AU"/>
        </w:rPr>
        <w:fldChar w:fldCharType="begin"/>
      </w:r>
      <w:r>
        <w:rPr>
          <w:color w:val="0000FF"/>
          <w:lang w:val="en-AU"/>
        </w:rPr>
        <w:instrText xml:space="preserve"> REF _Ref208220133 \h </w:instrText>
      </w:r>
      <w:r>
        <w:rPr>
          <w:color w:val="0000FF"/>
          <w:lang w:val="en-AU"/>
        </w:rPr>
        <w:fldChar w:fldCharType="separate"/>
      </w:r>
      <w:r>
        <w:rPr>
          <w:color w:val="0000FF"/>
        </w:rPr>
        <w:t xml:space="preserve">Supplementary Table </w:t>
      </w:r>
      <w:r>
        <w:rPr>
          <w:rFonts w:hint="eastAsia"/>
          <w:color w:val="0000FF"/>
          <w:lang w:val="en-US" w:eastAsia="zh-CN"/>
        </w:rPr>
        <w:t>5</w:t>
      </w:r>
      <w:r>
        <w:rPr>
          <w:color w:val="0000FF"/>
          <w:lang w:val="en-AU"/>
        </w:rPr>
        <w:fldChar w:fldCharType="end"/>
      </w:r>
      <w:r>
        <w:rPr>
          <w:lang w:val="en-AU"/>
        </w:rPr>
        <w:t xml:space="preserve">. </w:t>
      </w:r>
    </w:p>
    <w:p w14:paraId="0A5A1C07">
      <w:pPr>
        <w:pStyle w:val="22"/>
        <w:jc w:val="both"/>
        <w:rPr>
          <w:lang w:val="en-AU"/>
        </w:rPr>
      </w:pPr>
      <w:r>
        <w:rPr>
          <w:lang w:val="en-AU"/>
        </w:rPr>
        <w:t>The 95.4% probability ranges of the age estimates (likelihoods) and their corresponding posterior age estimates are listed in</w:t>
      </w:r>
      <w:r>
        <w:rPr>
          <w:color w:val="0432FF"/>
          <w:lang w:val="en-AU"/>
        </w:rPr>
        <w:t xml:space="preserve"> </w:t>
      </w:r>
      <w:r>
        <w:rPr>
          <w:color w:val="0000FF"/>
          <w:lang w:val="en-AU"/>
        </w:rPr>
        <w:fldChar w:fldCharType="begin"/>
      </w:r>
      <w:r>
        <w:rPr>
          <w:color w:val="0000FF"/>
          <w:lang w:val="en-AU"/>
        </w:rPr>
        <w:instrText xml:space="preserve"> REF _Ref208220155 \h </w:instrText>
      </w:r>
      <w:r>
        <w:rPr>
          <w:color w:val="0000FF"/>
          <w:lang w:val="en-AU"/>
        </w:rPr>
        <w:fldChar w:fldCharType="separate"/>
      </w:r>
      <w:r>
        <w:rPr>
          <w:color w:val="0000FF"/>
        </w:rPr>
        <w:t xml:space="preserve">Supplementary Table </w:t>
      </w:r>
      <w:r>
        <w:rPr>
          <w:rFonts w:hint="eastAsia"/>
          <w:color w:val="0000FF"/>
          <w:lang w:val="en-US" w:eastAsia="zh-CN"/>
        </w:rPr>
        <w:t>6</w:t>
      </w:r>
      <w:r>
        <w:rPr>
          <w:color w:val="0000FF"/>
          <w:lang w:val="en-AU"/>
        </w:rPr>
        <w:fldChar w:fldCharType="end"/>
      </w:r>
      <w:r>
        <w:rPr>
          <w:lang w:val="en-AU"/>
        </w:rPr>
        <w:t xml:space="preserve">. The generated probability distribution function (PDF) for each of the samples are shown in </w:t>
      </w:r>
      <w:r>
        <w:rPr>
          <w:color w:val="0000FF"/>
          <w:lang w:val="en-AU"/>
        </w:rPr>
        <w:t>Fig.</w:t>
      </w:r>
      <w:r>
        <w:rPr>
          <w:rFonts w:hint="eastAsia"/>
          <w:color w:val="0000FF"/>
          <w:lang w:val="en-US" w:eastAsia="zh-CN"/>
        </w:rPr>
        <w:t xml:space="preserve"> </w:t>
      </w:r>
      <w:r>
        <w:rPr>
          <w:color w:val="0000FF"/>
          <w:lang w:val="en-AU"/>
        </w:rPr>
        <w:t>2</w:t>
      </w:r>
      <w:r>
        <w:rPr>
          <w:rFonts w:hint="eastAsia"/>
          <w:color w:val="0000FF"/>
          <w:lang w:val="en-US" w:eastAsia="zh-CN"/>
        </w:rPr>
        <w:t>b</w:t>
      </w:r>
      <w:r>
        <w:rPr>
          <w:lang w:val="en-AU"/>
        </w:rPr>
        <w:t xml:space="preserve">. </w:t>
      </w:r>
      <w:r>
        <w:rPr>
          <w:rFonts w:hint="eastAsia"/>
          <w:lang w:val="en-AU"/>
        </w:rPr>
        <w:t>Most of</w:t>
      </w:r>
      <w:r>
        <w:rPr>
          <w:rFonts w:hint="eastAsia"/>
          <w:lang w:val="en-US" w:eastAsia="zh-CN"/>
        </w:rPr>
        <w:t xml:space="preserve"> </w:t>
      </w:r>
      <w:r>
        <w:rPr>
          <w:lang w:val="en-AU"/>
        </w:rPr>
        <w:t xml:space="preserve">the </w:t>
      </w:r>
      <w:r>
        <w:rPr>
          <w:rFonts w:eastAsia="Arial" w:cs="Arial"/>
          <w:snapToGrid w:val="0"/>
          <w:szCs w:val="21"/>
        </w:rPr>
        <w:t>posterior</w:t>
      </w:r>
      <w:r>
        <w:rPr>
          <w:lang w:val="en-AU"/>
        </w:rPr>
        <w:t xml:space="preserve"> age estimates (modelled age), except BFD-OSL9</w:t>
      </w:r>
      <w:r>
        <w:rPr>
          <w:rFonts w:hint="eastAsia"/>
          <w:lang w:val="en-US" w:eastAsia="zh-CN"/>
        </w:rPr>
        <w:t xml:space="preserve"> </w:t>
      </w:r>
      <w:r>
        <w:rPr>
          <w:rFonts w:hint="eastAsia"/>
          <w:lang w:val="en-AU"/>
        </w:rPr>
        <w:t>and BF-F1</w:t>
      </w:r>
      <w:r>
        <w:rPr>
          <w:lang w:val="en-AU"/>
        </w:rPr>
        <w:t xml:space="preserve">, are consistent with the likelihoods at 95% probability range, supporting that the model is reasonably supported by the data. </w:t>
      </w:r>
      <w:r>
        <w:rPr>
          <w:rFonts w:hint="eastAsia"/>
          <w:lang w:val="en-AU"/>
        </w:rPr>
        <w:t xml:space="preserve">Both low-agreement samples BFD-OSL9 and BF-F1 have yielded high posterior outlier probability (0.93 and 0.81, respectively), whereas the rest have </w:t>
      </w:r>
      <w:r>
        <w:rPr>
          <w:lang w:val="en-AU"/>
        </w:rPr>
        <w:t>negligible</w:t>
      </w:r>
      <w:r>
        <w:rPr>
          <w:rFonts w:hint="eastAsia"/>
          <w:lang w:val="en-AU"/>
        </w:rPr>
        <w:t xml:space="preserve"> </w:t>
      </w:r>
      <w:r>
        <w:rPr>
          <w:lang w:val="en-AU"/>
        </w:rPr>
        <w:t>posterior</w:t>
      </w:r>
      <w:r>
        <w:rPr>
          <w:rFonts w:hint="eastAsia"/>
          <w:lang w:val="en-AU"/>
        </w:rPr>
        <w:t xml:space="preserve"> outlier probabilities (&lt; 0.1). </w:t>
      </w:r>
      <w:r>
        <w:rPr>
          <w:lang w:val="en-AU"/>
        </w:rPr>
        <w:t>Most of the samples (18 out of 22) have individual agreement indices (A) greater than the recommended lower threshold of 60%</w:t>
      </w:r>
      <w:r>
        <w:rPr>
          <w:vertAlign w:val="superscript"/>
        </w:rPr>
        <w:t>18</w:t>
      </w:r>
      <w:r>
        <w:rPr>
          <w:lang w:val="en-AU"/>
        </w:rPr>
        <w:t xml:space="preserve">. </w:t>
      </w:r>
      <w:r>
        <w:rPr>
          <w:rFonts w:hint="eastAsia"/>
          <w:lang w:val="en-AU"/>
        </w:rPr>
        <w:t>We noted that t</w:t>
      </w:r>
      <w:r>
        <w:rPr>
          <w:lang w:val="en-AU"/>
        </w:rPr>
        <w:t xml:space="preserve">he overall and model agreement indices are </w:t>
      </w:r>
      <w:r>
        <w:rPr>
          <w:rFonts w:hint="eastAsia"/>
          <w:lang w:val="en-US" w:eastAsia="zh-CN"/>
        </w:rPr>
        <w:t>31</w:t>
      </w:r>
      <w:r>
        <w:rPr>
          <w:lang w:val="en-AU"/>
        </w:rPr>
        <w:t xml:space="preserve">% and </w:t>
      </w:r>
      <w:r>
        <w:rPr>
          <w:rFonts w:hint="eastAsia"/>
          <w:lang w:val="en-US" w:eastAsia="zh-CN"/>
        </w:rPr>
        <w:t>27</w:t>
      </w:r>
      <w:r>
        <w:rPr>
          <w:lang w:val="en-AU"/>
        </w:rPr>
        <w:t xml:space="preserve">%, respectively, which are </w:t>
      </w:r>
      <w:r>
        <w:rPr>
          <w:rFonts w:hint="eastAsia"/>
          <w:lang w:val="en-AU"/>
        </w:rPr>
        <w:t>substantially lower than the recommended threshold of 60%</w:t>
      </w:r>
      <w:r>
        <w:rPr>
          <w:lang w:val="en-AU"/>
        </w:rPr>
        <w:t xml:space="preserve">. </w:t>
      </w:r>
      <w:r>
        <w:rPr>
          <w:rFonts w:hint="eastAsia"/>
          <w:lang w:val="en-AU"/>
        </w:rPr>
        <w:t>However, this low model agreement ind</w:t>
      </w:r>
      <w:r>
        <w:rPr>
          <w:rFonts w:hint="eastAsia"/>
          <w:lang w:val="en-US" w:eastAsia="zh-CN"/>
        </w:rPr>
        <w:t>ex</w:t>
      </w:r>
      <w:r>
        <w:rPr>
          <w:rFonts w:hint="eastAsia"/>
          <w:lang w:val="en-AU"/>
        </w:rPr>
        <w:t xml:space="preserve"> is</w:t>
      </w:r>
      <w:r>
        <w:t xml:space="preserve"> a mathematical </w:t>
      </w:r>
      <w:r>
        <w:rPr>
          <w:rFonts w:hint="eastAsia"/>
        </w:rPr>
        <w:t>consequence</w:t>
      </w:r>
      <w:r>
        <w:t xml:space="preserve"> of the high-precision U-series </w:t>
      </w:r>
      <w:r>
        <w:rPr>
          <w:rFonts w:hint="eastAsia"/>
        </w:rPr>
        <w:t>ages mixed with low-precision OSL ages</w:t>
      </w:r>
      <w:r>
        <w:t xml:space="preserve"> within the </w:t>
      </w:r>
      <w:r>
        <w:rPr>
          <w:rFonts w:hint="eastAsia"/>
        </w:rPr>
        <w:t xml:space="preserve">same </w:t>
      </w:r>
      <w:r>
        <w:t>sequence</w:t>
      </w:r>
      <w:r>
        <w:rPr>
          <w:rFonts w:hint="eastAsia"/>
        </w:rPr>
        <w:t xml:space="preserve"> confined with high informative stratigraphic order</w:t>
      </w:r>
      <w:r>
        <w:t xml:space="preserve">. The stratigraphic constraints </w:t>
      </w:r>
      <w:r>
        <w:rPr>
          <w:rFonts w:hint="eastAsia"/>
        </w:rPr>
        <w:t xml:space="preserve">and </w:t>
      </w:r>
      <w:r>
        <w:t xml:space="preserve">the U-series data significantly truncate the broad OSL likelihoods, leading to a low overlap ratio despite no evidence of stratigraphic inversion or </w:t>
      </w:r>
      <w:r>
        <w:rPr>
          <w:rFonts w:hint="eastAsia"/>
        </w:rPr>
        <w:t xml:space="preserve">significant discrepancy between the results of the two techniques (see </w:t>
      </w:r>
      <w:r>
        <w:rPr>
          <w:rFonts w:hint="eastAsia"/>
          <w:color w:val="0000FF"/>
          <w:lang w:val="en-AU"/>
        </w:rPr>
        <w:t>Fig. 2</w:t>
      </w:r>
      <w:r>
        <w:rPr>
          <w:rFonts w:hint="eastAsia"/>
          <w:color w:val="0000FF"/>
          <w:lang w:val="en-US" w:eastAsia="zh-CN"/>
        </w:rPr>
        <w:t>b</w:t>
      </w:r>
      <w:r>
        <w:rPr>
          <w:rFonts w:hint="eastAsia"/>
        </w:rPr>
        <w:t>)</w:t>
      </w:r>
      <w:r>
        <w:t>.</w:t>
      </w:r>
      <w:r>
        <w:rPr>
          <w:rFonts w:hint="eastAsia"/>
          <w:lang w:val="en-AU"/>
        </w:rPr>
        <w:t xml:space="preserve"> Given t</w:t>
      </w:r>
      <w:r>
        <w:t xml:space="preserve">he model shows excellent convergence </w:t>
      </w:r>
      <w:r>
        <w:rPr>
          <w:rFonts w:hint="eastAsia"/>
        </w:rPr>
        <w:t>(&gt;</w:t>
      </w:r>
      <w:r>
        <w:rPr>
          <w:rFonts w:hint="eastAsia"/>
          <w:lang w:val="en-US" w:eastAsia="zh-CN"/>
        </w:rPr>
        <w:t xml:space="preserve"> </w:t>
      </w:r>
      <w:r>
        <w:rPr>
          <w:rFonts w:hint="eastAsia"/>
        </w:rPr>
        <w:t>95</w:t>
      </w:r>
      <w:r>
        <w:rPr>
          <w:rFonts w:hint="eastAsia"/>
          <w:lang w:val="en-US" w:eastAsia="zh-CN"/>
        </w:rPr>
        <w:t>%</w:t>
      </w:r>
      <w:r>
        <w:rPr>
          <w:rFonts w:hint="eastAsia"/>
        </w:rPr>
        <w:t>)</w:t>
      </w:r>
      <w:r>
        <w:t xml:space="preserve"> and the posterior distributions remain </w:t>
      </w:r>
      <w:r>
        <w:rPr>
          <w:rFonts w:hint="eastAsia"/>
          <w:lang w:val="en-US" w:eastAsia="zh-CN"/>
        </w:rPr>
        <w:t>coherent</w:t>
      </w:r>
      <w:r>
        <w:t xml:space="preserve"> with the original age estimates</w:t>
      </w:r>
      <w:r>
        <w:rPr>
          <w:rFonts w:hint="eastAsia"/>
        </w:rPr>
        <w:t xml:space="preserve"> for most samples, we conclude that the age model </w:t>
      </w:r>
      <w:r>
        <w:t>provid</w:t>
      </w:r>
      <w:r>
        <w:rPr>
          <w:rFonts w:hint="eastAsia"/>
        </w:rPr>
        <w:t>es</w:t>
      </w:r>
      <w:r>
        <w:t xml:space="preserve"> a </w:t>
      </w:r>
      <w:r>
        <w:rPr>
          <w:rFonts w:hint="eastAsia"/>
          <w:lang w:val="en-US" w:eastAsia="zh-CN"/>
        </w:rPr>
        <w:t>reliable</w:t>
      </w:r>
      <w:r>
        <w:t xml:space="preserve"> and high-precision geochronological framework for the site.</w:t>
      </w:r>
    </w:p>
    <w:p w14:paraId="3DF1EF64">
      <w:pPr>
        <w:pStyle w:val="22"/>
        <w:jc w:val="both"/>
        <w:rPr>
          <w:rFonts w:hint="eastAsia"/>
          <w:lang w:val="en-AU"/>
        </w:rPr>
      </w:pPr>
      <w:r>
        <w:rPr>
          <w:lang w:val="en-AU"/>
        </w:rPr>
        <w:t>The Bayesian age model suggests that the Layer 12 corresponding to earliest hominin occupation of the cave started at 197–183 ka at 95% probability range (the same probability range is provide</w:t>
      </w:r>
      <w:r>
        <w:rPr>
          <w:rFonts w:hint="eastAsia"/>
          <w:lang w:val="en-US" w:eastAsia="zh-CN"/>
        </w:rPr>
        <w:t>d</w:t>
      </w:r>
      <w:r>
        <w:rPr>
          <w:lang w:val="en-AU"/>
        </w:rPr>
        <w:t xml:space="preserve"> below). The human-fossil-bearing layers (Layers 9 and 7) started </w:t>
      </w:r>
      <w:r>
        <w:rPr>
          <w:rFonts w:eastAsia="Arial" w:cs="Arial"/>
          <w:snapToGrid w:val="0"/>
          <w:szCs w:val="21"/>
        </w:rPr>
        <w:t>from</w:t>
      </w:r>
      <w:r>
        <w:rPr>
          <w:lang w:val="en-AU"/>
        </w:rPr>
        <w:t xml:space="preserve"> 167–161 ka to 142–134 ka. The top of the Layer 3, corresponding to the latest evidence of hominin occupation at the cave, is dated to 72–64 ka.</w:t>
      </w:r>
      <w:r>
        <w:rPr>
          <w:rFonts w:hint="eastAsia"/>
          <w:lang w:val="en-US" w:eastAsia="zh-CN"/>
        </w:rPr>
        <w:t xml:space="preserve"> </w:t>
      </w:r>
      <w:r>
        <w:rPr>
          <w:rFonts w:hint="eastAsia"/>
          <w:lang w:val="en-AU"/>
        </w:rPr>
        <w:t>The time gap of the hiatus between Layers 5 and 4 was modelled to be 26,700</w:t>
      </w:r>
      <w:r>
        <w:rPr>
          <w:lang w:val="en-AU"/>
        </w:rPr>
        <w:t>–</w:t>
      </w:r>
      <w:r>
        <w:rPr>
          <w:rFonts w:hint="eastAsia"/>
          <w:lang w:val="en-AU"/>
        </w:rPr>
        <w:t>51,100 years (95% probability)</w:t>
      </w:r>
      <w:r>
        <w:rPr>
          <w:rFonts w:hint="eastAsia"/>
          <w:lang w:val="en-US" w:eastAsia="zh-CN"/>
        </w:rPr>
        <w:t xml:space="preserve"> (</w:t>
      </w:r>
      <w:r>
        <w:rPr>
          <w:rFonts w:hint="eastAsia"/>
          <w:color w:val="0000FF"/>
          <w:lang w:val="en-US" w:eastAsia="zh-CN"/>
        </w:rPr>
        <w:t>Fig. 2b; Supplementary Fig. 16</w:t>
      </w:r>
      <w:r>
        <w:rPr>
          <w:rFonts w:hint="eastAsia"/>
          <w:lang w:val="en-US" w:eastAsia="zh-CN"/>
        </w:rPr>
        <w:t>)</w:t>
      </w:r>
      <w:r>
        <w:rPr>
          <w:rFonts w:hint="eastAsia"/>
          <w:lang w:val="en-AU"/>
        </w:rPr>
        <w:t>.</w:t>
      </w:r>
    </w:p>
    <w:p w14:paraId="6635C05F">
      <w:pPr>
        <w:pStyle w:val="3"/>
        <w:rPr>
          <w:snapToGrid/>
        </w:rPr>
      </w:pPr>
      <w:r>
        <w:rPr>
          <w:snapToGrid/>
        </w:rPr>
        <w:t>U-series dating</w:t>
      </w:r>
    </w:p>
    <w:p w14:paraId="2E4A41A2">
      <w:pPr>
        <w:pStyle w:val="4"/>
      </w:pPr>
      <w:r>
        <w:t>U-series dating of speleothems</w:t>
      </w:r>
    </w:p>
    <w:p w14:paraId="42554157">
      <w:pPr>
        <w:jc w:val="both"/>
      </w:pPr>
      <w:r>
        <w:t>Ten</w:t>
      </w:r>
      <w:r>
        <w:rPr>
          <w:i/>
          <w:iCs/>
        </w:rPr>
        <w:t xml:space="preserve"> in situ</w:t>
      </w:r>
      <w:r>
        <w:t xml:space="preserve"> formed flowstone samples were analysed</w:t>
      </w:r>
      <w:r>
        <w:rPr>
          <w:rFonts w:hint="eastAsia"/>
        </w:rPr>
        <w:t xml:space="preserve"> </w:t>
      </w:r>
      <w:r>
        <w:t>(</w:t>
      </w:r>
      <w:r>
        <w:rPr>
          <w:color w:val="0000FF"/>
        </w:rPr>
        <w:fldChar w:fldCharType="begin"/>
      </w:r>
      <w:r>
        <w:rPr>
          <w:color w:val="0000FF"/>
        </w:rPr>
        <w:instrText xml:space="preserve"> </w:instrText>
      </w:r>
      <w:r>
        <w:rPr>
          <w:rFonts w:hint="eastAsia"/>
          <w:color w:val="0000FF"/>
        </w:rPr>
        <w:instrText xml:space="preserve">REF _Ref208054083 \h</w:instrText>
      </w:r>
      <w:r>
        <w:rPr>
          <w:color w:val="0000FF"/>
        </w:rPr>
        <w:instrText xml:space="preserve">  \* MERGEFORMAT </w:instrText>
      </w:r>
      <w:r>
        <w:rPr>
          <w:color w:val="0000FF"/>
        </w:rPr>
        <w:fldChar w:fldCharType="separate"/>
      </w:r>
      <w:r>
        <w:rPr>
          <w:rFonts w:hint="eastAsia"/>
          <w:color w:val="0000FF"/>
          <w:lang w:eastAsia="zh-CN"/>
        </w:rPr>
        <w:t>Supplementary Fig.</w:t>
      </w:r>
      <w:r>
        <w:rPr>
          <w:color w:val="0000FF"/>
        </w:rPr>
        <w:t xml:space="preserve"> </w:t>
      </w:r>
      <w:r>
        <w:rPr>
          <w:color w:val="0000FF"/>
        </w:rPr>
        <w:fldChar w:fldCharType="end"/>
      </w:r>
      <w:r>
        <w:rPr>
          <w:rFonts w:hint="eastAsia"/>
          <w:color w:val="0000FF"/>
          <w:highlight w:val="none"/>
        </w:rPr>
        <w:t>1</w:t>
      </w:r>
      <w:r>
        <w:rPr>
          <w:rFonts w:hint="eastAsia"/>
          <w:color w:val="0000FF"/>
          <w:highlight w:val="none"/>
          <w:lang w:val="en-US" w:eastAsia="zh-CN"/>
        </w:rPr>
        <w:t>7</w:t>
      </w:r>
      <w:r>
        <w:rPr>
          <w:highlight w:val="none"/>
        </w:rPr>
        <w:t xml:space="preserve">). </w:t>
      </w:r>
      <w:r>
        <w:t>Their U-concentrations var</w:t>
      </w:r>
      <w:r>
        <w:rPr>
          <w:rFonts w:hint="eastAsia"/>
          <w:lang w:val="en-US" w:eastAsia="zh-CN"/>
        </w:rPr>
        <w:t>ied</w:t>
      </w:r>
      <w:r>
        <w:t xml:space="preserve"> from ~70 to 174 ppb, which are on average ~30 times higher than the Th-concentrations (~1–19 ppb). The measured </w:t>
      </w:r>
      <w:r>
        <w:rPr>
          <w:vertAlign w:val="superscript"/>
        </w:rPr>
        <w:t>230</w:t>
      </w:r>
      <w:r>
        <w:t>Th/</w:t>
      </w:r>
      <w:r>
        <w:rPr>
          <w:vertAlign w:val="superscript"/>
        </w:rPr>
        <w:t>232</w:t>
      </w:r>
      <w:r>
        <w:rPr>
          <w:rFonts w:hint="eastAsia"/>
        </w:rPr>
        <w:t>Th</w:t>
      </w:r>
      <w:r>
        <w:t xml:space="preserve"> activity ratios ranged from ~16 to 230, with an average of 90, indicating that these samples were not significantly contaminated by sedimentary Th.</w:t>
      </w:r>
      <w:r>
        <w:rPr>
          <w:rFonts w:hint="eastAsia"/>
        </w:rPr>
        <w:t xml:space="preserve"> The</w:t>
      </w:r>
      <w:r>
        <w:t xml:space="preserve"> </w:t>
      </w:r>
      <w:r>
        <w:rPr>
          <w:rFonts w:hint="eastAsia"/>
        </w:rPr>
        <w:t>r</w:t>
      </w:r>
      <w:r>
        <w:t xml:space="preserve">esults show that the </w:t>
      </w:r>
      <w:r>
        <w:rPr>
          <w:vertAlign w:val="superscript"/>
        </w:rPr>
        <w:t>234</w:t>
      </w:r>
      <w:r>
        <w:t>U/</w:t>
      </w:r>
      <w:r>
        <w:rPr>
          <w:vertAlign w:val="superscript"/>
        </w:rPr>
        <w:t>238</w:t>
      </w:r>
      <w:r>
        <w:rPr>
          <w:rFonts w:hint="eastAsia"/>
        </w:rPr>
        <w:t>U</w:t>
      </w:r>
      <w:r>
        <w:t xml:space="preserve"> activity ratios were clustered in the range of ~1.137 to 1.193, except for a high value of ~1.272 for the sample BF</w:t>
      </w:r>
      <w:r>
        <w:rPr>
          <w:rFonts w:hint="eastAsia"/>
        </w:rPr>
        <w:t>D7</w:t>
      </w:r>
      <w:r>
        <w:t>-F1 from Layer 7. The two samples from Layer 3 (BF</w:t>
      </w:r>
      <w:r>
        <w:rPr>
          <w:rFonts w:hint="eastAsia"/>
        </w:rPr>
        <w:t>D</w:t>
      </w:r>
      <w:r>
        <w:t xml:space="preserve">3-F1 and -F2) displayed the </w:t>
      </w:r>
      <w:r>
        <w:rPr>
          <w:vertAlign w:val="superscript"/>
        </w:rPr>
        <w:t>230</w:t>
      </w:r>
      <w:r>
        <w:t>Th/</w:t>
      </w:r>
      <w:r>
        <w:rPr>
          <w:vertAlign w:val="superscript"/>
        </w:rPr>
        <w:t>238</w:t>
      </w:r>
      <w:r>
        <w:t>U activity ratios around 0.589, substantially lower than the other samples</w:t>
      </w:r>
      <w:r>
        <w:rPr>
          <w:rFonts w:hint="eastAsia"/>
        </w:rPr>
        <w:t>,</w:t>
      </w:r>
      <w:r>
        <w:t xml:space="preserve"> which had an average of 0.942. </w:t>
      </w:r>
      <w:r>
        <w:rPr>
          <w:rFonts w:hint="eastAsia"/>
        </w:rPr>
        <w:t>The</w:t>
      </w:r>
      <w:r>
        <w:t xml:space="preserve"> </w:t>
      </w:r>
      <w:r>
        <w:rPr>
          <w:i/>
          <w:iCs/>
        </w:rPr>
        <w:t>in-situ</w:t>
      </w:r>
      <w:r>
        <w:t xml:space="preserve"> formed flowstones from Layer 3 to 11 yielded U-series ages consistent with the stratigraphic order, ranging from 71 ± 0.7 ka to 185 ± 2 ka (i.e. from the </w:t>
      </w:r>
      <w:r>
        <w:rPr>
          <w:rFonts w:hint="eastAsia"/>
          <w:lang w:val="en-US" w:eastAsia="zh-CN"/>
        </w:rPr>
        <w:t>beginning</w:t>
      </w:r>
      <w:r>
        <w:t xml:space="preserve"> of MIS </w:t>
      </w:r>
      <w:r>
        <w:rPr>
          <w:rFonts w:hint="eastAsia"/>
          <w:lang w:val="en-US" w:eastAsia="zh-CN"/>
        </w:rPr>
        <w:t>4</w:t>
      </w:r>
      <w:r>
        <w:t xml:space="preserve"> to the beginning of MIS 6) (</w:t>
      </w:r>
      <w:r>
        <w:rPr>
          <w:color w:val="0000FF"/>
        </w:rPr>
        <w:fldChar w:fldCharType="begin"/>
      </w:r>
      <w:r>
        <w:rPr>
          <w:color w:val="0000FF"/>
        </w:rPr>
        <w:instrText xml:space="preserve"> REF _Ref208050286 \h </w:instrText>
      </w:r>
      <w:r>
        <w:rPr>
          <w:color w:val="0000FF"/>
        </w:rPr>
        <w:fldChar w:fldCharType="separate"/>
      </w:r>
      <w:r>
        <w:rPr>
          <w:color w:val="0000FF"/>
        </w:rPr>
        <w:t xml:space="preserve">Supplementary Table </w:t>
      </w:r>
      <w:r>
        <w:rPr>
          <w:rFonts w:hint="eastAsia"/>
          <w:color w:val="0000FF"/>
          <w:lang w:val="en-US" w:eastAsia="zh-CN"/>
        </w:rPr>
        <w:t>7</w:t>
      </w:r>
      <w:r>
        <w:rPr>
          <w:color w:val="0000FF"/>
        </w:rPr>
        <w:fldChar w:fldCharType="end"/>
      </w:r>
      <w:r>
        <w:t>).</w:t>
      </w:r>
    </w:p>
    <w:p w14:paraId="002C74F6">
      <w:pPr>
        <w:jc w:val="both"/>
      </w:pPr>
      <w:r>
        <w:rPr>
          <w:rFonts w:hint="eastAsia"/>
        </w:rPr>
        <w:t>T</w:t>
      </w:r>
      <w:r>
        <w:t xml:space="preserve">he six broken fragments of </w:t>
      </w:r>
      <w:r>
        <w:rPr>
          <w:rFonts w:eastAsia="Arial" w:cs="Arial"/>
          <w:szCs w:val="21"/>
        </w:rPr>
        <w:t>speleothems</w:t>
      </w:r>
      <w:r>
        <w:rPr>
          <w:rFonts w:hint="eastAsia"/>
        </w:rPr>
        <w:t xml:space="preserve"> </w:t>
      </w:r>
      <w:r>
        <w:t xml:space="preserve">incorporated in the sediments showed a wide variation in U-concentration (47–913 ppb) and in </w:t>
      </w:r>
      <w:r>
        <w:rPr>
          <w:vertAlign w:val="superscript"/>
        </w:rPr>
        <w:t>234</w:t>
      </w:r>
      <w:r>
        <w:t>U/</w:t>
      </w:r>
      <w:r>
        <w:rPr>
          <w:vertAlign w:val="superscript"/>
        </w:rPr>
        <w:t>238</w:t>
      </w:r>
      <w:r>
        <w:rPr>
          <w:rFonts w:hint="eastAsia"/>
        </w:rPr>
        <w:t>U</w:t>
      </w:r>
      <w:r>
        <w:t xml:space="preserve"> activity ratios (1.010 – 1.282). The </w:t>
      </w:r>
      <w:r>
        <w:rPr>
          <w:vertAlign w:val="superscript"/>
        </w:rPr>
        <w:t>230</w:t>
      </w:r>
      <w:r>
        <w:t>Th/</w:t>
      </w:r>
      <w:r>
        <w:rPr>
          <w:vertAlign w:val="superscript"/>
        </w:rPr>
        <w:t>232</w:t>
      </w:r>
      <w:r>
        <w:rPr>
          <w:rFonts w:hint="eastAsia"/>
        </w:rPr>
        <w:t>Th</w:t>
      </w:r>
      <w:r>
        <w:t xml:space="preserve"> activity ratios were all &gt;20 and the </w:t>
      </w:r>
      <w:r>
        <w:rPr>
          <w:vertAlign w:val="superscript"/>
        </w:rPr>
        <w:t>230</w:t>
      </w:r>
      <w:r>
        <w:t>Th/</w:t>
      </w:r>
      <w:r>
        <w:rPr>
          <w:vertAlign w:val="superscript"/>
        </w:rPr>
        <w:t>238</w:t>
      </w:r>
      <w:r>
        <w:rPr>
          <w:rFonts w:hint="eastAsia"/>
        </w:rPr>
        <w:t>U</w:t>
      </w:r>
      <w:r>
        <w:t xml:space="preserve"> activity ratios were all higher than unity (~1.01–1.17). The derived U-series ages ranged from 217 ± 1 ka to &gt;600 ka, indicating that the sedimentation of Layer 7 started sometime after 217 ka (i.e. MIS 7), in agreement with the U-series ages of the </w:t>
      </w:r>
      <w:r>
        <w:rPr>
          <w:i/>
        </w:rPr>
        <w:t>in-situ</w:t>
      </w:r>
      <w:r>
        <w:t xml:space="preserve"> formed flowstones.</w:t>
      </w:r>
    </w:p>
    <w:p w14:paraId="4D6173DB">
      <w:pPr>
        <w:pStyle w:val="4"/>
      </w:pPr>
      <w:r>
        <w:t>Direct U-series dating of human fossils</w:t>
      </w:r>
    </w:p>
    <w:p w14:paraId="3F1961A4">
      <w:pPr>
        <w:jc w:val="both"/>
        <w:rPr>
          <w:rFonts w:eastAsia="Arial" w:cs="Arial"/>
          <w:szCs w:val="21"/>
        </w:rPr>
      </w:pPr>
      <w:r>
        <w:t xml:space="preserve">The </w:t>
      </w:r>
      <w:r>
        <w:rPr>
          <w:rFonts w:hint="eastAsia"/>
          <w:lang w:val="en-US" w:eastAsia="zh-CN"/>
        </w:rPr>
        <w:t xml:space="preserve">directly dated </w:t>
      </w:r>
      <w:r>
        <w:t>human teeth</w:t>
      </w:r>
      <w:r>
        <w:rPr>
          <w:rFonts w:hint="eastAsia"/>
          <w:lang w:val="en-US" w:eastAsia="zh-CN"/>
        </w:rPr>
        <w:t xml:space="preserve"> and bones</w:t>
      </w:r>
      <w:r>
        <w:t xml:space="preserve"> from the Layer</w:t>
      </w:r>
      <w:r>
        <w:rPr>
          <w:rFonts w:hint="eastAsia"/>
          <w:lang w:val="en-US" w:eastAsia="zh-CN"/>
        </w:rPr>
        <w:t>s</w:t>
      </w:r>
      <w:r>
        <w:t xml:space="preserve"> 7</w:t>
      </w:r>
      <w:r>
        <w:rPr>
          <w:rFonts w:hint="eastAsia"/>
          <w:lang w:val="en-US" w:eastAsia="zh-CN"/>
        </w:rPr>
        <w:t xml:space="preserve"> and 9</w:t>
      </w:r>
      <w:r>
        <w:t xml:space="preserve"> displayed U-</w:t>
      </w:r>
      <w:r>
        <w:rPr>
          <w:rFonts w:hint="eastAsia"/>
        </w:rPr>
        <w:t>c</w:t>
      </w:r>
      <w:r>
        <w:t xml:space="preserve">oncentrations of ~5400 to </w:t>
      </w:r>
      <w:r>
        <w:rPr>
          <w:rFonts w:hint="eastAsia"/>
          <w:lang w:val="en-US" w:eastAsia="zh-CN"/>
        </w:rPr>
        <w:t>22679</w:t>
      </w:r>
      <w:r>
        <w:t xml:space="preserve"> ppb (</w:t>
      </w:r>
      <w:r>
        <w:rPr>
          <w:color w:val="0000FF"/>
        </w:rPr>
        <w:fldChar w:fldCharType="begin"/>
      </w:r>
      <w:r>
        <w:rPr>
          <w:color w:val="0000FF"/>
        </w:rPr>
        <w:instrText xml:space="preserve"> REF _Ref208050286 \h </w:instrText>
      </w:r>
      <w:r>
        <w:rPr>
          <w:color w:val="0000FF"/>
        </w:rPr>
        <w:fldChar w:fldCharType="separate"/>
      </w:r>
      <w:r>
        <w:rPr>
          <w:color w:val="0000FF"/>
        </w:rPr>
        <w:t xml:space="preserve">Supplementary Table </w:t>
      </w:r>
      <w:r>
        <w:rPr>
          <w:rFonts w:hint="eastAsia"/>
          <w:color w:val="0000FF"/>
          <w:lang w:val="en-US" w:eastAsia="zh-CN"/>
        </w:rPr>
        <w:t>7</w:t>
      </w:r>
      <w:r>
        <w:rPr>
          <w:color w:val="0000FF"/>
        </w:rPr>
        <w:fldChar w:fldCharType="end"/>
      </w:r>
      <w:r>
        <w:t xml:space="preserve">), substantially higher than the </w:t>
      </w:r>
      <w:r>
        <w:rPr>
          <w:lang w:val="en-GB"/>
        </w:rPr>
        <w:t>analysed</w:t>
      </w:r>
      <w:r>
        <w:t xml:space="preserve"> speleothems. The high U/Th elemental ratios (~</w:t>
      </w:r>
      <w:r>
        <w:rPr>
          <w:rFonts w:hint="eastAsia"/>
          <w:lang w:val="en-US" w:eastAsia="zh-CN"/>
        </w:rPr>
        <w:t>3</w:t>
      </w:r>
      <w:r>
        <w:t>0–</w:t>
      </w:r>
      <w:r>
        <w:rPr>
          <w:rFonts w:hint="eastAsia"/>
          <w:lang w:val="en-US" w:eastAsia="zh-CN"/>
        </w:rPr>
        <w:t>40</w:t>
      </w:r>
      <w:r>
        <w:t xml:space="preserve">0), and </w:t>
      </w:r>
      <w:r>
        <w:rPr>
          <w:vertAlign w:val="superscript"/>
        </w:rPr>
        <w:t>230</w:t>
      </w:r>
      <w:r>
        <w:t>Th/</w:t>
      </w:r>
      <w:r>
        <w:rPr>
          <w:vertAlign w:val="superscript"/>
        </w:rPr>
        <w:t>232</w:t>
      </w:r>
      <w:r>
        <w:t>Th activity ratios (~116–</w:t>
      </w:r>
      <w:r>
        <w:rPr>
          <w:rFonts w:hint="eastAsia"/>
          <w:lang w:val="en-US" w:eastAsia="zh-CN"/>
        </w:rPr>
        <w:t>1011</w:t>
      </w:r>
      <w:r>
        <w:t xml:space="preserve">) demonstrate that the human fossils were virtually free from the contamination by sedimentary Th. These human fossils had </w:t>
      </w:r>
      <w:r>
        <w:rPr>
          <w:vertAlign w:val="superscript"/>
        </w:rPr>
        <w:t>234</w:t>
      </w:r>
      <w:r>
        <w:t>U/</w:t>
      </w:r>
      <w:r>
        <w:rPr>
          <w:vertAlign w:val="superscript"/>
        </w:rPr>
        <w:t>238</w:t>
      </w:r>
      <w:r>
        <w:t>U activity ratios of ~1.167–1.18</w:t>
      </w:r>
      <w:r>
        <w:rPr>
          <w:rFonts w:hint="eastAsia"/>
          <w:lang w:val="en-US" w:eastAsia="zh-CN"/>
        </w:rPr>
        <w:t>9</w:t>
      </w:r>
      <w:r>
        <w:t>, overlapp</w:t>
      </w:r>
      <w:r>
        <w:rPr>
          <w:rFonts w:hint="eastAsia"/>
        </w:rPr>
        <w:t>ing</w:t>
      </w:r>
      <w:r>
        <w:t xml:space="preserve"> with those of </w:t>
      </w:r>
      <w:r>
        <w:rPr>
          <w:rFonts w:hint="eastAsia"/>
          <w:lang w:val="en-US" w:eastAsia="zh-CN"/>
        </w:rPr>
        <w:t xml:space="preserve">analysed </w:t>
      </w:r>
      <w:r>
        <w:t xml:space="preserve">flowstones, suggesting a stable U-source in the local ground water. Their </w:t>
      </w:r>
      <w:r>
        <w:rPr>
          <w:vertAlign w:val="superscript"/>
        </w:rPr>
        <w:t>230</w:t>
      </w:r>
      <w:r>
        <w:t>Th/</w:t>
      </w:r>
      <w:r>
        <w:rPr>
          <w:vertAlign w:val="superscript"/>
        </w:rPr>
        <w:t>238</w:t>
      </w:r>
      <w:r>
        <w:t>U activity ratios, ~0.650–0.</w:t>
      </w:r>
      <w:r>
        <w:rPr>
          <w:rFonts w:hint="eastAsia"/>
          <w:lang w:val="en-US" w:eastAsia="zh-CN"/>
        </w:rPr>
        <w:t>8</w:t>
      </w:r>
      <w:r>
        <w:t xml:space="preserve">36, were systematically lower than the flowstones, which can be explained </w:t>
      </w:r>
      <w:r>
        <w:rPr>
          <w:rFonts w:hint="eastAsia"/>
        </w:rPr>
        <w:t xml:space="preserve">by </w:t>
      </w:r>
      <w:r>
        <w:t>delayed U-uptake processes. Therefore, the obtained U-series ages of ~</w:t>
      </w:r>
      <w:r>
        <w:rPr>
          <w:rFonts w:hint="eastAsia"/>
          <w:lang w:val="en-US" w:eastAsia="zh-CN"/>
        </w:rPr>
        <w:t>127</w:t>
      </w:r>
      <w:r>
        <w:t>–86 ka represent the minimum ages of these human fossils.</w:t>
      </w:r>
    </w:p>
    <w:p w14:paraId="79FEA2C2">
      <w:pPr>
        <w:pStyle w:val="22"/>
        <w:ind w:left="0" w:leftChars="0" w:firstLine="0" w:firstLineChars="0"/>
        <w:jc w:val="both"/>
        <w:rPr>
          <w:rFonts w:hint="eastAsia"/>
          <w:lang w:val="en-AU"/>
        </w:rPr>
      </w:pPr>
    </w:p>
    <w:p w14:paraId="6F939CF0">
      <w:pPr>
        <w:pStyle w:val="2"/>
        <w:keepNext w:val="0"/>
        <w:keepLines/>
        <w:pageBreakBefore w:val="0"/>
        <w:widowControl/>
        <w:kinsoku/>
        <w:wordWrap/>
        <w:overflowPunct/>
        <w:topLinePunct w:val="0"/>
        <w:autoSpaceDE/>
        <w:autoSpaceDN/>
        <w:bidi w:val="0"/>
        <w:adjustRightInd/>
        <w:snapToGrid/>
        <w:spacing w:after="0" w:line="360" w:lineRule="auto"/>
        <w:textAlignment w:val="auto"/>
      </w:pPr>
      <w:r>
        <w:br w:type="column"/>
      </w:r>
      <w:bookmarkStart w:id="4" w:name="_Toc209814668"/>
      <w:r>
        <w:t xml:space="preserve">Supplementary Information </w:t>
      </w:r>
      <w:r>
        <w:rPr>
          <w:rFonts w:hint="eastAsia"/>
          <w:lang w:val="en-US" w:eastAsia="zh-CN"/>
        </w:rPr>
        <w:t>C</w:t>
      </w:r>
      <w:r>
        <w:t xml:space="preserve">: </w:t>
      </w:r>
      <w:r>
        <w:rPr>
          <w:rFonts w:hint="eastAsia"/>
        </w:rPr>
        <w:t>Pollen</w:t>
      </w:r>
      <w:r>
        <w:rPr>
          <w:rFonts w:hint="eastAsia"/>
          <w:lang w:val="en-US" w:eastAsia="zh-CN"/>
        </w:rPr>
        <w:t xml:space="preserve"> Analysis</w:t>
      </w:r>
    </w:p>
    <w:p w14:paraId="2ED6986B">
      <w:pPr>
        <w:jc w:val="both"/>
      </w:pPr>
      <w:r>
        <w:rPr>
          <w:lang w:val="en-GB"/>
        </w:rPr>
        <w:t xml:space="preserve">A total of eight samples of 100 g were selected for pollen analysis. </w:t>
      </w:r>
      <w:r>
        <w:rPr>
          <w:rFonts w:hint="eastAsia"/>
          <w:lang w:val="en-US" w:eastAsia="zh-CN"/>
        </w:rPr>
        <w:t xml:space="preserve">They originate from Layers 3, 4, 5, 6, 7, 8, 12 and 15. </w:t>
      </w:r>
      <w:r>
        <w:rPr>
          <w:lang w:val="en-GB"/>
        </w:rPr>
        <w:t>Pollen was extracted using 10% HCl-40% HF, heavy liquid separation, and then further treated by acetolysis</w:t>
      </w:r>
      <w:r>
        <w:rPr>
          <w:rFonts w:hint="eastAsia"/>
          <w:vertAlign w:val="superscript"/>
          <w:lang w:val="en-US" w:eastAsia="zh-CN"/>
        </w:rPr>
        <w:t>20</w:t>
      </w:r>
      <w:r>
        <w:rPr>
          <w:lang w:val="en-GB"/>
        </w:rPr>
        <w:t xml:space="preserve">. A total of </w:t>
      </w:r>
      <w:r>
        <w:rPr>
          <w:rFonts w:hint="eastAsia"/>
          <w:lang w:val="en-GB"/>
        </w:rPr>
        <w:t>75 pollen</w:t>
      </w:r>
      <w:r>
        <w:rPr>
          <w:lang w:val="en-GB"/>
        </w:rPr>
        <w:t xml:space="preserve"> taxa </w:t>
      </w:r>
      <w:r>
        <w:rPr>
          <w:rFonts w:hint="eastAsia"/>
          <w:lang w:val="en-US" w:eastAsia="zh-CN"/>
        </w:rPr>
        <w:t>was</w:t>
      </w:r>
      <w:r>
        <w:rPr>
          <w:lang w:val="en-GB"/>
        </w:rPr>
        <w:t xml:space="preserve"> identified</w:t>
      </w:r>
      <w:r>
        <w:t xml:space="preserve"> </w:t>
      </w:r>
      <w:r>
        <w:rPr>
          <w:lang w:val="en-GB"/>
        </w:rPr>
        <w:t xml:space="preserve">including trees, shrubs, herbs, ferns, bryophytes and </w:t>
      </w:r>
      <w:r>
        <w:rPr>
          <w:rFonts w:hint="eastAsia"/>
          <w:lang w:val="en-GB"/>
        </w:rPr>
        <w:t>C</w:t>
      </w:r>
      <w:r>
        <w:rPr>
          <w:lang w:val="en-GB"/>
        </w:rPr>
        <w:t>oncentricyst</w:t>
      </w:r>
      <w:r>
        <w:rPr>
          <w:rFonts w:hint="eastAsia"/>
          <w:lang w:val="en-GB"/>
        </w:rPr>
        <w:t>e</w:t>
      </w:r>
      <w:r>
        <w:rPr>
          <w:lang w:val="en-GB"/>
        </w:rPr>
        <w:t>s. The pollen assemblages are dominated by tree pollen</w:t>
      </w:r>
      <w:r>
        <w:rPr>
          <w:rFonts w:hint="eastAsia"/>
          <w:lang w:val="en-US" w:eastAsia="zh-CN"/>
        </w:rPr>
        <w:t>s</w:t>
      </w:r>
      <w:r>
        <w:rPr>
          <w:lang w:val="en-GB"/>
        </w:rPr>
        <w:t xml:space="preserve"> mainly including </w:t>
      </w:r>
      <w:r>
        <w:rPr>
          <w:i/>
          <w:iCs/>
          <w:lang w:val="en-GB"/>
        </w:rPr>
        <w:t>Pinus</w:t>
      </w:r>
      <w:r>
        <w:rPr>
          <w:lang w:val="en-GB"/>
        </w:rPr>
        <w:t xml:space="preserve">, </w:t>
      </w:r>
      <w:r>
        <w:rPr>
          <w:i/>
          <w:iCs/>
          <w:lang w:val="en-GB"/>
        </w:rPr>
        <w:t>Abies</w:t>
      </w:r>
      <w:r>
        <w:rPr>
          <w:lang w:val="en-GB"/>
        </w:rPr>
        <w:t xml:space="preserve">, </w:t>
      </w:r>
      <w:r>
        <w:rPr>
          <w:i/>
          <w:iCs/>
          <w:lang w:val="en-GB"/>
        </w:rPr>
        <w:t>Picea</w:t>
      </w:r>
      <w:r>
        <w:rPr>
          <w:lang w:val="en-GB"/>
        </w:rPr>
        <w:t xml:space="preserve">, </w:t>
      </w:r>
      <w:r>
        <w:rPr>
          <w:i/>
          <w:iCs/>
          <w:lang w:val="en-GB"/>
        </w:rPr>
        <w:t>Tsuga</w:t>
      </w:r>
      <w:r>
        <w:rPr>
          <w:lang w:val="en-GB"/>
        </w:rPr>
        <w:t xml:space="preserve">, </w:t>
      </w:r>
      <w:r>
        <w:rPr>
          <w:i/>
          <w:iCs/>
          <w:lang w:val="en-GB"/>
        </w:rPr>
        <w:t>Juglans</w:t>
      </w:r>
      <w:r>
        <w:rPr>
          <w:lang w:val="en-GB"/>
        </w:rPr>
        <w:t xml:space="preserve">, </w:t>
      </w:r>
      <w:r>
        <w:rPr>
          <w:i/>
          <w:iCs/>
          <w:lang w:val="en-GB"/>
        </w:rPr>
        <w:t>Quercus</w:t>
      </w:r>
      <w:r>
        <w:rPr>
          <w:rFonts w:hint="eastAsia"/>
          <w:lang w:val="en-GB"/>
        </w:rPr>
        <w:t xml:space="preserve">, </w:t>
      </w:r>
      <w:r>
        <w:rPr>
          <w:i/>
          <w:iCs/>
          <w:lang w:val="en-GB"/>
        </w:rPr>
        <w:t>Ulmus</w:t>
      </w:r>
      <w:r>
        <w:rPr>
          <w:rFonts w:hint="eastAsia"/>
          <w:i/>
          <w:iCs/>
          <w:lang w:val="en-GB"/>
        </w:rPr>
        <w:t xml:space="preserve"> </w:t>
      </w:r>
      <w:r>
        <w:rPr>
          <w:lang w:val="en-GB"/>
        </w:rPr>
        <w:t>and Platanaceae. Shrub pollen</w:t>
      </w:r>
      <w:r>
        <w:rPr>
          <w:rFonts w:hint="eastAsia"/>
          <w:lang w:val="en-US" w:eastAsia="zh-CN"/>
        </w:rPr>
        <w:t>s</w:t>
      </w:r>
      <w:r>
        <w:rPr>
          <w:lang w:val="en-GB"/>
        </w:rPr>
        <w:t xml:space="preserve"> mainly include Ericaceae, </w:t>
      </w:r>
      <w:r>
        <w:rPr>
          <w:i/>
          <w:iCs/>
          <w:lang w:val="en-GB"/>
        </w:rPr>
        <w:t>Lonicera</w:t>
      </w:r>
      <w:r>
        <w:rPr>
          <w:lang w:val="en-GB"/>
        </w:rPr>
        <w:t xml:space="preserve">, </w:t>
      </w:r>
      <w:r>
        <w:rPr>
          <w:i/>
          <w:iCs/>
          <w:lang w:val="en-GB"/>
        </w:rPr>
        <w:t>Ligustrum</w:t>
      </w:r>
      <w:r>
        <w:rPr>
          <w:lang w:val="en-GB"/>
        </w:rPr>
        <w:t xml:space="preserve"> and</w:t>
      </w:r>
      <w:r>
        <w:rPr>
          <w:i/>
          <w:iCs/>
          <w:lang w:val="en-GB"/>
        </w:rPr>
        <w:t xml:space="preserve"> Gardenia</w:t>
      </w:r>
      <w:r>
        <w:rPr>
          <w:lang w:val="en-GB"/>
        </w:rPr>
        <w:t xml:space="preserve">. Herb taxa are dominated by Poaceae, Amaranthaceae, Asteraceae, </w:t>
      </w:r>
      <w:r>
        <w:rPr>
          <w:i/>
          <w:iCs/>
          <w:lang w:val="en-GB"/>
        </w:rPr>
        <w:t>Artemisia</w:t>
      </w:r>
      <w:r>
        <w:rPr>
          <w:lang w:val="en-GB"/>
        </w:rPr>
        <w:t xml:space="preserve">, </w:t>
      </w:r>
      <w:r>
        <w:rPr>
          <w:i/>
          <w:iCs/>
          <w:lang w:val="en-GB"/>
        </w:rPr>
        <w:t>Taraxacum-type</w:t>
      </w:r>
      <w:r>
        <w:rPr>
          <w:lang w:val="en-GB"/>
        </w:rPr>
        <w:t xml:space="preserve">, </w:t>
      </w:r>
      <w:r>
        <w:rPr>
          <w:i/>
          <w:iCs/>
          <w:lang w:val="en-GB"/>
        </w:rPr>
        <w:t>Aster</w:t>
      </w:r>
      <w:r>
        <w:rPr>
          <w:lang w:val="en-GB"/>
        </w:rPr>
        <w:t>-type</w:t>
      </w:r>
      <w:r>
        <w:rPr>
          <w:rFonts w:hint="eastAsia"/>
          <w:lang w:val="en-GB"/>
        </w:rPr>
        <w:t xml:space="preserve">, </w:t>
      </w:r>
      <w:r>
        <w:rPr>
          <w:lang w:val="en-GB"/>
        </w:rPr>
        <w:t xml:space="preserve">Polygonaceae and Caryophyllaceae. The ferns are dominated by </w:t>
      </w:r>
      <w:r>
        <w:rPr>
          <w:i/>
          <w:iCs/>
          <w:lang w:val="en-GB"/>
        </w:rPr>
        <w:t>Selaginella</w:t>
      </w:r>
      <w:r>
        <w:rPr>
          <w:lang w:val="en-GB"/>
        </w:rPr>
        <w:t xml:space="preserve">, </w:t>
      </w:r>
      <w:r>
        <w:rPr>
          <w:i/>
          <w:iCs/>
          <w:lang w:val="en-GB"/>
        </w:rPr>
        <w:t>Pteris</w:t>
      </w:r>
      <w:r>
        <w:rPr>
          <w:lang w:val="en-GB"/>
        </w:rPr>
        <w:t xml:space="preserve">, </w:t>
      </w:r>
      <w:r>
        <w:rPr>
          <w:i/>
          <w:iCs/>
          <w:lang w:val="en-GB"/>
        </w:rPr>
        <w:t>Polypodium</w:t>
      </w:r>
      <w:r>
        <w:rPr>
          <w:lang w:val="en-GB"/>
        </w:rPr>
        <w:t xml:space="preserve">, </w:t>
      </w:r>
      <w:r>
        <w:rPr>
          <w:i/>
          <w:iCs/>
          <w:lang w:val="en-GB"/>
        </w:rPr>
        <w:t>Microlepia</w:t>
      </w:r>
      <w:r>
        <w:rPr>
          <w:lang w:val="en-GB"/>
        </w:rPr>
        <w:t xml:space="preserve">. The pollen percentages </w:t>
      </w:r>
      <w:r>
        <w:rPr>
          <w:rFonts w:hint="eastAsia"/>
          <w:lang w:val="en-US" w:eastAsia="zh-CN"/>
        </w:rPr>
        <w:t>were</w:t>
      </w:r>
      <w:r>
        <w:rPr>
          <w:lang w:val="en-GB"/>
        </w:rPr>
        <w:t xml:space="preserve"> calculated based on the total pollen sum</w:t>
      </w:r>
      <w:r>
        <w:rPr>
          <w:rFonts w:hint="eastAsia"/>
          <w:lang w:val="en-US" w:eastAsia="zh-CN"/>
        </w:rPr>
        <w:t>s</w:t>
      </w:r>
      <w:r>
        <w:rPr>
          <w:lang w:val="en-GB"/>
        </w:rPr>
        <w:t xml:space="preserve"> from trees, shrubs and herbs. The percentage pollen diagram with CONISS </w:t>
      </w:r>
      <w:r>
        <w:rPr>
          <w:rFonts w:hint="eastAsia"/>
          <w:lang w:val="en-US" w:eastAsia="zh-CN"/>
        </w:rPr>
        <w:t>was</w:t>
      </w:r>
      <w:r>
        <w:rPr>
          <w:lang w:val="en-GB"/>
        </w:rPr>
        <w:t xml:space="preserve"> </w:t>
      </w:r>
      <w:r>
        <w:rPr>
          <w:rFonts w:hint="eastAsia"/>
          <w:lang w:val="en-US" w:eastAsia="zh-CN"/>
        </w:rPr>
        <w:t>obtained</w:t>
      </w:r>
      <w:r>
        <w:rPr>
          <w:lang w:val="en-GB"/>
        </w:rPr>
        <w:t xml:space="preserve"> using Tilia</w:t>
      </w:r>
      <w:r>
        <w:rPr>
          <w:lang w:val="ru-RU"/>
        </w:rPr>
        <w:t xml:space="preserve"> (</w:t>
      </w:r>
      <w:r>
        <w:rPr>
          <w:rFonts w:hint="eastAsia"/>
          <w:lang w:val="ru-RU"/>
        </w:rPr>
        <w:t xml:space="preserve">see </w:t>
      </w:r>
      <w:r>
        <w:rPr>
          <w:rFonts w:hint="eastAsia"/>
          <w:color w:val="0000FF"/>
          <w:lang w:val="en-GB" w:eastAsia="zh-CN"/>
        </w:rPr>
        <w:t>Supplementary Fig.</w:t>
      </w:r>
      <w:r>
        <w:rPr>
          <w:color w:val="0000FF"/>
          <w:lang w:val="en-GB"/>
        </w:rPr>
        <w:t xml:space="preserve"> </w:t>
      </w:r>
      <w:r>
        <w:rPr>
          <w:rFonts w:hint="eastAsia"/>
          <w:color w:val="0000FF"/>
          <w:lang w:val="en-US" w:eastAsia="zh-CN"/>
        </w:rPr>
        <w:t>18</w:t>
      </w:r>
      <w:r>
        <w:rPr>
          <w:lang w:val="ru-RU"/>
        </w:rPr>
        <w:t>)</w:t>
      </w:r>
      <w:r>
        <w:rPr>
          <w:lang w:val="en-GB"/>
        </w:rPr>
        <w:t xml:space="preserve">. </w:t>
      </w:r>
      <w:r>
        <w:rPr>
          <w:rFonts w:hint="eastAsia"/>
          <w:lang w:val="en-US" w:eastAsia="zh-CN"/>
        </w:rPr>
        <w:t>A</w:t>
      </w:r>
      <w:r>
        <w:rPr>
          <w:lang w:val="en-GB"/>
        </w:rPr>
        <w:t xml:space="preserve"> cluster analysis </w:t>
      </w:r>
      <w:r>
        <w:rPr>
          <w:rFonts w:hint="eastAsia"/>
          <w:lang w:val="en-US" w:eastAsia="zh-CN"/>
        </w:rPr>
        <w:t>using</w:t>
      </w:r>
      <w:r>
        <w:rPr>
          <w:lang w:val="en-GB"/>
        </w:rPr>
        <w:t xml:space="preserve"> the pollen records </w:t>
      </w:r>
      <w:r>
        <w:rPr>
          <w:rFonts w:hint="eastAsia"/>
          <w:lang w:val="en-US" w:eastAsia="zh-CN"/>
        </w:rPr>
        <w:t>allowed to subdivide the pollen records</w:t>
      </w:r>
      <w:r>
        <w:rPr>
          <w:lang w:val="en-GB"/>
        </w:rPr>
        <w:t xml:space="preserve"> into four zones.</w:t>
      </w:r>
      <w:r>
        <w:rPr>
          <w:rFonts w:hint="eastAsia"/>
          <w:lang w:val="en-US" w:eastAsia="zh-CN"/>
        </w:rPr>
        <w:t xml:space="preserve"> </w:t>
      </w:r>
      <w:r>
        <w:rPr>
          <w:rFonts w:hint="eastAsia"/>
        </w:rPr>
        <w:t>Standard biomization procedures assign</w:t>
      </w:r>
      <w:r>
        <w:rPr>
          <w:rFonts w:hint="eastAsia"/>
          <w:lang w:val="en-US" w:eastAsia="zh-CN"/>
        </w:rPr>
        <w:t>ed</w:t>
      </w:r>
      <w:r>
        <w:rPr>
          <w:rFonts w:hint="eastAsia"/>
        </w:rPr>
        <w:t xml:space="preserve"> pollen taxa to one or more plant functional types (PFTs) based on ecological factors such as plant life forms and phenology</w:t>
      </w:r>
      <w:r>
        <w:rPr>
          <w:rFonts w:hint="eastAsia"/>
          <w:vertAlign w:val="superscript"/>
          <w:lang w:val="en-US" w:eastAsia="zh-CN"/>
        </w:rPr>
        <w:t>21</w:t>
      </w:r>
      <w:r>
        <w:rPr>
          <w:rFonts w:hint="eastAsia"/>
        </w:rPr>
        <w:t xml:space="preserve">. Biomes </w:t>
      </w:r>
      <w:r>
        <w:rPr>
          <w:rFonts w:hint="eastAsia"/>
          <w:lang w:val="en-US" w:eastAsia="zh-CN"/>
        </w:rPr>
        <w:t>were</w:t>
      </w:r>
      <w:r>
        <w:rPr>
          <w:rFonts w:hint="eastAsia"/>
        </w:rPr>
        <w:t xml:space="preserve"> then further defined through combinations of these PFTs. Each sample </w:t>
      </w:r>
      <w:r>
        <w:rPr>
          <w:rFonts w:hint="eastAsia"/>
          <w:lang w:val="en-US" w:eastAsia="zh-CN"/>
        </w:rPr>
        <w:t>was</w:t>
      </w:r>
      <w:r>
        <w:rPr>
          <w:rFonts w:hint="eastAsia"/>
        </w:rPr>
        <w:t xml:space="preserve"> assigned to the biome exhibiting the highest affinity with pollen taxa. The affinity score </w:t>
      </w:r>
      <w:r>
        <w:rPr>
          <w:rFonts w:hint="eastAsia"/>
          <w:lang w:val="en-US" w:eastAsia="zh-CN"/>
        </w:rPr>
        <w:t>was</w:t>
      </w:r>
      <w:r>
        <w:rPr>
          <w:rFonts w:hint="eastAsia"/>
        </w:rPr>
        <w:t xml:space="preserve"> calculated using formula:</w:t>
      </w:r>
    </w:p>
    <w:p w14:paraId="495E1344">
      <w:pPr>
        <w:jc w:val="both"/>
      </w:pPr>
      <w:r>
        <w:rPr>
          <w:rFonts w:hint="eastAsia"/>
        </w:rPr>
        <w:object>
          <v:shape id="_x0000_i1025" o:spt="75" type="#_x0000_t75" style="height:29.95pt;width:146.2pt;" o:ole="t" filled="f" o:preferrelative="t" stroked="f" coordsize="21600,21600">
            <v:path/>
            <v:fill on="f" focussize="0,0"/>
            <v:stroke on="f" joinstyle="miter"/>
            <v:imagedata r:id="rId8" o:title=""/>
            <o:lock v:ext="edit" aspectratio="t"/>
            <w10:wrap type="none"/>
            <w10:anchorlock/>
          </v:shape>
          <o:OLEObject Type="Embed" ProgID="Equation.DSMT4" ShapeID="_x0000_i1025" DrawAspect="Content" ObjectID="_1468075725" r:id="rId7">
            <o:LockedField>false</o:LockedField>
          </o:OLEObject>
        </w:object>
      </w:r>
    </w:p>
    <w:p w14:paraId="1908B66E">
      <w:pPr>
        <w:ind w:firstLine="0"/>
        <w:jc w:val="both"/>
        <w:rPr>
          <w:lang w:val="ru-RU"/>
        </w:rPr>
      </w:pPr>
      <w:r>
        <w:rPr>
          <w:rFonts w:hint="eastAsia"/>
        </w:rPr>
        <w:t xml:space="preserve">where, </w:t>
      </w:r>
      <w:r>
        <w:rPr>
          <w:rFonts w:hint="eastAsia"/>
          <w:position w:val="-10"/>
        </w:rPr>
        <w:object>
          <v:shape id="_x0000_i1026" o:spt="75" type="#_x0000_t75" style="height:15.35pt;width:16.75pt;" o:ole="t" filled="f" o:preferrelative="t" stroked="f" coordsize="21600,21600">
            <v:path/>
            <v:fill on="f" focussize="0,0"/>
            <v:stroke on="f" joinstyle="miter"/>
            <v:imagedata r:id="rId10" o:title=""/>
            <o:lock v:ext="edit" aspectratio="t"/>
            <w10:wrap type="none"/>
            <w10:anchorlock/>
          </v:shape>
          <o:OLEObject Type="Embed" ProgID="Equation.DSMT4" ShapeID="_x0000_i1026" DrawAspect="Content" ObjectID="_1468075726" r:id="rId9">
            <o:LockedField>false</o:LockedField>
          </o:OLEObject>
        </w:object>
      </w:r>
      <w:r>
        <w:rPr>
          <w:rFonts w:hint="eastAsia"/>
        </w:rPr>
        <w:t xml:space="preserve"> represents the affinity score of pollen sample k for biome i; </w:t>
      </w:r>
      <w:r>
        <w:rPr>
          <w:rFonts w:hint="eastAsia"/>
          <w:position w:val="-14"/>
        </w:rPr>
        <w:object>
          <v:shape id="_x0000_i1027" o:spt="75" type="#_x0000_t75" style="height:19.25pt;width:14.25pt;" o:ole="t" filled="f" o:preferrelative="t" stroked="f" coordsize="21600,21600">
            <v:path/>
            <v:fill on="f" focussize="0,0"/>
            <v:stroke on="f" joinstyle="miter"/>
            <v:imagedata r:id="rId12" o:title=""/>
            <o:lock v:ext="edit" aspectratio="t"/>
            <w10:wrap type="none"/>
            <w10:anchorlock/>
          </v:shape>
          <o:OLEObject Type="Embed" ProgID="Equation.DSMT4" ShapeID="_x0000_i1027" DrawAspect="Content" ObjectID="_1468075727" r:id="rId11">
            <o:LockedField>false</o:LockedField>
          </o:OLEObject>
        </w:object>
      </w:r>
      <w:r>
        <w:rPr>
          <w:rFonts w:hint="eastAsia"/>
        </w:rPr>
        <w:t xml:space="preserve"> is an indicator variable (0 or 1) denoting whether taxon j is present in the </w:t>
      </w:r>
      <w:r>
        <w:t>“</w:t>
      </w:r>
      <w:r>
        <w:rPr>
          <w:rFonts w:hint="eastAsia"/>
        </w:rPr>
        <w:t>biome-pollen</w:t>
      </w:r>
      <w:r>
        <w:t>”</w:t>
      </w:r>
      <w:r>
        <w:rPr>
          <w:rFonts w:hint="eastAsia"/>
        </w:rPr>
        <w:t xml:space="preserve"> matrix corresponding to biome i; </w:t>
      </w:r>
      <w:r>
        <w:rPr>
          <w:rFonts w:hint="eastAsia"/>
          <w:position w:val="-14"/>
        </w:rPr>
        <w:object>
          <v:shape id="_x0000_i1028" o:spt="75" type="#_x0000_t75" style="height:19.25pt;width:19.25pt;" o:ole="t" filled="f" o:preferrelative="t" stroked="f" coordsize="21600,21600">
            <v:path/>
            <v:fill on="f" focussize="0,0"/>
            <v:stroke on="f" joinstyle="miter"/>
            <v:imagedata r:id="rId14" o:title=""/>
            <o:lock v:ext="edit" aspectratio="t"/>
            <w10:wrap type="none"/>
            <w10:anchorlock/>
          </v:shape>
          <o:OLEObject Type="Embed" ProgID="Equation.DSMT4" ShapeID="_x0000_i1028" DrawAspect="Content" ObjectID="_1468075728" r:id="rId13">
            <o:LockedField>false</o:LockedField>
          </o:OLEObject>
        </w:object>
      </w:r>
      <w:r>
        <w:rPr>
          <w:rFonts w:hint="eastAsia"/>
        </w:rPr>
        <w:t xml:space="preserve"> denotes the percentage of taxon j in sample k; </w:t>
      </w:r>
      <w:r>
        <w:rPr>
          <w:rFonts w:hint="eastAsia"/>
          <w:position w:val="-14"/>
        </w:rPr>
        <w:object>
          <v:shape id="_x0000_i1029" o:spt="75" type="#_x0000_t75" style="height:19.25pt;width:12.5pt;" o:ole="t" filled="f" o:preferrelative="t" stroked="f" coordsize="21600,21600">
            <v:path/>
            <v:fill on="f" focussize="0,0"/>
            <v:stroke on="f" joinstyle="miter"/>
            <v:imagedata r:id="rId16" o:title=""/>
            <o:lock v:ext="edit" aspectratio="t"/>
            <w10:wrap type="none"/>
            <w10:anchorlock/>
          </v:shape>
          <o:OLEObject Type="Embed" ProgID="Equation.DSMT4" ShapeID="_x0000_i1029" DrawAspect="Content" ObjectID="_1468075729" r:id="rId15">
            <o:LockedField>false</o:LockedField>
          </o:OLEObject>
        </w:object>
      </w:r>
      <w:r>
        <w:rPr>
          <w:rFonts w:hint="eastAsia"/>
        </w:rPr>
        <w:t xml:space="preserve"> is a threshold (typically 0.5%) established to eliminate errors caused by factors such as long-distance dispersal and re-deposition of foreign pollen or misidentification of rare taxa</w:t>
      </w:r>
      <w:r>
        <w:rPr>
          <w:rFonts w:hint="eastAsia"/>
          <w:vertAlign w:val="superscript"/>
          <w:lang w:val="en-US" w:eastAsia="zh-CN"/>
        </w:rPr>
        <w:t>21</w:t>
      </w:r>
      <w:r>
        <w:rPr>
          <w:vertAlign w:val="superscript"/>
        </w:rPr>
        <w:t>,</w:t>
      </w:r>
      <w:r>
        <w:rPr>
          <w:rFonts w:hint="eastAsia"/>
          <w:vertAlign w:val="superscript"/>
          <w:lang w:val="en-US" w:eastAsia="zh-CN"/>
        </w:rPr>
        <w:t>22</w:t>
      </w:r>
      <w:r>
        <w:rPr>
          <w:rFonts w:hint="eastAsia"/>
        </w:rPr>
        <w:t xml:space="preserve">. </w:t>
      </w:r>
      <w:r>
        <w:rPr>
          <w:rFonts w:hint="eastAsia"/>
          <w:lang w:val="en-US" w:eastAsia="zh-CN"/>
        </w:rPr>
        <w:t>The f</w:t>
      </w:r>
      <w:r>
        <w:rPr>
          <w:rFonts w:hint="eastAsia"/>
        </w:rPr>
        <w:t>ormula sum</w:t>
      </w:r>
      <w:r>
        <w:rPr>
          <w:rFonts w:hint="eastAsia"/>
          <w:lang w:val="en-US" w:eastAsia="zh-CN"/>
        </w:rPr>
        <w:t>s</w:t>
      </w:r>
      <w:r>
        <w:rPr>
          <w:rFonts w:hint="eastAsia"/>
        </w:rPr>
        <w:t xml:space="preserve"> </w:t>
      </w:r>
      <w:r>
        <w:rPr>
          <w:rFonts w:hint="eastAsia"/>
          <w:lang w:val="en-US" w:eastAsia="zh-CN"/>
        </w:rPr>
        <w:t xml:space="preserve">up </w:t>
      </w:r>
      <w:r>
        <w:rPr>
          <w:rFonts w:hint="eastAsia"/>
        </w:rPr>
        <w:t>all taxa j. The biomization scheme in Bianfudong designate</w:t>
      </w:r>
      <w:r>
        <w:rPr>
          <w:rFonts w:hint="eastAsia"/>
          <w:lang w:val="en-US" w:eastAsia="zh-CN"/>
        </w:rPr>
        <w:t>s</w:t>
      </w:r>
      <w:r>
        <w:rPr>
          <w:rFonts w:hint="eastAsia"/>
        </w:rPr>
        <w:t xml:space="preserve"> 24 PFTs and 18 biomes based on</w:t>
      </w:r>
      <w:r>
        <w:rPr>
          <w:rFonts w:hint="eastAsia"/>
          <w:lang w:val="en-US" w:eastAsia="zh-CN"/>
        </w:rPr>
        <w:t xml:space="preserve"> the criteria established by Sun and collaborators</w:t>
      </w:r>
      <w:r>
        <w:rPr>
          <w:rFonts w:hint="eastAsia"/>
          <w:vertAlign w:val="superscript"/>
          <w:lang w:val="en-US" w:eastAsia="zh-CN"/>
        </w:rPr>
        <w:t>23</w:t>
      </w:r>
      <w:r>
        <w:rPr>
          <w:rFonts w:hint="eastAsia"/>
        </w:rPr>
        <w:t xml:space="preserve"> </w:t>
      </w:r>
      <w:r>
        <w:rPr>
          <w:rFonts w:hint="eastAsia"/>
          <w:color w:val="auto"/>
        </w:rPr>
        <w:t>(</w:t>
      </w:r>
      <w:r>
        <w:rPr>
          <w:color w:val="0000FF"/>
        </w:rPr>
        <w:t>Supplementary</w:t>
      </w:r>
      <w:r>
        <w:rPr>
          <w:rFonts w:hint="eastAsia"/>
          <w:color w:val="0000FF"/>
        </w:rPr>
        <w:t xml:space="preserve"> </w:t>
      </w:r>
      <w:r>
        <w:rPr>
          <w:color w:val="0000FF"/>
        </w:rPr>
        <w:t>Table</w:t>
      </w:r>
      <w:r>
        <w:rPr>
          <w:rFonts w:hint="eastAsia"/>
          <w:color w:val="0000FF"/>
          <w:lang w:val="en-US" w:eastAsia="zh-CN"/>
        </w:rPr>
        <w:t>s</w:t>
      </w:r>
      <w:r>
        <w:rPr>
          <w:color w:val="0000FF"/>
        </w:rPr>
        <w:t xml:space="preserve"> </w:t>
      </w:r>
      <w:r>
        <w:rPr>
          <w:rFonts w:hint="eastAsia"/>
          <w:color w:val="0000FF"/>
          <w:lang w:val="en-US" w:eastAsia="zh-CN"/>
        </w:rPr>
        <w:t>8,</w:t>
      </w:r>
      <w:r>
        <w:rPr>
          <w:color w:val="0000FF"/>
        </w:rPr>
        <w:t xml:space="preserve"> </w:t>
      </w:r>
      <w:r>
        <w:rPr>
          <w:rFonts w:hint="eastAsia"/>
          <w:color w:val="0000FF"/>
          <w:lang w:val="en-US" w:eastAsia="zh-CN"/>
        </w:rPr>
        <w:t>9</w:t>
      </w:r>
      <w:r>
        <w:rPr>
          <w:rFonts w:hint="eastAsia"/>
          <w:color w:val="auto"/>
        </w:rPr>
        <w:t>)</w:t>
      </w:r>
      <w:r>
        <w:rPr>
          <w:rFonts w:hint="eastAsia"/>
        </w:rPr>
        <w:t>.</w:t>
      </w:r>
    </w:p>
    <w:p w14:paraId="4FF301B9">
      <w:pPr>
        <w:ind w:firstLine="240"/>
        <w:jc w:val="both"/>
      </w:pPr>
      <w:r>
        <w:rPr>
          <w:rFonts w:hint="eastAsia"/>
        </w:rPr>
        <w:t xml:space="preserve">The results of pollen analysis and biome reconstruction </w:t>
      </w:r>
      <w:r>
        <w:rPr>
          <w:rFonts w:hint="eastAsia"/>
          <w:lang w:val="en-US" w:eastAsia="zh-CN"/>
        </w:rPr>
        <w:t xml:space="preserve">for the sampled layers </w:t>
      </w:r>
      <w:r>
        <w:rPr>
          <w:rFonts w:hint="eastAsia"/>
        </w:rPr>
        <w:t xml:space="preserve">are </w:t>
      </w:r>
      <w:r>
        <w:t>described</w:t>
      </w:r>
      <w:r>
        <w:rPr>
          <w:rFonts w:hint="eastAsia"/>
        </w:rPr>
        <w:t xml:space="preserve"> as bellow.</w:t>
      </w:r>
    </w:p>
    <w:p w14:paraId="053338F6">
      <w:pPr>
        <w:ind w:firstLine="240"/>
        <w:jc w:val="both"/>
      </w:pPr>
      <w:r>
        <w:rPr>
          <w:lang w:val="en-GB"/>
        </w:rPr>
        <w:t xml:space="preserve">Layer 15‌: The pollen assemblages are dominated by </w:t>
      </w:r>
      <w:r>
        <w:rPr>
          <w:i/>
          <w:iCs/>
          <w:lang w:val="en-GB"/>
        </w:rPr>
        <w:t>Pinus</w:t>
      </w:r>
      <w:r>
        <w:rPr>
          <w:lang w:val="en-GB"/>
        </w:rPr>
        <w:t xml:space="preserve"> (54.7%), with broadleaved tree </w:t>
      </w:r>
      <w:r>
        <w:rPr>
          <w:i/>
          <w:iCs/>
          <w:lang w:val="en-GB"/>
        </w:rPr>
        <w:t>Juglans</w:t>
      </w:r>
      <w:r>
        <w:rPr>
          <w:lang w:val="en-GB"/>
        </w:rPr>
        <w:t xml:space="preserve"> (3.7%), </w:t>
      </w:r>
      <w:r>
        <w:rPr>
          <w:i/>
          <w:iCs/>
          <w:lang w:val="en-GB"/>
        </w:rPr>
        <w:t>Quercus</w:t>
      </w:r>
      <w:r>
        <w:rPr>
          <w:lang w:val="en-GB"/>
        </w:rPr>
        <w:t xml:space="preserve"> (1.9%) and </w:t>
      </w:r>
      <w:r>
        <w:rPr>
          <w:i/>
          <w:iCs/>
          <w:lang w:val="en-GB"/>
        </w:rPr>
        <w:t>Ulmus</w:t>
      </w:r>
      <w:r>
        <w:rPr>
          <w:lang w:val="en-GB"/>
        </w:rPr>
        <w:t xml:space="preserve"> (4.7%). It also contains some herb taxa such as Poaceae (3.7%), Amaranthaceae (10.3%) and </w:t>
      </w:r>
      <w:r>
        <w:rPr>
          <w:i/>
          <w:iCs/>
          <w:lang w:val="en-GB"/>
        </w:rPr>
        <w:t>Artemisia</w:t>
      </w:r>
      <w:r>
        <w:rPr>
          <w:lang w:val="en-GB"/>
        </w:rPr>
        <w:t xml:space="preserve"> (6.5%). </w:t>
      </w:r>
      <w:r>
        <w:rPr>
          <w:rFonts w:hint="eastAsia"/>
          <w:lang w:val="en-GB"/>
        </w:rPr>
        <w:t xml:space="preserve">The biomation results </w:t>
      </w:r>
      <w:r>
        <w:rPr>
          <w:rFonts w:hint="eastAsia"/>
          <w:lang w:val="en-US" w:eastAsia="zh-CN"/>
        </w:rPr>
        <w:t>for this layer suggest a</w:t>
      </w:r>
      <w:r>
        <w:rPr>
          <w:rFonts w:hint="eastAsia"/>
          <w:lang w:val="en-GB"/>
        </w:rPr>
        <w:t xml:space="preserve"> </w:t>
      </w:r>
      <w:r>
        <w:rPr>
          <w:rFonts w:hint="eastAsia"/>
        </w:rPr>
        <w:t xml:space="preserve">vegetation biome </w:t>
      </w:r>
      <w:r>
        <w:rPr>
          <w:rFonts w:hint="eastAsia"/>
          <w:lang w:val="en-US" w:eastAsia="zh-CN"/>
        </w:rPr>
        <w:t>dominated by</w:t>
      </w:r>
      <w:r>
        <w:rPr>
          <w:rFonts w:hint="eastAsia"/>
        </w:rPr>
        <w:t xml:space="preserve"> north subtropical mixed forest (WAMF) </w:t>
      </w:r>
      <w:r>
        <w:rPr>
          <w:rFonts w:hint="eastAsia"/>
          <w:color w:val="auto"/>
        </w:rPr>
        <w:t>(</w:t>
      </w:r>
      <w:r>
        <w:rPr>
          <w:rFonts w:hint="eastAsia"/>
          <w:color w:val="0000FF"/>
          <w:lang w:eastAsia="zh-CN"/>
        </w:rPr>
        <w:t>Supplementary Fig.</w:t>
      </w:r>
      <w:r>
        <w:rPr>
          <w:rFonts w:hint="eastAsia"/>
          <w:color w:val="0000FF"/>
        </w:rPr>
        <w:t xml:space="preserve"> </w:t>
      </w:r>
      <w:r>
        <w:rPr>
          <w:rFonts w:hint="eastAsia"/>
          <w:color w:val="0000FF"/>
          <w:lang w:val="en-US" w:eastAsia="zh-CN"/>
        </w:rPr>
        <w:t>19</w:t>
      </w:r>
      <w:r>
        <w:rPr>
          <w:rFonts w:hint="eastAsia"/>
          <w:color w:val="auto"/>
        </w:rPr>
        <w:t>)</w:t>
      </w:r>
      <w:r>
        <w:rPr>
          <w:rFonts w:hint="eastAsia"/>
          <w:color w:val="auto"/>
          <w:lang w:val="en-US" w:eastAsia="zh-CN"/>
        </w:rPr>
        <w:t>, thus indicating a</w:t>
      </w:r>
      <w:r>
        <w:rPr>
          <w:rFonts w:hint="eastAsia"/>
          <w:color w:val="auto"/>
        </w:rPr>
        <w:t xml:space="preserve"> </w:t>
      </w:r>
      <w:r>
        <w:rPr>
          <w:color w:val="auto"/>
        </w:rPr>
        <w:t>relativ</w:t>
      </w:r>
      <w:r>
        <w:t>ely</w:t>
      </w:r>
      <w:r>
        <w:rPr>
          <w:rFonts w:hint="eastAsia"/>
        </w:rPr>
        <w:t xml:space="preserve"> warm </w:t>
      </w:r>
      <w:r>
        <w:rPr>
          <w:rFonts w:hint="eastAsia"/>
          <w:lang w:val="en-US" w:eastAsia="zh-CN"/>
        </w:rPr>
        <w:t>climate for</w:t>
      </w:r>
      <w:r>
        <w:rPr>
          <w:rFonts w:hint="eastAsia"/>
        </w:rPr>
        <w:t xml:space="preserve"> </w:t>
      </w:r>
      <w:r>
        <w:t>this</w:t>
      </w:r>
      <w:r>
        <w:rPr>
          <w:rFonts w:hint="eastAsia"/>
        </w:rPr>
        <w:t xml:space="preserve"> period.</w:t>
      </w:r>
    </w:p>
    <w:p w14:paraId="3128C493">
      <w:pPr>
        <w:ind w:firstLine="240"/>
        <w:jc w:val="both"/>
        <w:rPr>
          <w:lang w:val="ru-RU"/>
        </w:rPr>
      </w:pPr>
      <w:r>
        <w:rPr>
          <w:lang w:val="en-GB"/>
        </w:rPr>
        <w:t xml:space="preserve">Layer 12/8/7: The </w:t>
      </w:r>
      <w:r>
        <w:rPr>
          <w:rFonts w:hint="eastAsia"/>
          <w:lang w:val="en-US" w:eastAsia="zh-CN"/>
        </w:rPr>
        <w:t xml:space="preserve">proportion of </w:t>
      </w:r>
      <w:r>
        <w:rPr>
          <w:lang w:val="en-GB"/>
        </w:rPr>
        <w:t xml:space="preserve">cold-tolerant species </w:t>
      </w:r>
      <w:r>
        <w:rPr>
          <w:i/>
          <w:iCs/>
          <w:lang w:val="en-GB"/>
        </w:rPr>
        <w:t>Abies</w:t>
      </w:r>
      <w:r>
        <w:rPr>
          <w:lang w:val="en-GB"/>
        </w:rPr>
        <w:t xml:space="preserve"> (average 7.4%) and </w:t>
      </w:r>
      <w:r>
        <w:rPr>
          <w:i/>
          <w:iCs/>
          <w:lang w:val="en-GB"/>
        </w:rPr>
        <w:t>Picea</w:t>
      </w:r>
      <w:r>
        <w:rPr>
          <w:lang w:val="en-GB"/>
        </w:rPr>
        <w:t xml:space="preserve"> (11.2%) increase</w:t>
      </w:r>
      <w:r>
        <w:rPr>
          <w:rFonts w:hint="eastAsia"/>
          <w:lang w:val="en-US" w:eastAsia="zh-CN"/>
        </w:rPr>
        <w:t>s</w:t>
      </w:r>
      <w:r>
        <w:rPr>
          <w:lang w:val="en-GB"/>
        </w:rPr>
        <w:t xml:space="preserve"> significantly in these three layers</w:t>
      </w:r>
      <w:r>
        <w:rPr>
          <w:rFonts w:hint="eastAsia"/>
          <w:lang w:val="en-US" w:eastAsia="zh-CN"/>
        </w:rPr>
        <w:t>.</w:t>
      </w:r>
      <w:r>
        <w:rPr>
          <w:lang w:val="en-GB"/>
        </w:rPr>
        <w:t xml:space="preserve"> </w:t>
      </w:r>
      <w:r>
        <w:rPr>
          <w:rFonts w:hint="eastAsia"/>
          <w:lang w:val="en-US" w:eastAsia="zh-CN"/>
        </w:rPr>
        <w:t>A similar trend is also observed for</w:t>
      </w:r>
      <w:r>
        <w:rPr>
          <w:lang w:val="en-GB"/>
        </w:rPr>
        <w:t xml:space="preserve"> </w:t>
      </w:r>
      <w:r>
        <w:rPr>
          <w:i/>
          <w:iCs/>
          <w:lang w:val="en-GB"/>
        </w:rPr>
        <w:t>Pinus</w:t>
      </w:r>
      <w:r>
        <w:rPr>
          <w:lang w:val="en-GB"/>
        </w:rPr>
        <w:t xml:space="preserve"> (65.8%)</w:t>
      </w:r>
      <w:r>
        <w:rPr>
          <w:rFonts w:hint="eastAsia"/>
          <w:lang w:val="en-US" w:eastAsia="zh-CN"/>
        </w:rPr>
        <w:t>, which suggests</w:t>
      </w:r>
      <w:r>
        <w:rPr>
          <w:lang w:val="en-GB"/>
        </w:rPr>
        <w:t xml:space="preserve"> vegetation dominated by coniferous forest. </w:t>
      </w:r>
      <w:r>
        <w:rPr>
          <w:rFonts w:hint="eastAsia"/>
          <w:lang w:val="en-US" w:eastAsia="zh-CN"/>
        </w:rPr>
        <w:t>I</w:t>
      </w:r>
      <w:r>
        <w:rPr>
          <w:lang w:val="en-GB"/>
        </w:rPr>
        <w:t xml:space="preserve">n the layer 8, the </w:t>
      </w:r>
      <w:r>
        <w:rPr>
          <w:rFonts w:hint="eastAsia"/>
          <w:lang w:val="en-US" w:eastAsia="zh-CN"/>
        </w:rPr>
        <w:t>proportion</w:t>
      </w:r>
      <w:r>
        <w:rPr>
          <w:lang w:val="en-GB"/>
        </w:rPr>
        <w:t xml:space="preserve"> of</w:t>
      </w:r>
      <w:r>
        <w:rPr>
          <w:i/>
          <w:iCs/>
          <w:lang w:val="en-GB"/>
        </w:rPr>
        <w:t xml:space="preserve"> Picea</w:t>
      </w:r>
      <w:r>
        <w:rPr>
          <w:lang w:val="en-GB"/>
        </w:rPr>
        <w:t xml:space="preserve"> pollen </w:t>
      </w:r>
      <w:r>
        <w:rPr>
          <w:rFonts w:hint="eastAsia"/>
          <w:lang w:val="en-US" w:eastAsia="zh-CN"/>
        </w:rPr>
        <w:t>rises</w:t>
      </w:r>
      <w:r>
        <w:rPr>
          <w:lang w:val="en-GB"/>
        </w:rPr>
        <w:t xml:space="preserve"> to 25.1%, </w:t>
      </w:r>
      <w:r>
        <w:rPr>
          <w:rFonts w:hint="eastAsia"/>
          <w:lang w:val="en-US" w:eastAsia="zh-CN"/>
        </w:rPr>
        <w:t>while</w:t>
      </w:r>
      <w:r>
        <w:rPr>
          <w:lang w:val="en-GB"/>
        </w:rPr>
        <w:t xml:space="preserve"> </w:t>
      </w:r>
      <w:r>
        <w:rPr>
          <w:i/>
          <w:iCs/>
          <w:lang w:val="en-GB"/>
        </w:rPr>
        <w:t>Abies</w:t>
      </w:r>
      <w:r>
        <w:rPr>
          <w:lang w:val="en-GB"/>
        </w:rPr>
        <w:t xml:space="preserve"> </w:t>
      </w:r>
      <w:r>
        <w:rPr>
          <w:rFonts w:hint="eastAsia"/>
          <w:lang w:val="en-US" w:eastAsia="zh-CN"/>
        </w:rPr>
        <w:t xml:space="preserve">reaches </w:t>
      </w:r>
      <w:r>
        <w:rPr>
          <w:lang w:val="en-GB"/>
        </w:rPr>
        <w:t xml:space="preserve">8.9%. Although the </w:t>
      </w:r>
      <w:r>
        <w:rPr>
          <w:rFonts w:hint="eastAsia"/>
          <w:lang w:val="en-US" w:eastAsia="zh-CN"/>
        </w:rPr>
        <w:t xml:space="preserve">proportions of </w:t>
      </w:r>
      <w:r>
        <w:rPr>
          <w:i/>
          <w:iCs/>
          <w:lang w:val="en-GB"/>
        </w:rPr>
        <w:t>Abies</w:t>
      </w:r>
      <w:r>
        <w:rPr>
          <w:lang w:val="en-GB"/>
        </w:rPr>
        <w:t xml:space="preserve"> (2.7%) and </w:t>
      </w:r>
      <w:r>
        <w:rPr>
          <w:i/>
          <w:iCs/>
          <w:lang w:val="en-GB"/>
        </w:rPr>
        <w:t>Picea</w:t>
      </w:r>
      <w:r>
        <w:rPr>
          <w:lang w:val="en-GB"/>
        </w:rPr>
        <w:t xml:space="preserve"> (9.5%) decease in the layer 7, the coniferous forest still contains </w:t>
      </w:r>
      <w:r>
        <w:rPr>
          <w:rFonts w:hint="eastAsia"/>
          <w:lang w:val="en-US" w:eastAsia="zh-CN"/>
        </w:rPr>
        <w:t>high proportions of</w:t>
      </w:r>
      <w:r>
        <w:rPr>
          <w:lang w:val="en-GB"/>
        </w:rPr>
        <w:t xml:space="preserve"> </w:t>
      </w:r>
      <w:r>
        <w:rPr>
          <w:i/>
          <w:iCs/>
          <w:lang w:val="en-GB"/>
        </w:rPr>
        <w:t>Picea</w:t>
      </w:r>
      <w:r>
        <w:rPr>
          <w:lang w:val="en-GB"/>
        </w:rPr>
        <w:t xml:space="preserve">. </w:t>
      </w:r>
      <w:r>
        <w:rPr>
          <w:rFonts w:hint="eastAsia"/>
          <w:lang w:val="en-US" w:eastAsia="zh-CN"/>
        </w:rPr>
        <w:t>In all three layers, t</w:t>
      </w:r>
      <w:r>
        <w:rPr>
          <w:rFonts w:hint="eastAsia"/>
          <w:lang w:val="en-GB"/>
        </w:rPr>
        <w:t xml:space="preserve">he </w:t>
      </w:r>
      <w:r>
        <w:rPr>
          <w:rFonts w:hint="eastAsia"/>
        </w:rPr>
        <w:t xml:space="preserve">dominant vegetation biome </w:t>
      </w:r>
      <w:r>
        <w:rPr>
          <w:rFonts w:hint="eastAsia"/>
          <w:lang w:val="en-US" w:eastAsia="zh-CN"/>
        </w:rPr>
        <w:t xml:space="preserve">corresponds to a </w:t>
      </w:r>
      <w:r>
        <w:rPr>
          <w:rFonts w:hint="eastAsia"/>
          <w:lang w:val="en-GB"/>
        </w:rPr>
        <w:t>c</w:t>
      </w:r>
      <w:r>
        <w:rPr>
          <w:lang w:val="en-GB"/>
        </w:rPr>
        <w:t>old-temperate evergreen conifer forest</w:t>
      </w:r>
      <w:r>
        <w:rPr>
          <w:rFonts w:hint="eastAsia"/>
          <w:lang w:val="en-GB"/>
        </w:rPr>
        <w:t xml:space="preserve"> (</w:t>
      </w:r>
      <w:r>
        <w:rPr>
          <w:lang w:val="en-GB"/>
        </w:rPr>
        <w:t>CLEC</w:t>
      </w:r>
      <w:r>
        <w:rPr>
          <w:rFonts w:hint="eastAsia"/>
          <w:lang w:val="en-GB"/>
        </w:rPr>
        <w:t>)</w:t>
      </w:r>
      <w:r>
        <w:rPr>
          <w:rFonts w:hint="eastAsia"/>
          <w:lang w:val="en-US" w:eastAsia="zh-CN"/>
        </w:rPr>
        <w:t>,</w:t>
      </w:r>
      <w:r>
        <w:rPr>
          <w:rFonts w:hint="eastAsia"/>
          <w:lang w:val="en-GB"/>
        </w:rPr>
        <w:t xml:space="preserve"> </w:t>
      </w:r>
      <w:r>
        <w:rPr>
          <w:rFonts w:hint="eastAsia"/>
          <w:lang w:val="en-US" w:eastAsia="zh-CN"/>
        </w:rPr>
        <w:t xml:space="preserve">which entails cooler </w:t>
      </w:r>
      <w:r>
        <w:rPr>
          <w:lang w:val="en-GB"/>
        </w:rPr>
        <w:t>climat</w:t>
      </w:r>
      <w:r>
        <w:rPr>
          <w:rFonts w:hint="eastAsia"/>
          <w:lang w:val="en-US" w:eastAsia="zh-CN"/>
        </w:rPr>
        <w:t>ic</w:t>
      </w:r>
      <w:r>
        <w:rPr>
          <w:lang w:val="en-GB"/>
        </w:rPr>
        <w:t xml:space="preserve"> </w:t>
      </w:r>
      <w:r>
        <w:rPr>
          <w:rFonts w:hint="eastAsia"/>
          <w:lang w:val="en-US" w:eastAsia="zh-CN"/>
        </w:rPr>
        <w:t>conditions compared to</w:t>
      </w:r>
      <w:r>
        <w:rPr>
          <w:lang w:val="en-GB"/>
        </w:rPr>
        <w:t xml:space="preserve"> layer 15. </w:t>
      </w:r>
    </w:p>
    <w:p w14:paraId="3296259B">
      <w:pPr>
        <w:ind w:firstLine="240"/>
        <w:jc w:val="both"/>
        <w:rPr>
          <w:lang w:val="en-GB"/>
        </w:rPr>
      </w:pPr>
      <w:r>
        <w:rPr>
          <w:lang w:val="en-GB"/>
        </w:rPr>
        <w:t>‌</w:t>
      </w:r>
      <w:r>
        <w:rPr>
          <w:rFonts w:hint="eastAsia"/>
          <w:lang w:val="en-GB"/>
        </w:rPr>
        <w:t>L</w:t>
      </w:r>
      <w:r>
        <w:rPr>
          <w:lang w:val="en-GB"/>
        </w:rPr>
        <w:t>ayer 6</w:t>
      </w:r>
      <w:r>
        <w:rPr>
          <w:rFonts w:hint="eastAsia"/>
          <w:lang w:val="en-GB"/>
        </w:rPr>
        <w:t>:</w:t>
      </w:r>
      <w:r>
        <w:rPr>
          <w:lang w:val="en-GB"/>
        </w:rPr>
        <w:t xml:space="preserve"> The pollen assemblage </w:t>
      </w:r>
      <w:r>
        <w:rPr>
          <w:rFonts w:hint="eastAsia"/>
          <w:lang w:val="en-US" w:eastAsia="zh-CN"/>
        </w:rPr>
        <w:t>is</w:t>
      </w:r>
      <w:r>
        <w:rPr>
          <w:rFonts w:hint="eastAsia"/>
          <w:lang w:val="en-GB"/>
        </w:rPr>
        <w:t xml:space="preserve"> dominated by </w:t>
      </w:r>
      <w:r>
        <w:rPr>
          <w:i/>
          <w:iCs/>
          <w:lang w:val="en-GB"/>
        </w:rPr>
        <w:t>Pinus</w:t>
      </w:r>
      <w:r>
        <w:rPr>
          <w:lang w:val="en-GB"/>
        </w:rPr>
        <w:t xml:space="preserve"> (</w:t>
      </w:r>
      <w:r>
        <w:rPr>
          <w:rFonts w:hint="eastAsia"/>
          <w:lang w:val="en-GB"/>
        </w:rPr>
        <w:t>58.3</w:t>
      </w:r>
      <w:r>
        <w:rPr>
          <w:lang w:val="en-GB"/>
        </w:rPr>
        <w:t>%)</w:t>
      </w:r>
      <w:r>
        <w:rPr>
          <w:rFonts w:hint="eastAsia"/>
          <w:lang w:val="en-GB"/>
        </w:rPr>
        <w:t xml:space="preserve">, </w:t>
      </w:r>
      <w:r>
        <w:rPr>
          <w:i/>
          <w:iCs/>
          <w:lang w:val="en-GB"/>
        </w:rPr>
        <w:t>Abies</w:t>
      </w:r>
      <w:r>
        <w:rPr>
          <w:lang w:val="en-GB"/>
        </w:rPr>
        <w:t xml:space="preserve"> (2.</w:t>
      </w:r>
      <w:r>
        <w:rPr>
          <w:rFonts w:hint="eastAsia"/>
          <w:lang w:val="en-GB"/>
        </w:rPr>
        <w:t>9</w:t>
      </w:r>
      <w:r>
        <w:rPr>
          <w:lang w:val="en-GB"/>
        </w:rPr>
        <w:t>%)</w:t>
      </w:r>
      <w:r>
        <w:rPr>
          <w:rFonts w:hint="eastAsia"/>
          <w:lang w:val="en-GB"/>
        </w:rPr>
        <w:t xml:space="preserve">, </w:t>
      </w:r>
      <w:r>
        <w:rPr>
          <w:i/>
          <w:iCs/>
          <w:lang w:val="en-GB"/>
        </w:rPr>
        <w:t>Picea</w:t>
      </w:r>
      <w:r>
        <w:rPr>
          <w:rFonts w:hint="eastAsia"/>
          <w:lang w:val="en-GB"/>
        </w:rPr>
        <w:t xml:space="preserve"> (7.9%), </w:t>
      </w:r>
      <w:r>
        <w:rPr>
          <w:i/>
          <w:iCs/>
          <w:lang w:val="en-GB"/>
        </w:rPr>
        <w:t xml:space="preserve">Tsuga </w:t>
      </w:r>
      <w:r>
        <w:rPr>
          <w:rFonts w:hint="eastAsia"/>
          <w:lang w:val="en-GB"/>
        </w:rPr>
        <w:t>(</w:t>
      </w:r>
      <w:r>
        <w:rPr>
          <w:lang w:val="en-GB"/>
        </w:rPr>
        <w:t>18.7%</w:t>
      </w:r>
      <w:r>
        <w:rPr>
          <w:rFonts w:hint="eastAsia"/>
          <w:lang w:val="en-GB"/>
        </w:rPr>
        <w:t xml:space="preserve">), </w:t>
      </w:r>
      <w:r>
        <w:rPr>
          <w:i/>
          <w:iCs/>
          <w:lang w:val="en-GB"/>
        </w:rPr>
        <w:t>Carpinus</w:t>
      </w:r>
      <w:r>
        <w:rPr>
          <w:rFonts w:hint="eastAsia"/>
          <w:lang w:val="en-GB"/>
        </w:rPr>
        <w:t xml:space="preserve"> (0.7%), </w:t>
      </w:r>
      <w:r>
        <w:rPr>
          <w:i/>
          <w:iCs/>
          <w:lang w:val="en-GB"/>
        </w:rPr>
        <w:t>Ulmus</w:t>
      </w:r>
      <w:r>
        <w:rPr>
          <w:rFonts w:hint="eastAsia"/>
          <w:lang w:val="en-GB"/>
        </w:rPr>
        <w:t xml:space="preserve"> (1.4%) and Platanaceae (2.2%). The </w:t>
      </w:r>
      <w:r>
        <w:rPr>
          <w:rFonts w:hint="eastAsia"/>
          <w:lang w:val="en-US" w:eastAsia="zh-CN"/>
        </w:rPr>
        <w:t xml:space="preserve">percentage of </w:t>
      </w:r>
      <w:r>
        <w:rPr>
          <w:rFonts w:hint="eastAsia"/>
          <w:lang w:val="en-GB"/>
        </w:rPr>
        <w:t xml:space="preserve">herb </w:t>
      </w:r>
      <w:r>
        <w:rPr>
          <w:rFonts w:hint="eastAsia"/>
          <w:lang w:val="en-US" w:eastAsia="zh-CN"/>
        </w:rPr>
        <w:t>taxa</w:t>
      </w:r>
      <w:r>
        <w:rPr>
          <w:rFonts w:hint="eastAsia"/>
          <w:lang w:val="en-GB"/>
        </w:rPr>
        <w:t xml:space="preserve"> (7.9%) </w:t>
      </w:r>
      <w:r>
        <w:rPr>
          <w:rFonts w:hint="eastAsia"/>
          <w:lang w:val="en-US" w:eastAsia="zh-CN"/>
        </w:rPr>
        <w:t>remains</w:t>
      </w:r>
      <w:r>
        <w:rPr>
          <w:rFonts w:hint="eastAsia"/>
          <w:lang w:val="en-GB"/>
        </w:rPr>
        <w:t xml:space="preserve"> low</w:t>
      </w:r>
      <w:r>
        <w:rPr>
          <w:rFonts w:hint="eastAsia"/>
          <w:lang w:val="en-US" w:eastAsia="zh-CN"/>
        </w:rPr>
        <w:t xml:space="preserve"> while we notice a substantial increase in</w:t>
      </w:r>
      <w:r>
        <w:rPr>
          <w:rFonts w:hint="eastAsia"/>
          <w:lang w:val="en-GB"/>
        </w:rPr>
        <w:t xml:space="preserve"> ferns species in this layer. </w:t>
      </w:r>
      <w:r>
        <w:rPr>
          <w:lang w:val="en-GB"/>
        </w:rPr>
        <w:t>T</w:t>
      </w:r>
      <w:r>
        <w:rPr>
          <w:rFonts w:hint="eastAsia"/>
          <w:lang w:val="en-GB"/>
        </w:rPr>
        <w:t xml:space="preserve">he </w:t>
      </w:r>
      <w:r>
        <w:rPr>
          <w:rFonts w:hint="eastAsia"/>
          <w:lang w:val="en-US" w:eastAsia="zh-CN"/>
        </w:rPr>
        <w:t>proportion</w:t>
      </w:r>
      <w:r>
        <w:rPr>
          <w:rFonts w:hint="eastAsia"/>
          <w:lang w:val="en-GB"/>
        </w:rPr>
        <w:t xml:space="preserve"> of </w:t>
      </w:r>
      <w:r>
        <w:rPr>
          <w:i/>
          <w:iCs/>
          <w:lang w:val="en-GB"/>
        </w:rPr>
        <w:t>Pteris</w:t>
      </w:r>
      <w:r>
        <w:rPr>
          <w:rFonts w:hint="eastAsia"/>
          <w:lang w:val="en-GB"/>
        </w:rPr>
        <w:t xml:space="preserve"> (61.2%), </w:t>
      </w:r>
      <w:r>
        <w:rPr>
          <w:i/>
          <w:iCs/>
          <w:lang w:val="en-GB"/>
        </w:rPr>
        <w:t>Polypodium</w:t>
      </w:r>
      <w:r>
        <w:rPr>
          <w:rFonts w:hint="eastAsia"/>
          <w:lang w:val="en-GB"/>
        </w:rPr>
        <w:t xml:space="preserve"> (</w:t>
      </w:r>
      <w:r>
        <w:rPr>
          <w:rFonts w:hint="eastAsia"/>
          <w:highlight w:val="none"/>
          <w:lang w:val="en-GB"/>
        </w:rPr>
        <w:t>176.3%</w:t>
      </w:r>
      <w:r>
        <w:rPr>
          <w:rFonts w:hint="eastAsia"/>
          <w:lang w:val="en-GB"/>
        </w:rPr>
        <w:t xml:space="preserve">) </w:t>
      </w:r>
      <w:r>
        <w:rPr>
          <w:rFonts w:hint="eastAsia"/>
          <w:lang w:val="en-US" w:eastAsia="zh-CN"/>
        </w:rPr>
        <w:t>reach a</w:t>
      </w:r>
      <w:r>
        <w:rPr>
          <w:rFonts w:hint="eastAsia"/>
          <w:lang w:val="en-GB"/>
        </w:rPr>
        <w:t xml:space="preserve"> peak</w:t>
      </w:r>
      <w:r>
        <w:rPr>
          <w:rFonts w:hint="eastAsia"/>
          <w:lang w:val="en-US" w:eastAsia="zh-CN"/>
        </w:rPr>
        <w:t xml:space="preserve"> in this layer compared to the remainder of the sequence</w:t>
      </w:r>
      <w:r>
        <w:rPr>
          <w:rFonts w:hint="eastAsia"/>
          <w:lang w:val="en-GB"/>
        </w:rPr>
        <w:t>. Th</w:t>
      </w:r>
      <w:r>
        <w:rPr>
          <w:rFonts w:hint="eastAsia"/>
          <w:lang w:val="en-US" w:eastAsia="zh-CN"/>
        </w:rPr>
        <w:t>ese</w:t>
      </w:r>
      <w:r>
        <w:rPr>
          <w:rFonts w:hint="eastAsia"/>
          <w:lang w:val="en-GB"/>
        </w:rPr>
        <w:t xml:space="preserve"> </w:t>
      </w:r>
      <w:r>
        <w:rPr>
          <w:rFonts w:hint="eastAsia"/>
          <w:lang w:val="en-US" w:eastAsia="zh-CN"/>
        </w:rPr>
        <w:t xml:space="preserve">results indicate a </w:t>
      </w:r>
      <w:r>
        <w:rPr>
          <w:rFonts w:hint="eastAsia"/>
        </w:rPr>
        <w:t>dominant vegetation biome</w:t>
      </w:r>
      <w:r>
        <w:rPr>
          <w:lang w:val="en-GB"/>
        </w:rPr>
        <w:t xml:space="preserve"> </w:t>
      </w:r>
      <w:r>
        <w:rPr>
          <w:rFonts w:hint="eastAsia"/>
          <w:lang w:val="en-US" w:eastAsia="zh-CN"/>
        </w:rPr>
        <w:t>characterised</w:t>
      </w:r>
      <w:r>
        <w:rPr>
          <w:rFonts w:hint="eastAsia"/>
          <w:lang w:val="en-GB"/>
        </w:rPr>
        <w:t xml:space="preserve"> </w:t>
      </w:r>
      <w:r>
        <w:rPr>
          <w:rFonts w:hint="eastAsia"/>
          <w:lang w:val="en-US" w:eastAsia="zh-CN"/>
        </w:rPr>
        <w:t xml:space="preserve">as </w:t>
      </w:r>
      <w:r>
        <w:rPr>
          <w:rFonts w:hint="eastAsia"/>
          <w:lang w:val="en-GB"/>
        </w:rPr>
        <w:t>m</w:t>
      </w:r>
      <w:r>
        <w:rPr>
          <w:lang w:val="en-GB"/>
        </w:rPr>
        <w:t xml:space="preserve">iddle subtropical broadleaf evergreen forest </w:t>
      </w:r>
      <w:r>
        <w:rPr>
          <w:rFonts w:hint="eastAsia"/>
          <w:lang w:val="en-GB"/>
        </w:rPr>
        <w:t>(</w:t>
      </w:r>
      <w:r>
        <w:rPr>
          <w:lang w:val="en-GB"/>
        </w:rPr>
        <w:t>WTFO</w:t>
      </w:r>
      <w:r>
        <w:rPr>
          <w:rFonts w:hint="eastAsia"/>
          <w:lang w:val="en-GB"/>
        </w:rPr>
        <w:t xml:space="preserve">). </w:t>
      </w:r>
      <w:r>
        <w:rPr>
          <w:rFonts w:hint="eastAsia"/>
          <w:lang w:val="en-US" w:eastAsia="zh-CN"/>
        </w:rPr>
        <w:t>However,</w:t>
      </w:r>
      <w:r>
        <w:rPr>
          <w:rFonts w:hint="eastAsia"/>
          <w:lang w:val="en-GB"/>
        </w:rPr>
        <w:t xml:space="preserve"> the scores </w:t>
      </w:r>
      <w:r>
        <w:rPr>
          <w:rFonts w:hint="eastAsia"/>
          <w:lang w:val="en-US" w:eastAsia="zh-CN"/>
        </w:rPr>
        <w:t>for</w:t>
      </w:r>
      <w:r>
        <w:rPr>
          <w:rFonts w:hint="eastAsia"/>
          <w:lang w:val="en-GB"/>
        </w:rPr>
        <w:t xml:space="preserve"> </w:t>
      </w:r>
      <w:r>
        <w:rPr>
          <w:lang w:val="en-GB"/>
        </w:rPr>
        <w:t>other</w:t>
      </w:r>
      <w:r>
        <w:rPr>
          <w:rFonts w:hint="eastAsia"/>
          <w:lang w:val="en-GB"/>
        </w:rPr>
        <w:t xml:space="preserve"> two biomes</w:t>
      </w:r>
      <w:r>
        <w:rPr>
          <w:rFonts w:hint="eastAsia"/>
          <w:lang w:val="en-US" w:eastAsia="zh-CN"/>
        </w:rPr>
        <w:t>,</w:t>
      </w:r>
      <w:r>
        <w:rPr>
          <w:rFonts w:hint="eastAsia"/>
          <w:lang w:val="en-GB"/>
        </w:rPr>
        <w:t xml:space="preserve"> </w:t>
      </w:r>
      <w:r>
        <w:rPr>
          <w:rFonts w:hint="eastAsia"/>
          <w:lang w:val="en-US" w:eastAsia="zh-CN"/>
        </w:rPr>
        <w:t>i.e., cold-temperate evergreen conifer forest (</w:t>
      </w:r>
      <w:r>
        <w:rPr>
          <w:rFonts w:hint="eastAsia"/>
          <w:lang w:val="en-GB"/>
        </w:rPr>
        <w:t>CLEC</w:t>
      </w:r>
      <w:r>
        <w:rPr>
          <w:rFonts w:hint="eastAsia"/>
          <w:lang w:val="en-US" w:eastAsia="zh-CN"/>
        </w:rPr>
        <w:t>:</w:t>
      </w:r>
      <w:r>
        <w:rPr>
          <w:rFonts w:hint="eastAsia"/>
          <w:lang w:val="en-GB"/>
        </w:rPr>
        <w:t xml:space="preserve"> 11.866) and </w:t>
      </w:r>
      <w:r>
        <w:rPr>
          <w:rFonts w:hint="eastAsia"/>
          <w:lang w:val="en-US" w:eastAsia="zh-CN"/>
        </w:rPr>
        <w:t>c</w:t>
      </w:r>
      <w:r>
        <w:rPr>
          <w:lang w:val="en-GB"/>
        </w:rPr>
        <w:t xml:space="preserve">ool-temperate mixed forest </w:t>
      </w:r>
      <w:r>
        <w:rPr>
          <w:rFonts w:hint="eastAsia"/>
          <w:lang w:val="en-GB"/>
        </w:rPr>
        <w:t>(</w:t>
      </w:r>
      <w:r>
        <w:rPr>
          <w:lang w:val="en-GB"/>
        </w:rPr>
        <w:t>COMX</w:t>
      </w:r>
      <w:r>
        <w:rPr>
          <w:rFonts w:hint="eastAsia"/>
          <w:lang w:val="en-US" w:eastAsia="zh-CN"/>
        </w:rPr>
        <w:t>:</w:t>
      </w:r>
      <w:r>
        <w:rPr>
          <w:rFonts w:hint="eastAsia"/>
          <w:lang w:val="en-GB"/>
        </w:rPr>
        <w:t xml:space="preserve"> 11.761) is very close to WTFO (11.868). </w:t>
      </w:r>
      <w:r>
        <w:rPr>
          <w:rFonts w:hint="eastAsia"/>
          <w:lang w:val="en-US" w:eastAsia="zh-CN"/>
        </w:rPr>
        <w:t>Considering the high representation of</w:t>
      </w:r>
      <w:r>
        <w:rPr>
          <w:rFonts w:hint="eastAsia"/>
          <w:lang w:val="en-GB"/>
        </w:rPr>
        <w:t xml:space="preserve"> </w:t>
      </w:r>
      <w:r>
        <w:rPr>
          <w:i/>
          <w:iCs/>
          <w:lang w:val="en-GB"/>
        </w:rPr>
        <w:t>Tsuga</w:t>
      </w:r>
      <w:r>
        <w:rPr>
          <w:rFonts w:hint="eastAsia"/>
          <w:lang w:val="en-GB"/>
        </w:rPr>
        <w:t xml:space="preserve"> </w:t>
      </w:r>
      <w:r>
        <w:rPr>
          <w:rFonts w:hint="eastAsia"/>
          <w:lang w:val="en-US" w:eastAsia="zh-CN"/>
        </w:rPr>
        <w:t xml:space="preserve">pollens </w:t>
      </w:r>
      <w:r>
        <w:rPr>
          <w:rFonts w:hint="eastAsia"/>
          <w:lang w:val="en-GB"/>
        </w:rPr>
        <w:t xml:space="preserve">and </w:t>
      </w:r>
      <w:r>
        <w:rPr>
          <w:rFonts w:hint="eastAsia"/>
          <w:lang w:val="en-US" w:eastAsia="zh-CN"/>
        </w:rPr>
        <w:t xml:space="preserve">the </w:t>
      </w:r>
      <w:r>
        <w:rPr>
          <w:rFonts w:hint="eastAsia"/>
          <w:lang w:val="en-GB"/>
        </w:rPr>
        <w:t>abundant ferns species</w:t>
      </w:r>
      <w:r>
        <w:rPr>
          <w:rFonts w:hint="eastAsia"/>
          <w:lang w:val="en-US" w:eastAsia="zh-CN"/>
        </w:rPr>
        <w:t xml:space="preserve"> identified in this sample</w:t>
      </w:r>
      <w:r>
        <w:rPr>
          <w:rFonts w:hint="eastAsia"/>
          <w:lang w:val="en-GB"/>
        </w:rPr>
        <w:t xml:space="preserve">, </w:t>
      </w:r>
      <w:r>
        <w:rPr>
          <w:rFonts w:hint="eastAsia"/>
          <w:lang w:val="en-US" w:eastAsia="zh-CN"/>
        </w:rPr>
        <w:t xml:space="preserve">a WTFO biome appears more plausible, which would correspond to </w:t>
      </w:r>
      <w:r>
        <w:rPr>
          <w:lang w:val="en-GB"/>
        </w:rPr>
        <w:t>the most humid phase in the Bianfu cave sediment sequence.</w:t>
      </w:r>
    </w:p>
    <w:p w14:paraId="1C7681DC">
      <w:pPr>
        <w:ind w:firstLine="240"/>
        <w:jc w:val="both"/>
        <w:rPr>
          <w:lang w:val="en-GB"/>
        </w:rPr>
      </w:pPr>
      <w:r>
        <w:rPr>
          <w:rFonts w:hint="eastAsia"/>
          <w:lang w:val="en-GB"/>
        </w:rPr>
        <w:t xml:space="preserve">Layer </w:t>
      </w:r>
      <w:r>
        <w:rPr>
          <w:lang w:val="en-GB"/>
        </w:rPr>
        <w:t>5‌: The pollen assemblage</w:t>
      </w:r>
      <w:r>
        <w:rPr>
          <w:rFonts w:hint="eastAsia"/>
          <w:lang w:val="en-GB"/>
        </w:rPr>
        <w:t xml:space="preserve"> </w:t>
      </w:r>
      <w:r>
        <w:rPr>
          <w:rFonts w:hint="eastAsia"/>
          <w:lang w:val="en-US" w:eastAsia="zh-CN"/>
        </w:rPr>
        <w:t>is</w:t>
      </w:r>
      <w:r>
        <w:rPr>
          <w:rFonts w:hint="eastAsia"/>
          <w:lang w:val="en-GB"/>
        </w:rPr>
        <w:t xml:space="preserve"> also dominated by tree</w:t>
      </w:r>
      <w:r>
        <w:rPr>
          <w:rFonts w:hint="eastAsia"/>
          <w:lang w:val="en-US" w:eastAsia="zh-CN"/>
        </w:rPr>
        <w:t xml:space="preserve"> pollens</w:t>
      </w:r>
      <w:r>
        <w:rPr>
          <w:rFonts w:hint="eastAsia"/>
          <w:lang w:val="en-GB"/>
        </w:rPr>
        <w:t xml:space="preserve"> (80.4%) includ</w:t>
      </w:r>
      <w:r>
        <w:rPr>
          <w:rFonts w:hint="eastAsia"/>
          <w:lang w:val="en-US" w:eastAsia="zh-CN"/>
        </w:rPr>
        <w:t>ing</w:t>
      </w:r>
      <w:r>
        <w:rPr>
          <w:rFonts w:hint="eastAsia"/>
          <w:lang w:val="en-GB"/>
        </w:rPr>
        <w:t xml:space="preserve"> </w:t>
      </w:r>
      <w:r>
        <w:rPr>
          <w:i/>
          <w:iCs/>
          <w:lang w:val="en-GB"/>
        </w:rPr>
        <w:t>Pinus</w:t>
      </w:r>
      <w:r>
        <w:rPr>
          <w:lang w:val="en-GB"/>
        </w:rPr>
        <w:t xml:space="preserve"> (</w:t>
      </w:r>
      <w:r>
        <w:rPr>
          <w:rFonts w:hint="eastAsia"/>
          <w:lang w:val="en-GB"/>
        </w:rPr>
        <w:t>71.8</w:t>
      </w:r>
      <w:r>
        <w:rPr>
          <w:lang w:val="en-GB"/>
        </w:rPr>
        <w:t>%)</w:t>
      </w:r>
      <w:r>
        <w:rPr>
          <w:rFonts w:hint="eastAsia"/>
          <w:lang w:val="en-GB"/>
        </w:rPr>
        <w:t xml:space="preserve">, </w:t>
      </w:r>
      <w:r>
        <w:rPr>
          <w:i/>
          <w:iCs/>
          <w:lang w:val="en-GB"/>
        </w:rPr>
        <w:t>Abies</w:t>
      </w:r>
      <w:r>
        <w:rPr>
          <w:lang w:val="en-GB"/>
        </w:rPr>
        <w:t xml:space="preserve"> (</w:t>
      </w:r>
      <w:r>
        <w:rPr>
          <w:rFonts w:hint="eastAsia"/>
          <w:lang w:val="en-GB"/>
        </w:rPr>
        <w:t>1.1</w:t>
      </w:r>
      <w:r>
        <w:rPr>
          <w:lang w:val="en-GB"/>
        </w:rPr>
        <w:t>%)</w:t>
      </w:r>
      <w:r>
        <w:rPr>
          <w:rFonts w:hint="eastAsia"/>
          <w:lang w:val="en-GB"/>
        </w:rPr>
        <w:t xml:space="preserve">, </w:t>
      </w:r>
      <w:r>
        <w:rPr>
          <w:rFonts w:hint="eastAsia"/>
          <w:i/>
          <w:iCs/>
          <w:lang w:val="en-GB"/>
        </w:rPr>
        <w:t>Picea</w:t>
      </w:r>
      <w:r>
        <w:rPr>
          <w:rFonts w:hint="eastAsia"/>
          <w:lang w:val="en-GB"/>
        </w:rPr>
        <w:t xml:space="preserve"> (2.8%), </w:t>
      </w:r>
      <w:r>
        <w:rPr>
          <w:rFonts w:hint="eastAsia"/>
          <w:i/>
          <w:iCs/>
          <w:lang w:val="en-GB"/>
        </w:rPr>
        <w:t>Ulmus</w:t>
      </w:r>
      <w:r>
        <w:rPr>
          <w:rFonts w:hint="eastAsia"/>
          <w:lang w:val="en-GB"/>
        </w:rPr>
        <w:t xml:space="preserve"> (0.8%) and Platanaceae (1.1%). The</w:t>
      </w:r>
      <w:r>
        <w:rPr>
          <w:rFonts w:hint="eastAsia"/>
          <w:i/>
          <w:iCs/>
          <w:lang w:val="en-GB"/>
        </w:rPr>
        <w:t xml:space="preserve"> </w:t>
      </w:r>
      <w:r>
        <w:rPr>
          <w:rFonts w:hint="eastAsia"/>
          <w:i w:val="0"/>
          <w:iCs w:val="0"/>
          <w:lang w:val="en-US" w:eastAsia="zh-CN"/>
        </w:rPr>
        <w:t>proportion of</w:t>
      </w:r>
      <w:r>
        <w:rPr>
          <w:rFonts w:hint="eastAsia"/>
          <w:i/>
          <w:iCs/>
          <w:lang w:val="en-US" w:eastAsia="zh-CN"/>
        </w:rPr>
        <w:t xml:space="preserve"> </w:t>
      </w:r>
      <w:r>
        <w:rPr>
          <w:rFonts w:hint="eastAsia"/>
          <w:i/>
          <w:iCs/>
          <w:lang w:val="en-GB"/>
        </w:rPr>
        <w:t xml:space="preserve">Tsuga </w:t>
      </w:r>
      <w:r>
        <w:rPr>
          <w:rFonts w:hint="eastAsia"/>
          <w:i w:val="0"/>
          <w:iCs w:val="0"/>
          <w:lang w:val="en-US" w:eastAsia="zh-CN"/>
        </w:rPr>
        <w:t xml:space="preserve">pollens </w:t>
      </w:r>
      <w:r>
        <w:rPr>
          <w:rFonts w:hint="eastAsia"/>
          <w:lang w:val="en-GB"/>
        </w:rPr>
        <w:t>(1.1</w:t>
      </w:r>
      <w:r>
        <w:rPr>
          <w:lang w:val="en-GB"/>
        </w:rPr>
        <w:t>%</w:t>
      </w:r>
      <w:r>
        <w:rPr>
          <w:rFonts w:hint="eastAsia"/>
          <w:lang w:val="en-GB"/>
        </w:rPr>
        <w:t xml:space="preserve">) </w:t>
      </w:r>
      <w:r>
        <w:rPr>
          <w:rFonts w:hint="eastAsia"/>
          <w:lang w:val="en-US" w:eastAsia="zh-CN"/>
        </w:rPr>
        <w:t>decreases to level like that recorded for Layer 7</w:t>
      </w:r>
      <w:r>
        <w:rPr>
          <w:rFonts w:hint="eastAsia"/>
          <w:lang w:val="en-GB"/>
        </w:rPr>
        <w:t xml:space="preserve">. The </w:t>
      </w:r>
      <w:r>
        <w:rPr>
          <w:rFonts w:hint="eastAsia"/>
          <w:lang w:val="en-US" w:eastAsia="zh-CN"/>
        </w:rPr>
        <w:t xml:space="preserve">proportion of </w:t>
      </w:r>
      <w:r>
        <w:rPr>
          <w:rFonts w:hint="eastAsia"/>
          <w:lang w:val="en-GB"/>
        </w:rPr>
        <w:t>herb</w:t>
      </w:r>
      <w:r>
        <w:rPr>
          <w:rFonts w:hint="eastAsia"/>
          <w:lang w:val="en-US" w:eastAsia="zh-CN"/>
        </w:rPr>
        <w:t xml:space="preserve"> pollen</w:t>
      </w:r>
      <w:r>
        <w:rPr>
          <w:rFonts w:hint="eastAsia"/>
          <w:lang w:val="en-GB"/>
        </w:rPr>
        <w:t xml:space="preserve">s </w:t>
      </w:r>
      <w:r>
        <w:rPr>
          <w:lang w:val="en-GB"/>
        </w:rPr>
        <w:t>increase</w:t>
      </w:r>
      <w:r>
        <w:rPr>
          <w:rFonts w:hint="eastAsia"/>
          <w:lang w:val="en-US" w:eastAsia="zh-CN"/>
        </w:rPr>
        <w:t>s</w:t>
      </w:r>
      <w:r>
        <w:rPr>
          <w:rFonts w:hint="eastAsia"/>
          <w:lang w:val="en-GB"/>
        </w:rPr>
        <w:t xml:space="preserve"> </w:t>
      </w:r>
      <w:r>
        <w:rPr>
          <w:lang w:val="en-GB"/>
        </w:rPr>
        <w:t>slightly</w:t>
      </w:r>
      <w:r>
        <w:rPr>
          <w:rFonts w:hint="eastAsia"/>
          <w:lang w:val="en-GB"/>
        </w:rPr>
        <w:t xml:space="preserve"> while the ferns decrease </w:t>
      </w:r>
      <w:r>
        <w:rPr>
          <w:rFonts w:hint="eastAsia"/>
          <w:lang w:val="en-US" w:eastAsia="zh-CN"/>
        </w:rPr>
        <w:t>substantially compared to Layer 6</w:t>
      </w:r>
      <w:r>
        <w:rPr>
          <w:rFonts w:hint="eastAsia"/>
          <w:lang w:val="en-GB"/>
        </w:rPr>
        <w:t>. Th</w:t>
      </w:r>
      <w:r>
        <w:rPr>
          <w:rFonts w:hint="eastAsia"/>
          <w:lang w:val="en-US" w:eastAsia="zh-CN"/>
        </w:rPr>
        <w:t>is</w:t>
      </w:r>
      <w:r>
        <w:rPr>
          <w:rFonts w:hint="eastAsia"/>
          <w:lang w:val="en-GB"/>
        </w:rPr>
        <w:t xml:space="preserve"> </w:t>
      </w:r>
      <w:r>
        <w:rPr>
          <w:rFonts w:hint="eastAsia"/>
          <w:lang w:val="en-US" w:eastAsia="zh-CN"/>
        </w:rPr>
        <w:t xml:space="preserve">pattern suggests a </w:t>
      </w:r>
      <w:r>
        <w:rPr>
          <w:rFonts w:hint="eastAsia"/>
        </w:rPr>
        <w:t xml:space="preserve">dominant vegetation biome </w:t>
      </w:r>
      <w:r>
        <w:rPr>
          <w:rFonts w:hint="eastAsia"/>
          <w:lang w:val="en-US" w:eastAsia="zh-CN"/>
        </w:rPr>
        <w:t>characterised as</w:t>
      </w:r>
      <w:r>
        <w:rPr>
          <w:rFonts w:hint="eastAsia"/>
        </w:rPr>
        <w:t xml:space="preserve"> </w:t>
      </w:r>
      <w:r>
        <w:rPr>
          <w:lang w:val="en-GB"/>
        </w:rPr>
        <w:t>COMX</w:t>
      </w:r>
      <w:r>
        <w:rPr>
          <w:rFonts w:hint="eastAsia"/>
          <w:lang w:val="en-GB"/>
        </w:rPr>
        <w:t xml:space="preserve"> </w:t>
      </w:r>
      <w:r>
        <w:rPr>
          <w:rFonts w:hint="eastAsia"/>
          <w:lang w:val="en-US" w:eastAsia="zh-CN"/>
        </w:rPr>
        <w:t>for</w:t>
      </w:r>
      <w:r>
        <w:rPr>
          <w:rFonts w:hint="eastAsia"/>
          <w:lang w:val="en-GB"/>
        </w:rPr>
        <w:t xml:space="preserve"> this layer</w:t>
      </w:r>
      <w:r>
        <w:rPr>
          <w:rFonts w:hint="eastAsia"/>
          <w:lang w:val="en-US" w:eastAsia="zh-CN"/>
        </w:rPr>
        <w:t>, which indicates a decrease in humidity for the area surrounding the Bianfu Cave</w:t>
      </w:r>
      <w:r>
        <w:rPr>
          <w:rFonts w:hint="eastAsia"/>
          <w:lang w:val="en-GB"/>
        </w:rPr>
        <w:t xml:space="preserve">. </w:t>
      </w:r>
    </w:p>
    <w:p w14:paraId="16D06B53">
      <w:pPr>
        <w:ind w:firstLine="240"/>
        <w:jc w:val="both"/>
        <w:rPr>
          <w:rFonts w:hint="eastAsia"/>
          <w:lang w:val="en-US" w:eastAsia="zh-CN"/>
        </w:rPr>
      </w:pPr>
      <w:r>
        <w:rPr>
          <w:lang w:val="en-GB"/>
        </w:rPr>
        <w:t xml:space="preserve"> ‌Layers 4</w:t>
      </w:r>
      <w:r>
        <w:rPr>
          <w:rFonts w:hint="eastAsia"/>
          <w:lang w:val="en-GB"/>
        </w:rPr>
        <w:t xml:space="preserve">: </w:t>
      </w:r>
      <w:r>
        <w:rPr>
          <w:rFonts w:hint="eastAsia"/>
          <w:lang w:val="en-US" w:eastAsia="zh-CN"/>
        </w:rPr>
        <w:t>In this layer, we notice the concomitant decrease of t</w:t>
      </w:r>
      <w:r>
        <w:rPr>
          <w:rFonts w:hint="eastAsia"/>
          <w:lang w:val="en-GB"/>
        </w:rPr>
        <w:t>ree pollen</w:t>
      </w:r>
      <w:r>
        <w:rPr>
          <w:rFonts w:hint="eastAsia"/>
          <w:lang w:val="en-US" w:eastAsia="zh-CN"/>
        </w:rPr>
        <w:t>s</w:t>
      </w:r>
      <w:r>
        <w:rPr>
          <w:rFonts w:hint="eastAsia"/>
          <w:lang w:val="en-GB"/>
        </w:rPr>
        <w:t xml:space="preserve"> (62.3%) </w:t>
      </w:r>
      <w:r>
        <w:rPr>
          <w:rFonts w:hint="eastAsia"/>
          <w:lang w:val="en-US" w:eastAsia="zh-CN"/>
        </w:rPr>
        <w:t xml:space="preserve">and </w:t>
      </w:r>
      <w:r>
        <w:rPr>
          <w:rFonts w:hint="eastAsia"/>
          <w:lang w:val="en-GB"/>
        </w:rPr>
        <w:t xml:space="preserve">the </w:t>
      </w:r>
      <w:r>
        <w:rPr>
          <w:rFonts w:hint="eastAsia"/>
          <w:lang w:val="en-US" w:eastAsia="zh-CN"/>
        </w:rPr>
        <w:t xml:space="preserve">increase of </w:t>
      </w:r>
      <w:r>
        <w:rPr>
          <w:rFonts w:hint="eastAsia"/>
          <w:lang w:val="en-GB"/>
        </w:rPr>
        <w:t xml:space="preserve">shrub (6.2%) and herb (31.4%) </w:t>
      </w:r>
      <w:r>
        <w:rPr>
          <w:rFonts w:hint="eastAsia"/>
          <w:lang w:val="en-US" w:eastAsia="zh-CN"/>
        </w:rPr>
        <w:t>pollens</w:t>
      </w:r>
      <w:r>
        <w:rPr>
          <w:rFonts w:hint="eastAsia"/>
          <w:lang w:val="en-GB"/>
        </w:rPr>
        <w:t>. The tree pollen</w:t>
      </w:r>
      <w:r>
        <w:rPr>
          <w:rFonts w:hint="eastAsia"/>
          <w:lang w:val="en-US" w:eastAsia="zh-CN"/>
        </w:rPr>
        <w:t>s</w:t>
      </w:r>
      <w:r>
        <w:rPr>
          <w:rFonts w:hint="eastAsia"/>
          <w:lang w:val="en-GB"/>
        </w:rPr>
        <w:t xml:space="preserve"> are still dominated by </w:t>
      </w:r>
      <w:r>
        <w:rPr>
          <w:i/>
          <w:iCs/>
          <w:lang w:val="en-GB"/>
        </w:rPr>
        <w:t>Pinus</w:t>
      </w:r>
      <w:r>
        <w:rPr>
          <w:lang w:val="en-GB"/>
        </w:rPr>
        <w:t xml:space="preserve"> (</w:t>
      </w:r>
      <w:r>
        <w:rPr>
          <w:rFonts w:hint="eastAsia"/>
          <w:lang w:val="en-GB"/>
        </w:rPr>
        <w:t>49.9</w:t>
      </w:r>
      <w:r>
        <w:rPr>
          <w:lang w:val="en-GB"/>
        </w:rPr>
        <w:t>%)</w:t>
      </w:r>
      <w:r>
        <w:rPr>
          <w:rFonts w:hint="eastAsia"/>
          <w:lang w:val="en-GB"/>
        </w:rPr>
        <w:t xml:space="preserve">, </w:t>
      </w:r>
      <w:r>
        <w:rPr>
          <w:i/>
          <w:iCs/>
          <w:lang w:val="en-GB"/>
        </w:rPr>
        <w:t>Abies</w:t>
      </w:r>
      <w:r>
        <w:rPr>
          <w:lang w:val="en-GB"/>
        </w:rPr>
        <w:t xml:space="preserve"> (</w:t>
      </w:r>
      <w:r>
        <w:rPr>
          <w:rFonts w:hint="eastAsia"/>
          <w:lang w:val="en-GB"/>
        </w:rPr>
        <w:t>2.1</w:t>
      </w:r>
      <w:r>
        <w:rPr>
          <w:lang w:val="en-GB"/>
        </w:rPr>
        <w:t>%)</w:t>
      </w:r>
      <w:r>
        <w:rPr>
          <w:rFonts w:hint="eastAsia"/>
          <w:lang w:val="en-GB"/>
        </w:rPr>
        <w:t xml:space="preserve"> and </w:t>
      </w:r>
      <w:r>
        <w:rPr>
          <w:rFonts w:hint="eastAsia"/>
          <w:i/>
          <w:iCs/>
          <w:lang w:val="en-GB"/>
        </w:rPr>
        <w:t>Picea</w:t>
      </w:r>
      <w:r>
        <w:rPr>
          <w:rFonts w:hint="eastAsia"/>
          <w:lang w:val="en-GB"/>
        </w:rPr>
        <w:t xml:space="preserve"> (8.3%). </w:t>
      </w:r>
      <w:r>
        <w:rPr>
          <w:lang w:val="en-GB"/>
        </w:rPr>
        <w:t>Ericaceae</w:t>
      </w:r>
      <w:r>
        <w:rPr>
          <w:rFonts w:hint="eastAsia"/>
          <w:lang w:val="en-GB"/>
        </w:rPr>
        <w:t xml:space="preserve"> (4.4%), </w:t>
      </w:r>
      <w:r>
        <w:rPr>
          <w:lang w:val="en-GB"/>
        </w:rPr>
        <w:t>Asteraceae</w:t>
      </w:r>
      <w:r>
        <w:rPr>
          <w:rFonts w:hint="eastAsia"/>
          <w:lang w:val="en-GB"/>
        </w:rPr>
        <w:t xml:space="preserve"> (4.2%), </w:t>
      </w:r>
      <w:r>
        <w:rPr>
          <w:lang w:val="en-GB"/>
        </w:rPr>
        <w:t>Aster-type</w:t>
      </w:r>
      <w:r>
        <w:rPr>
          <w:rFonts w:hint="eastAsia"/>
          <w:lang w:val="en-GB"/>
        </w:rPr>
        <w:t xml:space="preserve"> (20.3%) and </w:t>
      </w:r>
      <w:r>
        <w:rPr>
          <w:lang w:val="en-GB"/>
        </w:rPr>
        <w:t>Caryophyllaceae</w:t>
      </w:r>
      <w:r>
        <w:rPr>
          <w:rFonts w:hint="eastAsia"/>
          <w:lang w:val="en-GB"/>
        </w:rPr>
        <w:t xml:space="preserve"> (2.3%) pollen</w:t>
      </w:r>
      <w:r>
        <w:rPr>
          <w:rFonts w:hint="eastAsia"/>
          <w:lang w:val="en-US" w:eastAsia="zh-CN"/>
        </w:rPr>
        <w:t>s</w:t>
      </w:r>
      <w:r>
        <w:rPr>
          <w:rFonts w:hint="eastAsia"/>
          <w:lang w:val="en-GB"/>
        </w:rPr>
        <w:t xml:space="preserve"> </w:t>
      </w:r>
      <w:r>
        <w:rPr>
          <w:rFonts w:hint="eastAsia"/>
          <w:lang w:val="en-US" w:eastAsia="zh-CN"/>
        </w:rPr>
        <w:t>are found in higher proportions</w:t>
      </w:r>
      <w:r>
        <w:rPr>
          <w:rFonts w:hint="eastAsia"/>
          <w:lang w:val="en-GB"/>
        </w:rPr>
        <w:t xml:space="preserve">. </w:t>
      </w:r>
      <w:r>
        <w:rPr>
          <w:rFonts w:hint="eastAsia"/>
          <w:lang w:val="en-US" w:eastAsia="zh-CN"/>
        </w:rPr>
        <w:t xml:space="preserve">As for the case of Layers 12, 8 and 7, Layer 4 appears to record cooling climatic conditions with a </w:t>
      </w:r>
      <w:r>
        <w:rPr>
          <w:rFonts w:hint="eastAsia"/>
        </w:rPr>
        <w:t xml:space="preserve">dominant vegetation biome </w:t>
      </w:r>
      <w:r>
        <w:rPr>
          <w:rFonts w:hint="eastAsia"/>
          <w:lang w:val="en-US" w:eastAsia="zh-CN"/>
        </w:rPr>
        <w:t>corresponding</w:t>
      </w:r>
      <w:r>
        <w:rPr>
          <w:rFonts w:hint="eastAsia"/>
        </w:rPr>
        <w:t xml:space="preserve"> to CLEC. </w:t>
      </w:r>
      <w:r>
        <w:rPr>
          <w:rFonts w:hint="eastAsia"/>
          <w:lang w:val="en-US" w:eastAsia="zh-CN"/>
        </w:rPr>
        <w:t xml:space="preserve"> </w:t>
      </w:r>
    </w:p>
    <w:p w14:paraId="52D673AD">
      <w:pPr>
        <w:ind w:firstLine="240"/>
        <w:jc w:val="both"/>
        <w:rPr>
          <w:lang w:val="en-GB"/>
        </w:rPr>
      </w:pPr>
      <w:r>
        <w:rPr>
          <w:rFonts w:hint="eastAsia"/>
          <w:lang w:val="en-GB"/>
        </w:rPr>
        <w:t>Layer</w:t>
      </w:r>
      <w:r>
        <w:rPr>
          <w:rFonts w:hint="eastAsia"/>
          <w:lang w:val="en-US" w:eastAsia="zh-CN"/>
        </w:rPr>
        <w:t xml:space="preserve"> </w:t>
      </w:r>
      <w:r>
        <w:rPr>
          <w:lang w:val="en-GB"/>
        </w:rPr>
        <w:t xml:space="preserve">3‌: The pollen assemblage </w:t>
      </w:r>
      <w:r>
        <w:rPr>
          <w:rFonts w:hint="eastAsia"/>
          <w:lang w:val="en-US" w:eastAsia="zh-CN"/>
        </w:rPr>
        <w:t>for this layer is</w:t>
      </w:r>
      <w:r>
        <w:rPr>
          <w:lang w:val="en-GB"/>
        </w:rPr>
        <w:t xml:space="preserve"> dominated by </w:t>
      </w:r>
      <w:r>
        <w:rPr>
          <w:i/>
          <w:iCs/>
          <w:lang w:val="en-GB"/>
        </w:rPr>
        <w:t>Pinus</w:t>
      </w:r>
      <w:r>
        <w:rPr>
          <w:rFonts w:hint="eastAsia"/>
          <w:i/>
          <w:iCs/>
          <w:lang w:val="en-GB"/>
        </w:rPr>
        <w:t xml:space="preserve"> </w:t>
      </w:r>
      <w:r>
        <w:rPr>
          <w:rFonts w:hint="eastAsia"/>
          <w:lang w:val="en-GB"/>
        </w:rPr>
        <w:t>(38.8%)</w:t>
      </w:r>
      <w:r>
        <w:rPr>
          <w:lang w:val="en-GB"/>
        </w:rPr>
        <w:t xml:space="preserve">, </w:t>
      </w:r>
      <w:r>
        <w:rPr>
          <w:i/>
          <w:iCs/>
          <w:lang w:val="en-GB"/>
        </w:rPr>
        <w:t>Picea</w:t>
      </w:r>
      <w:r>
        <w:rPr>
          <w:rFonts w:hint="eastAsia"/>
          <w:i/>
          <w:iCs/>
          <w:lang w:val="en-GB"/>
        </w:rPr>
        <w:t xml:space="preserve"> </w:t>
      </w:r>
      <w:r>
        <w:rPr>
          <w:rFonts w:hint="eastAsia"/>
          <w:lang w:val="en-GB"/>
        </w:rPr>
        <w:t>(1.4%)</w:t>
      </w:r>
      <w:r>
        <w:rPr>
          <w:lang w:val="en-GB"/>
        </w:rPr>
        <w:t xml:space="preserve">, </w:t>
      </w:r>
      <w:r>
        <w:rPr>
          <w:rFonts w:hint="eastAsia"/>
          <w:lang w:val="en-GB"/>
        </w:rPr>
        <w:t xml:space="preserve">evergreen Quercus (3.5%), </w:t>
      </w:r>
      <w:r>
        <w:rPr>
          <w:i/>
          <w:iCs/>
          <w:lang w:val="en-GB"/>
        </w:rPr>
        <w:t>Taraxacum</w:t>
      </w:r>
      <w:r>
        <w:rPr>
          <w:lang w:val="en-GB"/>
        </w:rPr>
        <w:t>-type</w:t>
      </w:r>
      <w:r>
        <w:rPr>
          <w:rFonts w:hint="eastAsia"/>
          <w:lang w:val="en-GB"/>
        </w:rPr>
        <w:t xml:space="preserve"> (6.5%)</w:t>
      </w:r>
      <w:r>
        <w:rPr>
          <w:lang w:val="en-GB"/>
        </w:rPr>
        <w:t xml:space="preserve"> and </w:t>
      </w:r>
      <w:r>
        <w:rPr>
          <w:i/>
          <w:iCs/>
          <w:lang w:val="en-GB"/>
        </w:rPr>
        <w:t>Aster</w:t>
      </w:r>
      <w:r>
        <w:rPr>
          <w:lang w:val="en-GB"/>
        </w:rPr>
        <w:t>-type</w:t>
      </w:r>
      <w:r>
        <w:rPr>
          <w:rFonts w:hint="eastAsia"/>
          <w:lang w:val="en-GB"/>
        </w:rPr>
        <w:t xml:space="preserve"> (32.2%). The </w:t>
      </w:r>
      <w:r>
        <w:rPr>
          <w:rFonts w:hint="eastAsia"/>
          <w:lang w:val="en-US" w:eastAsia="zh-CN"/>
        </w:rPr>
        <w:t xml:space="preserve">proportion of </w:t>
      </w:r>
      <w:r>
        <w:rPr>
          <w:rFonts w:hint="eastAsia"/>
          <w:lang w:val="en-GB"/>
        </w:rPr>
        <w:t>herb pollen</w:t>
      </w:r>
      <w:r>
        <w:rPr>
          <w:rFonts w:hint="eastAsia"/>
          <w:lang w:val="en-US" w:eastAsia="zh-CN"/>
        </w:rPr>
        <w:t>s</w:t>
      </w:r>
      <w:r>
        <w:rPr>
          <w:rFonts w:hint="eastAsia"/>
          <w:lang w:val="en-GB"/>
        </w:rPr>
        <w:t xml:space="preserve"> (52.8%) exceeds </w:t>
      </w:r>
      <w:r>
        <w:rPr>
          <w:rFonts w:hint="eastAsia"/>
          <w:lang w:val="en-US" w:eastAsia="zh-CN"/>
        </w:rPr>
        <w:t xml:space="preserve">that recorded for </w:t>
      </w:r>
      <w:r>
        <w:rPr>
          <w:rFonts w:hint="eastAsia"/>
          <w:lang w:val="en-GB"/>
        </w:rPr>
        <w:t xml:space="preserve">tree </w:t>
      </w:r>
      <w:r>
        <w:rPr>
          <w:rFonts w:hint="eastAsia"/>
          <w:lang w:val="en-US" w:eastAsia="zh-CN"/>
        </w:rPr>
        <w:t>species</w:t>
      </w:r>
      <w:r>
        <w:rPr>
          <w:rFonts w:hint="eastAsia"/>
          <w:lang w:val="en-GB"/>
        </w:rPr>
        <w:t xml:space="preserve"> (45.8%). </w:t>
      </w:r>
      <w:r>
        <w:rPr>
          <w:rFonts w:hint="eastAsia"/>
          <w:lang w:val="en-US" w:eastAsia="zh-CN"/>
        </w:rPr>
        <w:t>Together, this change in vegetation cover conforms to a</w:t>
      </w:r>
      <w:r>
        <w:rPr>
          <w:rFonts w:hint="eastAsia"/>
          <w:lang w:val="en-GB"/>
        </w:rPr>
        <w:t xml:space="preserve"> </w:t>
      </w:r>
      <w:r>
        <w:rPr>
          <w:rFonts w:hint="eastAsia"/>
        </w:rPr>
        <w:t xml:space="preserve">dominant vegetation biome </w:t>
      </w:r>
      <w:r>
        <w:rPr>
          <w:rFonts w:hint="eastAsia"/>
          <w:lang w:val="en-US" w:eastAsia="zh-CN"/>
        </w:rPr>
        <w:t>typical of</w:t>
      </w:r>
      <w:r>
        <w:rPr>
          <w:rFonts w:hint="eastAsia"/>
        </w:rPr>
        <w:t xml:space="preserve"> </w:t>
      </w:r>
      <w:r>
        <w:rPr>
          <w:rFonts w:hint="eastAsia"/>
          <w:lang w:val="en-US" w:eastAsia="zh-CN"/>
        </w:rPr>
        <w:t>c</w:t>
      </w:r>
      <w:r>
        <w:t xml:space="preserve">ool-temperate steppe </w:t>
      </w:r>
      <w:r>
        <w:rPr>
          <w:rFonts w:hint="eastAsia"/>
        </w:rPr>
        <w:t>(</w:t>
      </w:r>
      <w:r>
        <w:t>STEP</w:t>
      </w:r>
      <w:r>
        <w:rPr>
          <w:rFonts w:hint="eastAsia"/>
        </w:rPr>
        <w:t xml:space="preserve">) </w:t>
      </w:r>
      <w:r>
        <w:rPr>
          <w:rFonts w:hint="eastAsia"/>
          <w:lang w:val="en-US" w:eastAsia="zh-CN"/>
        </w:rPr>
        <w:t xml:space="preserve">and a </w:t>
      </w:r>
      <w:r>
        <w:rPr>
          <w:rFonts w:hint="eastAsia"/>
        </w:rPr>
        <w:t>second</w:t>
      </w:r>
      <w:r>
        <w:rPr>
          <w:rFonts w:hint="eastAsia"/>
          <w:lang w:val="en-US" w:eastAsia="zh-CN"/>
        </w:rPr>
        <w:t>ary</w:t>
      </w:r>
      <w:r>
        <w:rPr>
          <w:rFonts w:hint="eastAsia"/>
        </w:rPr>
        <w:t xml:space="preserve"> vegetation biome </w:t>
      </w:r>
      <w:r>
        <w:rPr>
          <w:rFonts w:hint="eastAsia"/>
          <w:lang w:val="en-US" w:eastAsia="zh-CN"/>
        </w:rPr>
        <w:t>typical of</w:t>
      </w:r>
      <w:r>
        <w:rPr>
          <w:rFonts w:hint="eastAsia"/>
        </w:rPr>
        <w:t xml:space="preserve"> </w:t>
      </w:r>
      <w:r>
        <w:rPr>
          <w:rFonts w:hint="eastAsia"/>
          <w:lang w:val="en-US" w:eastAsia="zh-CN"/>
        </w:rPr>
        <w:t>c</w:t>
      </w:r>
      <w:r>
        <w:t>ool-temperate forest steppe</w:t>
      </w:r>
      <w:r>
        <w:rPr>
          <w:rFonts w:hint="eastAsia"/>
        </w:rPr>
        <w:t xml:space="preserve"> (TEFS). </w:t>
      </w:r>
      <w:r>
        <w:t>It is likely that topographic variations in the vicinity of Bianfu cave allowed for the coexistence of both biomes, which imply cooler and drier climatic conditions compared to</w:t>
      </w:r>
      <w:r>
        <w:rPr>
          <w:rFonts w:hint="eastAsia"/>
          <w:lang w:val="en-GB"/>
        </w:rPr>
        <w:t xml:space="preserve"> </w:t>
      </w:r>
      <w:r>
        <w:rPr>
          <w:rFonts w:hint="eastAsia"/>
          <w:lang w:val="en-US" w:eastAsia="zh-CN"/>
        </w:rPr>
        <w:t xml:space="preserve">the </w:t>
      </w:r>
      <w:r>
        <w:rPr>
          <w:rFonts w:hint="eastAsia"/>
          <w:lang w:val="en-GB"/>
        </w:rPr>
        <w:t>previous</w:t>
      </w:r>
      <w:r>
        <w:rPr>
          <w:lang w:val="en-GB"/>
        </w:rPr>
        <w:t xml:space="preserve"> layer</w:t>
      </w:r>
      <w:r>
        <w:rPr>
          <w:rFonts w:hint="eastAsia"/>
          <w:lang w:val="en-GB"/>
        </w:rPr>
        <w:t>s</w:t>
      </w:r>
      <w:r>
        <w:rPr>
          <w:lang w:val="en-GB"/>
        </w:rPr>
        <w:t>.</w:t>
      </w:r>
    </w:p>
    <w:p w14:paraId="6B097062">
      <w:pPr>
        <w:ind w:firstLine="240"/>
        <w:jc w:val="both"/>
      </w:pPr>
      <w:r>
        <w:rPr>
          <w:rFonts w:hint="eastAsia"/>
          <w:lang w:val="en-GB"/>
        </w:rPr>
        <w:t xml:space="preserve">Overall, the </w:t>
      </w:r>
      <w:r>
        <w:rPr>
          <w:i/>
          <w:iCs/>
          <w:lang w:val="en-GB"/>
        </w:rPr>
        <w:t>Pinus</w:t>
      </w:r>
      <w:r>
        <w:rPr>
          <w:rFonts w:hint="eastAsia"/>
          <w:lang w:val="en-GB"/>
        </w:rPr>
        <w:t xml:space="preserve">, </w:t>
      </w:r>
      <w:r>
        <w:rPr>
          <w:i/>
          <w:iCs/>
          <w:lang w:val="en-GB"/>
        </w:rPr>
        <w:t>Abies</w:t>
      </w:r>
      <w:r>
        <w:rPr>
          <w:rFonts w:hint="eastAsia"/>
          <w:lang w:val="en-GB"/>
        </w:rPr>
        <w:t xml:space="preserve">, </w:t>
      </w:r>
      <w:r>
        <w:rPr>
          <w:rFonts w:hint="eastAsia"/>
          <w:i/>
          <w:iCs/>
          <w:lang w:val="en-GB"/>
        </w:rPr>
        <w:t>Picea</w:t>
      </w:r>
      <w:r>
        <w:rPr>
          <w:rFonts w:hint="eastAsia"/>
          <w:lang w:val="en-GB"/>
        </w:rPr>
        <w:t xml:space="preserve"> and </w:t>
      </w:r>
      <w:r>
        <w:rPr>
          <w:rFonts w:hint="eastAsia"/>
          <w:i/>
          <w:iCs/>
          <w:lang w:val="en-GB"/>
        </w:rPr>
        <w:t xml:space="preserve">Tsuga </w:t>
      </w:r>
      <w:r>
        <w:rPr>
          <w:rFonts w:hint="eastAsia"/>
          <w:lang w:val="en-GB"/>
        </w:rPr>
        <w:t xml:space="preserve">pollen taxa appear in every </w:t>
      </w:r>
      <w:r>
        <w:rPr>
          <w:lang w:val="en-GB"/>
        </w:rPr>
        <w:t>layer</w:t>
      </w:r>
      <w:r>
        <w:rPr>
          <w:rFonts w:hint="eastAsia"/>
          <w:lang w:val="en-GB"/>
        </w:rPr>
        <w:t xml:space="preserve"> except layer 15. In the seven cultural layers (12, 8, 7, 6, 5, 4, 3), four of them (layers 12, 8, 7, 4) dominated by </w:t>
      </w:r>
      <w:r>
        <w:rPr>
          <w:rFonts w:hint="eastAsia"/>
        </w:rPr>
        <w:t xml:space="preserve">CLEC biome. CLEC is also the second vegetation biome in layers 6 and 5. These records indicate that the landscape </w:t>
      </w:r>
      <w:r>
        <w:t>around</w:t>
      </w:r>
      <w:r>
        <w:rPr>
          <w:rFonts w:hint="eastAsia"/>
        </w:rPr>
        <w:t xml:space="preserve"> the cave was mostly CLEC during the period when hominin inhabitation. </w:t>
      </w:r>
    </w:p>
    <w:p w14:paraId="74A8208F">
      <w:pPr>
        <w:ind w:firstLine="240"/>
        <w:jc w:val="both"/>
      </w:pPr>
      <w:r>
        <w:t>The vegetation reconstruction</w:t>
      </w:r>
      <w:r>
        <w:rPr>
          <w:rFonts w:hint="eastAsia"/>
          <w:lang w:val="en-US" w:eastAsia="zh-CN"/>
        </w:rPr>
        <w:t>s</w:t>
      </w:r>
      <w:r>
        <w:t xml:space="preserve"> </w:t>
      </w:r>
      <w:r>
        <w:rPr>
          <w:rFonts w:hint="eastAsia"/>
          <w:lang w:val="en-US" w:eastAsia="zh-CN"/>
        </w:rPr>
        <w:t>at</w:t>
      </w:r>
      <w:r>
        <w:t xml:space="preserve"> the Bianfu Cave are consistent with other pollen records in the Heqing Basin. The pollen records from Heqing core indicate that the </w:t>
      </w:r>
      <w:r>
        <w:rPr>
          <w:i/>
          <w:iCs/>
        </w:rPr>
        <w:t>Pinus</w:t>
      </w:r>
      <w:r>
        <w:t xml:space="preserve"> forest </w:t>
      </w:r>
      <w:r>
        <w:rPr>
          <w:rFonts w:hint="eastAsia"/>
          <w:lang w:val="en-US" w:eastAsia="zh-CN"/>
        </w:rPr>
        <w:t>was present</w:t>
      </w:r>
      <w:r>
        <w:t xml:space="preserve"> in low altitude areas since 2.78 Ma</w:t>
      </w:r>
      <w:r>
        <w:rPr>
          <w:rFonts w:hint="eastAsia"/>
          <w:vertAlign w:val="superscript"/>
          <w:lang w:val="en-US" w:eastAsia="zh-CN"/>
        </w:rPr>
        <w:t>24</w:t>
      </w:r>
      <w:r>
        <w:t xml:space="preserve">. It also suggests that the </w:t>
      </w:r>
      <w:r>
        <w:rPr>
          <w:i/>
          <w:iCs/>
        </w:rPr>
        <w:t>Pinus</w:t>
      </w:r>
      <w:r>
        <w:t xml:space="preserve"> forest and evergreen broad-leaved forest are the main vegetation landscape of the mountain area for most of the time since ca.</w:t>
      </w:r>
      <w:r>
        <w:rPr>
          <w:rFonts w:hint="eastAsia"/>
          <w:lang w:val="en-US" w:eastAsia="zh-CN"/>
        </w:rPr>
        <w:t xml:space="preserve"> </w:t>
      </w:r>
      <w:r>
        <w:t>252 ka</w:t>
      </w:r>
      <w:r>
        <w:rPr>
          <w:rFonts w:hint="eastAsia"/>
          <w:vertAlign w:val="superscript"/>
          <w:lang w:val="en-US" w:eastAsia="zh-CN"/>
        </w:rPr>
        <w:t>24</w:t>
      </w:r>
      <w:r>
        <w:t xml:space="preserve">. High </w:t>
      </w:r>
      <w:r>
        <w:rPr>
          <w:i/>
          <w:iCs/>
        </w:rPr>
        <w:t xml:space="preserve">Tsuga </w:t>
      </w:r>
      <w:r>
        <w:t>pollen appeared in the warm, interglacial period in the area</w:t>
      </w:r>
      <w:r>
        <w:rPr>
          <w:rFonts w:hint="eastAsia"/>
          <w:vertAlign w:val="superscript"/>
          <w:lang w:val="en-US" w:eastAsia="zh-CN"/>
        </w:rPr>
        <w:t>25</w:t>
      </w:r>
      <w:r>
        <w:t xml:space="preserve">. These results support our observation in the pollen records from Bianfu </w:t>
      </w:r>
      <w:r>
        <w:rPr>
          <w:rFonts w:hint="eastAsia"/>
        </w:rPr>
        <w:t>C</w:t>
      </w:r>
      <w:r>
        <w:t xml:space="preserve">ave that the vegetation </w:t>
      </w:r>
      <w:r>
        <w:rPr>
          <w:rFonts w:hint="eastAsia"/>
          <w:lang w:val="en-US" w:eastAsia="zh-CN"/>
        </w:rPr>
        <w:t>was</w:t>
      </w:r>
      <w:r>
        <w:t xml:space="preserve"> dominated by conifer forest from layer</w:t>
      </w:r>
      <w:r>
        <w:rPr>
          <w:rFonts w:hint="eastAsia"/>
          <w:lang w:val="en-US" w:eastAsia="zh-CN"/>
        </w:rPr>
        <w:t>s</w:t>
      </w:r>
      <w:r>
        <w:t xml:space="preserve"> 12 to 3, and </w:t>
      </w:r>
      <w:r>
        <w:rPr>
          <w:rFonts w:hint="eastAsia"/>
          <w:lang w:val="en-US" w:eastAsia="zh-CN"/>
        </w:rPr>
        <w:t>that</w:t>
      </w:r>
      <w:r>
        <w:t xml:space="preserve"> layer 6 </w:t>
      </w:r>
      <w:r>
        <w:rPr>
          <w:rFonts w:hint="eastAsia"/>
          <w:lang w:val="en-US" w:eastAsia="zh-CN"/>
        </w:rPr>
        <w:t>would likely reflect vegetational changes associated with</w:t>
      </w:r>
      <w:r>
        <w:t xml:space="preserve"> an interglacial period.</w:t>
      </w:r>
    </w:p>
    <w:p w14:paraId="5D6AD721">
      <w:pPr>
        <w:pStyle w:val="2"/>
      </w:pPr>
    </w:p>
    <w:p w14:paraId="74D4B254">
      <w:pPr>
        <w:pStyle w:val="2"/>
      </w:pPr>
    </w:p>
    <w:p w14:paraId="3BC36977">
      <w:pPr>
        <w:pStyle w:val="2"/>
      </w:pPr>
    </w:p>
    <w:p w14:paraId="6001A870">
      <w:pPr>
        <w:pStyle w:val="2"/>
      </w:pPr>
    </w:p>
    <w:p w14:paraId="5C08E5AE">
      <w:pPr>
        <w:pStyle w:val="2"/>
      </w:pPr>
    </w:p>
    <w:p w14:paraId="6CA9B3F4">
      <w:pPr>
        <w:pStyle w:val="2"/>
      </w:pPr>
    </w:p>
    <w:p w14:paraId="032D05C4">
      <w:pPr>
        <w:pStyle w:val="2"/>
      </w:pPr>
    </w:p>
    <w:p w14:paraId="58CBDB2F">
      <w:pPr>
        <w:pStyle w:val="2"/>
      </w:pPr>
    </w:p>
    <w:p w14:paraId="430E3E94">
      <w:pPr>
        <w:pStyle w:val="2"/>
      </w:pPr>
    </w:p>
    <w:p w14:paraId="05DFB6E9">
      <w:pPr>
        <w:pStyle w:val="2"/>
      </w:pPr>
    </w:p>
    <w:p w14:paraId="4A37E81B">
      <w:pPr>
        <w:pStyle w:val="2"/>
      </w:pPr>
    </w:p>
    <w:p w14:paraId="313CD3F0">
      <w:pPr>
        <w:pStyle w:val="2"/>
      </w:pPr>
    </w:p>
    <w:p w14:paraId="79E47904">
      <w:pPr>
        <w:pStyle w:val="2"/>
      </w:pPr>
    </w:p>
    <w:p w14:paraId="78D72338">
      <w:pPr>
        <w:bidi w:val="0"/>
      </w:pPr>
    </w:p>
    <w:p w14:paraId="4C481930">
      <w:pPr>
        <w:bidi w:val="0"/>
      </w:pPr>
    </w:p>
    <w:p w14:paraId="10339653">
      <w:pPr>
        <w:bidi w:val="0"/>
      </w:pPr>
    </w:p>
    <w:p w14:paraId="18726122">
      <w:pPr>
        <w:bidi w:val="0"/>
      </w:pPr>
    </w:p>
    <w:p w14:paraId="0579A7AC">
      <w:pPr>
        <w:bidi w:val="0"/>
        <w:ind w:left="0" w:leftChars="0" w:firstLine="0" w:firstLineChars="0"/>
        <w:rPr>
          <w:b/>
          <w:bCs/>
          <w:sz w:val="28"/>
          <w:szCs w:val="28"/>
        </w:rPr>
      </w:pPr>
      <w:r>
        <w:rPr>
          <w:b/>
          <w:bCs/>
          <w:sz w:val="28"/>
          <w:szCs w:val="28"/>
        </w:rPr>
        <w:t xml:space="preserve">Supplementary Information </w:t>
      </w:r>
      <w:r>
        <w:rPr>
          <w:rFonts w:hint="eastAsia"/>
          <w:b/>
          <w:bCs/>
          <w:sz w:val="28"/>
          <w:szCs w:val="28"/>
          <w:lang w:val="en-US" w:eastAsia="zh-CN"/>
        </w:rPr>
        <w:t>D</w:t>
      </w:r>
      <w:r>
        <w:rPr>
          <w:b/>
          <w:bCs/>
          <w:sz w:val="28"/>
          <w:szCs w:val="28"/>
        </w:rPr>
        <w:t xml:space="preserve">: </w:t>
      </w:r>
      <w:r>
        <w:rPr>
          <w:rFonts w:hint="eastAsia"/>
          <w:b/>
          <w:bCs/>
          <w:sz w:val="28"/>
          <w:szCs w:val="28"/>
        </w:rPr>
        <w:t>Hominin Fossils</w:t>
      </w:r>
      <w:bookmarkEnd w:id="4"/>
    </w:p>
    <w:p w14:paraId="27222AE2">
      <w:pPr>
        <w:pStyle w:val="3"/>
      </w:pPr>
      <w:r>
        <w:t xml:space="preserve">Morphological description and comparisons </w:t>
      </w:r>
    </w:p>
    <w:p w14:paraId="1D30E91E">
      <w:pPr>
        <w:pStyle w:val="4"/>
        <w:ind w:firstLine="240" w:firstLineChars="100"/>
        <w:jc w:val="both"/>
        <w:rPr>
          <w:rFonts w:hint="default" w:eastAsia="宋体"/>
          <w:i w:val="0"/>
          <w:iCs w:val="0"/>
          <w:u w:val="none"/>
          <w:lang w:val="en-US" w:eastAsia="zh-CN"/>
        </w:rPr>
      </w:pPr>
      <w:r>
        <w:rPr>
          <w:rFonts w:hint="eastAsia"/>
          <w:i w:val="0"/>
          <w:iCs w:val="0"/>
          <w:u w:val="none"/>
          <w:lang w:val="en-US" w:eastAsia="zh-CN"/>
        </w:rPr>
        <w:t>All seven hominin specimens can be assigned to specific excavation pits. Specifically, six were recovered from spit 2 of Layer 7: one premolar (P</w:t>
      </w:r>
      <w:r>
        <w:rPr>
          <w:rFonts w:hint="eastAsia"/>
          <w:i w:val="0"/>
          <w:iCs w:val="0"/>
          <w:u w:val="none"/>
          <w:vertAlign w:val="subscript"/>
          <w:lang w:val="en-US" w:eastAsia="zh-CN"/>
        </w:rPr>
        <w:t>4</w:t>
      </w:r>
      <w:r>
        <w:rPr>
          <w:rFonts w:hint="eastAsia"/>
          <w:i w:val="0"/>
          <w:iCs w:val="0"/>
          <w:u w:val="none"/>
          <w:lang w:val="en-US" w:eastAsia="zh-CN"/>
        </w:rPr>
        <w:t>) from square 13, one incisor (I</w:t>
      </w:r>
      <w:r>
        <w:rPr>
          <w:rFonts w:hint="eastAsia"/>
          <w:i w:val="0"/>
          <w:iCs w:val="0"/>
          <w:u w:val="none"/>
          <w:vertAlign w:val="subscript"/>
          <w:lang w:val="en-US" w:eastAsia="zh-CN"/>
        </w:rPr>
        <w:t>2</w:t>
      </w:r>
      <w:r>
        <w:rPr>
          <w:rFonts w:hint="eastAsia"/>
          <w:i w:val="0"/>
          <w:iCs w:val="0"/>
          <w:u w:val="none"/>
          <w:lang w:val="en-US" w:eastAsia="zh-CN"/>
        </w:rPr>
        <w:t>) from square 1, two molars (M</w:t>
      </w:r>
      <w:r>
        <w:rPr>
          <w:rFonts w:hint="eastAsia"/>
          <w:i w:val="0"/>
          <w:iCs w:val="0"/>
          <w:u w:val="none"/>
          <w:vertAlign w:val="subscript"/>
          <w:lang w:val="en-US" w:eastAsia="zh-CN"/>
        </w:rPr>
        <w:t>2</w:t>
      </w:r>
      <w:r>
        <w:rPr>
          <w:rFonts w:hint="eastAsia"/>
          <w:i w:val="0"/>
          <w:iCs w:val="0"/>
          <w:u w:val="none"/>
          <w:lang w:val="en-US" w:eastAsia="zh-CN"/>
        </w:rPr>
        <w:t xml:space="preserve">) from square 13 and square 8, respectively, one fragmentary parietal bone from square 8, and one fragmentary radius from square 10. Additionally, one fragmentary parietal bone was recovered from spit 2 of Layer 9 in square 8. </w:t>
      </w:r>
      <w:r>
        <w:rPr>
          <w:i w:val="0"/>
          <w:iCs w:val="0"/>
          <w:u w:val="none"/>
          <w:lang w:val="en-US"/>
        </w:rPr>
        <w:t xml:space="preserve">The teeth from Bianfu Cave were mainly described here and compared with East Asian/Southeast Asian </w:t>
      </w:r>
      <w:r>
        <w:rPr>
          <w:iCs w:val="0"/>
          <w:u w:val="none"/>
          <w:lang w:val="en-US"/>
        </w:rPr>
        <w:t>Homo erectus</w:t>
      </w:r>
      <w:r>
        <w:rPr>
          <w:i w:val="0"/>
          <w:iCs w:val="0"/>
          <w:u w:val="none"/>
          <w:lang w:val="en-US"/>
        </w:rPr>
        <w:t xml:space="preserve">, East Asian late Middle Pleistocene </w:t>
      </w:r>
      <w:r>
        <w:rPr>
          <w:iCs w:val="0"/>
          <w:u w:val="none"/>
          <w:lang w:val="en-US"/>
        </w:rPr>
        <w:t>Homo</w:t>
      </w:r>
      <w:r>
        <w:rPr>
          <w:i w:val="0"/>
          <w:iCs w:val="0"/>
          <w:u w:val="none"/>
          <w:lang w:val="en-US"/>
        </w:rPr>
        <w:t xml:space="preserve">, </w:t>
      </w:r>
      <w:r>
        <w:rPr>
          <w:iCs w:val="0"/>
          <w:u w:val="none"/>
          <w:lang w:val="en-US"/>
        </w:rPr>
        <w:t>H</w:t>
      </w:r>
      <w:r>
        <w:rPr>
          <w:rFonts w:hint="eastAsia"/>
          <w:iCs w:val="0"/>
          <w:u w:val="none"/>
          <w:lang w:val="en-US" w:eastAsia="zh-CN"/>
        </w:rPr>
        <w:t>omo</w:t>
      </w:r>
      <w:r>
        <w:rPr>
          <w:iCs w:val="0"/>
          <w:u w:val="none"/>
          <w:lang w:val="en-US"/>
        </w:rPr>
        <w:t xml:space="preserve"> heidelbergensis</w:t>
      </w:r>
      <w:r>
        <w:rPr>
          <w:i w:val="0"/>
          <w:iCs w:val="0"/>
          <w:u w:val="none"/>
          <w:lang w:val="en-US"/>
        </w:rPr>
        <w:t xml:space="preserve">, early and late Neanderthals, and fossil/recent </w:t>
      </w:r>
      <w:r>
        <w:rPr>
          <w:iCs w:val="0"/>
          <w:u w:val="none"/>
          <w:lang w:val="en-US"/>
        </w:rPr>
        <w:t>Homo sapiens</w:t>
      </w:r>
      <w:r>
        <w:rPr>
          <w:i w:val="0"/>
          <w:iCs w:val="0"/>
          <w:u w:val="none"/>
          <w:lang w:val="en-US"/>
        </w:rPr>
        <w:t xml:space="preserve"> (</w:t>
      </w:r>
      <w:r>
        <w:rPr>
          <w:rFonts w:hint="eastAsia" w:ascii="Times New Roman" w:hAnsi="Times New Roman" w:eastAsia="宋体" w:cs="Times New Roman"/>
          <w:i w:val="0"/>
          <w:iCs w:val="0"/>
          <w:color w:val="0000FF"/>
          <w:kern w:val="0"/>
          <w:sz w:val="24"/>
          <w:szCs w:val="24"/>
          <w:u w:val="none"/>
          <w:lang w:val="en-US" w:eastAsia="zh-CN" w:bidi="ar-SA"/>
        </w:rPr>
        <w:t>Extended Data Fig</w:t>
      </w:r>
      <w:r>
        <w:rPr>
          <w:rFonts w:hint="eastAsia" w:cs="Times New Roman"/>
          <w:i w:val="0"/>
          <w:iCs w:val="0"/>
          <w:color w:val="0000FF"/>
          <w:kern w:val="0"/>
          <w:sz w:val="24"/>
          <w:szCs w:val="24"/>
          <w:u w:val="none"/>
          <w:lang w:val="en-US" w:eastAsia="zh-CN" w:bidi="ar-SA"/>
        </w:rPr>
        <w:t>s</w:t>
      </w:r>
      <w:r>
        <w:rPr>
          <w:rFonts w:hint="eastAsia" w:ascii="Times New Roman" w:hAnsi="Times New Roman" w:eastAsia="宋体" w:cs="Times New Roman"/>
          <w:i w:val="0"/>
          <w:iCs w:val="0"/>
          <w:color w:val="0000FF"/>
          <w:kern w:val="0"/>
          <w:sz w:val="24"/>
          <w:szCs w:val="24"/>
          <w:u w:val="none"/>
          <w:lang w:val="en-US" w:eastAsia="zh-CN" w:bidi="ar-SA"/>
        </w:rPr>
        <w:t xml:space="preserve">. 5-7; </w:t>
      </w:r>
      <w:r>
        <w:rPr>
          <w:rFonts w:hint="eastAsia" w:cs="Times New Roman"/>
          <w:i w:val="0"/>
          <w:iCs w:val="0"/>
          <w:color w:val="0000FF"/>
          <w:kern w:val="0"/>
          <w:sz w:val="24"/>
          <w:szCs w:val="24"/>
          <w:u w:val="none"/>
          <w:lang w:val="en-US" w:eastAsia="zh-CN" w:bidi="ar-SA"/>
        </w:rPr>
        <w:t>Supplementary Figs.</w:t>
      </w:r>
      <w:r>
        <w:rPr>
          <w:rFonts w:hint="eastAsia" w:ascii="Times New Roman" w:hAnsi="Times New Roman" w:eastAsia="宋体" w:cs="Times New Roman"/>
          <w:i w:val="0"/>
          <w:iCs w:val="0"/>
          <w:color w:val="0000FF"/>
          <w:kern w:val="0"/>
          <w:sz w:val="24"/>
          <w:szCs w:val="24"/>
          <w:u w:val="none"/>
          <w:lang w:val="en-US" w:eastAsia="zh-CN" w:bidi="ar-SA"/>
        </w:rPr>
        <w:t xml:space="preserve"> </w:t>
      </w:r>
      <w:r>
        <w:rPr>
          <w:rFonts w:hint="eastAsia" w:cs="Times New Roman"/>
          <w:i w:val="0"/>
          <w:iCs w:val="0"/>
          <w:color w:val="0000FF"/>
          <w:kern w:val="0"/>
          <w:sz w:val="24"/>
          <w:szCs w:val="24"/>
          <w:u w:val="none"/>
          <w:lang w:val="en-US" w:eastAsia="zh-CN" w:bidi="ar-SA"/>
        </w:rPr>
        <w:t>20, 21</w:t>
      </w:r>
      <w:r>
        <w:rPr>
          <w:rFonts w:hint="eastAsia" w:ascii="Times New Roman" w:hAnsi="Times New Roman" w:eastAsia="宋体" w:cs="Times New Roman"/>
          <w:i w:val="0"/>
          <w:iCs w:val="0"/>
          <w:color w:val="0000FF"/>
          <w:kern w:val="0"/>
          <w:sz w:val="24"/>
          <w:szCs w:val="24"/>
          <w:u w:val="none"/>
          <w:lang w:val="en-US" w:eastAsia="zh-CN" w:bidi="ar-SA"/>
        </w:rPr>
        <w:t>; Supplementary Table</w:t>
      </w:r>
      <w:r>
        <w:rPr>
          <w:rFonts w:hint="eastAsia" w:cs="Times New Roman"/>
          <w:i w:val="0"/>
          <w:iCs w:val="0"/>
          <w:color w:val="0000FF"/>
          <w:kern w:val="0"/>
          <w:sz w:val="24"/>
          <w:szCs w:val="24"/>
          <w:u w:val="none"/>
          <w:lang w:val="en-US" w:eastAsia="zh-CN" w:bidi="ar-SA"/>
        </w:rPr>
        <w:t>s</w:t>
      </w:r>
      <w:r>
        <w:rPr>
          <w:rFonts w:hint="eastAsia" w:ascii="Times New Roman" w:hAnsi="Times New Roman" w:eastAsia="宋体" w:cs="Times New Roman"/>
          <w:i w:val="0"/>
          <w:iCs w:val="0"/>
          <w:color w:val="0000FF"/>
          <w:kern w:val="0"/>
          <w:sz w:val="24"/>
          <w:szCs w:val="24"/>
          <w:u w:val="none"/>
          <w:lang w:val="en-US" w:eastAsia="zh-CN" w:bidi="ar-SA"/>
        </w:rPr>
        <w:t xml:space="preserve"> </w:t>
      </w:r>
      <w:r>
        <w:rPr>
          <w:rFonts w:hint="eastAsia" w:cs="Times New Roman"/>
          <w:i w:val="0"/>
          <w:iCs w:val="0"/>
          <w:color w:val="0000FF"/>
          <w:kern w:val="0"/>
          <w:sz w:val="24"/>
          <w:szCs w:val="24"/>
          <w:u w:val="none"/>
          <w:lang w:val="en-US" w:eastAsia="zh-CN" w:bidi="ar-SA"/>
        </w:rPr>
        <w:t>10</w:t>
      </w:r>
      <w:r>
        <w:rPr>
          <w:rFonts w:hint="eastAsia" w:ascii="Times New Roman" w:hAnsi="Times New Roman" w:eastAsia="宋体" w:cs="Times New Roman"/>
          <w:i w:val="0"/>
          <w:iCs w:val="0"/>
          <w:color w:val="0000FF"/>
          <w:kern w:val="0"/>
          <w:sz w:val="24"/>
          <w:szCs w:val="24"/>
          <w:u w:val="none"/>
          <w:lang w:val="en-US" w:eastAsia="zh-CN" w:bidi="ar-SA"/>
        </w:rPr>
        <w:t>-1</w:t>
      </w:r>
      <w:r>
        <w:rPr>
          <w:rFonts w:hint="eastAsia" w:cs="Times New Roman"/>
          <w:i w:val="0"/>
          <w:iCs w:val="0"/>
          <w:color w:val="0000FF"/>
          <w:kern w:val="0"/>
          <w:sz w:val="24"/>
          <w:szCs w:val="24"/>
          <w:u w:val="none"/>
          <w:lang w:val="en-US" w:eastAsia="zh-CN" w:bidi="ar-SA"/>
        </w:rPr>
        <w:t>7</w:t>
      </w:r>
      <w:r>
        <w:rPr>
          <w:i w:val="0"/>
          <w:iCs w:val="0"/>
          <w:u w:val="none"/>
          <w:lang w:val="en-US"/>
        </w:rPr>
        <w:t>).</w:t>
      </w:r>
    </w:p>
    <w:p w14:paraId="64D3D8D2">
      <w:pPr>
        <w:pStyle w:val="4"/>
      </w:pPr>
      <w:r>
        <w:t>Lower left lateral incisor (YHB-3513)</w:t>
      </w:r>
    </w:p>
    <w:p w14:paraId="2E31DD63">
      <w:pPr>
        <w:pStyle w:val="5"/>
        <w:rPr>
          <w:lang w:val="en-AU"/>
        </w:rPr>
      </w:pPr>
      <w:r>
        <w:rPr>
          <w:lang w:val="en-AU"/>
        </w:rPr>
        <w:t xml:space="preserve">Morphological description </w:t>
      </w:r>
    </w:p>
    <w:p w14:paraId="4C0BE108">
      <w:pPr>
        <w:ind w:firstLine="240" w:firstLineChars="100"/>
        <w:jc w:val="both"/>
        <w:rPr>
          <w:rFonts w:hint="eastAsia" w:eastAsia="宋体"/>
          <w:lang w:val="en-US" w:eastAsia="zh-CN"/>
        </w:rPr>
      </w:pPr>
      <w:r>
        <w:rPr>
          <w:lang w:val="en-AU"/>
        </w:rPr>
        <w:t>The crown is complete, without any occlusal or interproximal wear (</w:t>
      </w:r>
      <w:r>
        <w:rPr>
          <w:rFonts w:hint="eastAsia"/>
          <w:color w:val="0000FF"/>
          <w:lang w:val="en-AU"/>
        </w:rPr>
        <w:t>Fig.</w:t>
      </w:r>
      <w:r>
        <w:rPr>
          <w:rFonts w:hint="eastAsia"/>
          <w:color w:val="0000FF"/>
          <w:lang w:val="en-US" w:eastAsia="zh-CN"/>
        </w:rPr>
        <w:t xml:space="preserve"> </w:t>
      </w:r>
      <w:r>
        <w:rPr>
          <w:rFonts w:hint="eastAsia"/>
          <w:color w:val="0000FF"/>
          <w:lang w:val="en-AU"/>
        </w:rPr>
        <w:t>3;</w:t>
      </w:r>
      <w:r>
        <w:rPr>
          <w:rFonts w:hint="eastAsia"/>
          <w:lang w:val="en-AU"/>
        </w:rPr>
        <w:t xml:space="preserve"> </w:t>
      </w:r>
      <w:r>
        <w:rPr>
          <w:color w:val="0000FF"/>
          <w:lang w:val="en-AU"/>
        </w:rPr>
        <w:t>Extended Data Fig. 4</w:t>
      </w:r>
      <w:r>
        <w:rPr>
          <w:rFonts w:hint="eastAsia"/>
          <w:color w:val="0000FF"/>
          <w:lang w:val="en-AU"/>
        </w:rPr>
        <w:t xml:space="preserve">; </w:t>
      </w:r>
      <w:r>
        <w:rPr>
          <w:color w:val="0000FF"/>
          <w:highlight w:val="none"/>
          <w:lang w:val="en-AU"/>
        </w:rPr>
        <w:fldChar w:fldCharType="begin"/>
      </w:r>
      <w:r>
        <w:rPr>
          <w:color w:val="0000FF"/>
          <w:highlight w:val="none"/>
          <w:lang w:val="en-AU"/>
        </w:rPr>
        <w:instrText xml:space="preserve"> REF _Ref208220155 \h </w:instrText>
      </w:r>
      <w:r>
        <w:rPr>
          <w:color w:val="0000FF"/>
          <w:highlight w:val="none"/>
          <w:lang w:val="en-AU"/>
        </w:rPr>
        <w:fldChar w:fldCharType="separate"/>
      </w:r>
      <w:r>
        <w:rPr>
          <w:color w:val="0000FF"/>
          <w:highlight w:val="none"/>
        </w:rPr>
        <w:t xml:space="preserve">Supplementary Table </w:t>
      </w:r>
      <w:r>
        <w:rPr>
          <w:rFonts w:hint="eastAsia"/>
          <w:color w:val="0000FF"/>
          <w:highlight w:val="none"/>
          <w:lang w:val="en-US" w:eastAsia="zh-CN"/>
        </w:rPr>
        <w:t>1</w:t>
      </w:r>
      <w:r>
        <w:rPr>
          <w:color w:val="0000FF"/>
          <w:highlight w:val="none"/>
          <w:lang w:val="en-AU"/>
        </w:rPr>
        <w:fldChar w:fldCharType="end"/>
      </w:r>
      <w:r>
        <w:rPr>
          <w:rFonts w:hint="eastAsia"/>
          <w:color w:val="0000FF"/>
          <w:highlight w:val="none"/>
          <w:lang w:val="en-US" w:eastAsia="zh-CN"/>
        </w:rPr>
        <w:t>0</w:t>
      </w:r>
      <w:r>
        <w:rPr>
          <w:highlight w:val="none"/>
          <w:lang w:val="en-AU"/>
        </w:rPr>
        <w:t>)</w:t>
      </w:r>
      <w:r>
        <w:rPr>
          <w:lang w:val="en-AU"/>
        </w:rPr>
        <w:t xml:space="preserve">. Only a small segment of root remains in the lingual aspect. </w:t>
      </w:r>
      <w:r>
        <w:rPr>
          <w:rFonts w:hint="eastAsia" w:eastAsiaTheme="minorEastAsia"/>
        </w:rPr>
        <w:t>It lacks</w:t>
      </w:r>
      <w:r>
        <w:rPr>
          <w:rFonts w:eastAsia="Times New Roman"/>
        </w:rPr>
        <w:t xml:space="preserve"> occlusal wear and preserv</w:t>
      </w:r>
      <w:r>
        <w:rPr>
          <w:rFonts w:hint="eastAsia" w:eastAsiaTheme="minorEastAsia"/>
        </w:rPr>
        <w:t>es</w:t>
      </w:r>
      <w:r>
        <w:rPr>
          <w:rFonts w:eastAsia="Times New Roman"/>
        </w:rPr>
        <w:t xml:space="preserve"> at least one-quarter of whole root length, likely represents a child aged 5.5-</w:t>
      </w:r>
      <w:r>
        <w:rPr>
          <w:rFonts w:hint="eastAsia" w:eastAsiaTheme="minorEastAsia"/>
        </w:rPr>
        <w:t>7</w:t>
      </w:r>
      <w:r>
        <w:rPr>
          <w:rFonts w:eastAsia="Times New Roman"/>
        </w:rPr>
        <w:t>.3 years at death based on the modern human developmental standards</w:t>
      </w:r>
      <w:r>
        <w:rPr>
          <w:rFonts w:hint="eastAsia"/>
          <w:vertAlign w:val="superscript"/>
          <w:lang w:val="en-US" w:eastAsia="zh-CN"/>
        </w:rPr>
        <w:t>26,27</w:t>
      </w:r>
      <w:r>
        <w:rPr>
          <w:rFonts w:hint="eastAsia" w:eastAsia="Times New Roman"/>
        </w:rPr>
        <w:t>.</w:t>
      </w:r>
      <w:r>
        <w:rPr>
          <w:rFonts w:hint="eastAsia"/>
          <w:lang w:val="en-US" w:eastAsia="zh-CN"/>
        </w:rPr>
        <w:t xml:space="preserve"> </w:t>
      </w:r>
      <w:r>
        <w:t xml:space="preserve">In the absence of associated deciduous teeth or permanent first molars, which preserve developmental markers related to birth, it is currently not possible to estimate the age at death of the Bianfu </w:t>
      </w:r>
      <w:r>
        <w:rPr>
          <w:rFonts w:hint="eastAsia"/>
          <w:lang w:val="en-US" w:eastAsia="zh-CN"/>
        </w:rPr>
        <w:t xml:space="preserve">Cave </w:t>
      </w:r>
      <w:r>
        <w:t>Denisovans using taxon-specific developmental criteria. We therefore rely on modern human dental developmental standards as the best available comparative framework. This approach is supported by previous work indicating that the Xujiayao hominins exhibit dental developmental patterns broadly comparable to those of modern humans</w:t>
      </w:r>
      <w:r>
        <w:rPr>
          <w:rFonts w:hint="eastAsia"/>
          <w:vertAlign w:val="superscript"/>
          <w:lang w:val="en-US" w:eastAsia="zh-CN"/>
        </w:rPr>
        <w:t>28</w:t>
      </w:r>
      <w:r>
        <w:t xml:space="preserve">. Xujiayao represents an appropriate comparison because these East Asian Middle Pleistocene archaic hominins are slightly older than the Bianfu </w:t>
      </w:r>
      <w:r>
        <w:rPr>
          <w:rFonts w:hint="eastAsia"/>
          <w:lang w:val="en-US" w:eastAsia="zh-CN"/>
        </w:rPr>
        <w:t xml:space="preserve">Cave </w:t>
      </w:r>
      <w:r>
        <w:t>individuals and display similarly mosaic dental morphology</w:t>
      </w:r>
      <w:r>
        <w:rPr>
          <w:rFonts w:hint="eastAsia"/>
          <w:vertAlign w:val="superscript"/>
          <w:lang w:val="en-US" w:eastAsia="zh-CN"/>
        </w:rPr>
        <w:t>29-31</w:t>
      </w:r>
      <w:r>
        <w:t>. Nevertheless, because the dental growth and developmental patterns of Denisovans remain poorly documented, the age estimates presented here should be regarded as approximate until additional comparative data become available</w:t>
      </w:r>
      <w:r>
        <w:rPr>
          <w:rFonts w:hint="eastAsia"/>
          <w:lang w:val="en-US" w:eastAsia="zh-CN"/>
        </w:rPr>
        <w:t>.</w:t>
      </w:r>
    </w:p>
    <w:p w14:paraId="4A06E46C">
      <w:pPr>
        <w:jc w:val="both"/>
        <w:rPr>
          <w:lang w:val="en-AU"/>
        </w:rPr>
      </w:pPr>
      <w:r>
        <w:rPr>
          <w:lang w:val="en-AU"/>
        </w:rPr>
        <w:t xml:space="preserve">Viewed buccally or lingually, the mesial and distal margins are moderately flared. Occlusally, there is no labial convexity or double </w:t>
      </w:r>
      <w:r>
        <w:rPr>
          <w:rFonts w:hint="eastAsia"/>
          <w:lang w:val="en-AU"/>
        </w:rPr>
        <w:t>shoveling</w:t>
      </w:r>
      <w:r>
        <w:rPr>
          <w:lang w:val="en-AU"/>
        </w:rPr>
        <w:t xml:space="preserve"> (Grade 0, ASUDAS</w:t>
      </w:r>
      <w:r>
        <w:rPr>
          <w:rFonts w:hint="eastAsia"/>
          <w:vertAlign w:val="superscript"/>
          <w:lang w:val="en-US" w:eastAsia="zh-CN"/>
        </w:rPr>
        <w:t>32</w:t>
      </w:r>
      <w:r>
        <w:rPr>
          <w:lang w:val="en-AU"/>
        </w:rPr>
        <w:t>). Both mesial and distal marginal ridges are developed, forming moderate shoveling (Grade 3, ASUDAS</w:t>
      </w:r>
      <w:r>
        <w:rPr>
          <w:rFonts w:hint="eastAsia"/>
          <w:vertAlign w:val="superscript"/>
          <w:lang w:val="en-US" w:eastAsia="zh-CN"/>
        </w:rPr>
        <w:t>32</w:t>
      </w:r>
      <w:r>
        <w:rPr>
          <w:lang w:val="en-AU"/>
        </w:rPr>
        <w:t xml:space="preserve">). The lingual basal eminence is weakly developed, and no ridge-like structures are present (Grade 0 of </w:t>
      </w:r>
      <w:r>
        <w:rPr>
          <w:rFonts w:hint="eastAsia"/>
          <w:lang w:val="en-AU"/>
        </w:rPr>
        <w:t>tuberculum</w:t>
      </w:r>
      <w:r>
        <w:rPr>
          <w:lang w:val="en-AU"/>
        </w:rPr>
        <w:t xml:space="preserve"> dentale, ASUDAS</w:t>
      </w:r>
      <w:r>
        <w:rPr>
          <w:rFonts w:hint="eastAsia"/>
          <w:vertAlign w:val="superscript"/>
          <w:lang w:val="en-US" w:eastAsia="zh-CN"/>
        </w:rPr>
        <w:t>32</w:t>
      </w:r>
      <w:r>
        <w:rPr>
          <w:lang w:val="en-AU"/>
        </w:rPr>
        <w:t xml:space="preserve">). </w:t>
      </w:r>
    </w:p>
    <w:p w14:paraId="0575EBB0">
      <w:pPr>
        <w:pStyle w:val="5"/>
        <w:jc w:val="both"/>
        <w:rPr>
          <w:rFonts w:eastAsia="宋体" w:cs="Times New Roman"/>
          <w:kern w:val="2"/>
          <w:lang w:val="en-AU"/>
        </w:rPr>
      </w:pPr>
      <w:r>
        <w:rPr>
          <w:szCs w:val="21"/>
          <w:lang w:val="en-AU"/>
        </w:rPr>
        <w:t>Morphological</w:t>
      </w:r>
      <w:r>
        <w:rPr>
          <w:rFonts w:eastAsia="宋体" w:cs="Times New Roman"/>
          <w:kern w:val="2"/>
          <w:lang w:val="en-AU"/>
        </w:rPr>
        <w:t xml:space="preserve"> comparison </w:t>
      </w:r>
    </w:p>
    <w:p w14:paraId="17DF7A5C">
      <w:pPr>
        <w:numPr>
          <w:ilvl w:val="0"/>
          <w:numId w:val="3"/>
        </w:numPr>
        <w:ind w:firstLine="240" w:firstLineChars="100"/>
        <w:jc w:val="both"/>
        <w:rPr>
          <w:kern w:val="2"/>
          <w:lang w:val="en-AU"/>
        </w:rPr>
      </w:pPr>
      <w:r>
        <w:rPr>
          <w:kern w:val="2"/>
          <w:lang w:val="en-AU"/>
        </w:rPr>
        <w:t xml:space="preserve">Shoveling: Zhoukoudian </w:t>
      </w:r>
      <w:r>
        <w:rPr>
          <w:i/>
          <w:iCs/>
          <w:kern w:val="2"/>
          <w:lang w:val="en-AU"/>
        </w:rPr>
        <w:t>Homo erectus</w:t>
      </w:r>
      <w:r>
        <w:rPr>
          <w:kern w:val="2"/>
          <w:lang w:val="en-AU"/>
        </w:rPr>
        <w:t xml:space="preserve"> typically exhibits weak </w:t>
      </w:r>
      <w:r>
        <w:rPr>
          <w:rFonts w:hint="eastAsia"/>
          <w:kern w:val="2"/>
          <w:lang w:val="en-AU"/>
        </w:rPr>
        <w:t>shoveling</w:t>
      </w:r>
      <w:r>
        <w:rPr>
          <w:kern w:val="2"/>
          <w:lang w:val="en-AU"/>
        </w:rPr>
        <w:t xml:space="preserve"> (Grade 2), while Sangiran 7-18 and 7-50 from Indonesia varies from faint (Grade 1) to moderate (Grade 3). Early Neanderthals are characterized by faint to moderate </w:t>
      </w:r>
      <w:r>
        <w:rPr>
          <w:rFonts w:hint="eastAsia"/>
          <w:kern w:val="2"/>
          <w:lang w:val="en-AU"/>
        </w:rPr>
        <w:t>shoveling</w:t>
      </w:r>
      <w:r>
        <w:rPr>
          <w:kern w:val="2"/>
          <w:lang w:val="en-AU"/>
        </w:rPr>
        <w:t>, whereas late Neanderthals ranging from absent to weak</w:t>
      </w:r>
      <w:r>
        <w:rPr>
          <w:rFonts w:hint="eastAsia"/>
          <w:vertAlign w:val="superscript"/>
          <w:lang w:val="en-US" w:eastAsia="zh-CN"/>
        </w:rPr>
        <w:t>33</w:t>
      </w:r>
      <w:r>
        <w:rPr>
          <w:kern w:val="2"/>
          <w:lang w:val="en-AU"/>
        </w:rPr>
        <w:t xml:space="preserve">. Fossil and recent </w:t>
      </w:r>
      <w:r>
        <w:rPr>
          <w:i/>
          <w:iCs/>
          <w:kern w:val="2"/>
          <w:lang w:val="en-AU"/>
        </w:rPr>
        <w:t>Homo sapiens</w:t>
      </w:r>
      <w:r>
        <w:rPr>
          <w:kern w:val="2"/>
          <w:lang w:val="en-AU"/>
        </w:rPr>
        <w:t xml:space="preserve"> generally displays faint </w:t>
      </w:r>
      <w:r>
        <w:rPr>
          <w:rFonts w:hint="eastAsia"/>
          <w:kern w:val="2"/>
          <w:lang w:val="en-AU"/>
        </w:rPr>
        <w:t>shoveling</w:t>
      </w:r>
      <w:r>
        <w:rPr>
          <w:kern w:val="2"/>
          <w:lang w:val="en-AU"/>
        </w:rPr>
        <w:t xml:space="preserve"> if present</w:t>
      </w:r>
      <w:r>
        <w:rPr>
          <w:rFonts w:hint="eastAsia"/>
          <w:vertAlign w:val="superscript"/>
          <w:lang w:val="en-US" w:eastAsia="zh-CN"/>
        </w:rPr>
        <w:t>33</w:t>
      </w:r>
      <w:r>
        <w:rPr>
          <w:kern w:val="2"/>
          <w:lang w:val="en-AU"/>
        </w:rPr>
        <w:t xml:space="preserve">, while the Holocene specimens from central China exhibit more pronounced </w:t>
      </w:r>
      <w:r>
        <w:rPr>
          <w:rFonts w:hint="eastAsia"/>
          <w:kern w:val="2"/>
          <w:lang w:val="en-AU"/>
        </w:rPr>
        <w:t>shoveling</w:t>
      </w:r>
      <w:r>
        <w:rPr>
          <w:kern w:val="2"/>
          <w:lang w:val="en-AU"/>
        </w:rPr>
        <w:t xml:space="preserve"> (Grade 0-3). In this feature, the Bianfu tooth exceeds most </w:t>
      </w:r>
      <w:r>
        <w:rPr>
          <w:i/>
          <w:iCs/>
          <w:kern w:val="2"/>
          <w:lang w:val="en-AU"/>
        </w:rPr>
        <w:t>H. erectus</w:t>
      </w:r>
      <w:r>
        <w:rPr>
          <w:kern w:val="2"/>
          <w:lang w:val="en-AU"/>
        </w:rPr>
        <w:t xml:space="preserve">, late Neanderthals, fossil </w:t>
      </w:r>
      <w:r>
        <w:rPr>
          <w:i/>
          <w:iCs/>
          <w:kern w:val="2"/>
          <w:lang w:val="en-AU"/>
        </w:rPr>
        <w:t>H. sapiens</w:t>
      </w:r>
      <w:r>
        <w:rPr>
          <w:kern w:val="2"/>
          <w:lang w:val="en-AU"/>
        </w:rPr>
        <w:t xml:space="preserve">, and recent </w:t>
      </w:r>
      <w:r>
        <w:rPr>
          <w:i/>
          <w:iCs/>
          <w:kern w:val="2"/>
          <w:lang w:val="en-AU"/>
        </w:rPr>
        <w:t>H. sapiens</w:t>
      </w:r>
      <w:r>
        <w:rPr>
          <w:kern w:val="2"/>
          <w:lang w:val="en-AU"/>
        </w:rPr>
        <w:t xml:space="preserve"> from Europe and Africa, but aligns with the variation of early Neanderthals and </w:t>
      </w:r>
      <w:r>
        <w:rPr>
          <w:rFonts w:hint="eastAsia"/>
          <w:kern w:val="2"/>
          <w:lang w:val="en-US" w:eastAsia="zh-CN"/>
        </w:rPr>
        <w:t>East Asian</w:t>
      </w:r>
      <w:r>
        <w:rPr>
          <w:kern w:val="2"/>
          <w:lang w:val="en-AU"/>
        </w:rPr>
        <w:t xml:space="preserve"> recent </w:t>
      </w:r>
      <w:r>
        <w:rPr>
          <w:i/>
          <w:iCs/>
          <w:kern w:val="2"/>
          <w:lang w:val="en-AU"/>
        </w:rPr>
        <w:t>H. sapiens</w:t>
      </w:r>
      <w:r>
        <w:rPr>
          <w:kern w:val="2"/>
          <w:lang w:val="en-AU"/>
        </w:rPr>
        <w:t xml:space="preserve">. </w:t>
      </w:r>
    </w:p>
    <w:p w14:paraId="7365D078">
      <w:pPr>
        <w:numPr>
          <w:ilvl w:val="0"/>
          <w:numId w:val="3"/>
        </w:numPr>
        <w:ind w:firstLine="240" w:firstLineChars="100"/>
        <w:jc w:val="both"/>
        <w:rPr>
          <w:kern w:val="2"/>
          <w:lang w:val="en-AU"/>
        </w:rPr>
      </w:pPr>
      <w:r>
        <w:rPr>
          <w:kern w:val="2"/>
          <w:lang w:val="en-AU"/>
        </w:rPr>
        <w:t xml:space="preserve">Labial convexity: </w:t>
      </w:r>
      <w:r>
        <w:rPr>
          <w:i/>
          <w:iCs/>
          <w:kern w:val="2"/>
          <w:lang w:val="en-AU"/>
        </w:rPr>
        <w:t>H. erectus</w:t>
      </w:r>
      <w:r>
        <w:rPr>
          <w:kern w:val="2"/>
          <w:lang w:val="en-AU"/>
        </w:rPr>
        <w:t xml:space="preserve"> from Zhoukoudian and Indonesia are generally characterized by moderate or pronounced labial convexity. </w:t>
      </w:r>
      <w:r>
        <w:rPr>
          <w:i/>
          <w:iCs/>
          <w:kern w:val="2"/>
          <w:lang w:val="en-AU"/>
        </w:rPr>
        <w:t>Homo heidelbergensis</w:t>
      </w:r>
      <w:r>
        <w:rPr>
          <w:kern w:val="2"/>
          <w:lang w:val="en-AU"/>
        </w:rPr>
        <w:t>, early Neanderthals, and late Neanderthals varies from trace to pronounced in this trait</w:t>
      </w:r>
      <w:r>
        <w:rPr>
          <w:rFonts w:hint="eastAsia"/>
          <w:vertAlign w:val="superscript"/>
          <w:lang w:val="en-US" w:eastAsia="zh-CN"/>
        </w:rPr>
        <w:t>33</w:t>
      </w:r>
      <w:r>
        <w:rPr>
          <w:kern w:val="2"/>
          <w:lang w:val="en-AU"/>
        </w:rPr>
        <w:t xml:space="preserve">. In contrast, over half of fossil and recent </w:t>
      </w:r>
      <w:r>
        <w:rPr>
          <w:i/>
          <w:kern w:val="2"/>
          <w:lang w:val="en-AU"/>
        </w:rPr>
        <w:t>H. sapiens</w:t>
      </w:r>
      <w:r>
        <w:rPr>
          <w:kern w:val="2"/>
          <w:lang w:val="en-AU"/>
        </w:rPr>
        <w:t xml:space="preserve"> lack convex labial surface</w:t>
      </w:r>
      <w:r>
        <w:rPr>
          <w:rFonts w:hint="eastAsia"/>
          <w:vertAlign w:val="superscript"/>
          <w:lang w:val="en-US" w:eastAsia="zh-CN"/>
        </w:rPr>
        <w:t>33</w:t>
      </w:r>
      <w:r>
        <w:rPr>
          <w:kern w:val="2"/>
          <w:lang w:val="en-AU"/>
        </w:rPr>
        <w:t xml:space="preserve">. In this trait, the Bianfu tooth resembles </w:t>
      </w:r>
      <w:r>
        <w:rPr>
          <w:i/>
          <w:iCs/>
          <w:kern w:val="2"/>
          <w:lang w:val="en-AU"/>
        </w:rPr>
        <w:t>H. sapiens</w:t>
      </w:r>
      <w:r>
        <w:rPr>
          <w:kern w:val="2"/>
          <w:lang w:val="en-AU"/>
        </w:rPr>
        <w:t xml:space="preserve"> more closely than </w:t>
      </w:r>
      <w:r>
        <w:rPr>
          <w:i/>
          <w:iCs/>
          <w:kern w:val="2"/>
          <w:lang w:val="en-AU"/>
        </w:rPr>
        <w:t>H. erectus</w:t>
      </w:r>
      <w:r>
        <w:rPr>
          <w:kern w:val="2"/>
          <w:lang w:val="en-AU"/>
        </w:rPr>
        <w:t xml:space="preserve">, </w:t>
      </w:r>
      <w:r>
        <w:rPr>
          <w:i/>
          <w:iCs/>
          <w:kern w:val="2"/>
          <w:lang w:val="en-AU"/>
        </w:rPr>
        <w:t>H. heidelbergensis</w:t>
      </w:r>
      <w:r>
        <w:rPr>
          <w:kern w:val="2"/>
          <w:lang w:val="en-AU"/>
        </w:rPr>
        <w:t xml:space="preserve">, and Neanderthals. </w:t>
      </w:r>
    </w:p>
    <w:p w14:paraId="23FB7C83">
      <w:pPr>
        <w:pStyle w:val="4"/>
        <w:jc w:val="both"/>
      </w:pPr>
      <w:r>
        <w:t>Lower left fourth premolar (YHB-3518)</w:t>
      </w:r>
    </w:p>
    <w:p w14:paraId="01E47D3E">
      <w:pPr>
        <w:pStyle w:val="5"/>
        <w:jc w:val="both"/>
        <w:rPr>
          <w:lang w:val="en-AU"/>
        </w:rPr>
      </w:pPr>
      <w:r>
        <w:rPr>
          <w:lang w:val="en-AU"/>
        </w:rPr>
        <w:t>Morphological description</w:t>
      </w:r>
    </w:p>
    <w:p w14:paraId="35A56A39">
      <w:pPr>
        <w:ind w:firstLine="240" w:firstLineChars="100"/>
        <w:jc w:val="both"/>
        <w:rPr>
          <w:kern w:val="2"/>
          <w:lang w:val="en-AU"/>
        </w:rPr>
      </w:pPr>
      <w:r>
        <w:rPr>
          <w:kern w:val="2"/>
          <w:lang w:val="en-AU"/>
        </w:rPr>
        <w:t>The crown is complete, but the root is broken, with both buccal and lingual cusps displaying minor occlusal wear (Grade 2, Molnar’s scoring system</w:t>
      </w:r>
      <w:r>
        <w:rPr>
          <w:rFonts w:hint="eastAsia"/>
          <w:vertAlign w:val="superscript"/>
          <w:lang w:val="en-US" w:eastAsia="zh-CN"/>
        </w:rPr>
        <w:t>34</w:t>
      </w:r>
      <w:r>
        <w:rPr>
          <w:kern w:val="2"/>
          <w:lang w:val="en-AU"/>
        </w:rPr>
        <w:t>) (</w:t>
      </w:r>
      <w:bookmarkStart w:id="5" w:name="_Hlk209809973"/>
      <w:r>
        <w:rPr>
          <w:rFonts w:hint="eastAsia"/>
          <w:color w:val="0000FF"/>
          <w:lang w:val="en-AU"/>
        </w:rPr>
        <w:t>Fig.</w:t>
      </w:r>
      <w:r>
        <w:rPr>
          <w:rFonts w:hint="eastAsia"/>
          <w:color w:val="0000FF"/>
          <w:lang w:val="en-US" w:eastAsia="zh-CN"/>
        </w:rPr>
        <w:t xml:space="preserve"> </w:t>
      </w:r>
      <w:r>
        <w:rPr>
          <w:rFonts w:hint="eastAsia"/>
          <w:color w:val="0000FF"/>
          <w:lang w:val="en-AU"/>
        </w:rPr>
        <w:t xml:space="preserve">3; </w:t>
      </w:r>
      <w:r>
        <w:rPr>
          <w:color w:val="0000FF"/>
          <w:lang w:val="en-AU"/>
        </w:rPr>
        <w:t xml:space="preserve">Extended Data Fig. </w:t>
      </w:r>
      <w:r>
        <w:rPr>
          <w:rFonts w:hint="default"/>
          <w:color w:val="0000FF"/>
          <w:lang w:val="en-US"/>
        </w:rPr>
        <w:t>4</w:t>
      </w:r>
      <w:r>
        <w:rPr>
          <w:rFonts w:hint="eastAsia"/>
          <w:color w:val="0000FF"/>
          <w:kern w:val="2"/>
          <w:lang w:val="en-AU"/>
        </w:rPr>
        <w:t xml:space="preserve">; </w:t>
      </w:r>
      <w:bookmarkEnd w:id="5"/>
      <w:r>
        <w:rPr>
          <w:color w:val="0000FF"/>
          <w:highlight w:val="none"/>
          <w:lang w:val="en-AU"/>
        </w:rPr>
        <w:fldChar w:fldCharType="begin"/>
      </w:r>
      <w:r>
        <w:rPr>
          <w:color w:val="0000FF"/>
          <w:highlight w:val="none"/>
          <w:lang w:val="en-AU"/>
        </w:rPr>
        <w:instrText xml:space="preserve"> REF _Ref208220155 \h </w:instrText>
      </w:r>
      <w:r>
        <w:rPr>
          <w:color w:val="0000FF"/>
          <w:highlight w:val="none"/>
          <w:lang w:val="en-AU"/>
        </w:rPr>
        <w:fldChar w:fldCharType="separate"/>
      </w:r>
      <w:r>
        <w:rPr>
          <w:color w:val="0000FF"/>
          <w:highlight w:val="none"/>
        </w:rPr>
        <w:t xml:space="preserve">Supplementary Table </w:t>
      </w:r>
      <w:r>
        <w:rPr>
          <w:rFonts w:hint="eastAsia"/>
          <w:color w:val="0000FF"/>
          <w:highlight w:val="none"/>
          <w:lang w:val="en-US" w:eastAsia="zh-CN"/>
        </w:rPr>
        <w:t>1</w:t>
      </w:r>
      <w:r>
        <w:rPr>
          <w:color w:val="0000FF"/>
          <w:highlight w:val="none"/>
          <w:lang w:val="en-AU"/>
        </w:rPr>
        <w:fldChar w:fldCharType="end"/>
      </w:r>
      <w:r>
        <w:rPr>
          <w:rFonts w:hint="eastAsia"/>
          <w:color w:val="0000FF"/>
          <w:highlight w:val="none"/>
          <w:lang w:val="en-US" w:eastAsia="zh-CN"/>
        </w:rPr>
        <w:t>0</w:t>
      </w:r>
      <w:r>
        <w:rPr>
          <w:kern w:val="2"/>
          <w:lang w:val="en-AU"/>
        </w:rPr>
        <w:t xml:space="preserve">). No distal interproximal wear facet is present. </w:t>
      </w:r>
      <w:r>
        <w:rPr>
          <w:rFonts w:eastAsia="Times New Roman"/>
        </w:rPr>
        <w:t xml:space="preserve">The minor occlusal wears on </w:t>
      </w:r>
      <w:r>
        <w:rPr>
          <w:rFonts w:hint="eastAsia" w:eastAsiaTheme="minorEastAsia"/>
        </w:rPr>
        <w:t xml:space="preserve">this tooth </w:t>
      </w:r>
      <w:r>
        <w:rPr>
          <w:rFonts w:eastAsia="Times New Roman"/>
        </w:rPr>
        <w:t xml:space="preserve">indicate that it was already in functional occlusion, indicating that this individual was </w:t>
      </w:r>
      <w:r>
        <w:rPr>
          <w:rFonts w:hint="eastAsia"/>
          <w:lang w:val="en-US" w:eastAsia="zh-CN"/>
        </w:rPr>
        <w:t>around</w:t>
      </w:r>
      <w:r>
        <w:rPr>
          <w:rFonts w:eastAsia="Times New Roman"/>
        </w:rPr>
        <w:t xml:space="preserve"> </w:t>
      </w:r>
      <w:r>
        <w:rPr>
          <w:rFonts w:hint="eastAsia" w:eastAsiaTheme="minorEastAsia"/>
        </w:rPr>
        <w:t>10</w:t>
      </w:r>
      <w:r>
        <w:rPr>
          <w:rFonts w:eastAsia="Times New Roman"/>
        </w:rPr>
        <w:t xml:space="preserve"> years old</w:t>
      </w:r>
      <w:r>
        <w:rPr>
          <w:rFonts w:hint="eastAsia"/>
          <w:lang w:val="en-US" w:eastAsia="zh-CN"/>
        </w:rPr>
        <w:t xml:space="preserve"> based on the modern human developmental standards</w:t>
      </w:r>
      <w:r>
        <w:rPr>
          <w:rFonts w:hint="eastAsia"/>
          <w:vertAlign w:val="superscript"/>
          <w:lang w:val="en-US" w:eastAsia="zh-CN"/>
        </w:rPr>
        <w:t>26,27</w:t>
      </w:r>
      <w:r>
        <w:rPr>
          <w:rFonts w:hint="eastAsia" w:eastAsiaTheme="minorEastAsia"/>
        </w:rPr>
        <w:t>.</w:t>
      </w:r>
      <w:r>
        <w:rPr>
          <w:rFonts w:hint="eastAsia" w:eastAsiaTheme="minorEastAsia"/>
          <w:kern w:val="2"/>
          <w:lang w:val="en-AU"/>
        </w:rPr>
        <w:t xml:space="preserve"> </w:t>
      </w:r>
      <w:r>
        <w:rPr>
          <w:kern w:val="2"/>
          <w:lang w:val="en-AU"/>
        </w:rPr>
        <w:t>Viewed occlusally, the crown outline is approximately round with a relatively larger buccolingual dimension. The buccal and lingual cusps are completely separated by the central groove and there is no transverse crest. The talonid, comprising of two small tubercles, is well-developed and extends buccally. The lingual half consists of a metaconid and small distal tubercle (</w:t>
      </w:r>
      <w:bookmarkStart w:id="6" w:name="hpx2cf8hs7q1" w:colFirst="0" w:colLast="0"/>
      <w:bookmarkEnd w:id="6"/>
      <w:bookmarkStart w:id="7" w:name="81cepqf84dj9" w:colFirst="0" w:colLast="0"/>
      <w:bookmarkEnd w:id="7"/>
      <w:r>
        <w:rPr>
          <w:kern w:val="2"/>
          <w:lang w:val="en-AU"/>
        </w:rPr>
        <w:t>Lingual cusps variation of lower premolars, Grade 2, ASUDAS</w:t>
      </w:r>
      <w:r>
        <w:rPr>
          <w:rFonts w:hint="eastAsia"/>
          <w:vertAlign w:val="superscript"/>
          <w:lang w:val="en-US" w:eastAsia="zh-CN"/>
        </w:rPr>
        <w:t>32</w:t>
      </w:r>
      <w:r>
        <w:rPr>
          <w:kern w:val="2"/>
          <w:lang w:val="en-AU"/>
        </w:rPr>
        <w:t xml:space="preserve">). Apart from the essential crest, only one distal accessory ridge is present on the buccal cusp. The mesial and distal vertical groove on the buccal surface is </w:t>
      </w:r>
      <w:r>
        <w:rPr>
          <w:rFonts w:hint="eastAsia"/>
          <w:kern w:val="2"/>
          <w:lang w:val="en-US" w:eastAsia="zh-CN"/>
        </w:rPr>
        <w:t xml:space="preserve">faintly and </w:t>
      </w:r>
      <w:r>
        <w:rPr>
          <w:kern w:val="2"/>
          <w:lang w:val="en-AU"/>
        </w:rPr>
        <w:t>moderately developed, respectively. Although the root morpholog</w:t>
      </w:r>
      <w:r>
        <w:rPr>
          <w:rFonts w:hint="eastAsia"/>
          <w:kern w:val="2"/>
          <w:lang w:val="en-US" w:eastAsia="zh-CN"/>
        </w:rPr>
        <w:t>y</w:t>
      </w:r>
      <w:r>
        <w:rPr>
          <w:kern w:val="2"/>
          <w:lang w:val="en-AU"/>
        </w:rPr>
        <w:t xml:space="preserve"> is incomplete, the exposed root canal is single. </w:t>
      </w:r>
    </w:p>
    <w:p w14:paraId="25E8D71D">
      <w:pPr>
        <w:ind w:firstLine="0"/>
        <w:jc w:val="both"/>
        <w:rPr>
          <w:kern w:val="2"/>
          <w:lang w:val="en-AU"/>
        </w:rPr>
      </w:pPr>
      <w:r>
        <w:rPr>
          <w:i/>
          <w:iCs/>
          <w:kern w:val="2"/>
          <w:lang w:val="en-AU"/>
        </w:rPr>
        <w:t>Morphological comparison</w:t>
      </w:r>
      <w:r>
        <w:rPr>
          <w:kern w:val="2"/>
          <w:lang w:val="en-AU"/>
        </w:rPr>
        <w:t xml:space="preserve"> </w:t>
      </w:r>
    </w:p>
    <w:p w14:paraId="70914C2C">
      <w:pPr>
        <w:ind w:firstLine="240" w:firstLineChars="100"/>
        <w:jc w:val="both"/>
        <w:rPr>
          <w:kern w:val="2"/>
          <w:lang w:val="en-AU"/>
        </w:rPr>
      </w:pPr>
      <w:r>
        <w:rPr>
          <w:rFonts w:hint="eastAsia"/>
          <w:kern w:val="2"/>
        </w:rPr>
        <w:t xml:space="preserve">(1) </w:t>
      </w:r>
      <w:r>
        <w:rPr>
          <w:kern w:val="2"/>
          <w:lang w:val="en-AU"/>
        </w:rPr>
        <w:t xml:space="preserve">Lingual cusps variation: Zhoukoudian and Indonesian </w:t>
      </w:r>
      <w:r>
        <w:rPr>
          <w:i/>
          <w:iCs/>
          <w:kern w:val="2"/>
          <w:lang w:val="en-AU"/>
        </w:rPr>
        <w:t>H. erectus</w:t>
      </w:r>
      <w:r>
        <w:rPr>
          <w:kern w:val="2"/>
          <w:lang w:val="en-AU"/>
        </w:rPr>
        <w:t xml:space="preserve"> typically exhibits three or more lingual cusps or tubercles (Grade 4-5), with the metaconid apex positioned mesially. The lingual cusps of </w:t>
      </w:r>
      <w:r>
        <w:rPr>
          <w:i/>
          <w:iCs/>
          <w:kern w:val="2"/>
          <w:lang w:val="en-AU"/>
        </w:rPr>
        <w:t>H. heidelbergensis</w:t>
      </w:r>
      <w:r>
        <w:rPr>
          <w:kern w:val="2"/>
          <w:lang w:val="en-AU"/>
        </w:rPr>
        <w:t xml:space="preserve">, early Neanderthal, and </w:t>
      </w:r>
      <w:r>
        <w:rPr>
          <w:rFonts w:hint="eastAsia"/>
          <w:kern w:val="2"/>
          <w:lang w:val="en-US" w:eastAsia="zh-CN"/>
        </w:rPr>
        <w:t>l</w:t>
      </w:r>
      <w:r>
        <w:rPr>
          <w:kern w:val="2"/>
          <w:lang w:val="en-AU"/>
        </w:rPr>
        <w:t>ate Neanderthals varies from two to more than three (Grade 3-5)</w:t>
      </w:r>
      <w:r>
        <w:rPr>
          <w:rFonts w:hint="eastAsia"/>
          <w:vertAlign w:val="superscript"/>
          <w:lang w:val="en-US" w:eastAsia="zh-CN"/>
        </w:rPr>
        <w:t>33</w:t>
      </w:r>
      <w:r>
        <w:rPr>
          <w:kern w:val="2"/>
          <w:lang w:val="en-AU"/>
        </w:rPr>
        <w:t xml:space="preserve">, with metaconid apex generally being mesially located. Most fossil </w:t>
      </w:r>
      <w:r>
        <w:rPr>
          <w:i/>
          <w:iCs/>
          <w:kern w:val="2"/>
          <w:lang w:val="en-AU"/>
        </w:rPr>
        <w:t>H. sapiens</w:t>
      </w:r>
      <w:r>
        <w:rPr>
          <w:kern w:val="2"/>
          <w:lang w:val="en-AU"/>
        </w:rPr>
        <w:t xml:space="preserve"> display one to three lingual cusps or tubercles, though some lacks this feature</w:t>
      </w:r>
      <w:r>
        <w:rPr>
          <w:rFonts w:hint="eastAsia"/>
          <w:vertAlign w:val="superscript"/>
          <w:lang w:val="en-US" w:eastAsia="zh-CN"/>
        </w:rPr>
        <w:t>33</w:t>
      </w:r>
      <w:r>
        <w:rPr>
          <w:kern w:val="2"/>
          <w:lang w:val="en-AU"/>
        </w:rPr>
        <w:t xml:space="preserve">. 76.8% of the recent </w:t>
      </w:r>
      <w:r>
        <w:rPr>
          <w:i/>
          <w:iCs/>
          <w:kern w:val="2"/>
          <w:lang w:val="en-AU"/>
        </w:rPr>
        <w:t>H. sapiens</w:t>
      </w:r>
      <w:r>
        <w:rPr>
          <w:kern w:val="2"/>
          <w:lang w:val="en-AU"/>
        </w:rPr>
        <w:t xml:space="preserve"> published by Martínon-Torres</w:t>
      </w:r>
      <w:r>
        <w:rPr>
          <w:rFonts w:hint="eastAsia"/>
          <w:vertAlign w:val="superscript"/>
          <w:lang w:val="en-US" w:eastAsia="zh-CN"/>
        </w:rPr>
        <w:t>33</w:t>
      </w:r>
      <w:r>
        <w:rPr>
          <w:kern w:val="2"/>
          <w:lang w:val="en-AU"/>
        </w:rPr>
        <w:t xml:space="preserve"> varies from absent to one lingual cusp and a ridge or platform (Grade 0-2). The lingual side of the lower fourth premolar from Hualongdong is comprising one mesially-located metaconid and three distal ridges or tubercles</w:t>
      </w:r>
      <w:r>
        <w:rPr>
          <w:rFonts w:hint="eastAsia"/>
          <w:vertAlign w:val="superscript"/>
          <w:lang w:val="en-US" w:eastAsia="zh-CN"/>
        </w:rPr>
        <w:t>35</w:t>
      </w:r>
      <w:r>
        <w:rPr>
          <w:kern w:val="2"/>
          <w:lang w:val="en-AU"/>
        </w:rPr>
        <w:t xml:space="preserve">. In the lingual cusps variation, the Bianfu Cave premolar is more derived than the complex morphology of </w:t>
      </w:r>
      <w:r>
        <w:rPr>
          <w:i/>
          <w:iCs/>
          <w:kern w:val="2"/>
          <w:lang w:val="en-AU"/>
        </w:rPr>
        <w:t>H. erectus</w:t>
      </w:r>
      <w:r>
        <w:rPr>
          <w:kern w:val="2"/>
          <w:lang w:val="en-AU"/>
        </w:rPr>
        <w:t xml:space="preserve">, </w:t>
      </w:r>
      <w:r>
        <w:rPr>
          <w:i/>
          <w:iCs/>
          <w:kern w:val="2"/>
          <w:lang w:val="en-AU"/>
        </w:rPr>
        <w:t>H. heidelbergensis</w:t>
      </w:r>
      <w:r>
        <w:rPr>
          <w:kern w:val="2"/>
          <w:lang w:val="en-AU"/>
        </w:rPr>
        <w:t xml:space="preserve">, Neanderthals, and late Middle Pleistocene </w:t>
      </w:r>
      <w:r>
        <w:rPr>
          <w:i/>
          <w:kern w:val="2"/>
          <w:lang w:val="en-AU"/>
        </w:rPr>
        <w:t>Homo</w:t>
      </w:r>
      <w:r>
        <w:rPr>
          <w:kern w:val="2"/>
          <w:lang w:val="en-AU"/>
        </w:rPr>
        <w:t xml:space="preserve"> from Hualongdong, and lumps into the variation of </w:t>
      </w:r>
      <w:r>
        <w:rPr>
          <w:i/>
          <w:iCs/>
          <w:kern w:val="2"/>
          <w:lang w:val="en-AU"/>
        </w:rPr>
        <w:t>H. sapiens</w:t>
      </w:r>
      <w:r>
        <w:rPr>
          <w:kern w:val="2"/>
          <w:lang w:val="en-AU"/>
        </w:rPr>
        <w:t>.</w:t>
      </w:r>
    </w:p>
    <w:p w14:paraId="11242F9F">
      <w:pPr>
        <w:ind w:firstLine="240" w:firstLineChars="100"/>
        <w:jc w:val="both"/>
        <w:rPr>
          <w:kern w:val="2"/>
          <w:lang w:val="en-AU"/>
        </w:rPr>
      </w:pPr>
      <w:r>
        <w:rPr>
          <w:rFonts w:hint="eastAsia"/>
          <w:kern w:val="2"/>
        </w:rPr>
        <w:t xml:space="preserve">(2) </w:t>
      </w:r>
      <w:r>
        <w:rPr>
          <w:kern w:val="2"/>
          <w:lang w:val="en-AU"/>
        </w:rPr>
        <w:t xml:space="preserve">Talonid: </w:t>
      </w:r>
      <w:r>
        <w:rPr>
          <w:i/>
          <w:iCs/>
          <w:kern w:val="2"/>
          <w:lang w:val="en-AU"/>
        </w:rPr>
        <w:t>H. erectus</w:t>
      </w:r>
      <w:r>
        <w:rPr>
          <w:kern w:val="2"/>
          <w:lang w:val="en-AU"/>
        </w:rPr>
        <w:t xml:space="preserve"> from Zhoukoudian</w:t>
      </w:r>
      <w:r>
        <w:rPr>
          <w:rFonts w:hint="eastAsia"/>
          <w:vertAlign w:val="superscript"/>
          <w:lang w:val="en-US" w:eastAsia="zh-CN"/>
        </w:rPr>
        <w:t>36</w:t>
      </w:r>
      <w:r>
        <w:rPr>
          <w:vertAlign w:val="superscript"/>
        </w:rPr>
        <w:t>,</w:t>
      </w:r>
      <w:r>
        <w:rPr>
          <w:rFonts w:hint="eastAsia"/>
          <w:vertAlign w:val="superscript"/>
          <w:lang w:val="en-US" w:eastAsia="zh-CN"/>
        </w:rPr>
        <w:t>37</w:t>
      </w:r>
      <w:r>
        <w:rPr>
          <w:kern w:val="2"/>
          <w:lang w:val="en-AU"/>
        </w:rPr>
        <w:t xml:space="preserve"> and Indonesian</w:t>
      </w:r>
      <w:r>
        <w:rPr>
          <w:rFonts w:hint="eastAsia"/>
          <w:vertAlign w:val="superscript"/>
          <w:lang w:val="en-US" w:eastAsia="zh-CN"/>
        </w:rPr>
        <w:t>38</w:t>
      </w:r>
      <w:r>
        <w:rPr>
          <w:kern w:val="2"/>
          <w:lang w:val="en-AU"/>
        </w:rPr>
        <w:t xml:space="preserve"> generally have a well-developed talonid extending buccally, corresponding a clear distal vertical groove on the buccal surface and a mesially-displaced protoconid apex. The talonid in Hualongdong tooth is also very large and extends buccally, although the distal vertical groove is not well-developed on the buccal surface</w:t>
      </w:r>
      <w:r>
        <w:rPr>
          <w:rFonts w:hint="eastAsia"/>
          <w:vertAlign w:val="superscript"/>
          <w:lang w:val="en-US" w:eastAsia="zh-CN"/>
        </w:rPr>
        <w:t>35</w:t>
      </w:r>
      <w:r>
        <w:rPr>
          <w:kern w:val="2"/>
          <w:lang w:val="en-AU"/>
        </w:rPr>
        <w:t xml:space="preserve">. In contrast, </w:t>
      </w:r>
      <w:r>
        <w:rPr>
          <w:i/>
          <w:iCs/>
          <w:kern w:val="2"/>
          <w:lang w:val="en-AU"/>
        </w:rPr>
        <w:t>H. heidelbergensis</w:t>
      </w:r>
      <w:r>
        <w:rPr>
          <w:kern w:val="2"/>
          <w:lang w:val="en-AU"/>
        </w:rPr>
        <w:t xml:space="preserve">, Neanderthals, and </w:t>
      </w:r>
      <w:r>
        <w:rPr>
          <w:i/>
          <w:iCs/>
          <w:kern w:val="2"/>
          <w:lang w:val="en-AU"/>
        </w:rPr>
        <w:t>H. sapiens</w:t>
      </w:r>
      <w:r>
        <w:rPr>
          <w:kern w:val="2"/>
          <w:lang w:val="en-AU"/>
        </w:rPr>
        <w:t xml:space="preserve"> tend to lack a buccally extended talonid and their buccal surfaces are typically smooth</w:t>
      </w:r>
      <w:r>
        <w:rPr>
          <w:rFonts w:hint="eastAsia"/>
          <w:vertAlign w:val="superscript"/>
          <w:lang w:val="en-US" w:eastAsia="zh-CN"/>
        </w:rPr>
        <w:t>33</w:t>
      </w:r>
      <w:r>
        <w:rPr>
          <w:color w:val="auto"/>
          <w:kern w:val="2"/>
          <w:lang w:val="en-AU"/>
        </w:rPr>
        <w:t xml:space="preserve">. </w:t>
      </w:r>
      <w:r>
        <w:rPr>
          <w:kern w:val="2"/>
          <w:lang w:val="en-AU"/>
        </w:rPr>
        <w:t xml:space="preserve">In this feature, i.e., buccally extended talonid, the Bianfu Cave and Hualongdong teeth retain the primitive states as in </w:t>
      </w:r>
      <w:r>
        <w:rPr>
          <w:i/>
          <w:iCs/>
          <w:kern w:val="2"/>
          <w:lang w:val="en-AU"/>
        </w:rPr>
        <w:t>H</w:t>
      </w:r>
      <w:r>
        <w:rPr>
          <w:rFonts w:hint="eastAsia"/>
          <w:i/>
          <w:iCs/>
          <w:kern w:val="2"/>
        </w:rPr>
        <w:t>.</w:t>
      </w:r>
      <w:r>
        <w:rPr>
          <w:i/>
          <w:iCs/>
          <w:kern w:val="2"/>
          <w:lang w:val="en-AU"/>
        </w:rPr>
        <w:t xml:space="preserve"> erectus</w:t>
      </w:r>
      <w:r>
        <w:rPr>
          <w:kern w:val="2"/>
          <w:lang w:val="en-AU"/>
        </w:rPr>
        <w:t xml:space="preserve">, differing from Neanderthals and </w:t>
      </w:r>
      <w:r>
        <w:rPr>
          <w:i/>
          <w:iCs/>
          <w:kern w:val="2"/>
          <w:lang w:val="en-AU"/>
        </w:rPr>
        <w:t>H. sapiens</w:t>
      </w:r>
      <w:r>
        <w:rPr>
          <w:kern w:val="2"/>
          <w:lang w:val="en-AU"/>
        </w:rPr>
        <w:t xml:space="preserve">. </w:t>
      </w:r>
    </w:p>
    <w:p w14:paraId="34438F26">
      <w:pPr>
        <w:ind w:firstLine="240" w:firstLineChars="100"/>
        <w:jc w:val="both"/>
        <w:rPr>
          <w:kern w:val="2"/>
          <w:lang w:val="en-AU"/>
        </w:rPr>
      </w:pPr>
      <w:r>
        <w:rPr>
          <w:rFonts w:hint="eastAsia"/>
          <w:kern w:val="2"/>
          <w:highlight w:val="none"/>
        </w:rPr>
        <w:t xml:space="preserve">(3) </w:t>
      </w:r>
      <w:r>
        <w:rPr>
          <w:kern w:val="2"/>
          <w:highlight w:val="none"/>
          <w:lang w:val="en-AU"/>
        </w:rPr>
        <w:t xml:space="preserve">Transverse crest: The transverse crest in most </w:t>
      </w:r>
      <w:r>
        <w:rPr>
          <w:i/>
          <w:iCs/>
          <w:kern w:val="2"/>
          <w:highlight w:val="none"/>
          <w:lang w:val="en-AU"/>
        </w:rPr>
        <w:t>H. erectus</w:t>
      </w:r>
      <w:r>
        <w:rPr>
          <w:kern w:val="2"/>
          <w:highlight w:val="none"/>
          <w:lang w:val="en-AU"/>
        </w:rPr>
        <w:t xml:space="preserve"> from Zhoukoudian and Indonesian is absent or notched by the central groove. 80% of </w:t>
      </w:r>
      <w:r>
        <w:rPr>
          <w:i/>
          <w:iCs/>
          <w:kern w:val="2"/>
          <w:highlight w:val="none"/>
          <w:lang w:val="en-AU"/>
        </w:rPr>
        <w:t>H. heidelbergensis</w:t>
      </w:r>
      <w:r>
        <w:rPr>
          <w:kern w:val="2"/>
          <w:highlight w:val="none"/>
          <w:lang w:val="en-AU"/>
        </w:rPr>
        <w:t>, 95% of early Neanderthals, and 80.7% of late Neanderthals have a completely or partially continuous transverse crest</w:t>
      </w:r>
      <w:r>
        <w:rPr>
          <w:rFonts w:hint="eastAsia"/>
          <w:highlight w:val="none"/>
          <w:vertAlign w:val="superscript"/>
          <w:lang w:val="en-US" w:eastAsia="zh-CN"/>
        </w:rPr>
        <w:t>33</w:t>
      </w:r>
      <w:r>
        <w:rPr>
          <w:kern w:val="2"/>
          <w:highlight w:val="none"/>
          <w:lang w:val="en-AU"/>
        </w:rPr>
        <w:t xml:space="preserve">. Comparatively, 45.8% of fossil </w:t>
      </w:r>
      <w:r>
        <w:rPr>
          <w:i/>
          <w:iCs/>
          <w:kern w:val="2"/>
          <w:highlight w:val="none"/>
          <w:lang w:val="en-AU"/>
        </w:rPr>
        <w:t>H. sapiens</w:t>
      </w:r>
      <w:r>
        <w:rPr>
          <w:kern w:val="2"/>
          <w:highlight w:val="none"/>
          <w:lang w:val="en-AU"/>
        </w:rPr>
        <w:t xml:space="preserve"> and </w:t>
      </w:r>
      <w:r>
        <w:rPr>
          <w:kern w:val="2"/>
          <w:lang w:val="en-AU"/>
        </w:rPr>
        <w:t xml:space="preserve">81.7% of recent </w:t>
      </w:r>
      <w:r>
        <w:rPr>
          <w:i/>
          <w:iCs/>
          <w:kern w:val="2"/>
          <w:lang w:val="en-AU"/>
        </w:rPr>
        <w:t>H. sapiens</w:t>
      </w:r>
      <w:r>
        <w:rPr>
          <w:kern w:val="2"/>
          <w:lang w:val="en-AU"/>
        </w:rPr>
        <w:t xml:space="preserve"> lack transverse crest</w:t>
      </w:r>
      <w:r>
        <w:rPr>
          <w:rFonts w:hint="eastAsia"/>
          <w:vertAlign w:val="superscript"/>
          <w:lang w:val="en-US" w:eastAsia="zh-CN"/>
        </w:rPr>
        <w:t>33</w:t>
      </w:r>
      <w:r>
        <w:rPr>
          <w:kern w:val="2"/>
          <w:lang w:val="en-AU"/>
        </w:rPr>
        <w:t>. Hualongdong tooth doesn’t exhibit a continuous transverse crest</w:t>
      </w:r>
      <w:r>
        <w:rPr>
          <w:rFonts w:hint="eastAsia"/>
          <w:vertAlign w:val="superscript"/>
          <w:lang w:val="en-US" w:eastAsia="zh-CN"/>
        </w:rPr>
        <w:t>35</w:t>
      </w:r>
      <w:r>
        <w:rPr>
          <w:kern w:val="2"/>
          <w:lang w:val="en-AU"/>
        </w:rPr>
        <w:t xml:space="preserve">. The absence of a transverse crest in Bianfu tooth reflects a common state as in </w:t>
      </w:r>
      <w:r>
        <w:rPr>
          <w:i/>
          <w:iCs/>
          <w:kern w:val="2"/>
          <w:lang w:val="en-AU"/>
        </w:rPr>
        <w:t>H. erectus</w:t>
      </w:r>
      <w:r>
        <w:rPr>
          <w:kern w:val="2"/>
          <w:lang w:val="en-AU"/>
        </w:rPr>
        <w:t xml:space="preserve"> and </w:t>
      </w:r>
      <w:r>
        <w:rPr>
          <w:i/>
          <w:iCs/>
          <w:kern w:val="2"/>
          <w:lang w:val="en-AU"/>
        </w:rPr>
        <w:t>H. sapiens</w:t>
      </w:r>
      <w:r>
        <w:rPr>
          <w:kern w:val="2"/>
          <w:lang w:val="en-AU"/>
        </w:rPr>
        <w:t xml:space="preserve">, but distinct from </w:t>
      </w:r>
      <w:r>
        <w:rPr>
          <w:i/>
          <w:iCs/>
          <w:kern w:val="2"/>
          <w:lang w:val="en-AU"/>
        </w:rPr>
        <w:t xml:space="preserve">H. heidelbergensis </w:t>
      </w:r>
      <w:r>
        <w:rPr>
          <w:kern w:val="2"/>
          <w:lang w:val="en-AU"/>
        </w:rPr>
        <w:t xml:space="preserve">and </w:t>
      </w:r>
      <w:r>
        <w:rPr>
          <w:rFonts w:hint="eastAsia"/>
          <w:kern w:val="2"/>
          <w:lang w:val="en-US" w:eastAsia="zh-CN"/>
        </w:rPr>
        <w:t>Neanderthals</w:t>
      </w:r>
      <w:r>
        <w:rPr>
          <w:kern w:val="2"/>
          <w:lang w:val="en-AU"/>
        </w:rPr>
        <w:t>.</w:t>
      </w:r>
    </w:p>
    <w:p w14:paraId="1ED77AF9">
      <w:pPr>
        <w:ind w:firstLine="240" w:firstLineChars="100"/>
        <w:jc w:val="both"/>
        <w:rPr>
          <w:kern w:val="2"/>
          <w:lang w:val="en-AU"/>
        </w:rPr>
      </w:pPr>
      <w:r>
        <w:rPr>
          <w:rFonts w:hint="eastAsia"/>
          <w:kern w:val="2"/>
        </w:rPr>
        <w:t xml:space="preserve">(4) </w:t>
      </w:r>
      <w:r>
        <w:rPr>
          <w:kern w:val="2"/>
          <w:lang w:val="en-AU"/>
        </w:rPr>
        <w:t xml:space="preserve">Crown outline shape: The lower fourth premolar of </w:t>
      </w:r>
      <w:r>
        <w:rPr>
          <w:i/>
          <w:iCs/>
          <w:kern w:val="2"/>
          <w:lang w:val="en-AU"/>
        </w:rPr>
        <w:t>H. erectus</w:t>
      </w:r>
      <w:r>
        <w:rPr>
          <w:kern w:val="2"/>
          <w:lang w:val="en-AU"/>
        </w:rPr>
        <w:t xml:space="preserve"> generally exhibit</w:t>
      </w:r>
      <w:r>
        <w:rPr>
          <w:rFonts w:hint="eastAsia"/>
          <w:kern w:val="2"/>
          <w:lang w:val="en-US" w:eastAsia="zh-CN"/>
        </w:rPr>
        <w:t>s</w:t>
      </w:r>
      <w:r>
        <w:rPr>
          <w:kern w:val="2"/>
          <w:lang w:val="en-AU"/>
        </w:rPr>
        <w:t xml:space="preserve"> an asymmetrical crown outline because </w:t>
      </w:r>
      <w:r>
        <w:rPr>
          <w:rFonts w:hint="eastAsia"/>
          <w:kern w:val="2"/>
          <w:lang w:val="en-US" w:eastAsia="zh-CN"/>
        </w:rPr>
        <w:t xml:space="preserve">of </w:t>
      </w:r>
      <w:r>
        <w:rPr>
          <w:kern w:val="2"/>
          <w:lang w:val="en-AU"/>
        </w:rPr>
        <w:t>the well-develop</w:t>
      </w:r>
      <w:r>
        <w:rPr>
          <w:rFonts w:hint="eastAsia"/>
          <w:kern w:val="2"/>
          <w:lang w:val="en-US" w:eastAsia="zh-CN"/>
        </w:rPr>
        <w:t>ed</w:t>
      </w:r>
      <w:r>
        <w:rPr>
          <w:kern w:val="2"/>
          <w:lang w:val="en-AU"/>
        </w:rPr>
        <w:t xml:space="preserve"> talonid and the most protruded location of the buccal contour being mesially displaced. This pattern is also present in East Asian late Middle Pleistocene </w:t>
      </w:r>
      <w:r>
        <w:rPr>
          <w:i/>
          <w:kern w:val="2"/>
          <w:lang w:val="en-AU"/>
        </w:rPr>
        <w:t>Homo</w:t>
      </w:r>
      <w:r>
        <w:rPr>
          <w:kern w:val="2"/>
          <w:lang w:val="en-AU"/>
        </w:rPr>
        <w:t xml:space="preserve"> from Hualongdong</w:t>
      </w:r>
      <w:r>
        <w:rPr>
          <w:rFonts w:hint="eastAsia"/>
          <w:vertAlign w:val="superscript"/>
          <w:lang w:val="en-US" w:eastAsia="zh-CN"/>
        </w:rPr>
        <w:t>35</w:t>
      </w:r>
      <w:r>
        <w:rPr>
          <w:kern w:val="2"/>
          <w:lang w:val="en-AU"/>
        </w:rPr>
        <w:t>. Neanderthals tend to display an asymmetrical contour with the distolingual corner being pronouncedly protruded and the buccal contour being approximately symmetrical along the buccolingual axis. The P</w:t>
      </w:r>
      <w:r>
        <w:rPr>
          <w:kern w:val="2"/>
          <w:vertAlign w:val="subscript"/>
          <w:lang w:val="en-AU"/>
        </w:rPr>
        <w:t>4</w:t>
      </w:r>
      <w:r>
        <w:rPr>
          <w:kern w:val="2"/>
          <w:lang w:val="en-AU"/>
        </w:rPr>
        <w:t xml:space="preserve"> of </w:t>
      </w:r>
      <w:r>
        <w:rPr>
          <w:i/>
          <w:iCs/>
          <w:kern w:val="2"/>
          <w:lang w:val="en-AU"/>
        </w:rPr>
        <w:t>H. sapiens</w:t>
      </w:r>
      <w:r>
        <w:rPr>
          <w:kern w:val="2"/>
          <w:lang w:val="en-AU"/>
        </w:rPr>
        <w:t xml:space="preserve"> tend to exhibit symmetrical round/elliptical crown, despite asymmetrical type with the distolingual corner being protruded is also present in some cases. As a very derived form, some </w:t>
      </w:r>
      <w:r>
        <w:rPr>
          <w:i/>
          <w:iCs/>
          <w:kern w:val="2"/>
          <w:lang w:val="en-AU"/>
        </w:rPr>
        <w:t>H. sapiens</w:t>
      </w:r>
      <w:r>
        <w:rPr>
          <w:kern w:val="2"/>
          <w:lang w:val="en-AU"/>
        </w:rPr>
        <w:t xml:space="preserve"> P</w:t>
      </w:r>
      <w:r>
        <w:rPr>
          <w:kern w:val="2"/>
          <w:vertAlign w:val="subscript"/>
          <w:lang w:val="en-AU"/>
        </w:rPr>
        <w:t>4</w:t>
      </w:r>
      <w:r>
        <w:rPr>
          <w:kern w:val="2"/>
          <w:lang w:val="en-AU"/>
        </w:rPr>
        <w:t>s exhibit some approximately round or elliptical crown contour with the distolingual corner being constricted. The Bianfu Cave P</w:t>
      </w:r>
      <w:r>
        <w:rPr>
          <w:kern w:val="2"/>
          <w:vertAlign w:val="subscript"/>
          <w:lang w:val="en-AU"/>
        </w:rPr>
        <w:t>4</w:t>
      </w:r>
      <w:r>
        <w:rPr>
          <w:kern w:val="2"/>
          <w:lang w:val="en-AU"/>
        </w:rPr>
        <w:t xml:space="preserve">’s crown contour is approximately round, very close to the </w:t>
      </w:r>
      <w:r>
        <w:rPr>
          <w:i/>
          <w:iCs/>
          <w:kern w:val="2"/>
          <w:lang w:val="en-AU"/>
        </w:rPr>
        <w:t>H. sapiens</w:t>
      </w:r>
      <w:r>
        <w:rPr>
          <w:kern w:val="2"/>
          <w:lang w:val="en-AU"/>
        </w:rPr>
        <w:t xml:space="preserve">, distinct from the different asymmetrical types in </w:t>
      </w:r>
      <w:r>
        <w:rPr>
          <w:i/>
          <w:iCs/>
          <w:kern w:val="2"/>
          <w:lang w:val="en-AU"/>
        </w:rPr>
        <w:t>H. erectus</w:t>
      </w:r>
      <w:r>
        <w:rPr>
          <w:kern w:val="2"/>
          <w:lang w:val="en-AU"/>
        </w:rPr>
        <w:t xml:space="preserve"> and Neanderthals.  </w:t>
      </w:r>
    </w:p>
    <w:p w14:paraId="4B9577F3">
      <w:pPr>
        <w:pStyle w:val="4"/>
      </w:pPr>
      <w:r>
        <w:t>Lower right second molar</w:t>
      </w:r>
      <w:r>
        <w:rPr>
          <w:rFonts w:hint="eastAsia"/>
        </w:rPr>
        <w:t>s</w:t>
      </w:r>
      <w:r>
        <w:t xml:space="preserve"> (YHB-2890 and YHB-3075)</w:t>
      </w:r>
    </w:p>
    <w:p w14:paraId="402788C8">
      <w:pPr>
        <w:pStyle w:val="5"/>
        <w:rPr>
          <w:lang w:val="en-AU"/>
        </w:rPr>
      </w:pPr>
      <w:r>
        <w:rPr>
          <w:lang w:val="en-AU"/>
        </w:rPr>
        <w:t>Morphological description</w:t>
      </w:r>
    </w:p>
    <w:p w14:paraId="47B742E3">
      <w:pPr>
        <w:ind w:firstLine="240" w:firstLineChars="100"/>
        <w:jc w:val="both"/>
        <w:rPr>
          <w:kern w:val="2"/>
          <w:lang w:val="en-AU"/>
        </w:rPr>
      </w:pPr>
      <w:r>
        <w:rPr>
          <w:kern w:val="2"/>
          <w:lang w:val="en-AU"/>
        </w:rPr>
        <w:t>There are two lower right second molars, YHB2890 and YHB3075. The YHB2890 is represented by a nearly complete crown without any occlusal or interproximal wear (</w:t>
      </w:r>
      <w:r>
        <w:rPr>
          <w:rFonts w:hint="eastAsia"/>
          <w:color w:val="0000FF"/>
          <w:lang w:val="en-AU"/>
        </w:rPr>
        <w:t>Fig.</w:t>
      </w:r>
      <w:r>
        <w:rPr>
          <w:rFonts w:hint="eastAsia"/>
          <w:color w:val="0000FF"/>
          <w:lang w:val="en-US" w:eastAsia="zh-CN"/>
        </w:rPr>
        <w:t xml:space="preserve"> </w:t>
      </w:r>
      <w:r>
        <w:rPr>
          <w:rFonts w:hint="eastAsia"/>
          <w:color w:val="0000FF"/>
          <w:lang w:val="en-AU"/>
        </w:rPr>
        <w:t xml:space="preserve">3; </w:t>
      </w:r>
      <w:r>
        <w:rPr>
          <w:color w:val="0000FF"/>
          <w:lang w:val="en-AU"/>
        </w:rPr>
        <w:t xml:space="preserve">Extended Data Fig. </w:t>
      </w:r>
      <w:r>
        <w:rPr>
          <w:rFonts w:hint="eastAsia"/>
          <w:color w:val="0000FF"/>
          <w:lang w:val="en-AU"/>
        </w:rPr>
        <w:t>3</w:t>
      </w:r>
      <w:r>
        <w:rPr>
          <w:rFonts w:hint="eastAsia"/>
          <w:color w:val="0000FF"/>
          <w:kern w:val="2"/>
          <w:lang w:val="en-AU"/>
        </w:rPr>
        <w:t xml:space="preserve">; </w:t>
      </w:r>
      <w:r>
        <w:rPr>
          <w:color w:val="0000FF"/>
          <w:lang w:val="en-AU"/>
        </w:rPr>
        <w:fldChar w:fldCharType="begin"/>
      </w:r>
      <w:r>
        <w:rPr>
          <w:color w:val="0000FF"/>
          <w:lang w:val="en-AU"/>
        </w:rPr>
        <w:instrText xml:space="preserve"> REF _Ref208220155 \h </w:instrText>
      </w:r>
      <w:r>
        <w:rPr>
          <w:color w:val="0000FF"/>
          <w:lang w:val="en-AU"/>
        </w:rPr>
        <w:fldChar w:fldCharType="separate"/>
      </w:r>
      <w:r>
        <w:rPr>
          <w:color w:val="0000FF"/>
        </w:rPr>
        <w:t xml:space="preserve">Supplementary Table </w:t>
      </w:r>
      <w:r>
        <w:rPr>
          <w:rFonts w:hint="eastAsia"/>
          <w:color w:val="0000FF"/>
          <w:lang w:val="en-US" w:eastAsia="zh-CN"/>
        </w:rPr>
        <w:t>1</w:t>
      </w:r>
      <w:r>
        <w:rPr>
          <w:color w:val="0000FF"/>
          <w:lang w:val="en-AU"/>
        </w:rPr>
        <w:fldChar w:fldCharType="end"/>
      </w:r>
      <w:r>
        <w:rPr>
          <w:rFonts w:hint="eastAsia"/>
          <w:color w:val="0000FF"/>
          <w:lang w:val="en-US" w:eastAsia="zh-CN"/>
        </w:rPr>
        <w:t>0</w:t>
      </w:r>
      <w:r>
        <w:rPr>
          <w:kern w:val="2"/>
          <w:lang w:val="en-AU"/>
        </w:rPr>
        <w:t xml:space="preserve">). </w:t>
      </w:r>
      <w:r>
        <w:rPr>
          <w:rFonts w:hint="eastAsia" w:eastAsiaTheme="minorEastAsia"/>
        </w:rPr>
        <w:t>It</w:t>
      </w:r>
      <w:r>
        <w:rPr>
          <w:rFonts w:eastAsia="Times New Roman"/>
        </w:rPr>
        <w:t xml:space="preserve"> shows no occlusal wear, suggesting that the tooth was not erupted yet, corresponding to an age younger than 11</w:t>
      </w:r>
      <w:r>
        <w:rPr>
          <w:rFonts w:hint="eastAsia"/>
        </w:rPr>
        <w:t>.4</w:t>
      </w:r>
      <w:r>
        <w:rPr>
          <w:rFonts w:eastAsia="Times New Roman"/>
        </w:rPr>
        <w:t xml:space="preserve"> years, the clinical emergence age for modern human M</w:t>
      </w:r>
      <w:r>
        <w:rPr>
          <w:rFonts w:eastAsia="Times New Roman"/>
          <w:vertAlign w:val="subscript"/>
        </w:rPr>
        <w:t>2</w:t>
      </w:r>
      <w:r>
        <w:rPr>
          <w:rFonts w:hint="eastAsia"/>
          <w:vertAlign w:val="superscript"/>
        </w:rPr>
        <w:t>2</w:t>
      </w:r>
      <w:r>
        <w:rPr>
          <w:rFonts w:hint="eastAsia"/>
          <w:vertAlign w:val="superscript"/>
          <w:lang w:val="en-US" w:eastAsia="zh-CN"/>
        </w:rPr>
        <w:t>6</w:t>
      </w:r>
      <w:r>
        <w:rPr>
          <w:rFonts w:hint="eastAsia"/>
          <w:vertAlign w:val="superscript"/>
        </w:rPr>
        <w:t>,2</w:t>
      </w:r>
      <w:r>
        <w:rPr>
          <w:rFonts w:hint="eastAsia"/>
          <w:vertAlign w:val="superscript"/>
          <w:lang w:val="en-US" w:eastAsia="zh-CN"/>
        </w:rPr>
        <w:t>7</w:t>
      </w:r>
      <w:r>
        <w:rPr>
          <w:rFonts w:eastAsia="Times New Roman"/>
        </w:rPr>
        <w:t>. However, the broken root and pulp cavity preclude any further age assessment.</w:t>
      </w:r>
      <w:r>
        <w:rPr>
          <w:kern w:val="2"/>
          <w:lang w:val="en-AU"/>
        </w:rPr>
        <w:t xml:space="preserve"> Viewed occlusally, the crown outline is elliptical with a relatively longer mesiodistal dimension. The buccolingual dimension of the trigonid and talonid is similar. The five main cusps are well-developed, with the protoconid and entoconid in contact, forming an “X” pattern. The hypoconulid is small (Grade 2), and the entoconulid (C6) is large (Grade 3). No metaconulid or C7, deflecting wrinkle, and protostylid is present. The anterior fovea is linear and deep (Grade 2), with a partially notched </w:t>
      </w:r>
      <w:r>
        <w:rPr>
          <w:rFonts w:hint="eastAsia"/>
          <w:kern w:val="2"/>
          <w:lang w:val="en-AU"/>
        </w:rPr>
        <w:t>middle-</w:t>
      </w:r>
      <w:r>
        <w:rPr>
          <w:kern w:val="2"/>
          <w:lang w:val="en-AU"/>
        </w:rPr>
        <w:t xml:space="preserve">trigonid crest distal to it, intersected by the central groove. </w:t>
      </w:r>
    </w:p>
    <w:p w14:paraId="5C8DDD53">
      <w:pPr>
        <w:ind w:firstLine="240" w:firstLineChars="100"/>
        <w:jc w:val="both"/>
        <w:rPr>
          <w:kern w:val="2"/>
          <w:lang w:val="en-AU"/>
        </w:rPr>
      </w:pPr>
      <w:r>
        <w:rPr>
          <w:kern w:val="2"/>
          <w:lang w:val="en-AU"/>
        </w:rPr>
        <w:t>The YHB3075 is represented by a complete crown and partial root (</w:t>
      </w:r>
      <w:r>
        <w:rPr>
          <w:rFonts w:hint="eastAsia"/>
          <w:color w:val="0000FF"/>
          <w:kern w:val="2"/>
          <w:lang w:val="en-US" w:eastAsia="zh-CN"/>
        </w:rPr>
        <w:t xml:space="preserve">Fig. 3; </w:t>
      </w:r>
      <w:r>
        <w:rPr>
          <w:color w:val="0000FF"/>
          <w:kern w:val="2"/>
          <w:lang w:val="en-AU"/>
        </w:rPr>
        <w:t>Extended Data Fig.</w:t>
      </w:r>
      <w:r>
        <w:rPr>
          <w:rFonts w:hint="eastAsia"/>
          <w:color w:val="0000FF"/>
          <w:kern w:val="2"/>
          <w:lang w:val="en-US" w:eastAsia="zh-CN"/>
        </w:rPr>
        <w:t xml:space="preserve"> </w:t>
      </w:r>
      <w:r>
        <w:rPr>
          <w:color w:val="0000FF"/>
          <w:kern w:val="2"/>
          <w:lang w:val="en-AU"/>
        </w:rPr>
        <w:t>3</w:t>
      </w:r>
      <w:r>
        <w:rPr>
          <w:rFonts w:hint="eastAsia"/>
          <w:color w:val="0000FF"/>
          <w:kern w:val="2"/>
          <w:lang w:val="en-AU"/>
        </w:rPr>
        <w:t>;</w:t>
      </w:r>
      <w:r>
        <w:rPr>
          <w:rFonts w:hint="eastAsia"/>
          <w:kern w:val="2"/>
          <w:lang w:val="en-AU"/>
        </w:rPr>
        <w:t xml:space="preserve"> </w:t>
      </w:r>
      <w:r>
        <w:rPr>
          <w:color w:val="0000FF"/>
          <w:kern w:val="2"/>
          <w:lang w:val="en-AU"/>
        </w:rPr>
        <w:t xml:space="preserve">Supplementary </w:t>
      </w:r>
      <w:r>
        <w:rPr>
          <w:rFonts w:hint="eastAsia"/>
          <w:color w:val="0000FF"/>
          <w:kern w:val="2"/>
          <w:lang w:val="en-US" w:eastAsia="zh-CN"/>
        </w:rPr>
        <w:t>Table 10</w:t>
      </w:r>
      <w:r>
        <w:rPr>
          <w:kern w:val="2"/>
          <w:lang w:val="en-AU"/>
        </w:rPr>
        <w:t xml:space="preserve">). </w:t>
      </w:r>
      <w:r>
        <w:rPr>
          <w:rFonts w:hint="eastAsia" w:eastAsiaTheme="minorEastAsia"/>
        </w:rPr>
        <w:t>It</w:t>
      </w:r>
      <w:r>
        <w:rPr>
          <w:rFonts w:eastAsia="Times New Roman"/>
        </w:rPr>
        <w:t xml:space="preserve"> displays minor occlusal wear on t</w:t>
      </w:r>
      <w:r>
        <w:rPr>
          <w:kern w:val="2"/>
          <w:lang w:val="en-AU"/>
        </w:rPr>
        <w:t>he protoconid, metaconid, and entoconid (Grade 2 of Molar’s scoring system</w:t>
      </w:r>
      <w:r>
        <w:rPr>
          <w:rFonts w:hint="eastAsia"/>
          <w:vertAlign w:val="superscript"/>
          <w:lang w:val="en-US" w:eastAsia="zh-CN"/>
        </w:rPr>
        <w:t>34</w:t>
      </w:r>
      <w:r>
        <w:rPr>
          <w:kern w:val="2"/>
          <w:lang w:val="en-AU"/>
        </w:rPr>
        <w:t>)</w:t>
      </w:r>
      <w:r>
        <w:rPr>
          <w:rFonts w:eastAsia="Times New Roman"/>
        </w:rPr>
        <w:t>, indicating it had erupted into the oral cavity for a while, and more than 3/4 of the roots is formed (but broken apically) indicating a minimum age at death of 12.5 years according to modern standards</w:t>
      </w:r>
      <w:r>
        <w:rPr>
          <w:rFonts w:hint="eastAsia"/>
          <w:vertAlign w:val="superscript"/>
        </w:rPr>
        <w:t>2</w:t>
      </w:r>
      <w:r>
        <w:rPr>
          <w:rFonts w:hint="eastAsia"/>
          <w:vertAlign w:val="superscript"/>
          <w:lang w:val="en-US" w:eastAsia="zh-CN"/>
        </w:rPr>
        <w:t>6</w:t>
      </w:r>
      <w:r>
        <w:rPr>
          <w:rFonts w:hint="eastAsia" w:eastAsiaTheme="minorEastAsia"/>
        </w:rPr>
        <w:t>.</w:t>
      </w:r>
      <w:r>
        <w:rPr>
          <w:kern w:val="2"/>
          <w:lang w:val="en-AU"/>
        </w:rPr>
        <w:t xml:space="preserve"> The mesial interproximal wear facet is elliptical and there is no distal interproximal wear facet. The crown contour is ellipse-like with a relatively larger mesiodistal dimension. The five main cusps are well developed, with the protoconid and entoconid in contact, forming an “X” pattern. The hypoconulid is small (Grade 2), the entoconulid or C6 is medium-sized (Grade 2), and the metaconulid or C7 is a small (Grade 2). No deflecting wrinkle is present. The anterior fovea is linear and deep (Grade 2), with a middle trigonid crest notched by the central groove distal to it. A weak vertical groove near the occlusal surface on the buccal protoconid indicates a protostylid of Grade 3. The remaining root fragments suggest at least one mesial and one distal branch, bifurcating 4.6 mm from the cervical line. </w:t>
      </w:r>
    </w:p>
    <w:p w14:paraId="49709158">
      <w:pPr>
        <w:pStyle w:val="5"/>
        <w:rPr>
          <w:lang w:val="en-AU"/>
        </w:rPr>
      </w:pPr>
      <w:r>
        <w:rPr>
          <w:lang w:val="en-AU"/>
        </w:rPr>
        <w:t>Morphological comparison</w:t>
      </w:r>
    </w:p>
    <w:p w14:paraId="7E84AEC9">
      <w:pPr>
        <w:numPr>
          <w:ilvl w:val="0"/>
          <w:numId w:val="4"/>
        </w:numPr>
        <w:ind w:firstLine="240" w:firstLineChars="100"/>
        <w:jc w:val="both"/>
        <w:rPr>
          <w:kern w:val="2"/>
          <w:lang w:val="en-AU"/>
        </w:rPr>
      </w:pPr>
      <w:r>
        <w:rPr>
          <w:kern w:val="2"/>
          <w:lang w:val="en-AU"/>
        </w:rPr>
        <w:t xml:space="preserve">Hypoconulid size: The hypoconulid varies from medium-sized to very large in </w:t>
      </w:r>
      <w:r>
        <w:rPr>
          <w:i/>
          <w:iCs/>
          <w:kern w:val="2"/>
          <w:lang w:val="en-AU"/>
        </w:rPr>
        <w:t>H. erectus</w:t>
      </w:r>
      <w:r>
        <w:rPr>
          <w:kern w:val="2"/>
          <w:lang w:val="en-AU"/>
        </w:rPr>
        <w:t xml:space="preserve"> from Zhoukoudian and Indonesia. Comparatively, </w:t>
      </w:r>
      <w:r>
        <w:rPr>
          <w:i/>
          <w:iCs/>
          <w:kern w:val="2"/>
          <w:lang w:val="en-AU"/>
        </w:rPr>
        <w:t>H. heidelbergensis</w:t>
      </w:r>
      <w:r>
        <w:rPr>
          <w:kern w:val="2"/>
          <w:lang w:val="en-AU"/>
        </w:rPr>
        <w:t xml:space="preserve"> and Neanderthals typically have a small to very large hypoconulid, though it is absent in 28.6% of early Neanderthals and 14.2% of late Neanderthals</w:t>
      </w:r>
      <w:r>
        <w:rPr>
          <w:rFonts w:hint="eastAsia"/>
          <w:vertAlign w:val="superscript"/>
          <w:lang w:val="en-US" w:eastAsia="zh-CN"/>
        </w:rPr>
        <w:t>33</w:t>
      </w:r>
      <w:r>
        <w:rPr>
          <w:kern w:val="2"/>
          <w:lang w:val="en-AU"/>
        </w:rPr>
        <w:t xml:space="preserve">. The absence frequency increases to 64% in fossil </w:t>
      </w:r>
      <w:r>
        <w:rPr>
          <w:i/>
          <w:iCs/>
          <w:kern w:val="2"/>
          <w:lang w:val="en-AU"/>
        </w:rPr>
        <w:t>H. sapiens</w:t>
      </w:r>
      <w:r>
        <w:rPr>
          <w:kern w:val="2"/>
          <w:lang w:val="en-AU"/>
        </w:rPr>
        <w:t xml:space="preserve"> and 74.5% in recent </w:t>
      </w:r>
      <w:r>
        <w:rPr>
          <w:i/>
          <w:iCs/>
          <w:kern w:val="2"/>
          <w:lang w:val="en-AU"/>
        </w:rPr>
        <w:t>H. sapiens</w:t>
      </w:r>
      <w:r>
        <w:rPr>
          <w:rFonts w:hint="eastAsia"/>
          <w:vertAlign w:val="superscript"/>
          <w:lang w:val="en-US" w:eastAsia="zh-CN"/>
        </w:rPr>
        <w:t>33</w:t>
      </w:r>
      <w:r>
        <w:rPr>
          <w:kern w:val="2"/>
          <w:lang w:val="en-AU"/>
        </w:rPr>
        <w:t xml:space="preserve">. The lower second molars of East Asian late Middle Pleistocene </w:t>
      </w:r>
      <w:r>
        <w:rPr>
          <w:i/>
          <w:iCs/>
          <w:kern w:val="2"/>
          <w:lang w:val="en-AU"/>
        </w:rPr>
        <w:t>Homo</w:t>
      </w:r>
      <w:r>
        <w:rPr>
          <w:kern w:val="2"/>
          <w:lang w:val="en-AU"/>
        </w:rPr>
        <w:t xml:space="preserve"> from Hualongdong and Denisovans from Xiahe and </w:t>
      </w:r>
      <w:r>
        <w:rPr>
          <w:lang w:val="en-GB"/>
        </w:rPr>
        <w:t>Tam Ngu Hao 2</w:t>
      </w:r>
      <w:r>
        <w:rPr>
          <w:kern w:val="2"/>
          <w:lang w:val="en-AU"/>
        </w:rPr>
        <w:t xml:space="preserve"> exhibit medium-sized to large hypoconulid</w:t>
      </w:r>
      <w:r>
        <w:rPr>
          <w:rFonts w:hint="eastAsia"/>
          <w:vertAlign w:val="superscript"/>
          <w:lang w:val="en-US" w:eastAsia="zh-CN"/>
        </w:rPr>
        <w:t>35</w:t>
      </w:r>
      <w:r>
        <w:rPr>
          <w:vertAlign w:val="superscript"/>
        </w:rPr>
        <w:t>,</w:t>
      </w:r>
      <w:r>
        <w:rPr>
          <w:rFonts w:hint="eastAsia"/>
          <w:vertAlign w:val="superscript"/>
          <w:lang w:val="en-US" w:eastAsia="zh-CN"/>
        </w:rPr>
        <w:t>39</w:t>
      </w:r>
      <w:r>
        <w:rPr>
          <w:vertAlign w:val="superscript"/>
        </w:rPr>
        <w:t>,</w:t>
      </w:r>
      <w:r>
        <w:rPr>
          <w:rFonts w:hint="eastAsia"/>
          <w:vertAlign w:val="superscript"/>
          <w:lang w:val="en-US" w:eastAsia="zh-CN"/>
        </w:rPr>
        <w:t>40</w:t>
      </w:r>
      <w:r>
        <w:rPr>
          <w:kern w:val="2"/>
          <w:lang w:val="en-AU"/>
        </w:rPr>
        <w:t xml:space="preserve">. The small hypoconulid in Bianfu Cave is smaller than those in </w:t>
      </w:r>
      <w:r>
        <w:rPr>
          <w:i/>
          <w:iCs/>
          <w:kern w:val="2"/>
          <w:lang w:val="en-AU"/>
        </w:rPr>
        <w:t>H. erectus</w:t>
      </w:r>
      <w:r>
        <w:rPr>
          <w:kern w:val="2"/>
          <w:lang w:val="en-AU"/>
        </w:rPr>
        <w:t xml:space="preserve">, East Asian late Middle Pleistocene </w:t>
      </w:r>
      <w:r>
        <w:rPr>
          <w:i/>
          <w:iCs/>
          <w:kern w:val="2"/>
          <w:lang w:val="en-AU"/>
        </w:rPr>
        <w:t>Homo</w:t>
      </w:r>
      <w:r>
        <w:rPr>
          <w:kern w:val="2"/>
          <w:lang w:val="en-AU"/>
        </w:rPr>
        <w:t xml:space="preserve"> from Hualongdong, and Denisovan from Xiahe and </w:t>
      </w:r>
      <w:r>
        <w:rPr>
          <w:lang w:val="en-GB"/>
        </w:rPr>
        <w:t>Tam Ngu Hao 2</w:t>
      </w:r>
      <w:r>
        <w:rPr>
          <w:kern w:val="2"/>
          <w:lang w:val="en-AU"/>
        </w:rPr>
        <w:t xml:space="preserve">, falling into the variation of later </w:t>
      </w:r>
      <w:r>
        <w:rPr>
          <w:i/>
          <w:iCs/>
          <w:kern w:val="2"/>
          <w:lang w:val="en-AU"/>
        </w:rPr>
        <w:t xml:space="preserve">Homo </w:t>
      </w:r>
      <w:r>
        <w:rPr>
          <w:kern w:val="2"/>
          <w:lang w:val="en-AU"/>
        </w:rPr>
        <w:t xml:space="preserve">members, but not showing derived state of absence </w:t>
      </w:r>
      <w:r>
        <w:rPr>
          <w:rFonts w:hint="eastAsia"/>
          <w:kern w:val="2"/>
          <w:lang w:val="en-US" w:eastAsia="zh-CN"/>
        </w:rPr>
        <w:t xml:space="preserve">such as </w:t>
      </w:r>
      <w:r>
        <w:rPr>
          <w:kern w:val="2"/>
          <w:lang w:val="en-AU"/>
        </w:rPr>
        <w:t xml:space="preserve">in Neanderthals and </w:t>
      </w:r>
      <w:r>
        <w:rPr>
          <w:i/>
          <w:iCs/>
          <w:kern w:val="2"/>
          <w:lang w:val="en-AU"/>
        </w:rPr>
        <w:t>H. sapiens</w:t>
      </w:r>
      <w:r>
        <w:rPr>
          <w:kern w:val="2"/>
          <w:lang w:val="en-AU"/>
        </w:rPr>
        <w:t xml:space="preserve">. </w:t>
      </w:r>
    </w:p>
    <w:p w14:paraId="433262B6">
      <w:pPr>
        <w:numPr>
          <w:ilvl w:val="0"/>
          <w:numId w:val="4"/>
        </w:numPr>
        <w:ind w:firstLine="240" w:firstLineChars="100"/>
        <w:jc w:val="both"/>
        <w:rPr>
          <w:kern w:val="2"/>
          <w:lang w:val="en-AU"/>
        </w:rPr>
      </w:pPr>
      <w:r>
        <w:rPr>
          <w:kern w:val="2"/>
          <w:lang w:val="en-AU"/>
        </w:rPr>
        <w:t xml:space="preserve">Entoconulid (C6): Entoconulid or C6 in </w:t>
      </w:r>
      <w:r>
        <w:rPr>
          <w:i/>
          <w:iCs/>
          <w:kern w:val="2"/>
          <w:lang w:val="en-AU"/>
        </w:rPr>
        <w:t>H. erectus</w:t>
      </w:r>
      <w:r>
        <w:rPr>
          <w:kern w:val="2"/>
          <w:lang w:val="en-AU"/>
        </w:rPr>
        <w:t xml:space="preserve"> from Zhoukoudian, Hexian, Xichuan, Yiyuan, and Indonesia varies from absent to large</w:t>
      </w:r>
      <w:r>
        <w:rPr>
          <w:rFonts w:hint="eastAsia"/>
          <w:vertAlign w:val="superscript"/>
          <w:lang w:val="en-US" w:eastAsia="zh-CN"/>
        </w:rPr>
        <w:t>36</w:t>
      </w:r>
      <w:r>
        <w:rPr>
          <w:vertAlign w:val="superscript"/>
        </w:rPr>
        <w:t>,</w:t>
      </w:r>
      <w:r>
        <w:rPr>
          <w:rFonts w:hint="eastAsia"/>
          <w:vertAlign w:val="superscript"/>
          <w:lang w:val="en-US" w:eastAsia="zh-CN"/>
        </w:rPr>
        <w:t>38</w:t>
      </w:r>
      <w:r>
        <w:rPr>
          <w:vertAlign w:val="superscript"/>
        </w:rPr>
        <w:t>,</w:t>
      </w:r>
      <w:r>
        <w:rPr>
          <w:rFonts w:hint="eastAsia"/>
          <w:vertAlign w:val="superscript"/>
          <w:lang w:val="en-US" w:eastAsia="zh-CN"/>
        </w:rPr>
        <w:t>41</w:t>
      </w:r>
      <w:r>
        <w:rPr>
          <w:vertAlign w:val="superscript"/>
        </w:rPr>
        <w:t>,</w:t>
      </w:r>
      <w:r>
        <w:rPr>
          <w:rFonts w:hint="eastAsia"/>
          <w:vertAlign w:val="superscript"/>
          <w:lang w:val="en-US" w:eastAsia="zh-CN"/>
        </w:rPr>
        <w:t>42</w:t>
      </w:r>
      <w:r>
        <w:rPr>
          <w:color w:val="0000FF"/>
          <w:kern w:val="2"/>
          <w:lang w:val="en-AU"/>
        </w:rPr>
        <w:t>.</w:t>
      </w:r>
      <w:r>
        <w:rPr>
          <w:kern w:val="2"/>
          <w:lang w:val="en-AU"/>
        </w:rPr>
        <w:t xml:space="preserve"> All three teeth from Hualongdong have medium-sized C6, while the Xiahe Denisovan lacks a C6 and </w:t>
      </w:r>
      <w:r>
        <w:rPr>
          <w:rFonts w:hint="eastAsia"/>
          <w:kern w:val="2"/>
          <w:lang w:val="en-AU"/>
        </w:rPr>
        <w:t>the Tam Ngu Hao 2</w:t>
      </w:r>
      <w:r>
        <w:rPr>
          <w:kern w:val="2"/>
          <w:lang w:val="en-AU"/>
        </w:rPr>
        <w:t xml:space="preserve"> Denisovan has only a enamel wrinkle-like C6</w:t>
      </w:r>
      <w:r>
        <w:rPr>
          <w:rFonts w:hint="eastAsia"/>
          <w:vertAlign w:val="superscript"/>
          <w:lang w:val="en-US" w:eastAsia="zh-CN"/>
        </w:rPr>
        <w:t>35</w:t>
      </w:r>
      <w:r>
        <w:rPr>
          <w:vertAlign w:val="superscript"/>
        </w:rPr>
        <w:t>,</w:t>
      </w:r>
      <w:r>
        <w:rPr>
          <w:rFonts w:hint="eastAsia"/>
          <w:vertAlign w:val="superscript"/>
          <w:lang w:val="en-US" w:eastAsia="zh-CN"/>
        </w:rPr>
        <w:t>39</w:t>
      </w:r>
      <w:r>
        <w:rPr>
          <w:vertAlign w:val="superscript"/>
        </w:rPr>
        <w:t>,</w:t>
      </w:r>
      <w:r>
        <w:rPr>
          <w:rFonts w:hint="eastAsia"/>
          <w:vertAlign w:val="superscript"/>
          <w:lang w:val="en-US" w:eastAsia="zh-CN"/>
        </w:rPr>
        <w:t>40</w:t>
      </w:r>
      <w:r>
        <w:rPr>
          <w:color w:val="auto"/>
          <w:kern w:val="2"/>
          <w:lang w:val="en-AU"/>
        </w:rPr>
        <w:t>.</w:t>
      </w:r>
      <w:r>
        <w:rPr>
          <w:kern w:val="2"/>
          <w:lang w:val="en-AU"/>
        </w:rPr>
        <w:t xml:space="preserve"> </w:t>
      </w:r>
      <w:r>
        <w:rPr>
          <w:i/>
          <w:iCs/>
          <w:kern w:val="2"/>
          <w:lang w:val="en-AU"/>
        </w:rPr>
        <w:t>H. heidelbergensis</w:t>
      </w:r>
      <w:r>
        <w:rPr>
          <w:kern w:val="2"/>
          <w:lang w:val="en-AU"/>
        </w:rPr>
        <w:t xml:space="preserve"> varies from absent to large in the C6 size. C6 is absent in 57.1% of early Neanderthals, 45.8% of late Neanderthals, 79.2% of fossil </w:t>
      </w:r>
      <w:r>
        <w:rPr>
          <w:i/>
          <w:iCs/>
          <w:kern w:val="2"/>
          <w:lang w:val="en-AU"/>
        </w:rPr>
        <w:t>H. sapiens</w:t>
      </w:r>
      <w:r>
        <w:rPr>
          <w:kern w:val="2"/>
          <w:lang w:val="en-AU"/>
        </w:rPr>
        <w:t xml:space="preserve">, and 94.7% of recent </w:t>
      </w:r>
      <w:r>
        <w:rPr>
          <w:i/>
          <w:iCs/>
          <w:kern w:val="2"/>
          <w:lang w:val="en-AU"/>
        </w:rPr>
        <w:t>H. sapiens</w:t>
      </w:r>
      <w:r>
        <w:rPr>
          <w:kern w:val="2"/>
          <w:lang w:val="en-AU"/>
        </w:rPr>
        <w:t>, with the remaining cases vary from enamel wrinkle to a large cusp</w:t>
      </w:r>
      <w:r>
        <w:rPr>
          <w:rFonts w:hint="eastAsia"/>
          <w:vertAlign w:val="superscript"/>
          <w:lang w:val="en-US" w:eastAsia="zh-CN"/>
        </w:rPr>
        <w:t>33</w:t>
      </w:r>
      <w:r>
        <w:rPr>
          <w:kern w:val="2"/>
          <w:lang w:val="en-AU"/>
        </w:rPr>
        <w:t xml:space="preserve">. C6 absence is a derived trend and its frequency increases from </w:t>
      </w:r>
      <w:r>
        <w:rPr>
          <w:i/>
          <w:iCs/>
          <w:kern w:val="2"/>
          <w:lang w:val="en-AU"/>
        </w:rPr>
        <w:t>H. erectu</w:t>
      </w:r>
      <w:r>
        <w:rPr>
          <w:kern w:val="2"/>
          <w:lang w:val="en-AU"/>
        </w:rPr>
        <w:t xml:space="preserve">s to later </w:t>
      </w:r>
      <w:r>
        <w:rPr>
          <w:i/>
          <w:iCs/>
          <w:kern w:val="2"/>
          <w:lang w:val="en-AU"/>
        </w:rPr>
        <w:t>Homo</w:t>
      </w:r>
      <w:r>
        <w:rPr>
          <w:kern w:val="2"/>
          <w:lang w:val="en-AU"/>
        </w:rPr>
        <w:t xml:space="preserve"> members, especially in </w:t>
      </w:r>
      <w:r>
        <w:rPr>
          <w:i/>
          <w:iCs/>
          <w:kern w:val="2"/>
          <w:lang w:val="en-AU"/>
        </w:rPr>
        <w:t>H. sapiens</w:t>
      </w:r>
      <w:r>
        <w:rPr>
          <w:kern w:val="2"/>
          <w:lang w:val="en-AU"/>
        </w:rPr>
        <w:t xml:space="preserve">. Therefore, with a medium-sized or large C6, Bianfu Cave molars remain a relatively primitive state. </w:t>
      </w:r>
    </w:p>
    <w:p w14:paraId="7F01A62C">
      <w:pPr>
        <w:numPr>
          <w:ilvl w:val="0"/>
          <w:numId w:val="4"/>
        </w:numPr>
        <w:ind w:firstLine="240" w:firstLineChars="100"/>
        <w:jc w:val="both"/>
        <w:rPr>
          <w:kern w:val="2"/>
          <w:lang w:val="en-AU"/>
        </w:rPr>
      </w:pPr>
      <w:r>
        <w:rPr>
          <w:kern w:val="2"/>
          <w:lang w:val="en-AU"/>
        </w:rPr>
        <w:t>Metaconulid or C7: The metaconulid or C7 is rare in</w:t>
      </w:r>
      <w:r>
        <w:rPr>
          <w:i/>
          <w:iCs/>
          <w:kern w:val="2"/>
          <w:lang w:val="en-AU"/>
        </w:rPr>
        <w:t xml:space="preserve"> H. erectus</w:t>
      </w:r>
      <w:r>
        <w:rPr>
          <w:kern w:val="2"/>
          <w:lang w:val="en-AU"/>
        </w:rPr>
        <w:t xml:space="preserve"> from East Asian, with only one tooth (ZKD 44) from Zhoukoudian and one tooth (PA 839) from Hexian displaying a medium-sized and large C7, respectively</w:t>
      </w:r>
      <w:r>
        <w:rPr>
          <w:rFonts w:hint="eastAsia"/>
          <w:vertAlign w:val="superscript"/>
          <w:lang w:val="en-US" w:eastAsia="zh-CN"/>
        </w:rPr>
        <w:t>36</w:t>
      </w:r>
      <w:r>
        <w:rPr>
          <w:vertAlign w:val="superscript"/>
        </w:rPr>
        <w:t>,</w:t>
      </w:r>
      <w:r>
        <w:rPr>
          <w:rFonts w:hint="eastAsia"/>
          <w:vertAlign w:val="superscript"/>
          <w:lang w:val="en-US" w:eastAsia="zh-CN"/>
        </w:rPr>
        <w:t>42</w:t>
      </w:r>
      <w:r>
        <w:rPr>
          <w:color w:val="0000FF"/>
          <w:kern w:val="2"/>
          <w:lang w:val="en-AU"/>
        </w:rPr>
        <w:t>.</w:t>
      </w:r>
      <w:r>
        <w:rPr>
          <w:kern w:val="2"/>
          <w:lang w:val="en-AU"/>
        </w:rPr>
        <w:t xml:space="preserve"> The C7 frequency increases in Indonesian </w:t>
      </w:r>
      <w:r>
        <w:rPr>
          <w:i/>
          <w:iCs/>
          <w:kern w:val="2"/>
          <w:lang w:val="en-AU"/>
        </w:rPr>
        <w:t>H. erectus</w:t>
      </w:r>
      <w:r>
        <w:rPr>
          <w:kern w:val="2"/>
          <w:lang w:val="en-AU"/>
        </w:rPr>
        <w:t xml:space="preserve">, varying from faint to medium-sized. All three teeth from Hualongdong exhibit a small or medium-sized C7, and it is even larger in Xiahe Denisovan, but there is no C7 in </w:t>
      </w:r>
      <w:r>
        <w:rPr>
          <w:rFonts w:hint="eastAsia"/>
          <w:kern w:val="2"/>
          <w:lang w:val="en-AU"/>
        </w:rPr>
        <w:t>the Tam Ngu Hao 2</w:t>
      </w:r>
      <w:r>
        <w:rPr>
          <w:kern w:val="2"/>
          <w:lang w:val="en-AU"/>
        </w:rPr>
        <w:t xml:space="preserve"> Denisovan</w:t>
      </w:r>
      <w:r>
        <w:rPr>
          <w:rFonts w:hint="eastAsia"/>
          <w:vertAlign w:val="superscript"/>
          <w:lang w:val="en-US" w:eastAsia="zh-CN"/>
        </w:rPr>
        <w:t>35</w:t>
      </w:r>
      <w:r>
        <w:rPr>
          <w:vertAlign w:val="superscript"/>
        </w:rPr>
        <w:t>,</w:t>
      </w:r>
      <w:r>
        <w:rPr>
          <w:rFonts w:hint="eastAsia"/>
          <w:vertAlign w:val="superscript"/>
          <w:lang w:val="en-US" w:eastAsia="zh-CN"/>
        </w:rPr>
        <w:t>39</w:t>
      </w:r>
      <w:r>
        <w:rPr>
          <w:vertAlign w:val="superscript"/>
        </w:rPr>
        <w:t>,</w:t>
      </w:r>
      <w:r>
        <w:rPr>
          <w:rFonts w:hint="eastAsia"/>
          <w:vertAlign w:val="superscript"/>
          <w:lang w:val="en-US" w:eastAsia="zh-CN"/>
        </w:rPr>
        <w:t>40</w:t>
      </w:r>
      <w:r>
        <w:rPr>
          <w:color w:val="0000FF"/>
          <w:kern w:val="2"/>
          <w:lang w:val="en-AU"/>
        </w:rPr>
        <w:t>.</w:t>
      </w:r>
      <w:r>
        <w:rPr>
          <w:kern w:val="2"/>
          <w:lang w:val="en-AU"/>
        </w:rPr>
        <w:t xml:space="preserve"> C7 is present in 50% of </w:t>
      </w:r>
      <w:r>
        <w:rPr>
          <w:i/>
          <w:iCs/>
          <w:kern w:val="2"/>
          <w:lang w:val="en-AU"/>
        </w:rPr>
        <w:t>H. heidelbergensis</w:t>
      </w:r>
      <w:r>
        <w:rPr>
          <w:kern w:val="2"/>
          <w:lang w:val="en-AU"/>
        </w:rPr>
        <w:t xml:space="preserve">, 96% of early Neanderthals, and 69.6% of late Neanderthals, varying from faint to large. Comparatively, 76% of fossil </w:t>
      </w:r>
      <w:r>
        <w:rPr>
          <w:i/>
          <w:iCs/>
          <w:kern w:val="2"/>
          <w:lang w:val="en-AU"/>
        </w:rPr>
        <w:t>H. sapiens</w:t>
      </w:r>
      <w:r>
        <w:rPr>
          <w:kern w:val="2"/>
          <w:lang w:val="en-AU"/>
        </w:rPr>
        <w:t xml:space="preserve"> and 89.7% of recent </w:t>
      </w:r>
      <w:r>
        <w:rPr>
          <w:i/>
          <w:iCs/>
          <w:kern w:val="2"/>
          <w:lang w:val="en-AU"/>
        </w:rPr>
        <w:t>H. sapiens</w:t>
      </w:r>
      <w:r>
        <w:rPr>
          <w:kern w:val="2"/>
          <w:lang w:val="en-AU"/>
        </w:rPr>
        <w:t xml:space="preserve"> lacks C7</w:t>
      </w:r>
      <w:r>
        <w:rPr>
          <w:rFonts w:hint="eastAsia"/>
          <w:vertAlign w:val="superscript"/>
          <w:lang w:val="en-US" w:eastAsia="zh-CN"/>
        </w:rPr>
        <w:t>33</w:t>
      </w:r>
      <w:r>
        <w:rPr>
          <w:kern w:val="2"/>
          <w:lang w:val="en-AU"/>
        </w:rPr>
        <w:t xml:space="preserve">. Comparatively, only one Bianfu Cave molar </w:t>
      </w:r>
      <w:r>
        <w:rPr>
          <w:rFonts w:hint="eastAsia"/>
          <w:kern w:val="2"/>
          <w:lang w:val="en-AU"/>
        </w:rPr>
        <w:t>exhibits</w:t>
      </w:r>
      <w:r>
        <w:rPr>
          <w:kern w:val="2"/>
          <w:lang w:val="en-AU"/>
        </w:rPr>
        <w:t xml:space="preserve"> a very small cusp-like C7.</w:t>
      </w:r>
    </w:p>
    <w:p w14:paraId="7D50DFD0">
      <w:pPr>
        <w:numPr>
          <w:ilvl w:val="0"/>
          <w:numId w:val="4"/>
        </w:numPr>
        <w:ind w:firstLine="240" w:firstLineChars="100"/>
        <w:jc w:val="both"/>
        <w:rPr>
          <w:kern w:val="2"/>
          <w:lang w:val="en-AU"/>
        </w:rPr>
      </w:pPr>
      <w:r>
        <w:rPr>
          <w:kern w:val="2"/>
          <w:lang w:val="en-AU"/>
        </w:rPr>
        <w:t>Occlusal groove pattern: Other than a few specimens that has a “X” pattern of main occlusal grooves arrangement (e.g., ZKD 45, ZKD 52, Sangiran 7-63</w:t>
      </w:r>
      <w:r>
        <w:rPr>
          <w:rFonts w:hint="eastAsia"/>
          <w:kern w:val="2"/>
        </w:rPr>
        <w:t>/64/</w:t>
      </w:r>
      <w:r>
        <w:rPr>
          <w:kern w:val="2"/>
          <w:lang w:val="en-AU"/>
        </w:rPr>
        <w:t xml:space="preserve">65), </w:t>
      </w:r>
      <w:r>
        <w:rPr>
          <w:i/>
          <w:iCs/>
          <w:kern w:val="2"/>
          <w:lang w:val="en-AU"/>
        </w:rPr>
        <w:t xml:space="preserve">H. erectus </w:t>
      </w:r>
      <w:r>
        <w:rPr>
          <w:kern w:val="2"/>
          <w:lang w:val="en-AU"/>
        </w:rPr>
        <w:t>from Zhoukoudian, Hexian, Xichuan, Yiyuan and Indonesia generally exhibit a “Y” pattern</w:t>
      </w:r>
      <w:r>
        <w:rPr>
          <w:rFonts w:hint="eastAsia"/>
          <w:vertAlign w:val="superscript"/>
          <w:lang w:val="en-US" w:eastAsia="zh-CN"/>
        </w:rPr>
        <w:t>36</w:t>
      </w:r>
      <w:r>
        <w:rPr>
          <w:vertAlign w:val="superscript"/>
        </w:rPr>
        <w:t>,</w:t>
      </w:r>
      <w:r>
        <w:rPr>
          <w:rFonts w:hint="eastAsia"/>
          <w:vertAlign w:val="superscript"/>
          <w:lang w:val="en-US" w:eastAsia="zh-CN"/>
        </w:rPr>
        <w:t>38</w:t>
      </w:r>
      <w:r>
        <w:rPr>
          <w:vertAlign w:val="superscript"/>
        </w:rPr>
        <w:t>,</w:t>
      </w:r>
      <w:r>
        <w:rPr>
          <w:rFonts w:hint="eastAsia"/>
          <w:vertAlign w:val="superscript"/>
          <w:lang w:val="en-US" w:eastAsia="zh-CN"/>
        </w:rPr>
        <w:t>41</w:t>
      </w:r>
      <w:r>
        <w:rPr>
          <w:vertAlign w:val="superscript"/>
        </w:rPr>
        <w:t>,</w:t>
      </w:r>
      <w:r>
        <w:rPr>
          <w:rFonts w:hint="eastAsia"/>
          <w:vertAlign w:val="superscript"/>
          <w:lang w:val="en-US" w:eastAsia="zh-CN"/>
        </w:rPr>
        <w:t>42</w:t>
      </w:r>
      <w:r>
        <w:rPr>
          <w:kern w:val="2"/>
          <w:lang w:val="en-AU"/>
        </w:rPr>
        <w:t>. All three teeth from Hualongdong have an “X” pattern, Xiahe Denisovan a “Y” pattern, and</w:t>
      </w:r>
      <w:r>
        <w:rPr>
          <w:rFonts w:hint="eastAsia"/>
          <w:kern w:val="2"/>
        </w:rPr>
        <w:t xml:space="preserve"> </w:t>
      </w:r>
      <w:r>
        <w:rPr>
          <w:rFonts w:hint="eastAsia"/>
          <w:kern w:val="2"/>
          <w:lang w:val="en-AU"/>
        </w:rPr>
        <w:t>Tam Ngu Hao 2</w:t>
      </w:r>
      <w:r>
        <w:rPr>
          <w:kern w:val="2"/>
          <w:lang w:val="en-AU"/>
        </w:rPr>
        <w:t xml:space="preserve"> Denisovan a “+” pattern</w:t>
      </w:r>
      <w:r>
        <w:rPr>
          <w:rFonts w:hint="eastAsia"/>
          <w:vertAlign w:val="superscript"/>
          <w:lang w:val="en-US" w:eastAsia="zh-CN"/>
        </w:rPr>
        <w:t>35</w:t>
      </w:r>
      <w:r>
        <w:rPr>
          <w:vertAlign w:val="superscript"/>
        </w:rPr>
        <w:t>,</w:t>
      </w:r>
      <w:r>
        <w:rPr>
          <w:rFonts w:hint="eastAsia"/>
          <w:vertAlign w:val="superscript"/>
          <w:lang w:val="en-US" w:eastAsia="zh-CN"/>
        </w:rPr>
        <w:t>39</w:t>
      </w:r>
      <w:r>
        <w:rPr>
          <w:vertAlign w:val="superscript"/>
        </w:rPr>
        <w:t>,</w:t>
      </w:r>
      <w:r>
        <w:rPr>
          <w:rFonts w:hint="eastAsia"/>
          <w:vertAlign w:val="superscript"/>
          <w:lang w:val="en-US" w:eastAsia="zh-CN"/>
        </w:rPr>
        <w:t>40</w:t>
      </w:r>
      <w:r>
        <w:rPr>
          <w:kern w:val="2"/>
          <w:lang w:val="en-AU"/>
        </w:rPr>
        <w:t xml:space="preserve">. Non-Y pattern occurs in </w:t>
      </w:r>
      <w:r>
        <w:rPr>
          <w:rFonts w:hint="eastAsia"/>
          <w:kern w:val="2"/>
          <w:lang w:val="en-US" w:eastAsia="zh-CN"/>
        </w:rPr>
        <w:t>55.5</w:t>
      </w:r>
      <w:r>
        <w:rPr>
          <w:kern w:val="2"/>
          <w:lang w:val="en-AU"/>
        </w:rPr>
        <w:t xml:space="preserve">% of </w:t>
      </w:r>
      <w:r>
        <w:rPr>
          <w:i/>
          <w:iCs/>
          <w:kern w:val="2"/>
          <w:lang w:val="en-AU"/>
        </w:rPr>
        <w:t>H. heidelbergensis</w:t>
      </w:r>
      <w:r>
        <w:rPr>
          <w:kern w:val="2"/>
          <w:lang w:val="en-AU"/>
        </w:rPr>
        <w:t xml:space="preserve">, </w:t>
      </w:r>
      <w:r>
        <w:rPr>
          <w:rFonts w:hint="eastAsia"/>
          <w:kern w:val="2"/>
          <w:lang w:val="en-US" w:eastAsia="zh-CN"/>
        </w:rPr>
        <w:t>59.1</w:t>
      </w:r>
      <w:r>
        <w:rPr>
          <w:kern w:val="2"/>
          <w:lang w:val="en-AU"/>
        </w:rPr>
        <w:t xml:space="preserve">% of early Neanderthals, 29.2% of late Neanderthals, 65.4% of fossil </w:t>
      </w:r>
      <w:r>
        <w:rPr>
          <w:i/>
          <w:iCs/>
          <w:kern w:val="2"/>
          <w:lang w:val="en-AU"/>
        </w:rPr>
        <w:t>H. sapiens</w:t>
      </w:r>
      <w:r>
        <w:rPr>
          <w:kern w:val="2"/>
          <w:lang w:val="en-AU"/>
        </w:rPr>
        <w:t xml:space="preserve">, and 73.5% of recent </w:t>
      </w:r>
      <w:r>
        <w:rPr>
          <w:i/>
          <w:iCs/>
          <w:kern w:val="2"/>
          <w:lang w:val="en-AU"/>
        </w:rPr>
        <w:t>H. sapiens</w:t>
      </w:r>
      <w:r>
        <w:rPr>
          <w:rFonts w:hint="eastAsia"/>
          <w:vertAlign w:val="superscript"/>
          <w:lang w:val="en-US" w:eastAsia="zh-CN"/>
        </w:rPr>
        <w:t>33</w:t>
      </w:r>
      <w:r>
        <w:rPr>
          <w:kern w:val="2"/>
          <w:lang w:val="en-AU"/>
        </w:rPr>
        <w:t xml:space="preserve">. With a “X” pattern, the Bianfu Cave molars are distinct from most </w:t>
      </w:r>
      <w:r>
        <w:rPr>
          <w:i/>
          <w:iCs/>
          <w:kern w:val="2"/>
          <w:lang w:val="en-AU"/>
        </w:rPr>
        <w:t>H. erectus</w:t>
      </w:r>
      <w:r>
        <w:rPr>
          <w:kern w:val="2"/>
          <w:lang w:val="en-AU"/>
        </w:rPr>
        <w:t xml:space="preserve"> and Xiahe Denisovan, similar to Hualongdong and some of other later </w:t>
      </w:r>
      <w:r>
        <w:rPr>
          <w:i/>
          <w:iCs/>
          <w:kern w:val="2"/>
          <w:lang w:val="en-AU"/>
        </w:rPr>
        <w:t>Homo</w:t>
      </w:r>
      <w:r>
        <w:rPr>
          <w:kern w:val="2"/>
          <w:lang w:val="en-AU"/>
        </w:rPr>
        <w:t xml:space="preserve"> members, representing a derived state in this trait. </w:t>
      </w:r>
    </w:p>
    <w:p w14:paraId="22A73C41">
      <w:pPr>
        <w:numPr>
          <w:ilvl w:val="0"/>
          <w:numId w:val="4"/>
        </w:numPr>
        <w:ind w:firstLine="240" w:firstLineChars="100"/>
        <w:jc w:val="both"/>
        <w:rPr>
          <w:kern w:val="2"/>
          <w:lang w:val="en-AU"/>
        </w:rPr>
      </w:pPr>
      <w:r>
        <w:rPr>
          <w:kern w:val="2"/>
          <w:lang w:val="en-AU"/>
        </w:rPr>
        <w:t xml:space="preserve">Anterior fovea: The anterior fovea is well-developed in </w:t>
      </w:r>
      <w:r>
        <w:rPr>
          <w:i/>
          <w:iCs/>
          <w:kern w:val="2"/>
          <w:lang w:val="en-AU"/>
        </w:rPr>
        <w:t>H. erectus</w:t>
      </w:r>
      <w:r>
        <w:rPr>
          <w:kern w:val="2"/>
          <w:lang w:val="en-AU"/>
        </w:rPr>
        <w:t xml:space="preserve"> from Zhoukoudian and Indonesia, East Asian late Middle Pleistocene </w:t>
      </w:r>
      <w:r>
        <w:rPr>
          <w:i/>
          <w:iCs/>
          <w:kern w:val="2"/>
          <w:lang w:val="en-AU"/>
        </w:rPr>
        <w:t>Homo</w:t>
      </w:r>
      <w:r>
        <w:rPr>
          <w:kern w:val="2"/>
          <w:lang w:val="en-AU"/>
        </w:rPr>
        <w:t xml:space="preserve"> from Hualongdong, and Denisovan from Xiahe and Laos, 76.2% of early Neanderthals, 87.5% of </w:t>
      </w:r>
      <w:r>
        <w:rPr>
          <w:i/>
          <w:iCs/>
          <w:kern w:val="2"/>
          <w:lang w:val="en-AU"/>
        </w:rPr>
        <w:t>H. heidelbergensis</w:t>
      </w:r>
      <w:r>
        <w:rPr>
          <w:kern w:val="2"/>
          <w:lang w:val="en-AU"/>
        </w:rPr>
        <w:t xml:space="preserve">, 72.7% of late Neanderthals, 22.7% of fossil </w:t>
      </w:r>
      <w:r>
        <w:rPr>
          <w:i/>
          <w:iCs/>
          <w:kern w:val="2"/>
          <w:lang w:val="en-AU"/>
        </w:rPr>
        <w:t>H. sapiens</w:t>
      </w:r>
      <w:r>
        <w:rPr>
          <w:kern w:val="2"/>
          <w:lang w:val="en-AU"/>
        </w:rPr>
        <w:t xml:space="preserve">, and 5.8% of recent </w:t>
      </w:r>
      <w:r>
        <w:rPr>
          <w:i/>
          <w:iCs/>
          <w:kern w:val="2"/>
          <w:lang w:val="en-AU"/>
        </w:rPr>
        <w:t>H. sapiens</w:t>
      </w:r>
      <w:r>
        <w:rPr>
          <w:rFonts w:hint="eastAsia"/>
          <w:vertAlign w:val="superscript"/>
          <w:lang w:val="en-US" w:eastAsia="zh-CN"/>
        </w:rPr>
        <w:t>33</w:t>
      </w:r>
      <w:r>
        <w:rPr>
          <w:vertAlign w:val="superscript"/>
        </w:rPr>
        <w:t>,</w:t>
      </w:r>
      <w:r>
        <w:rPr>
          <w:rFonts w:hint="eastAsia"/>
          <w:vertAlign w:val="superscript"/>
          <w:lang w:val="en-US" w:eastAsia="zh-CN"/>
        </w:rPr>
        <w:t>35</w:t>
      </w:r>
      <w:r>
        <w:rPr>
          <w:vertAlign w:val="superscript"/>
        </w:rPr>
        <w:t>,</w:t>
      </w:r>
      <w:r>
        <w:rPr>
          <w:rFonts w:hint="eastAsia"/>
          <w:vertAlign w:val="superscript"/>
          <w:lang w:val="en-US" w:eastAsia="zh-CN"/>
        </w:rPr>
        <w:t>39</w:t>
      </w:r>
      <w:r>
        <w:rPr>
          <w:vertAlign w:val="superscript"/>
        </w:rPr>
        <w:t>,</w:t>
      </w:r>
      <w:r>
        <w:rPr>
          <w:rFonts w:hint="eastAsia"/>
          <w:vertAlign w:val="superscript"/>
          <w:lang w:val="en-US" w:eastAsia="zh-CN"/>
        </w:rPr>
        <w:t>40</w:t>
      </w:r>
      <w:r>
        <w:rPr>
          <w:kern w:val="2"/>
          <w:lang w:val="en-AU"/>
        </w:rPr>
        <w:t xml:space="preserve">. The deep and linear anterior fovea in Bianfu Cave molars reflects a primitive state as in </w:t>
      </w:r>
      <w:r>
        <w:rPr>
          <w:i/>
          <w:iCs/>
          <w:kern w:val="2"/>
          <w:lang w:val="en-AU"/>
        </w:rPr>
        <w:t>H. erectus</w:t>
      </w:r>
      <w:r>
        <w:rPr>
          <w:kern w:val="2"/>
          <w:lang w:val="en-AU"/>
        </w:rPr>
        <w:t xml:space="preserve">, East Asian late Middle Pleistocene </w:t>
      </w:r>
      <w:r>
        <w:rPr>
          <w:i/>
          <w:iCs/>
          <w:kern w:val="2"/>
          <w:lang w:val="en-AU"/>
        </w:rPr>
        <w:t>Homo</w:t>
      </w:r>
      <w:r>
        <w:rPr>
          <w:kern w:val="2"/>
          <w:lang w:val="en-AU"/>
        </w:rPr>
        <w:t xml:space="preserve"> from Hualongdong, and Denisovan from Xiahe and </w:t>
      </w:r>
      <w:r>
        <w:rPr>
          <w:rFonts w:hint="eastAsia"/>
          <w:kern w:val="2"/>
          <w:lang w:val="en-AU"/>
        </w:rPr>
        <w:t>Tam Ngu Hao 2</w:t>
      </w:r>
      <w:r>
        <w:rPr>
          <w:kern w:val="2"/>
          <w:lang w:val="en-AU"/>
        </w:rPr>
        <w:t xml:space="preserve">, exceeding most </w:t>
      </w:r>
      <w:r>
        <w:rPr>
          <w:i/>
          <w:iCs/>
          <w:kern w:val="2"/>
          <w:lang w:val="en-AU"/>
        </w:rPr>
        <w:t>H. sapiens</w:t>
      </w:r>
      <w:r>
        <w:rPr>
          <w:kern w:val="2"/>
          <w:lang w:val="en-AU"/>
        </w:rPr>
        <w:t xml:space="preserve">. </w:t>
      </w:r>
    </w:p>
    <w:p w14:paraId="04BF4FAD">
      <w:pPr>
        <w:numPr>
          <w:ilvl w:val="0"/>
          <w:numId w:val="4"/>
        </w:numPr>
        <w:ind w:firstLine="240" w:firstLineChars="100"/>
        <w:jc w:val="both"/>
        <w:rPr>
          <w:kern w:val="2"/>
          <w:lang w:val="en-AU"/>
        </w:rPr>
      </w:pPr>
      <w:r>
        <w:rPr>
          <w:kern w:val="2"/>
          <w:lang w:val="en-AU"/>
        </w:rPr>
        <w:t xml:space="preserve">Middle trigonid crest: Other than Zhoukoudian PA 70, the middle trigonid crest is absent in all the other specimens from Zhoukoudian, Hexian, and Xichuan, but common in Indonesian </w:t>
      </w:r>
      <w:r>
        <w:rPr>
          <w:i/>
          <w:iCs/>
          <w:kern w:val="2"/>
          <w:lang w:val="en-AU"/>
        </w:rPr>
        <w:t>H. erectus</w:t>
      </w:r>
      <w:r>
        <w:rPr>
          <w:kern w:val="2"/>
          <w:lang w:val="en-AU"/>
        </w:rPr>
        <w:t xml:space="preserve"> (e.g., Sangiran 9, 7-63, 22)</w:t>
      </w:r>
      <w:r>
        <w:rPr>
          <w:rFonts w:hint="eastAsia"/>
          <w:vertAlign w:val="superscript"/>
          <w:lang w:val="en-US" w:eastAsia="zh-CN"/>
        </w:rPr>
        <w:t>38</w:t>
      </w:r>
      <w:r>
        <w:rPr>
          <w:vertAlign w:val="superscript"/>
        </w:rPr>
        <w:t>,</w:t>
      </w:r>
      <w:r>
        <w:rPr>
          <w:rFonts w:hint="eastAsia"/>
          <w:vertAlign w:val="superscript"/>
          <w:lang w:val="en-US" w:eastAsia="zh-CN"/>
        </w:rPr>
        <w:t>39</w:t>
      </w:r>
      <w:r>
        <w:rPr>
          <w:vertAlign w:val="superscript"/>
        </w:rPr>
        <w:t>,</w:t>
      </w:r>
      <w:r>
        <w:rPr>
          <w:rFonts w:hint="eastAsia"/>
          <w:vertAlign w:val="superscript"/>
          <w:lang w:val="en-US" w:eastAsia="zh-CN"/>
        </w:rPr>
        <w:t>42,43</w:t>
      </w:r>
      <w:r>
        <w:rPr>
          <w:kern w:val="2"/>
          <w:lang w:val="en-AU"/>
        </w:rPr>
        <w:t xml:space="preserve">. It occurs in 100% of early Neanderthals, 87.5% of </w:t>
      </w:r>
      <w:r>
        <w:rPr>
          <w:i/>
          <w:iCs/>
          <w:kern w:val="2"/>
          <w:lang w:val="en-AU"/>
        </w:rPr>
        <w:t>H. heidelbergensis</w:t>
      </w:r>
      <w:r>
        <w:rPr>
          <w:kern w:val="2"/>
          <w:lang w:val="en-AU"/>
        </w:rPr>
        <w:t xml:space="preserve">, 100% of late Neanderthals, but only in 26.1% of fossil </w:t>
      </w:r>
      <w:r>
        <w:rPr>
          <w:i/>
          <w:iCs/>
          <w:kern w:val="2"/>
          <w:lang w:val="en-AU"/>
        </w:rPr>
        <w:t>H. sapiens</w:t>
      </w:r>
      <w:r>
        <w:rPr>
          <w:kern w:val="2"/>
          <w:lang w:val="en-AU"/>
        </w:rPr>
        <w:t xml:space="preserve"> and 17.7% of recent </w:t>
      </w:r>
      <w:r>
        <w:rPr>
          <w:i/>
          <w:iCs/>
          <w:kern w:val="2"/>
          <w:lang w:val="en-AU"/>
        </w:rPr>
        <w:t>H. sapiens</w:t>
      </w:r>
      <w:r>
        <w:rPr>
          <w:rFonts w:hint="eastAsia"/>
          <w:vertAlign w:val="superscript"/>
          <w:lang w:val="en-US" w:eastAsia="zh-CN"/>
        </w:rPr>
        <w:t>33</w:t>
      </w:r>
      <w:r>
        <w:rPr>
          <w:kern w:val="2"/>
          <w:lang w:val="en-AU"/>
        </w:rPr>
        <w:t xml:space="preserve">. One of three Hualongdong teeth and </w:t>
      </w:r>
      <w:r>
        <w:rPr>
          <w:rFonts w:hint="eastAsia"/>
          <w:kern w:val="2"/>
          <w:lang w:val="en-AU"/>
        </w:rPr>
        <w:t>the Tam Ngu Hao 2</w:t>
      </w:r>
      <w:r>
        <w:rPr>
          <w:kern w:val="2"/>
          <w:lang w:val="en-AU"/>
        </w:rPr>
        <w:t xml:space="preserve"> Denisovan have a partially connected middle trigonid crest, but Xiahe Denisovan lacks it</w:t>
      </w:r>
      <w:r>
        <w:rPr>
          <w:rFonts w:hint="eastAsia"/>
          <w:vertAlign w:val="superscript"/>
          <w:lang w:val="en-US" w:eastAsia="zh-CN"/>
        </w:rPr>
        <w:t>35</w:t>
      </w:r>
      <w:r>
        <w:rPr>
          <w:vertAlign w:val="superscript"/>
        </w:rPr>
        <w:t>,</w:t>
      </w:r>
      <w:r>
        <w:rPr>
          <w:rFonts w:hint="eastAsia"/>
          <w:vertAlign w:val="superscript"/>
          <w:lang w:val="en-US" w:eastAsia="zh-CN"/>
        </w:rPr>
        <w:t>39</w:t>
      </w:r>
      <w:r>
        <w:rPr>
          <w:vertAlign w:val="superscript"/>
        </w:rPr>
        <w:t>,</w:t>
      </w:r>
      <w:r>
        <w:rPr>
          <w:rFonts w:hint="eastAsia"/>
          <w:vertAlign w:val="superscript"/>
          <w:lang w:val="en-US" w:eastAsia="zh-CN"/>
        </w:rPr>
        <w:t>40</w:t>
      </w:r>
      <w:r>
        <w:rPr>
          <w:rFonts w:hint="eastAsia"/>
          <w:kern w:val="2"/>
          <w:lang w:val="en-AU"/>
        </w:rPr>
        <w:t>.</w:t>
      </w:r>
      <w:r>
        <w:rPr>
          <w:kern w:val="2"/>
          <w:lang w:val="en-AU"/>
        </w:rPr>
        <w:t xml:space="preserve"> Both molars from Bianfu Cave have a notched middle trigonid crest, differing from East Asian </w:t>
      </w:r>
      <w:r>
        <w:rPr>
          <w:i/>
          <w:iCs/>
          <w:kern w:val="2"/>
          <w:lang w:val="en-AU"/>
        </w:rPr>
        <w:t>H. erectus</w:t>
      </w:r>
      <w:r>
        <w:rPr>
          <w:kern w:val="2"/>
          <w:lang w:val="en-AU"/>
        </w:rPr>
        <w:t xml:space="preserve">, but similar to Hualongdong and </w:t>
      </w:r>
      <w:r>
        <w:rPr>
          <w:rFonts w:hint="eastAsia"/>
          <w:kern w:val="2"/>
          <w:lang w:val="en-AU"/>
        </w:rPr>
        <w:t>Tam Ngu Hao 2</w:t>
      </w:r>
      <w:r>
        <w:rPr>
          <w:kern w:val="2"/>
          <w:lang w:val="en-AU"/>
        </w:rPr>
        <w:t xml:space="preserve">. Middle trigonid crest is a typical feature of Neanderthals, but it </w:t>
      </w:r>
      <w:r>
        <w:rPr>
          <w:rFonts w:hint="eastAsia"/>
          <w:kern w:val="2"/>
          <w:lang w:val="en-US" w:eastAsia="zh-CN"/>
        </w:rPr>
        <w:t>is</w:t>
      </w:r>
      <w:r>
        <w:rPr>
          <w:kern w:val="2"/>
          <w:lang w:val="en-AU"/>
        </w:rPr>
        <w:t xml:space="preserve"> also found in a high frequency in </w:t>
      </w:r>
      <w:r>
        <w:rPr>
          <w:rFonts w:hint="eastAsia"/>
          <w:kern w:val="2"/>
          <w:lang w:val="en-AU"/>
        </w:rPr>
        <w:t>Indonesian</w:t>
      </w:r>
      <w:r>
        <w:rPr>
          <w:kern w:val="2"/>
          <w:lang w:val="en-AU"/>
        </w:rPr>
        <w:t xml:space="preserve"> </w:t>
      </w:r>
      <w:r>
        <w:rPr>
          <w:i/>
          <w:iCs/>
          <w:kern w:val="2"/>
          <w:lang w:val="en-AU"/>
        </w:rPr>
        <w:t>H. erectus</w:t>
      </w:r>
      <w:r>
        <w:rPr>
          <w:kern w:val="2"/>
          <w:lang w:val="en-AU"/>
        </w:rPr>
        <w:t xml:space="preserve"> and </w:t>
      </w:r>
      <w:r>
        <w:rPr>
          <w:i/>
          <w:iCs/>
          <w:kern w:val="2"/>
          <w:lang w:val="en-AU"/>
        </w:rPr>
        <w:t>Australopithecus</w:t>
      </w:r>
      <w:r>
        <w:rPr>
          <w:kern w:val="2"/>
          <w:lang w:val="en-AU"/>
        </w:rPr>
        <w:t xml:space="preserve">, suggesting that it is a primitive trait that expressed in an extremely high frequency in Neanderthals-lineage populations. </w:t>
      </w:r>
    </w:p>
    <w:p w14:paraId="3A604CF5">
      <w:pPr>
        <w:numPr>
          <w:ilvl w:val="0"/>
          <w:numId w:val="4"/>
        </w:numPr>
        <w:ind w:firstLine="240" w:firstLineChars="100"/>
        <w:jc w:val="both"/>
        <w:rPr>
          <w:kern w:val="2"/>
          <w:lang w:val="en-AU"/>
        </w:rPr>
      </w:pPr>
      <w:r>
        <w:rPr>
          <w:kern w:val="2"/>
          <w:lang w:val="en-AU"/>
        </w:rPr>
        <w:t xml:space="preserve">Protostylid: Protostylid is very common in </w:t>
      </w:r>
      <w:r>
        <w:rPr>
          <w:i/>
          <w:iCs/>
          <w:kern w:val="2"/>
          <w:lang w:val="en-AU"/>
        </w:rPr>
        <w:t>H. erectus</w:t>
      </w:r>
      <w:r>
        <w:rPr>
          <w:kern w:val="2"/>
          <w:lang w:val="en-AU"/>
        </w:rPr>
        <w:t xml:space="preserve"> from Zhoukoudian, Hexian, Yiyuan, Xichuan, and Indonesia</w:t>
      </w:r>
      <w:r>
        <w:rPr>
          <w:rFonts w:hint="eastAsia"/>
          <w:vertAlign w:val="superscript"/>
          <w:lang w:val="en-US" w:eastAsia="zh-CN"/>
        </w:rPr>
        <w:t>36</w:t>
      </w:r>
      <w:r>
        <w:rPr>
          <w:vertAlign w:val="superscript"/>
        </w:rPr>
        <w:t>,</w:t>
      </w:r>
      <w:r>
        <w:rPr>
          <w:rFonts w:hint="eastAsia"/>
          <w:vertAlign w:val="superscript"/>
          <w:lang w:val="en-US" w:eastAsia="zh-CN"/>
        </w:rPr>
        <w:t>37</w:t>
      </w:r>
      <w:r>
        <w:rPr>
          <w:vertAlign w:val="superscript"/>
        </w:rPr>
        <w:t>,</w:t>
      </w:r>
      <w:r>
        <w:rPr>
          <w:rFonts w:hint="eastAsia"/>
          <w:vertAlign w:val="superscript"/>
          <w:lang w:val="en-US" w:eastAsia="zh-CN"/>
        </w:rPr>
        <w:t>41-43</w:t>
      </w:r>
      <w:r>
        <w:rPr>
          <w:kern w:val="2"/>
          <w:lang w:val="en-AU"/>
        </w:rPr>
        <w:t xml:space="preserve">, sometimes as a shelf-like structure, but absent or weakly expressed in East Asian late Middle Pleistocene </w:t>
      </w:r>
      <w:r>
        <w:rPr>
          <w:i/>
          <w:iCs/>
          <w:kern w:val="2"/>
          <w:lang w:val="en-AU"/>
        </w:rPr>
        <w:t>Homo</w:t>
      </w:r>
      <w:r>
        <w:rPr>
          <w:kern w:val="2"/>
          <w:lang w:val="en-AU"/>
        </w:rPr>
        <w:t xml:space="preserve"> from Hualongdong, Denisovan from Xiahe and </w:t>
      </w:r>
      <w:r>
        <w:rPr>
          <w:rFonts w:hint="eastAsia"/>
          <w:kern w:val="2"/>
          <w:lang w:val="en-AU"/>
        </w:rPr>
        <w:t>Tam Ngu Hao 2</w:t>
      </w:r>
      <w:r>
        <w:rPr>
          <w:kern w:val="2"/>
          <w:lang w:val="en-AU"/>
        </w:rPr>
        <w:t xml:space="preserve">, </w:t>
      </w:r>
      <w:r>
        <w:rPr>
          <w:i/>
          <w:iCs/>
          <w:kern w:val="2"/>
          <w:lang w:val="en-AU"/>
        </w:rPr>
        <w:t>H. heidelbergensis</w:t>
      </w:r>
      <w:r>
        <w:rPr>
          <w:kern w:val="2"/>
          <w:lang w:val="en-AU"/>
        </w:rPr>
        <w:t xml:space="preserve">, early and late Neanderthals, as well as </w:t>
      </w:r>
      <w:r>
        <w:rPr>
          <w:i/>
          <w:iCs/>
          <w:kern w:val="2"/>
          <w:lang w:val="en-AU"/>
        </w:rPr>
        <w:t>H. sapiens</w:t>
      </w:r>
      <w:r>
        <w:rPr>
          <w:rFonts w:hint="eastAsia"/>
          <w:vertAlign w:val="superscript"/>
          <w:lang w:val="en-US" w:eastAsia="zh-CN"/>
        </w:rPr>
        <w:t>33</w:t>
      </w:r>
      <w:r>
        <w:rPr>
          <w:vertAlign w:val="superscript"/>
        </w:rPr>
        <w:t>,</w:t>
      </w:r>
      <w:r>
        <w:rPr>
          <w:rFonts w:hint="eastAsia"/>
          <w:vertAlign w:val="superscript"/>
          <w:lang w:val="en-US" w:eastAsia="zh-CN"/>
        </w:rPr>
        <w:t>35</w:t>
      </w:r>
      <w:r>
        <w:rPr>
          <w:vertAlign w:val="superscript"/>
        </w:rPr>
        <w:t>,</w:t>
      </w:r>
      <w:r>
        <w:rPr>
          <w:rFonts w:hint="eastAsia"/>
          <w:vertAlign w:val="superscript"/>
          <w:lang w:val="en-US" w:eastAsia="zh-CN"/>
        </w:rPr>
        <w:t>39</w:t>
      </w:r>
      <w:r>
        <w:rPr>
          <w:vertAlign w:val="superscript"/>
        </w:rPr>
        <w:t>,</w:t>
      </w:r>
      <w:r>
        <w:rPr>
          <w:rFonts w:hint="eastAsia"/>
          <w:vertAlign w:val="superscript"/>
          <w:lang w:val="en-US" w:eastAsia="zh-CN"/>
        </w:rPr>
        <w:t>40</w:t>
      </w:r>
      <w:r>
        <w:rPr>
          <w:kern w:val="2"/>
          <w:lang w:val="en-AU"/>
        </w:rPr>
        <w:t xml:space="preserve">. The weak protostylid in one Bianfu Cave molar and its absence in the other reflect a derived state as in other later </w:t>
      </w:r>
      <w:r>
        <w:rPr>
          <w:i/>
          <w:iCs/>
          <w:kern w:val="2"/>
          <w:lang w:val="en-AU"/>
        </w:rPr>
        <w:t xml:space="preserve">Homo </w:t>
      </w:r>
      <w:r>
        <w:rPr>
          <w:kern w:val="2"/>
          <w:lang w:val="en-AU"/>
        </w:rPr>
        <w:t xml:space="preserve">members. </w:t>
      </w:r>
    </w:p>
    <w:p w14:paraId="1B7513D2">
      <w:pPr>
        <w:numPr>
          <w:ilvl w:val="0"/>
          <w:numId w:val="4"/>
        </w:numPr>
        <w:ind w:firstLine="240" w:firstLineChars="100"/>
        <w:jc w:val="both"/>
        <w:rPr>
          <w:kern w:val="2"/>
          <w:lang w:val="en-AU"/>
        </w:rPr>
      </w:pPr>
      <w:r>
        <w:rPr>
          <w:kern w:val="2"/>
          <w:lang w:val="en-AU"/>
        </w:rPr>
        <w:t xml:space="preserve">Deflecting wrinkle: Deflecting wrinkle is typical in </w:t>
      </w:r>
      <w:r>
        <w:rPr>
          <w:i/>
          <w:iCs/>
          <w:kern w:val="2"/>
          <w:lang w:val="en-AU"/>
        </w:rPr>
        <w:t xml:space="preserve">H. erectus </w:t>
      </w:r>
      <w:r>
        <w:rPr>
          <w:kern w:val="2"/>
          <w:lang w:val="en-AU"/>
        </w:rPr>
        <w:t>from Zhoukoudian, Hexian, Xichuan, and Indonesia</w:t>
      </w:r>
      <w:r>
        <w:rPr>
          <w:rFonts w:hint="eastAsia"/>
          <w:color w:val="000000" w:themeColor="text1"/>
          <w:vertAlign w:val="superscript"/>
          <w:lang w:val="en-US" w:eastAsia="zh-CN"/>
          <w14:textFill>
            <w14:solidFill>
              <w14:schemeClr w14:val="tx1"/>
            </w14:solidFill>
          </w14:textFill>
        </w:rPr>
        <w:t>36</w:t>
      </w:r>
      <w:r>
        <w:rPr>
          <w:color w:val="000000" w:themeColor="text1"/>
          <w:vertAlign w:val="superscript"/>
          <w14:textFill>
            <w14:solidFill>
              <w14:schemeClr w14:val="tx1"/>
            </w14:solidFill>
          </w14:textFill>
        </w:rPr>
        <w:t>,</w:t>
      </w:r>
      <w:r>
        <w:rPr>
          <w:rFonts w:hint="eastAsia"/>
          <w:color w:val="000000" w:themeColor="text1"/>
          <w:vertAlign w:val="superscript"/>
          <w:lang w:val="en-US" w:eastAsia="zh-CN"/>
          <w14:textFill>
            <w14:solidFill>
              <w14:schemeClr w14:val="tx1"/>
            </w14:solidFill>
          </w14:textFill>
        </w:rPr>
        <w:t>37</w:t>
      </w:r>
      <w:r>
        <w:rPr>
          <w:color w:val="000000" w:themeColor="text1"/>
          <w:vertAlign w:val="superscript"/>
          <w14:textFill>
            <w14:solidFill>
              <w14:schemeClr w14:val="tx1"/>
            </w14:solidFill>
          </w14:textFill>
        </w:rPr>
        <w:t>,</w:t>
      </w:r>
      <w:r>
        <w:rPr>
          <w:rFonts w:hint="eastAsia"/>
          <w:color w:val="000000" w:themeColor="text1"/>
          <w:vertAlign w:val="superscript"/>
          <w:lang w:val="en-US" w:eastAsia="zh-CN"/>
          <w14:textFill>
            <w14:solidFill>
              <w14:schemeClr w14:val="tx1"/>
            </w14:solidFill>
          </w14:textFill>
        </w:rPr>
        <w:t>42</w:t>
      </w:r>
      <w:r>
        <w:rPr>
          <w:kern w:val="2"/>
          <w:lang w:val="en-AU"/>
        </w:rPr>
        <w:t xml:space="preserve">, while it is </w:t>
      </w:r>
      <w:r>
        <w:rPr>
          <w:rFonts w:hint="eastAsia"/>
          <w:kern w:val="2"/>
          <w:lang w:val="en-US" w:eastAsia="zh-CN"/>
        </w:rPr>
        <w:t>absent</w:t>
      </w:r>
      <w:r>
        <w:rPr>
          <w:kern w:val="2"/>
          <w:lang w:val="en-AU"/>
        </w:rPr>
        <w:t xml:space="preserve"> in 90.5% of early Neanderthals, 77.7% of </w:t>
      </w:r>
      <w:r>
        <w:rPr>
          <w:i/>
          <w:iCs/>
          <w:kern w:val="2"/>
          <w:lang w:val="en-AU"/>
        </w:rPr>
        <w:t>H. heidelbergensis</w:t>
      </w:r>
      <w:r>
        <w:rPr>
          <w:kern w:val="2"/>
          <w:lang w:val="en-AU"/>
        </w:rPr>
        <w:t xml:space="preserve">, 73.9% of late Neanderthals, </w:t>
      </w:r>
      <w:r>
        <w:rPr>
          <w:rFonts w:hint="eastAsia"/>
          <w:kern w:val="2"/>
          <w:lang w:val="en-US" w:eastAsia="zh-CN"/>
        </w:rPr>
        <w:t>78.3</w:t>
      </w:r>
      <w:r>
        <w:rPr>
          <w:kern w:val="2"/>
          <w:lang w:val="en-AU"/>
        </w:rPr>
        <w:t xml:space="preserve">% of fossil </w:t>
      </w:r>
      <w:r>
        <w:rPr>
          <w:i/>
          <w:iCs/>
          <w:kern w:val="2"/>
          <w:lang w:val="en-AU"/>
        </w:rPr>
        <w:t>H. sapiens</w:t>
      </w:r>
      <w:r>
        <w:rPr>
          <w:kern w:val="2"/>
          <w:lang w:val="en-AU"/>
        </w:rPr>
        <w:t xml:space="preserve"> and </w:t>
      </w:r>
      <w:r>
        <w:rPr>
          <w:rFonts w:hint="eastAsia"/>
          <w:kern w:val="2"/>
          <w:lang w:val="en-US" w:eastAsia="zh-CN"/>
        </w:rPr>
        <w:t>84</w:t>
      </w:r>
      <w:r>
        <w:rPr>
          <w:kern w:val="2"/>
          <w:lang w:val="en-AU"/>
        </w:rPr>
        <w:t xml:space="preserve">% of recent </w:t>
      </w:r>
      <w:r>
        <w:rPr>
          <w:i/>
          <w:iCs/>
          <w:kern w:val="2"/>
          <w:lang w:val="en-AU"/>
        </w:rPr>
        <w:t>H. sapiens</w:t>
      </w:r>
      <w:r>
        <w:rPr>
          <w:rFonts w:hint="eastAsia"/>
          <w:kern w:val="2"/>
          <w:highlight w:val="none"/>
          <w:vertAlign w:val="superscript"/>
          <w:lang w:val="en-US" w:eastAsia="zh-CN"/>
        </w:rPr>
        <w:t>33</w:t>
      </w:r>
      <w:r>
        <w:rPr>
          <w:kern w:val="2"/>
          <w:highlight w:val="none"/>
          <w:lang w:val="en-AU"/>
        </w:rPr>
        <w:t>.</w:t>
      </w:r>
      <w:r>
        <w:rPr>
          <w:kern w:val="2"/>
          <w:lang w:val="en-AU"/>
        </w:rPr>
        <w:t xml:space="preserve"> There is no deflecting wrinkle in East Asian late Middle Pleistocene </w:t>
      </w:r>
      <w:r>
        <w:rPr>
          <w:i/>
          <w:iCs/>
          <w:kern w:val="2"/>
          <w:lang w:val="en-AU"/>
        </w:rPr>
        <w:t>Homo</w:t>
      </w:r>
      <w:r>
        <w:rPr>
          <w:kern w:val="2"/>
          <w:lang w:val="en-AU"/>
        </w:rPr>
        <w:t xml:space="preserve"> from Hualongdong and Denisovan from Xiahe and </w:t>
      </w:r>
      <w:r>
        <w:rPr>
          <w:rFonts w:hint="eastAsia"/>
          <w:kern w:val="2"/>
          <w:lang w:val="en-AU"/>
        </w:rPr>
        <w:t>Tam Ngu Hao 2</w:t>
      </w:r>
      <w:r>
        <w:rPr>
          <w:rFonts w:hint="eastAsia"/>
          <w:vertAlign w:val="superscript"/>
          <w:lang w:val="en-US" w:eastAsia="zh-CN"/>
        </w:rPr>
        <w:t>35</w:t>
      </w:r>
      <w:r>
        <w:rPr>
          <w:vertAlign w:val="superscript"/>
        </w:rPr>
        <w:t>,</w:t>
      </w:r>
      <w:r>
        <w:rPr>
          <w:rFonts w:hint="eastAsia"/>
          <w:vertAlign w:val="superscript"/>
          <w:lang w:val="en-US" w:eastAsia="zh-CN"/>
        </w:rPr>
        <w:t>39</w:t>
      </w:r>
      <w:r>
        <w:rPr>
          <w:vertAlign w:val="superscript"/>
        </w:rPr>
        <w:t>,</w:t>
      </w:r>
      <w:r>
        <w:rPr>
          <w:rFonts w:hint="eastAsia"/>
          <w:vertAlign w:val="superscript"/>
          <w:lang w:val="en-US" w:eastAsia="zh-CN"/>
        </w:rPr>
        <w:t>40</w:t>
      </w:r>
      <w:r>
        <w:rPr>
          <w:kern w:val="2"/>
          <w:lang w:val="en-AU"/>
        </w:rPr>
        <w:t xml:space="preserve">. Its absence in Bianfu Cave distinguishes them from </w:t>
      </w:r>
      <w:r>
        <w:rPr>
          <w:i/>
          <w:iCs/>
          <w:kern w:val="2"/>
          <w:lang w:val="en-AU"/>
        </w:rPr>
        <w:t>H. erectus</w:t>
      </w:r>
      <w:r>
        <w:rPr>
          <w:kern w:val="2"/>
          <w:lang w:val="en-AU"/>
        </w:rPr>
        <w:t xml:space="preserve">. </w:t>
      </w:r>
    </w:p>
    <w:p w14:paraId="75861755">
      <w:pPr>
        <w:numPr>
          <w:ilvl w:val="0"/>
          <w:numId w:val="4"/>
        </w:numPr>
        <w:ind w:firstLine="240" w:firstLineChars="100"/>
        <w:jc w:val="both"/>
        <w:rPr>
          <w:kern w:val="2"/>
          <w:lang w:val="en-AU"/>
        </w:rPr>
      </w:pPr>
      <w:r>
        <w:rPr>
          <w:kern w:val="2"/>
          <w:lang w:val="en-AU"/>
        </w:rPr>
        <w:t xml:space="preserve">Crown outline shape: The crown outline is approximately round in </w:t>
      </w:r>
      <w:r>
        <w:rPr>
          <w:i/>
          <w:iCs/>
          <w:kern w:val="2"/>
          <w:lang w:val="en-AU"/>
        </w:rPr>
        <w:t xml:space="preserve">H. erectus </w:t>
      </w:r>
      <w:r>
        <w:rPr>
          <w:kern w:val="2"/>
          <w:lang w:val="en-AU"/>
        </w:rPr>
        <w:t xml:space="preserve">from Zhoukoudian, Hexian, and Xichuan. Hualongdong and Bianfu Cvae molars have an elliptical crown contour, with the mesiodistal dimension being obviously larger than the buccolingual dimension. Denisovan from Xiahe also has an approximately round crown, while that from </w:t>
      </w:r>
      <w:r>
        <w:rPr>
          <w:rFonts w:hint="eastAsia"/>
          <w:kern w:val="2"/>
          <w:lang w:val="en-AU"/>
        </w:rPr>
        <w:t>Tam Ngu Hao 2</w:t>
      </w:r>
      <w:r>
        <w:rPr>
          <w:kern w:val="2"/>
          <w:lang w:val="en-AU"/>
        </w:rPr>
        <w:t xml:space="preserve"> has a mesiodistally elongated crown</w:t>
      </w:r>
      <w:r>
        <w:rPr>
          <w:rFonts w:hint="eastAsia"/>
          <w:vertAlign w:val="superscript"/>
          <w:lang w:val="en-US" w:eastAsia="zh-CN"/>
        </w:rPr>
        <w:t>39,40</w:t>
      </w:r>
      <w:r>
        <w:rPr>
          <w:kern w:val="2"/>
          <w:lang w:val="en-AU"/>
        </w:rPr>
        <w:t xml:space="preserve">. The only difference between </w:t>
      </w:r>
      <w:r>
        <w:rPr>
          <w:rFonts w:hint="eastAsia"/>
          <w:kern w:val="2"/>
          <w:lang w:val="en-AU"/>
        </w:rPr>
        <w:t>Tam Ngu Hao 2</w:t>
      </w:r>
      <w:r>
        <w:rPr>
          <w:kern w:val="2"/>
          <w:lang w:val="en-AU"/>
        </w:rPr>
        <w:t xml:space="preserve"> and Bianfu Cave is in its relatively wider talonid compared to the trigonid. </w:t>
      </w:r>
    </w:p>
    <w:p w14:paraId="343A12FD">
      <w:pPr>
        <w:pStyle w:val="3"/>
        <w:rPr>
          <w:lang w:val="en-AU"/>
        </w:rPr>
      </w:pPr>
      <w:r>
        <w:rPr>
          <w:rFonts w:hint="eastAsia"/>
        </w:rPr>
        <w:t>Crown metrics</w:t>
      </w:r>
    </w:p>
    <w:p w14:paraId="32F7382C">
      <w:pPr>
        <w:pStyle w:val="4"/>
      </w:pPr>
      <w:r>
        <w:t>Lower lateral incisor</w:t>
      </w:r>
    </w:p>
    <w:p w14:paraId="5132B5AB">
      <w:pPr>
        <w:ind w:firstLine="240" w:firstLineChars="100"/>
        <w:jc w:val="both"/>
        <w:rPr>
          <w:kern w:val="2"/>
          <w:lang w:val="en-AU"/>
        </w:rPr>
      </w:pPr>
      <w:r>
        <w:rPr>
          <w:kern w:val="2"/>
          <w:lang w:val="en-AU"/>
        </w:rPr>
        <w:t xml:space="preserve">In mesiodistal dimension (MD), Bianfu Cave tooth exceeds early and late Neanderthals, falling at the upper end of the range of variation for </w:t>
      </w:r>
      <w:r>
        <w:rPr>
          <w:i/>
          <w:iCs/>
          <w:kern w:val="2"/>
          <w:lang w:val="en-AU"/>
        </w:rPr>
        <w:t>H. erectus</w:t>
      </w:r>
      <w:r>
        <w:rPr>
          <w:kern w:val="2"/>
          <w:lang w:val="en-AU"/>
        </w:rPr>
        <w:t xml:space="preserve"> and fossil </w:t>
      </w:r>
      <w:r>
        <w:rPr>
          <w:i/>
          <w:iCs/>
          <w:kern w:val="2"/>
          <w:lang w:val="en-AU"/>
        </w:rPr>
        <w:t>H. sapiens</w:t>
      </w:r>
      <w:r>
        <w:rPr>
          <w:kern w:val="2"/>
          <w:lang w:val="en-AU"/>
        </w:rPr>
        <w:t xml:space="preserve"> (</w:t>
      </w:r>
      <w:r>
        <w:rPr>
          <w:color w:val="0000FF"/>
          <w:kern w:val="2"/>
          <w:lang w:val="en-AU"/>
        </w:rPr>
        <w:t xml:space="preserve">Extended Data Fig. </w:t>
      </w:r>
      <w:r>
        <w:rPr>
          <w:rFonts w:hint="eastAsia"/>
          <w:color w:val="0000FF"/>
          <w:kern w:val="2"/>
          <w:lang w:val="en-US" w:eastAsia="zh-CN"/>
        </w:rPr>
        <w:t>7</w:t>
      </w:r>
      <w:r>
        <w:rPr>
          <w:kern w:val="2"/>
          <w:lang w:val="en-AU"/>
        </w:rPr>
        <w:t xml:space="preserve">). In buccolingual dimension (BL), it falls within the range of </w:t>
      </w:r>
      <w:r>
        <w:rPr>
          <w:i/>
          <w:iCs/>
          <w:kern w:val="2"/>
          <w:lang w:val="en-AU"/>
        </w:rPr>
        <w:t>H. erectus</w:t>
      </w:r>
      <w:r>
        <w:rPr>
          <w:kern w:val="2"/>
          <w:lang w:val="en-AU"/>
        </w:rPr>
        <w:t xml:space="preserve">, early Neanderthals, and fossil </w:t>
      </w:r>
      <w:r>
        <w:rPr>
          <w:i/>
          <w:iCs/>
          <w:kern w:val="2"/>
          <w:lang w:val="en-AU"/>
        </w:rPr>
        <w:t>H. sapiens</w:t>
      </w:r>
      <w:r>
        <w:rPr>
          <w:kern w:val="2"/>
          <w:lang w:val="en-AU"/>
        </w:rPr>
        <w:t xml:space="preserve">, and is smaller than late Neanderthals. Considering both MD and BL, the Bianfu hominin could be included by the range of variation for fossil </w:t>
      </w:r>
      <w:r>
        <w:rPr>
          <w:i/>
          <w:iCs/>
          <w:kern w:val="2"/>
          <w:lang w:val="en-AU"/>
        </w:rPr>
        <w:t>H. sapiens</w:t>
      </w:r>
      <w:r>
        <w:rPr>
          <w:kern w:val="2"/>
          <w:lang w:val="en-AU"/>
        </w:rPr>
        <w:t xml:space="preserve">. </w:t>
      </w:r>
    </w:p>
    <w:p w14:paraId="2170381D">
      <w:pPr>
        <w:pStyle w:val="4"/>
        <w:jc w:val="both"/>
      </w:pPr>
      <w:r>
        <w:t xml:space="preserve">Lowe </w:t>
      </w:r>
      <w:r>
        <w:rPr>
          <w:rFonts w:hint="eastAsia"/>
          <w:kern w:val="0"/>
        </w:rPr>
        <w:t>fourth</w:t>
      </w:r>
      <w:r>
        <w:t xml:space="preserve"> premolar</w:t>
      </w:r>
    </w:p>
    <w:p w14:paraId="692585F4">
      <w:pPr>
        <w:ind w:firstLine="240" w:firstLineChars="100"/>
        <w:jc w:val="both"/>
        <w:rPr>
          <w:kern w:val="2"/>
          <w:lang w:val="en-AU"/>
        </w:rPr>
      </w:pPr>
      <w:r>
        <w:rPr>
          <w:kern w:val="2"/>
          <w:lang w:val="en-AU"/>
        </w:rPr>
        <w:t xml:space="preserve">In MD, the Bianfu Cave tooth lumps within the range </w:t>
      </w:r>
      <w:r>
        <w:rPr>
          <w:rFonts w:hint="eastAsia"/>
          <w:kern w:val="2"/>
          <w:lang w:val="en-US" w:eastAsia="zh-CN"/>
        </w:rPr>
        <w:t xml:space="preserve">of </w:t>
      </w:r>
      <w:r>
        <w:rPr>
          <w:kern w:val="2"/>
          <w:lang w:val="en-AU"/>
        </w:rPr>
        <w:t xml:space="preserve">late Neanderthals and fossil </w:t>
      </w:r>
      <w:r>
        <w:rPr>
          <w:i/>
          <w:iCs/>
          <w:kern w:val="2"/>
          <w:lang w:val="en-AU"/>
        </w:rPr>
        <w:t>H. sapiens</w:t>
      </w:r>
      <w:r>
        <w:rPr>
          <w:kern w:val="2"/>
          <w:lang w:val="en-AU"/>
        </w:rPr>
        <w:t xml:space="preserve">, at the upper </w:t>
      </w:r>
      <w:r>
        <w:rPr>
          <w:rFonts w:hint="eastAsia"/>
          <w:kern w:val="2"/>
          <w:lang w:val="en-US" w:eastAsia="zh-CN"/>
        </w:rPr>
        <w:t>end</w:t>
      </w:r>
      <w:r>
        <w:rPr>
          <w:kern w:val="2"/>
          <w:lang w:val="en-AU"/>
        </w:rPr>
        <w:t xml:space="preserve"> of early Neanderthals, and smaller than </w:t>
      </w:r>
      <w:r>
        <w:rPr>
          <w:i/>
          <w:iCs/>
          <w:kern w:val="2"/>
          <w:lang w:val="en-AU"/>
        </w:rPr>
        <w:t>H. erectus</w:t>
      </w:r>
      <w:r>
        <w:rPr>
          <w:kern w:val="2"/>
          <w:lang w:val="en-AU"/>
        </w:rPr>
        <w:t xml:space="preserve"> and East Asian late Middle Pleistocene </w:t>
      </w:r>
      <w:r>
        <w:rPr>
          <w:i/>
          <w:iCs/>
          <w:kern w:val="2"/>
          <w:lang w:val="en-AU"/>
        </w:rPr>
        <w:t>Homo</w:t>
      </w:r>
      <w:r>
        <w:rPr>
          <w:kern w:val="2"/>
          <w:lang w:val="en-AU"/>
        </w:rPr>
        <w:t xml:space="preserve"> (</w:t>
      </w:r>
      <w:r>
        <w:rPr>
          <w:color w:val="0000FF"/>
          <w:kern w:val="2"/>
          <w:lang w:val="en-AU"/>
        </w:rPr>
        <w:t>Extended Data Fig.</w:t>
      </w:r>
      <w:r>
        <w:rPr>
          <w:rFonts w:hint="eastAsia"/>
          <w:color w:val="0000FF"/>
          <w:kern w:val="2"/>
          <w:lang w:val="en-US" w:eastAsia="zh-CN"/>
        </w:rPr>
        <w:t xml:space="preserve"> </w:t>
      </w:r>
      <w:r>
        <w:rPr>
          <w:rFonts w:hint="eastAsia"/>
          <w:color w:val="0000FF"/>
          <w:kern w:val="2"/>
          <w:lang w:val="en-AU"/>
        </w:rPr>
        <w:t>7</w:t>
      </w:r>
      <w:r>
        <w:rPr>
          <w:kern w:val="2"/>
          <w:lang w:val="en-AU"/>
        </w:rPr>
        <w:t xml:space="preserve">). In BL, </w:t>
      </w:r>
      <w:r>
        <w:rPr>
          <w:rFonts w:hint="eastAsia"/>
          <w:kern w:val="2"/>
          <w:lang w:val="en-US" w:eastAsia="zh-CN"/>
        </w:rPr>
        <w:t>t</w:t>
      </w:r>
      <w:r>
        <w:rPr>
          <w:kern w:val="2"/>
          <w:lang w:val="en-AU"/>
        </w:rPr>
        <w:t xml:space="preserve">he Bianfu tooth is smaller than </w:t>
      </w:r>
      <w:r>
        <w:rPr>
          <w:i/>
          <w:iCs/>
          <w:kern w:val="2"/>
          <w:lang w:val="en-AU"/>
        </w:rPr>
        <w:t>H. erectus</w:t>
      </w:r>
      <w:r>
        <w:rPr>
          <w:kern w:val="2"/>
          <w:lang w:val="en-AU"/>
        </w:rPr>
        <w:t xml:space="preserve"> and East Asian late Middle Pleistocene </w:t>
      </w:r>
      <w:r>
        <w:rPr>
          <w:i/>
          <w:iCs/>
          <w:kern w:val="2"/>
          <w:lang w:val="en-AU"/>
        </w:rPr>
        <w:t>Homo</w:t>
      </w:r>
      <w:r>
        <w:rPr>
          <w:kern w:val="2"/>
          <w:lang w:val="en-AU"/>
        </w:rPr>
        <w:t xml:space="preserve">, and can be included into the variation of Neanderthals and </w:t>
      </w:r>
      <w:r>
        <w:rPr>
          <w:i/>
          <w:iCs/>
          <w:kern w:val="2"/>
          <w:lang w:val="en-AU"/>
        </w:rPr>
        <w:t>H. sapiens</w:t>
      </w:r>
      <w:r>
        <w:rPr>
          <w:kern w:val="2"/>
          <w:lang w:val="en-AU"/>
        </w:rPr>
        <w:t xml:space="preserve">. Considering both MD and BL, the Bianfu Cave tooth is distributed around the centre of the range for </w:t>
      </w:r>
      <w:r>
        <w:rPr>
          <w:i/>
          <w:iCs/>
          <w:kern w:val="2"/>
          <w:lang w:val="en-AU"/>
        </w:rPr>
        <w:t>H. sapiens</w:t>
      </w:r>
      <w:r>
        <w:rPr>
          <w:kern w:val="2"/>
          <w:lang w:val="en-AU"/>
        </w:rPr>
        <w:t xml:space="preserve"> and late Neanderthals, </w:t>
      </w:r>
      <w:r>
        <w:rPr>
          <w:rFonts w:hint="eastAsia"/>
          <w:kern w:val="2"/>
          <w:lang w:val="en-US" w:eastAsia="zh-CN"/>
        </w:rPr>
        <w:t xml:space="preserve">and </w:t>
      </w:r>
      <w:r>
        <w:rPr>
          <w:kern w:val="2"/>
          <w:lang w:val="en-AU"/>
        </w:rPr>
        <w:t xml:space="preserve">at the upper end of the range for </w:t>
      </w:r>
      <w:r>
        <w:rPr>
          <w:rFonts w:hint="eastAsia"/>
          <w:kern w:val="2"/>
          <w:lang w:val="en-US" w:eastAsia="zh-CN"/>
        </w:rPr>
        <w:t>e</w:t>
      </w:r>
      <w:r>
        <w:rPr>
          <w:kern w:val="2"/>
          <w:lang w:val="en-AU"/>
        </w:rPr>
        <w:t>arly Neanderthals.</w:t>
      </w:r>
    </w:p>
    <w:p w14:paraId="5F90BE2D">
      <w:pPr>
        <w:pStyle w:val="4"/>
      </w:pPr>
      <w:r>
        <w:t>Lower second molar</w:t>
      </w:r>
      <w:r>
        <w:rPr>
          <w:rFonts w:hint="eastAsia"/>
        </w:rPr>
        <w:t>s</w:t>
      </w:r>
    </w:p>
    <w:p w14:paraId="4EDCAAB3">
      <w:pPr>
        <w:ind w:firstLine="240" w:firstLineChars="100"/>
        <w:jc w:val="both"/>
        <w:rPr>
          <w:kern w:val="2"/>
          <w:lang w:val="en-AU"/>
        </w:rPr>
      </w:pPr>
      <w:r>
        <w:rPr>
          <w:kern w:val="2"/>
          <w:lang w:val="en-AU"/>
        </w:rPr>
        <w:t xml:space="preserve">In MD, Bianfu Cave teeth fall within the ranges of </w:t>
      </w:r>
      <w:r>
        <w:rPr>
          <w:i/>
          <w:iCs/>
          <w:kern w:val="2"/>
          <w:lang w:val="en-AU"/>
        </w:rPr>
        <w:t>H. erectus</w:t>
      </w:r>
      <w:r>
        <w:rPr>
          <w:kern w:val="2"/>
          <w:lang w:val="en-AU"/>
        </w:rPr>
        <w:t xml:space="preserve">, East Asian late Middle Pleistocene </w:t>
      </w:r>
      <w:r>
        <w:rPr>
          <w:i/>
          <w:iCs/>
          <w:kern w:val="2"/>
          <w:lang w:val="en-AU"/>
        </w:rPr>
        <w:t>Homo</w:t>
      </w:r>
      <w:r>
        <w:rPr>
          <w:kern w:val="2"/>
          <w:lang w:val="en-AU"/>
        </w:rPr>
        <w:t xml:space="preserve">, late Neanderthals, and fossil </w:t>
      </w:r>
      <w:r>
        <w:rPr>
          <w:i/>
          <w:iCs/>
          <w:kern w:val="2"/>
          <w:lang w:val="en-AU"/>
        </w:rPr>
        <w:t>H. sapiens</w:t>
      </w:r>
      <w:r>
        <w:rPr>
          <w:kern w:val="2"/>
          <w:lang w:val="en-AU"/>
        </w:rPr>
        <w:t>, exceeding early Neanderthals but smaller than Denisovan from Penghu and Xiahe, and close to Denisovan from Laos (</w:t>
      </w:r>
      <w:r>
        <w:rPr>
          <w:color w:val="0000FF"/>
          <w:kern w:val="2"/>
          <w:lang w:val="en-AU"/>
        </w:rPr>
        <w:t>Extended Data Fig. 7</w:t>
      </w:r>
      <w:r>
        <w:rPr>
          <w:kern w:val="2"/>
          <w:lang w:val="en-AU"/>
        </w:rPr>
        <w:t xml:space="preserve">). In BL, it could be included within the range of East Asian late Middle Pleistocene </w:t>
      </w:r>
      <w:r>
        <w:rPr>
          <w:i/>
          <w:iCs/>
          <w:kern w:val="2"/>
          <w:lang w:val="en-AU"/>
        </w:rPr>
        <w:t>Homo</w:t>
      </w:r>
      <w:r>
        <w:rPr>
          <w:kern w:val="2"/>
          <w:lang w:val="en-AU"/>
        </w:rPr>
        <w:t xml:space="preserve">, early Neanderthals, and fossil </w:t>
      </w:r>
      <w:r>
        <w:rPr>
          <w:i/>
          <w:iCs/>
          <w:kern w:val="2"/>
          <w:lang w:val="en-AU"/>
        </w:rPr>
        <w:t>H. sapiens</w:t>
      </w:r>
      <w:r>
        <w:rPr>
          <w:kern w:val="2"/>
          <w:lang w:val="en-AU"/>
        </w:rPr>
        <w:t xml:space="preserve">, but is smaller than </w:t>
      </w:r>
      <w:r>
        <w:rPr>
          <w:i/>
          <w:iCs/>
          <w:kern w:val="2"/>
          <w:lang w:val="en-AU"/>
        </w:rPr>
        <w:t>H. erectus</w:t>
      </w:r>
      <w:r>
        <w:rPr>
          <w:kern w:val="2"/>
          <w:lang w:val="en-AU"/>
        </w:rPr>
        <w:t xml:space="preserve"> and Denisovan from Xiahe and Penghu, and close to Denisovan from Laos. Considering both MD and BL, the Bianfu Cave teeth, along with Denisovan from Laos, lie near the outer edge of the range for East Asian late Middle Pleistocene </w:t>
      </w:r>
      <w:r>
        <w:rPr>
          <w:i/>
          <w:iCs/>
          <w:kern w:val="2"/>
          <w:lang w:val="en-AU"/>
        </w:rPr>
        <w:t>Homo</w:t>
      </w:r>
      <w:r>
        <w:rPr>
          <w:kern w:val="2"/>
          <w:lang w:val="en-AU"/>
        </w:rPr>
        <w:t xml:space="preserve">, late Neanderthals, and fossil </w:t>
      </w:r>
      <w:r>
        <w:rPr>
          <w:i/>
          <w:iCs/>
          <w:kern w:val="2"/>
          <w:lang w:val="en-AU"/>
        </w:rPr>
        <w:t>H. sapiens</w:t>
      </w:r>
      <w:r>
        <w:rPr>
          <w:kern w:val="2"/>
          <w:lang w:val="en-AU"/>
        </w:rPr>
        <w:t xml:space="preserve">, away from those of </w:t>
      </w:r>
      <w:r>
        <w:rPr>
          <w:i/>
          <w:iCs/>
          <w:kern w:val="2"/>
          <w:lang w:val="en-AU"/>
        </w:rPr>
        <w:t>H. erectus</w:t>
      </w:r>
      <w:r>
        <w:rPr>
          <w:kern w:val="2"/>
          <w:lang w:val="en-AU"/>
        </w:rPr>
        <w:t>, and Denisovans from Penghu</w:t>
      </w:r>
      <w:r>
        <w:rPr>
          <w:rFonts w:hint="eastAsia"/>
          <w:vertAlign w:val="superscript"/>
          <w:lang w:val="en-US" w:eastAsia="zh-CN"/>
        </w:rPr>
        <w:t>44</w:t>
      </w:r>
      <w:r>
        <w:rPr>
          <w:kern w:val="2"/>
          <w:lang w:val="en-AU"/>
        </w:rPr>
        <w:t xml:space="preserve"> and Xiahe</w:t>
      </w:r>
      <w:r>
        <w:rPr>
          <w:rFonts w:hint="eastAsia"/>
          <w:vertAlign w:val="superscript"/>
          <w:lang w:val="en-US" w:eastAsia="zh-CN"/>
        </w:rPr>
        <w:t>39</w:t>
      </w:r>
      <w:r>
        <w:rPr>
          <w:kern w:val="2"/>
          <w:lang w:val="en-AU"/>
        </w:rPr>
        <w:t xml:space="preserve">. </w:t>
      </w:r>
    </w:p>
    <w:p w14:paraId="028D7384">
      <w:pPr>
        <w:pStyle w:val="3"/>
        <w:rPr>
          <w:rFonts w:hint="eastAsia" w:eastAsia="宋体"/>
          <w:lang w:val="en-US" w:eastAsia="zh-CN"/>
        </w:rPr>
      </w:pPr>
      <w:r>
        <w:rPr>
          <w:rFonts w:hint="eastAsia"/>
        </w:rPr>
        <w:t>Parietal and radius bone</w:t>
      </w:r>
      <w:r>
        <w:rPr>
          <w:rFonts w:hint="eastAsia"/>
          <w:lang w:val="en-US" w:eastAsia="zh-CN"/>
        </w:rPr>
        <w:t>s</w:t>
      </w:r>
    </w:p>
    <w:p w14:paraId="0795444E">
      <w:pPr>
        <w:ind w:firstLine="240" w:firstLineChars="100"/>
        <w:jc w:val="both"/>
      </w:pPr>
      <w:r>
        <w:rPr>
          <w:rFonts w:hint="eastAsia"/>
          <w:bCs/>
          <w:iCs/>
        </w:rPr>
        <w:t>Parietal bones: Two cranial fragments (</w:t>
      </w:r>
      <w:r>
        <w:t>YHB-</w:t>
      </w:r>
      <w:r>
        <w:rPr>
          <w:rFonts w:hint="eastAsia"/>
        </w:rPr>
        <w:t>767</w:t>
      </w:r>
      <w:r>
        <w:t xml:space="preserve"> and YHB-</w:t>
      </w:r>
      <w:r>
        <w:rPr>
          <w:rFonts w:hint="eastAsia"/>
        </w:rPr>
        <w:t xml:space="preserve">769) </w:t>
      </w:r>
      <w:r>
        <w:rPr>
          <w:rFonts w:hint="eastAsia"/>
          <w:bCs/>
          <w:iCs/>
        </w:rPr>
        <w:t>were identified from the Bianfu Cave fossil collection and recognized as two partial parietal bones. Y</w:t>
      </w:r>
      <w:r>
        <w:t>HB-</w:t>
      </w:r>
      <w:r>
        <w:rPr>
          <w:rFonts w:hint="eastAsia"/>
        </w:rPr>
        <w:t>767</w:t>
      </w:r>
      <w:r>
        <w:t>, measur</w:t>
      </w:r>
      <w:r>
        <w:rPr>
          <w:rFonts w:hint="eastAsia"/>
        </w:rPr>
        <w:t xml:space="preserve">ing </w:t>
      </w:r>
      <w:r>
        <w:t>50 m</w:t>
      </w:r>
      <w:r>
        <w:rPr>
          <w:rFonts w:hint="default" w:ascii="Times New Roman" w:hAnsi="Times New Roman" w:cs="Times New Roman"/>
        </w:rPr>
        <w:t xml:space="preserve">m </w:t>
      </w:r>
      <w:r>
        <w:rPr>
          <w:rFonts w:hint="default" w:ascii="Times New Roman" w:hAnsi="Times New Roman" w:cs="Times New Roman"/>
          <w:lang w:val="en-US" w:eastAsia="zh-CN"/>
        </w:rPr>
        <w:t>×</w:t>
      </w:r>
      <w:r>
        <w:rPr>
          <w:rFonts w:hint="default" w:ascii="Times New Roman" w:hAnsi="Times New Roman" w:cs="Times New Roman"/>
        </w:rPr>
        <w:t xml:space="preserve"> 32 </w:t>
      </w:r>
      <w:r>
        <w:t xml:space="preserve">mm, </w:t>
      </w:r>
      <w:r>
        <w:rPr>
          <w:rFonts w:hint="eastAsia"/>
        </w:rPr>
        <w:t>represents the</w:t>
      </w:r>
      <w:r>
        <w:t xml:space="preserve"> anterior part of a right parietal </w:t>
      </w:r>
      <w:r>
        <w:rPr>
          <w:rFonts w:hint="eastAsia"/>
        </w:rPr>
        <w:t xml:space="preserve">bone. </w:t>
      </w:r>
      <w:r>
        <w:t>I</w:t>
      </w:r>
      <w:r>
        <w:rPr>
          <w:rFonts w:hint="eastAsia"/>
        </w:rPr>
        <w:t xml:space="preserve">ts </w:t>
      </w:r>
      <w:r>
        <w:rPr>
          <w:lang w:val="en-GB"/>
        </w:rPr>
        <w:t>centre</w:t>
      </w:r>
      <w:r>
        <w:rPr>
          <w:rFonts w:hint="eastAsia"/>
        </w:rPr>
        <w:t xml:space="preserve"> has a thickness of 7.6 mm. Two grooves on the endocranial surface correspond to branches of the middle meningeal vessels. </w:t>
      </w:r>
      <w:r>
        <w:t>YHB-</w:t>
      </w:r>
      <w:r>
        <w:rPr>
          <w:rFonts w:hint="eastAsia"/>
        </w:rPr>
        <w:t xml:space="preserve">769, derived from the </w:t>
      </w:r>
      <w:r>
        <w:rPr>
          <w:rFonts w:hint="eastAsia"/>
          <w:lang w:val="en-US" w:eastAsia="zh-CN"/>
        </w:rPr>
        <w:t>lambda region</w:t>
      </w:r>
      <w:r>
        <w:rPr>
          <w:rFonts w:hint="eastAsia"/>
        </w:rPr>
        <w:t xml:space="preserve"> of a right parietal bone, </w:t>
      </w:r>
      <w:r>
        <w:t>measure</w:t>
      </w:r>
      <w:r>
        <w:rPr>
          <w:rFonts w:hint="eastAsia"/>
        </w:rPr>
        <w:t xml:space="preserve">s 58 mm </w:t>
      </w:r>
      <w:r>
        <w:rPr>
          <w:rFonts w:hint="default" w:ascii="Times New Roman" w:hAnsi="Times New Roman" w:cs="Times New Roman"/>
          <w:lang w:val="en-US" w:eastAsia="zh-CN"/>
        </w:rPr>
        <w:t>×</w:t>
      </w:r>
      <w:r>
        <w:rPr>
          <w:rFonts w:hint="eastAsia"/>
        </w:rPr>
        <w:t xml:space="preserve"> 26 mm and is 10 mm thick at the centre.</w:t>
      </w:r>
      <w:r>
        <w:rPr>
          <w:rFonts w:hint="eastAsia"/>
          <w:lang w:val="en-US" w:eastAsia="zh-CN"/>
        </w:rPr>
        <w:t xml:space="preserve"> </w:t>
      </w:r>
      <w:r>
        <w:t>A lamboidal suture is visible on YHB-769 and it shows mininal fusion on the endocranial side, suggesting an age at death of approximately 30 years</w:t>
      </w:r>
      <w:r>
        <w:rPr>
          <w:rFonts w:hint="eastAsia"/>
          <w:vertAlign w:val="superscript"/>
          <w:lang w:val="en-US" w:eastAsia="zh-CN"/>
        </w:rPr>
        <w:t>45,46</w:t>
      </w:r>
      <w:r>
        <w:t>.</w:t>
      </w:r>
    </w:p>
    <w:p w14:paraId="046A2468">
      <w:pPr>
        <w:ind w:firstLine="240" w:firstLineChars="100"/>
        <w:jc w:val="both"/>
        <w:rPr>
          <w:kern w:val="2"/>
          <w:lang w:val="en-AU"/>
        </w:rPr>
      </w:pPr>
      <w:r>
        <w:rPr>
          <w:rFonts w:hint="eastAsia"/>
          <w:kern w:val="2"/>
          <w:lang w:val="en-AU"/>
        </w:rPr>
        <w:t>Radius: A radial fragment was also recovered from the Bianfu Cave (~45 mm in length), extending from an incomplete head past a pronounced radial tuberosity. It</w:t>
      </w:r>
      <w:r>
        <w:rPr>
          <w:rFonts w:hint="eastAsia"/>
          <w:kern w:val="2"/>
          <w:lang w:val="en-US" w:eastAsia="zh-CN"/>
        </w:rPr>
        <w:t>s</w:t>
      </w:r>
      <w:r>
        <w:rPr>
          <w:rFonts w:hint="eastAsia"/>
          <w:kern w:val="2"/>
          <w:lang w:val="en-AU"/>
        </w:rPr>
        <w:t xml:space="preserve"> neck is elliptical in cross-section</w:t>
      </w:r>
      <w:r>
        <w:rPr>
          <w:rFonts w:hint="eastAsia"/>
          <w:kern w:val="2"/>
          <w:lang w:val="en-US" w:eastAsia="zh-CN"/>
        </w:rPr>
        <w:t>,</w:t>
      </w:r>
      <w:r>
        <w:rPr>
          <w:rFonts w:hint="eastAsia"/>
          <w:kern w:val="2"/>
          <w:lang w:val="en-AU"/>
        </w:rPr>
        <w:t xml:space="preserve"> and the radial tuberosity </w:t>
      </w:r>
      <w:r>
        <w:rPr>
          <w:kern w:val="2"/>
        </w:rPr>
        <w:t>is inferred to be medially oriented.</w:t>
      </w:r>
      <w:r>
        <w:rPr>
          <w:rFonts w:hint="eastAsia"/>
          <w:kern w:val="2"/>
          <w:lang w:val="en-AU"/>
        </w:rPr>
        <w:t xml:space="preserve"> </w:t>
      </w:r>
    </w:p>
    <w:p w14:paraId="568D6921">
      <w:pPr>
        <w:pStyle w:val="2"/>
      </w:pPr>
      <w:r>
        <w:br w:type="column"/>
      </w:r>
      <w:bookmarkStart w:id="8" w:name="_Toc209814669"/>
      <w:r>
        <w:t xml:space="preserve">Supplementary Information </w:t>
      </w:r>
      <w:r>
        <w:rPr>
          <w:rFonts w:hint="eastAsia"/>
          <w:lang w:val="en-US" w:eastAsia="zh-CN"/>
        </w:rPr>
        <w:t>E</w:t>
      </w:r>
      <w:r>
        <w:t xml:space="preserve">: </w:t>
      </w:r>
      <w:r>
        <w:rPr>
          <w:rFonts w:hint="eastAsia"/>
        </w:rPr>
        <w:t>Stone and Bone Artefacts</w:t>
      </w:r>
      <w:bookmarkEnd w:id="8"/>
    </w:p>
    <w:p w14:paraId="0A070403">
      <w:pPr>
        <w:pStyle w:val="3"/>
      </w:pPr>
      <w:r>
        <w:rPr>
          <w:rFonts w:hint="eastAsia"/>
        </w:rPr>
        <w:t>Stone artefacts</w:t>
      </w:r>
    </w:p>
    <w:p w14:paraId="4A31A594">
      <w:pPr>
        <w:pStyle w:val="4"/>
      </w:pPr>
      <w:r>
        <w:rPr>
          <w:rFonts w:hint="eastAsia"/>
        </w:rPr>
        <w:t>Lithic components and raw materials</w:t>
      </w:r>
    </w:p>
    <w:p w14:paraId="75D6BDFC">
      <w:pPr>
        <w:ind w:firstLine="240" w:firstLineChars="100"/>
        <w:jc w:val="both"/>
        <w:rPr>
          <w:kern w:val="2"/>
          <w:lang w:val="en-AU"/>
        </w:rPr>
      </w:pPr>
      <w:r>
        <w:rPr>
          <w:kern w:val="2"/>
          <w:lang w:val="en-AU"/>
        </w:rPr>
        <w:t xml:space="preserve">The </w:t>
      </w:r>
      <w:r>
        <w:rPr>
          <w:rFonts w:hint="eastAsia"/>
          <w:kern w:val="2"/>
        </w:rPr>
        <w:t>Bianfu</w:t>
      </w:r>
      <w:r>
        <w:rPr>
          <w:kern w:val="2"/>
          <w:lang w:val="en-AU"/>
        </w:rPr>
        <w:t xml:space="preserve"> Cave</w:t>
      </w:r>
      <w:r>
        <w:rPr>
          <w:rFonts w:hint="eastAsia"/>
          <w:kern w:val="2"/>
        </w:rPr>
        <w:t xml:space="preserve"> </w:t>
      </w:r>
      <w:r>
        <w:rPr>
          <w:kern w:val="2"/>
          <w:lang w:val="en-AU"/>
        </w:rPr>
        <w:t xml:space="preserve">yielded a total of 1,366 </w:t>
      </w:r>
      <w:r>
        <w:rPr>
          <w:rFonts w:hint="eastAsia"/>
          <w:kern w:val="2"/>
        </w:rPr>
        <w:t>stone</w:t>
      </w:r>
      <w:r>
        <w:rPr>
          <w:kern w:val="2"/>
          <w:lang w:val="en-AU"/>
        </w:rPr>
        <w:t xml:space="preserve"> art</w:t>
      </w:r>
      <w:r>
        <w:rPr>
          <w:rFonts w:hint="eastAsia"/>
          <w:kern w:val="2"/>
          <w:lang w:val="en-US" w:eastAsia="zh-CN"/>
        </w:rPr>
        <w:t>e</w:t>
      </w:r>
      <w:r>
        <w:rPr>
          <w:kern w:val="2"/>
          <w:lang w:val="en-AU"/>
        </w:rPr>
        <w:t xml:space="preserve">facts, </w:t>
      </w:r>
      <w:r>
        <w:rPr>
          <w:rFonts w:hint="eastAsia"/>
          <w:kern w:val="2"/>
        </w:rPr>
        <w:t xml:space="preserve">including </w:t>
      </w:r>
      <w:r>
        <w:rPr>
          <w:kern w:val="2"/>
          <w:lang w:val="en-AU"/>
        </w:rPr>
        <w:t>complete cores (n</w:t>
      </w:r>
      <w:r>
        <w:rPr>
          <w:rFonts w:hint="eastAsia"/>
          <w:kern w:val="2"/>
          <w:lang w:val="en-US" w:eastAsia="zh-CN"/>
        </w:rPr>
        <w:t xml:space="preserve"> </w:t>
      </w:r>
      <w:r>
        <w:rPr>
          <w:kern w:val="2"/>
          <w:lang w:val="en-AU"/>
        </w:rPr>
        <w:t>=</w:t>
      </w:r>
      <w:r>
        <w:rPr>
          <w:rFonts w:hint="eastAsia"/>
          <w:kern w:val="2"/>
          <w:lang w:val="en-US" w:eastAsia="zh-CN"/>
        </w:rPr>
        <w:t xml:space="preserve"> </w:t>
      </w:r>
      <w:r>
        <w:rPr>
          <w:kern w:val="2"/>
          <w:lang w:val="en-AU"/>
        </w:rPr>
        <w:t xml:space="preserve">187, 13.7%), core fragments (n = 44, 3.2%), complete flakes (n = 135, 9.9%), incomplete flakes (n = 86, 6.3%), tools (n = 34, 2.5%), and </w:t>
      </w:r>
      <w:r>
        <w:rPr>
          <w:rFonts w:hint="eastAsia"/>
          <w:kern w:val="2"/>
        </w:rPr>
        <w:t>debitage</w:t>
      </w:r>
      <w:r>
        <w:rPr>
          <w:kern w:val="2"/>
          <w:lang w:val="en-AU"/>
        </w:rPr>
        <w:t xml:space="preserve"> (n = 880, 64.4%)</w:t>
      </w:r>
      <w:r>
        <w:rPr>
          <w:rFonts w:hint="eastAsia"/>
          <w:kern w:val="2"/>
          <w:lang w:val="en-US" w:eastAsia="zh-CN"/>
        </w:rPr>
        <w:t xml:space="preserve"> (</w:t>
      </w:r>
      <w:r>
        <w:rPr>
          <w:kern w:val="2"/>
          <w:lang w:val="en-AU"/>
        </w:rPr>
        <w:t xml:space="preserve">see </w:t>
      </w:r>
      <w:r>
        <w:rPr>
          <w:color w:val="0000FF"/>
          <w:kern w:val="2"/>
        </w:rPr>
        <w:t>Supplementary</w:t>
      </w:r>
      <w:r>
        <w:rPr>
          <w:rFonts w:hint="eastAsia"/>
          <w:color w:val="0000FF"/>
          <w:kern w:val="2"/>
        </w:rPr>
        <w:t xml:space="preserve"> </w:t>
      </w:r>
      <w:r>
        <w:rPr>
          <w:color w:val="0000FF"/>
          <w:kern w:val="2"/>
          <w:lang w:val="en-AU"/>
        </w:rPr>
        <w:t xml:space="preserve">Table </w:t>
      </w:r>
      <w:r>
        <w:rPr>
          <w:rFonts w:hint="eastAsia"/>
          <w:color w:val="0000FF"/>
          <w:kern w:val="2"/>
        </w:rPr>
        <w:t>1</w:t>
      </w:r>
      <w:r>
        <w:rPr>
          <w:rFonts w:hint="eastAsia"/>
          <w:color w:val="0000FF"/>
          <w:kern w:val="2"/>
          <w:lang w:val="en-US" w:eastAsia="zh-CN"/>
        </w:rPr>
        <w:t>8</w:t>
      </w:r>
      <w:r>
        <w:rPr>
          <w:color w:val="0000FF"/>
          <w:kern w:val="2"/>
          <w:lang w:val="en-AU"/>
        </w:rPr>
        <w:t xml:space="preserve"> </w:t>
      </w:r>
      <w:r>
        <w:rPr>
          <w:kern w:val="2"/>
          <w:lang w:val="en-AU"/>
        </w:rPr>
        <w:t>for detailed counts</w:t>
      </w:r>
      <w:r>
        <w:rPr>
          <w:rFonts w:hint="eastAsia"/>
          <w:kern w:val="2"/>
          <w:lang w:val="en-US" w:eastAsia="zh-CN"/>
        </w:rPr>
        <w:t>)</w:t>
      </w:r>
      <w:r>
        <w:rPr>
          <w:kern w:val="2"/>
          <w:lang w:val="en-AU"/>
        </w:rPr>
        <w:t>.</w:t>
      </w:r>
      <w:r>
        <w:rPr>
          <w:rFonts w:hint="eastAsia"/>
          <w:kern w:val="2"/>
          <w:lang w:val="en-US" w:eastAsia="zh-CN"/>
        </w:rPr>
        <w:t xml:space="preserve"> A breakdown of stone artefact categories by layer is provided in </w:t>
      </w:r>
      <w:r>
        <w:rPr>
          <w:rFonts w:hint="eastAsia"/>
          <w:color w:val="0000FF"/>
          <w:kern w:val="2"/>
          <w:lang w:val="en-US" w:eastAsia="zh-CN"/>
        </w:rPr>
        <w:t>Supplementary Table 19</w:t>
      </w:r>
      <w:r>
        <w:rPr>
          <w:rFonts w:hint="eastAsia"/>
          <w:kern w:val="2"/>
          <w:lang w:val="en-US" w:eastAsia="zh-CN"/>
        </w:rPr>
        <w:t>.</w:t>
      </w:r>
      <w:r>
        <w:rPr>
          <w:kern w:val="2"/>
          <w:lang w:val="en-AU"/>
        </w:rPr>
        <w:t xml:space="preserve"> Sandy mudstone constituted the predominant raw material (n = 912, 66.8%), with other materials being less </w:t>
      </w:r>
      <w:r>
        <w:rPr>
          <w:rFonts w:hint="eastAsia"/>
          <w:kern w:val="2"/>
        </w:rPr>
        <w:t>used</w:t>
      </w:r>
      <w:r>
        <w:rPr>
          <w:kern w:val="2"/>
          <w:lang w:val="en-AU"/>
        </w:rPr>
        <w:t>: trachyte (n = 247, 18.1%), sandstone (n = 74, 5.4%), limestone (n = 60, 4.4%), granite (n = 46, 3.4%), andesite (n = 16, 1.2%), and siliceous rocks (n = 11, 0.8%) (</w:t>
      </w:r>
      <w:r>
        <w:rPr>
          <w:rFonts w:hint="eastAsia"/>
          <w:color w:val="0000FF"/>
          <w:kern w:val="2"/>
          <w:lang w:val="en-US" w:eastAsia="zh-CN"/>
        </w:rPr>
        <w:t xml:space="preserve">Supplementary Fig. 22; </w:t>
      </w:r>
      <w:r>
        <w:rPr>
          <w:color w:val="0000FF"/>
          <w:kern w:val="2"/>
        </w:rPr>
        <w:t>Supplementary</w:t>
      </w:r>
      <w:r>
        <w:rPr>
          <w:rFonts w:hint="eastAsia"/>
          <w:color w:val="0000FF"/>
          <w:kern w:val="2"/>
        </w:rPr>
        <w:t xml:space="preserve"> </w:t>
      </w:r>
      <w:r>
        <w:rPr>
          <w:color w:val="0000FF"/>
          <w:kern w:val="2"/>
          <w:lang w:val="en-AU"/>
        </w:rPr>
        <w:t xml:space="preserve">Table </w:t>
      </w:r>
      <w:r>
        <w:rPr>
          <w:rFonts w:hint="eastAsia"/>
          <w:color w:val="0000FF"/>
          <w:kern w:val="2"/>
        </w:rPr>
        <w:t>1</w:t>
      </w:r>
      <w:r>
        <w:rPr>
          <w:rFonts w:hint="eastAsia"/>
          <w:color w:val="0000FF"/>
          <w:kern w:val="2"/>
          <w:lang w:val="en-US" w:eastAsia="zh-CN"/>
        </w:rPr>
        <w:t>8</w:t>
      </w:r>
      <w:r>
        <w:rPr>
          <w:kern w:val="2"/>
          <w:lang w:val="en-AU"/>
        </w:rPr>
        <w:t>).</w:t>
      </w:r>
      <w:r>
        <w:rPr>
          <w:rFonts w:hint="eastAsia"/>
          <w:kern w:val="2"/>
          <w:lang w:val="en-US" w:eastAsia="zh-CN"/>
        </w:rPr>
        <w:t xml:space="preserve"> </w:t>
      </w:r>
      <w:r>
        <w:rPr>
          <w:kern w:val="2"/>
          <w:lang w:val="en-AU"/>
        </w:rPr>
        <w:t xml:space="preserve">Cortex </w:t>
      </w:r>
      <w:r>
        <w:rPr>
          <w:rFonts w:hint="eastAsia"/>
          <w:kern w:val="2"/>
        </w:rPr>
        <w:t>preserved on lithics</w:t>
      </w:r>
      <w:r>
        <w:rPr>
          <w:kern w:val="2"/>
          <w:lang w:val="en-AU"/>
        </w:rPr>
        <w:t xml:space="preserve"> indicates that all materials except limestone were </w:t>
      </w:r>
      <w:r>
        <w:rPr>
          <w:rFonts w:hint="eastAsia"/>
          <w:kern w:val="2"/>
        </w:rPr>
        <w:t>collected</w:t>
      </w:r>
      <w:r>
        <w:rPr>
          <w:kern w:val="2"/>
          <w:lang w:val="en-AU"/>
        </w:rPr>
        <w:t xml:space="preserve"> from </w:t>
      </w:r>
      <w:r>
        <w:rPr>
          <w:rFonts w:hint="eastAsia"/>
          <w:kern w:val="2"/>
        </w:rPr>
        <w:t>river</w:t>
      </w:r>
      <w:r>
        <w:rPr>
          <w:kern w:val="2"/>
          <w:lang w:val="en-AU"/>
        </w:rPr>
        <w:t xml:space="preserve"> cobbles</w:t>
      </w:r>
      <w:r>
        <w:rPr>
          <w:rFonts w:hint="eastAsia"/>
          <w:kern w:val="2"/>
        </w:rPr>
        <w:t>.</w:t>
      </w:r>
      <w:r>
        <w:rPr>
          <w:rFonts w:hint="eastAsia"/>
          <w:kern w:val="2"/>
          <w:lang w:val="en-AU"/>
        </w:rPr>
        <w:t xml:space="preserve"> </w:t>
      </w:r>
      <w:r>
        <w:rPr>
          <w:rFonts w:hint="eastAsia"/>
          <w:kern w:val="2"/>
        </w:rPr>
        <w:t xml:space="preserve">Field survey </w:t>
      </w:r>
      <w:r>
        <w:rPr>
          <w:kern w:val="2"/>
          <w:lang w:val="en-AU"/>
        </w:rPr>
        <w:t xml:space="preserve">along the Yinhe </w:t>
      </w:r>
      <w:r>
        <w:rPr>
          <w:rFonts w:hint="eastAsia"/>
          <w:kern w:val="2"/>
        </w:rPr>
        <w:t>r</w:t>
      </w:r>
      <w:r>
        <w:rPr>
          <w:kern w:val="2"/>
          <w:lang w:val="en-AU"/>
        </w:rPr>
        <w:t>iver</w:t>
      </w:r>
      <w:r>
        <w:rPr>
          <w:rFonts w:hint="eastAsia"/>
          <w:kern w:val="2"/>
        </w:rPr>
        <w:t xml:space="preserve">, which is </w:t>
      </w:r>
      <w:r>
        <w:rPr>
          <w:kern w:val="2"/>
          <w:lang w:val="en-AU"/>
        </w:rPr>
        <w:t xml:space="preserve">a secondary tributary of the </w:t>
      </w:r>
      <w:r>
        <w:rPr>
          <w:rFonts w:hint="eastAsia"/>
          <w:kern w:val="2"/>
        </w:rPr>
        <w:t>Yangtze</w:t>
      </w:r>
      <w:r>
        <w:rPr>
          <w:kern w:val="2"/>
          <w:lang w:val="en-AU"/>
        </w:rPr>
        <w:t xml:space="preserve"> River located approximately 2 km north of the site</w:t>
      </w:r>
      <w:r>
        <w:rPr>
          <w:rFonts w:hint="eastAsia"/>
          <w:kern w:val="2"/>
          <w:lang w:val="en-US" w:eastAsia="zh-CN"/>
        </w:rPr>
        <w:t>, indicates that the cobbles were likely sourced from local gravel banks, and that the relative frequencies of raw material types documented in the natural riverbed are broadly consistent with those exploited by hominins at the site (</w:t>
      </w:r>
      <w:r>
        <w:rPr>
          <w:rFonts w:hint="eastAsia"/>
          <w:color w:val="0000FF"/>
          <w:kern w:val="2"/>
          <w:lang w:val="en-US" w:eastAsia="zh-CN"/>
        </w:rPr>
        <w:t>Supplementary Fig. 22</w:t>
      </w:r>
      <w:r>
        <w:rPr>
          <w:rFonts w:hint="eastAsia"/>
          <w:kern w:val="2"/>
          <w:lang w:val="en-US" w:eastAsia="zh-CN"/>
        </w:rPr>
        <w:t>)</w:t>
      </w:r>
      <w:r>
        <w:rPr>
          <w:rFonts w:hint="eastAsia"/>
          <w:kern w:val="2"/>
        </w:rPr>
        <w:t>. There is</w:t>
      </w:r>
      <w:r>
        <w:rPr>
          <w:kern w:val="2"/>
          <w:lang w:val="en-AU"/>
        </w:rPr>
        <w:t xml:space="preserve"> no evidence of long-distance transport</w:t>
      </w:r>
      <w:r>
        <w:rPr>
          <w:rFonts w:hint="eastAsia"/>
          <w:kern w:val="2"/>
        </w:rPr>
        <w:t xml:space="preserve"> of exotic raw materials</w:t>
      </w:r>
      <w:r>
        <w:rPr>
          <w:kern w:val="2"/>
          <w:lang w:val="en-AU"/>
        </w:rPr>
        <w:t>.</w:t>
      </w:r>
    </w:p>
    <w:p w14:paraId="376D7611">
      <w:pPr>
        <w:ind w:firstLine="240" w:firstLineChars="100"/>
        <w:jc w:val="both"/>
        <w:rPr>
          <w:rFonts w:hint="default" w:ascii="Times New Roman" w:hAnsi="Times New Roman" w:eastAsia="宋体" w:cs="Times New Roman"/>
          <w:b w:val="0"/>
          <w:bCs w:val="0"/>
          <w:color w:val="C00000"/>
          <w:sz w:val="24"/>
          <w:lang w:val="en-US" w:eastAsia="zh-CN"/>
        </w:rPr>
      </w:pPr>
      <w:r>
        <w:rPr>
          <w:rFonts w:hint="eastAsia"/>
          <w:kern w:val="2"/>
          <w:lang w:val="en-US" w:eastAsia="zh-CN"/>
        </w:rPr>
        <w:t>To test technological continuity across the sequence, we conducted statistical analyses on layers 9, 7 and 3, each of which yielded sufficient quantities of stone artefacts (&gt; 50 pieces) for robust analysis. Notably, layers 9 and 7 contain hominin fossils, offering an opportunity to test whether the technological characteristics of stone artefacts directly associated with these fossils differ from those of layer 3, which lacks hominin fossils. Given the small number of retouched tools (four in layer 9, seven in layer 7), only cores and flakes were analysed. The results show no statistically significant differences in cores (</w:t>
      </w:r>
      <w:r>
        <w:rPr>
          <w:rFonts w:hint="eastAsia"/>
          <w:kern w:val="2"/>
          <w:highlight w:val="none"/>
          <w:lang w:val="en-US" w:eastAsia="zh-CN"/>
        </w:rPr>
        <w:t>pseudo-F = 1.759, df = 107, P = 0.1554)</w:t>
      </w:r>
      <w:r>
        <w:rPr>
          <w:rFonts w:hint="eastAsia"/>
          <w:kern w:val="2"/>
          <w:lang w:val="en-US" w:eastAsia="zh-CN"/>
        </w:rPr>
        <w:t xml:space="preserve"> and flakes (</w:t>
      </w:r>
      <w:r>
        <w:rPr>
          <w:rFonts w:hint="eastAsia"/>
          <w:kern w:val="2"/>
          <w:highlight w:val="none"/>
          <w:lang w:val="en-US" w:eastAsia="zh-CN"/>
        </w:rPr>
        <w:t>pseudo-F = 2.148, df = 72, P = 0.1008)</w:t>
      </w:r>
      <w:r>
        <w:rPr>
          <w:rFonts w:hint="eastAsia"/>
          <w:kern w:val="2"/>
          <w:lang w:val="en-US" w:eastAsia="zh-CN"/>
        </w:rPr>
        <w:t xml:space="preserve"> across the three layers (</w:t>
      </w:r>
      <w:r>
        <w:rPr>
          <w:rFonts w:hint="eastAsia"/>
          <w:color w:val="0000FF"/>
          <w:kern w:val="2"/>
          <w:lang w:val="en-US" w:eastAsia="zh-CN"/>
        </w:rPr>
        <w:t>Supplementary Figs. 23, 24</w:t>
      </w:r>
      <w:r>
        <w:rPr>
          <w:rFonts w:hint="eastAsia"/>
          <w:kern w:val="2"/>
          <w:lang w:val="en-US" w:eastAsia="zh-CN"/>
        </w:rPr>
        <w:t>). Although statistical tests could not be performed on tools, the tool types present in these three primary layers generally reflect a common toolkit, including notches, denticulates, scrapers, choppers and informal tools (</w:t>
      </w:r>
      <w:r>
        <w:rPr>
          <w:rFonts w:hint="eastAsia"/>
          <w:color w:val="0000FF"/>
          <w:kern w:val="2"/>
          <w:lang w:val="en-US" w:eastAsia="zh-CN"/>
        </w:rPr>
        <w:t>Supplementary Table 19</w:t>
      </w:r>
      <w:r>
        <w:rPr>
          <w:rFonts w:hint="eastAsia"/>
          <w:kern w:val="2"/>
          <w:highlight w:val="none"/>
          <w:lang w:val="en-US" w:eastAsia="zh-CN"/>
        </w:rPr>
        <w:t>)</w:t>
      </w:r>
      <w:r>
        <w:rPr>
          <w:rFonts w:hint="eastAsia"/>
          <w:kern w:val="2"/>
          <w:lang w:val="en-US" w:eastAsia="zh-CN"/>
        </w:rPr>
        <w:t>. In addition, comparisons of key technological attributes among formally retouched tools from layers 3, 7 and 9 are consistently characterised by a predominance of flake blanks, unifacial single-edge retouching, and low scar-layer and scar-count values (</w:t>
      </w:r>
      <w:r>
        <w:rPr>
          <w:rFonts w:hint="eastAsia"/>
          <w:color w:val="0000FF"/>
          <w:kern w:val="2"/>
          <w:lang w:val="en-US" w:eastAsia="zh-CN"/>
        </w:rPr>
        <w:t>Supplementary Table 20</w:t>
      </w:r>
      <w:r>
        <w:rPr>
          <w:rFonts w:hint="eastAsia"/>
          <w:kern w:val="2"/>
          <w:lang w:val="en-US" w:eastAsia="zh-CN"/>
        </w:rPr>
        <w:t>), which further supports the interpretation of technological continuity at the site.</w:t>
      </w:r>
    </w:p>
    <w:p w14:paraId="203B963E">
      <w:pPr>
        <w:pStyle w:val="4"/>
      </w:pPr>
      <w:r>
        <w:t>Core</w:t>
      </w:r>
      <w:r>
        <w:rPr>
          <w:rFonts w:hint="eastAsia"/>
        </w:rPr>
        <w:t xml:space="preserve"> reduction strategies</w:t>
      </w:r>
    </w:p>
    <w:p w14:paraId="28FF8152">
      <w:pPr>
        <w:pStyle w:val="5"/>
      </w:pPr>
      <w:r>
        <w:rPr>
          <w:rFonts w:hint="eastAsia"/>
        </w:rPr>
        <w:t>Cores</w:t>
      </w:r>
    </w:p>
    <w:p w14:paraId="6D10F47D">
      <w:pPr>
        <w:pStyle w:val="22"/>
        <w:shd w:val="clear" w:color="auto" w:fill="FFFFFF"/>
        <w:ind w:firstLine="240" w:firstLineChars="100"/>
        <w:jc w:val="both"/>
        <w:rPr>
          <w:i/>
          <w:iCs/>
          <w:kern w:val="2"/>
          <w:lang w:val="en-AU"/>
        </w:rPr>
      </w:pPr>
      <w:r>
        <w:rPr>
          <w:kern w:val="2"/>
          <w:lang w:val="en-AU"/>
        </w:rPr>
        <w:t>The B</w:t>
      </w:r>
      <w:r>
        <w:rPr>
          <w:rFonts w:hint="eastAsia"/>
          <w:kern w:val="2"/>
        </w:rPr>
        <w:t xml:space="preserve">ianfu </w:t>
      </w:r>
      <w:r>
        <w:rPr>
          <w:kern w:val="2"/>
          <w:lang w:val="en-AU"/>
        </w:rPr>
        <w:t xml:space="preserve">Cave includes 187 complete cores and 44 core fragments. Based on flake scar patterns and volumetric structures, these cores </w:t>
      </w:r>
      <w:r>
        <w:rPr>
          <w:rFonts w:hint="eastAsia"/>
          <w:kern w:val="2"/>
        </w:rPr>
        <w:t>can be</w:t>
      </w:r>
      <w:r>
        <w:rPr>
          <w:kern w:val="2"/>
          <w:lang w:val="en-AU"/>
        </w:rPr>
        <w:t xml:space="preserve"> classified </w:t>
      </w:r>
      <w:r>
        <w:rPr>
          <w:rFonts w:hint="eastAsia"/>
          <w:kern w:val="2"/>
          <w:lang w:val="en-US" w:eastAsia="zh-CN"/>
        </w:rPr>
        <w:t>in</w:t>
      </w:r>
      <w:r>
        <w:rPr>
          <w:rFonts w:hint="eastAsia"/>
          <w:kern w:val="2"/>
        </w:rPr>
        <w:t>to several sub-types, including</w:t>
      </w:r>
      <w:r>
        <w:rPr>
          <w:kern w:val="2"/>
          <w:lang w:val="en-AU"/>
        </w:rPr>
        <w:t xml:space="preserve"> initial cores, unifacial cores, bifacial cores, multifacial cores, centripetal cores, discoid cores, cores-on-flakes, and bipolar cores</w:t>
      </w:r>
      <w:r>
        <w:rPr>
          <w:rFonts w:hint="eastAsia"/>
          <w:kern w:val="2"/>
          <w:lang w:val="en-US" w:eastAsia="zh-CN"/>
        </w:rPr>
        <w:t xml:space="preserve"> (</w:t>
      </w:r>
      <w:r>
        <w:rPr>
          <w:rFonts w:hint="eastAsia" w:cs="Times New Roman"/>
          <w:color w:val="0000FF"/>
          <w:kern w:val="2"/>
          <w:sz w:val="24"/>
          <w:szCs w:val="24"/>
          <w:lang w:val="en-US" w:eastAsia="zh-CN" w:bidi="ar-SA"/>
        </w:rPr>
        <w:t>Supplementary Fig</w:t>
      </w:r>
      <w:r>
        <w:rPr>
          <w:rFonts w:hint="eastAsia" w:ascii="Times New Roman" w:hAnsi="Times New Roman" w:eastAsia="宋体" w:cs="Times New Roman"/>
          <w:color w:val="0000FF"/>
          <w:kern w:val="2"/>
          <w:sz w:val="24"/>
          <w:szCs w:val="24"/>
          <w:lang w:val="en-US" w:eastAsia="zh-CN" w:bidi="ar-SA"/>
        </w:rPr>
        <w:t>s</w:t>
      </w:r>
      <w:r>
        <w:rPr>
          <w:rFonts w:hint="eastAsia" w:cs="Times New Roman"/>
          <w:color w:val="0000FF"/>
          <w:kern w:val="2"/>
          <w:sz w:val="24"/>
          <w:szCs w:val="24"/>
          <w:lang w:val="en-US" w:eastAsia="zh-CN" w:bidi="ar-SA"/>
        </w:rPr>
        <w:t>.</w:t>
      </w:r>
      <w:r>
        <w:rPr>
          <w:rFonts w:hint="eastAsia" w:ascii="Times New Roman" w:hAnsi="Times New Roman" w:eastAsia="宋体" w:cs="Times New Roman"/>
          <w:color w:val="0000FF"/>
          <w:kern w:val="2"/>
          <w:sz w:val="24"/>
          <w:szCs w:val="24"/>
          <w:lang w:val="en-US" w:eastAsia="zh-CN" w:bidi="ar-SA"/>
        </w:rPr>
        <w:t xml:space="preserve"> 2</w:t>
      </w:r>
      <w:r>
        <w:rPr>
          <w:rFonts w:hint="eastAsia" w:cs="Times New Roman"/>
          <w:color w:val="0000FF"/>
          <w:kern w:val="2"/>
          <w:sz w:val="24"/>
          <w:szCs w:val="24"/>
          <w:lang w:val="en-US" w:eastAsia="zh-CN" w:bidi="ar-SA"/>
        </w:rPr>
        <w:t>5</w:t>
      </w:r>
      <w:r>
        <w:rPr>
          <w:rFonts w:hint="eastAsia" w:ascii="Times New Roman" w:hAnsi="Times New Roman" w:eastAsia="宋体" w:cs="Times New Roman"/>
          <w:color w:val="0000FF"/>
          <w:kern w:val="2"/>
          <w:sz w:val="24"/>
          <w:szCs w:val="24"/>
          <w:lang w:val="en-US" w:eastAsia="zh-CN" w:bidi="ar-SA"/>
        </w:rPr>
        <w:t>, 2</w:t>
      </w:r>
      <w:r>
        <w:rPr>
          <w:rFonts w:hint="eastAsia" w:cs="Times New Roman"/>
          <w:color w:val="0000FF"/>
          <w:kern w:val="2"/>
          <w:sz w:val="24"/>
          <w:szCs w:val="24"/>
          <w:lang w:val="en-US" w:eastAsia="zh-CN" w:bidi="ar-SA"/>
        </w:rPr>
        <w:t>8</w:t>
      </w:r>
      <w:r>
        <w:rPr>
          <w:rFonts w:hint="eastAsia" w:ascii="Times New Roman" w:hAnsi="Times New Roman" w:eastAsia="宋体" w:cs="Times New Roman"/>
          <w:color w:val="0000FF"/>
          <w:kern w:val="2"/>
          <w:sz w:val="24"/>
          <w:szCs w:val="24"/>
          <w:lang w:val="en-US" w:eastAsia="zh-CN" w:bidi="ar-SA"/>
        </w:rPr>
        <w:t>-</w:t>
      </w:r>
      <w:r>
        <w:rPr>
          <w:rFonts w:hint="eastAsia" w:cs="Times New Roman"/>
          <w:color w:val="0000FF"/>
          <w:kern w:val="2"/>
          <w:sz w:val="24"/>
          <w:szCs w:val="24"/>
          <w:lang w:val="en-US" w:eastAsia="zh-CN" w:bidi="ar-SA"/>
        </w:rPr>
        <w:t>31</w:t>
      </w:r>
      <w:r>
        <w:rPr>
          <w:rFonts w:hint="eastAsia" w:ascii="Times New Roman" w:hAnsi="Times New Roman" w:eastAsia="宋体" w:cs="Times New Roman"/>
          <w:color w:val="0000FF"/>
          <w:kern w:val="2"/>
          <w:sz w:val="24"/>
          <w:szCs w:val="24"/>
          <w:lang w:val="en-US" w:eastAsia="zh-CN" w:bidi="ar-SA"/>
        </w:rPr>
        <w:t xml:space="preserve">; Supplementary Table </w:t>
      </w:r>
      <w:r>
        <w:rPr>
          <w:rFonts w:hint="eastAsia" w:cs="Times New Roman"/>
          <w:color w:val="0000FF"/>
          <w:kern w:val="2"/>
          <w:sz w:val="24"/>
          <w:szCs w:val="24"/>
          <w:lang w:val="en-US" w:eastAsia="zh-CN" w:bidi="ar-SA"/>
        </w:rPr>
        <w:t>21</w:t>
      </w:r>
      <w:r>
        <w:rPr>
          <w:rFonts w:hint="eastAsia"/>
          <w:kern w:val="2"/>
          <w:lang w:val="en-US" w:eastAsia="zh-CN"/>
        </w:rPr>
        <w:t>)</w:t>
      </w:r>
      <w:r>
        <w:rPr>
          <w:kern w:val="2"/>
          <w:lang w:val="en-AU"/>
        </w:rPr>
        <w:t>.</w:t>
      </w:r>
      <w:r>
        <w:rPr>
          <w:rFonts w:hint="eastAsia"/>
          <w:kern w:val="2"/>
        </w:rPr>
        <w:t xml:space="preserve"> </w:t>
      </w:r>
    </w:p>
    <w:p w14:paraId="3E80471C">
      <w:pPr>
        <w:pStyle w:val="22"/>
        <w:numPr>
          <w:ilvl w:val="0"/>
          <w:numId w:val="5"/>
        </w:numPr>
        <w:shd w:val="clear" w:color="auto" w:fill="FFFFFF"/>
        <w:ind w:firstLine="240" w:firstLineChars="100"/>
        <w:jc w:val="both"/>
        <w:rPr>
          <w:kern w:val="2"/>
          <w:lang w:val="en-AU"/>
        </w:rPr>
      </w:pPr>
      <w:r>
        <w:rPr>
          <w:kern w:val="2"/>
          <w:lang w:val="en-AU"/>
        </w:rPr>
        <w:t xml:space="preserve">Initial cores (n = 10, 5.4%): </w:t>
      </w:r>
      <w:r>
        <w:rPr>
          <w:rFonts w:hint="eastAsia"/>
          <w:kern w:val="2"/>
          <w:lang w:val="en-AU"/>
        </w:rPr>
        <w:t>c</w:t>
      </w:r>
      <w:r>
        <w:rPr>
          <w:kern w:val="2"/>
          <w:lang w:val="en-AU"/>
        </w:rPr>
        <w:t>haracterized by the removal of</w:t>
      </w:r>
      <w:r>
        <w:rPr>
          <w:rFonts w:hint="eastAsia"/>
          <w:kern w:val="2"/>
          <w:lang w:val="en-AU"/>
        </w:rPr>
        <w:t xml:space="preserve"> o</w:t>
      </w:r>
      <w:r>
        <w:rPr>
          <w:rFonts w:hint="eastAsia"/>
          <w:kern w:val="2"/>
        </w:rPr>
        <w:t>nly one</w:t>
      </w:r>
      <w:r>
        <w:rPr>
          <w:kern w:val="2"/>
          <w:lang w:val="en-AU"/>
        </w:rPr>
        <w:t xml:space="preserve"> flake</w:t>
      </w:r>
      <w:r>
        <w:rPr>
          <w:rFonts w:hint="eastAsia"/>
          <w:kern w:val="2"/>
          <w:lang w:val="en-AU"/>
        </w:rPr>
        <w:t xml:space="preserve">, </w:t>
      </w:r>
      <w:r>
        <w:rPr>
          <w:kern w:val="2"/>
          <w:lang w:val="en-AU"/>
        </w:rPr>
        <w:t xml:space="preserve">reflecting tentative reduction. </w:t>
      </w:r>
      <w:r>
        <w:rPr>
          <w:rFonts w:hint="eastAsia"/>
          <w:kern w:val="2"/>
        </w:rPr>
        <w:t>The a</w:t>
      </w:r>
      <w:r>
        <w:rPr>
          <w:kern w:val="2"/>
          <w:lang w:val="en-AU"/>
        </w:rPr>
        <w:t xml:space="preserve">verage </w:t>
      </w:r>
      <w:r>
        <w:rPr>
          <w:rFonts w:hint="eastAsia"/>
          <w:kern w:val="2"/>
        </w:rPr>
        <w:t>length, width and thickness are</w:t>
      </w:r>
      <w:r>
        <w:rPr>
          <w:kern w:val="2"/>
          <w:lang w:val="en-AU"/>
        </w:rPr>
        <w:t xml:space="preserve"> 69.3 × 55.4 × 38.9 mm.</w:t>
      </w:r>
    </w:p>
    <w:p w14:paraId="5A34E5FF">
      <w:pPr>
        <w:pStyle w:val="22"/>
        <w:numPr>
          <w:ilvl w:val="0"/>
          <w:numId w:val="5"/>
        </w:numPr>
        <w:shd w:val="clear" w:color="auto" w:fill="FFFFFF"/>
        <w:ind w:firstLine="240" w:firstLineChars="100"/>
        <w:jc w:val="both"/>
        <w:rPr>
          <w:kern w:val="2"/>
          <w:lang w:val="en-AU"/>
        </w:rPr>
      </w:pPr>
      <w:r>
        <w:rPr>
          <w:kern w:val="2"/>
          <w:lang w:val="en-AU"/>
        </w:rPr>
        <w:t xml:space="preserve">Unifacial cores (n = 90, 48.1%): </w:t>
      </w:r>
      <w:r>
        <w:rPr>
          <w:rFonts w:hint="eastAsia"/>
          <w:kern w:val="2"/>
        </w:rPr>
        <w:t xml:space="preserve">cores exhibit one flaking surface, </w:t>
      </w:r>
      <w:r>
        <w:rPr>
          <w:kern w:val="2"/>
        </w:rPr>
        <w:t>usually knapped from a single platform</w:t>
      </w:r>
      <w:r>
        <w:rPr>
          <w:rFonts w:hint="eastAsia"/>
          <w:kern w:val="2"/>
        </w:rPr>
        <w:t>. The flaking pattern is d</w:t>
      </w:r>
      <w:r>
        <w:rPr>
          <w:kern w:val="2"/>
          <w:lang w:val="en-AU"/>
        </w:rPr>
        <w:t xml:space="preserve">ominated by unidirectional reduction (n = 79), typically along the short axis of narrow surfaces. While most </w:t>
      </w:r>
      <w:r>
        <w:rPr>
          <w:rFonts w:hint="eastAsia"/>
          <w:kern w:val="2"/>
        </w:rPr>
        <w:t xml:space="preserve">specimens </w:t>
      </w:r>
      <w:r>
        <w:rPr>
          <w:kern w:val="2"/>
          <w:lang w:val="en-AU"/>
        </w:rPr>
        <w:t xml:space="preserve">show limited reduction, some </w:t>
      </w:r>
      <w:r>
        <w:rPr>
          <w:rFonts w:hint="eastAsia"/>
          <w:kern w:val="2"/>
        </w:rPr>
        <w:t xml:space="preserve">examples </w:t>
      </w:r>
      <w:r>
        <w:rPr>
          <w:kern w:val="2"/>
          <w:lang w:val="en-AU"/>
        </w:rPr>
        <w:t xml:space="preserve">exhibit intensive exploitation through core rotation. Variants included opposed (n = 7) and orthogonal (n = 4) flaking. </w:t>
      </w:r>
      <w:r>
        <w:rPr>
          <w:rFonts w:hint="eastAsia"/>
          <w:kern w:val="2"/>
        </w:rPr>
        <w:t>The mean number</w:t>
      </w:r>
      <w:r>
        <w:rPr>
          <w:rFonts w:hint="eastAsia"/>
          <w:kern w:val="2"/>
          <w:lang w:val="en-US" w:eastAsia="zh-CN"/>
        </w:rPr>
        <w:t xml:space="preserve"> of scars</w:t>
      </w:r>
      <w:r>
        <w:rPr>
          <w:rFonts w:hint="eastAsia"/>
          <w:kern w:val="2"/>
        </w:rPr>
        <w:t xml:space="preserve"> is 4.9 (</w:t>
      </w:r>
      <w:r>
        <w:rPr>
          <w:kern w:val="2"/>
          <w:lang w:val="en-AU"/>
        </w:rPr>
        <w:t xml:space="preserve">σ = </w:t>
      </w:r>
      <w:r>
        <w:rPr>
          <w:rFonts w:hint="eastAsia"/>
          <w:kern w:val="2"/>
        </w:rPr>
        <w:t>2.4), the a</w:t>
      </w:r>
      <w:r>
        <w:rPr>
          <w:kern w:val="2"/>
          <w:lang w:val="en-AU"/>
        </w:rPr>
        <w:t>verage platform angle</w:t>
      </w:r>
      <w:r>
        <w:rPr>
          <w:rFonts w:hint="eastAsia"/>
          <w:kern w:val="2"/>
        </w:rPr>
        <w:t xml:space="preserve"> is</w:t>
      </w:r>
      <w:r>
        <w:rPr>
          <w:kern w:val="2"/>
          <w:lang w:val="en-AU"/>
        </w:rPr>
        <w:t xml:space="preserve"> 82.2° (σ = 63.3°)</w:t>
      </w:r>
      <w:r>
        <w:rPr>
          <w:rFonts w:hint="eastAsia"/>
          <w:kern w:val="2"/>
        </w:rPr>
        <w:t>,</w:t>
      </w:r>
      <w:r>
        <w:rPr>
          <w:kern w:val="2"/>
          <w:lang w:val="en-AU"/>
        </w:rPr>
        <w:t xml:space="preserve"> </w:t>
      </w:r>
      <w:r>
        <w:rPr>
          <w:rFonts w:hint="eastAsia"/>
          <w:kern w:val="2"/>
        </w:rPr>
        <w:t>and the a</w:t>
      </w:r>
      <w:r>
        <w:rPr>
          <w:kern w:val="2"/>
          <w:lang w:val="en-AU"/>
        </w:rPr>
        <w:t xml:space="preserve">verage </w:t>
      </w:r>
      <w:r>
        <w:rPr>
          <w:rFonts w:hint="eastAsia"/>
          <w:kern w:val="2"/>
        </w:rPr>
        <w:t>length, width and thickness are</w:t>
      </w:r>
      <w:r>
        <w:rPr>
          <w:kern w:val="2"/>
          <w:lang w:val="en-AU"/>
        </w:rPr>
        <w:t xml:space="preserve"> 71.8 × 57.3 × 39.7 mm.</w:t>
      </w:r>
    </w:p>
    <w:p w14:paraId="3A6845E6">
      <w:pPr>
        <w:pStyle w:val="22"/>
        <w:numPr>
          <w:ilvl w:val="0"/>
          <w:numId w:val="5"/>
        </w:numPr>
        <w:shd w:val="clear" w:color="auto" w:fill="FFFFFF"/>
        <w:ind w:firstLine="240" w:firstLineChars="100"/>
        <w:jc w:val="both"/>
        <w:rPr>
          <w:kern w:val="2"/>
          <w:lang w:val="en-AU"/>
        </w:rPr>
      </w:pPr>
      <w:r>
        <w:rPr>
          <w:kern w:val="2"/>
          <w:lang w:val="en-AU"/>
        </w:rPr>
        <w:t xml:space="preserve">Bifacial cores (n = 35, 18.7%): </w:t>
      </w:r>
      <w:r>
        <w:rPr>
          <w:rFonts w:hint="eastAsia"/>
          <w:kern w:val="2"/>
          <w:lang w:val="en-AU"/>
        </w:rPr>
        <w:t>exhibit two flaking surfaces, either</w:t>
      </w:r>
      <w:r>
        <w:rPr>
          <w:kern w:val="2"/>
          <w:lang w:val="en-AU"/>
        </w:rPr>
        <w:t xml:space="preserve"> adjacent or </w:t>
      </w:r>
      <w:r>
        <w:rPr>
          <w:rFonts w:hint="eastAsia"/>
          <w:kern w:val="2"/>
          <w:lang w:val="en-AU"/>
        </w:rPr>
        <w:t>isolated.</w:t>
      </w:r>
      <w:r>
        <w:rPr>
          <w:kern w:val="2"/>
          <w:lang w:val="en-AU"/>
        </w:rPr>
        <w:t xml:space="preserve"> </w:t>
      </w:r>
      <w:r>
        <w:rPr>
          <w:rFonts w:hint="eastAsia"/>
          <w:kern w:val="2"/>
          <w:lang w:val="en-AU"/>
        </w:rPr>
        <w:t>The mean number</w:t>
      </w:r>
      <w:r>
        <w:rPr>
          <w:rFonts w:hint="eastAsia"/>
          <w:kern w:val="2"/>
          <w:lang w:val="en-US" w:eastAsia="zh-CN"/>
        </w:rPr>
        <w:t xml:space="preserve"> of scars</w:t>
      </w:r>
      <w:r>
        <w:rPr>
          <w:rFonts w:hint="eastAsia"/>
          <w:kern w:val="2"/>
          <w:lang w:val="en-AU"/>
        </w:rPr>
        <w:t xml:space="preserve"> is 5.5 (</w:t>
      </w:r>
      <w:r>
        <w:rPr>
          <w:kern w:val="2"/>
          <w:lang w:val="en-AU"/>
        </w:rPr>
        <w:t xml:space="preserve">σ = </w:t>
      </w:r>
      <w:r>
        <w:rPr>
          <w:rFonts w:hint="eastAsia"/>
          <w:kern w:val="2"/>
          <w:lang w:val="en-AU"/>
        </w:rPr>
        <w:t>2.3), the a</w:t>
      </w:r>
      <w:r>
        <w:rPr>
          <w:kern w:val="2"/>
          <w:lang w:val="en-AU"/>
        </w:rPr>
        <w:t>verage platform angle</w:t>
      </w:r>
      <w:r>
        <w:rPr>
          <w:rFonts w:hint="eastAsia"/>
          <w:kern w:val="2"/>
          <w:lang w:val="en-AU"/>
        </w:rPr>
        <w:t xml:space="preserve"> is</w:t>
      </w:r>
      <w:r>
        <w:rPr>
          <w:kern w:val="2"/>
          <w:lang w:val="en-AU"/>
        </w:rPr>
        <w:t xml:space="preserve"> 78.3° (σ = 10.9°)</w:t>
      </w:r>
      <w:r>
        <w:rPr>
          <w:rFonts w:hint="eastAsia"/>
          <w:kern w:val="2"/>
          <w:lang w:val="en-AU"/>
        </w:rPr>
        <w:t>, and the a</w:t>
      </w:r>
      <w:r>
        <w:rPr>
          <w:kern w:val="2"/>
          <w:lang w:val="en-AU"/>
        </w:rPr>
        <w:t xml:space="preserve">verage </w:t>
      </w:r>
      <w:r>
        <w:rPr>
          <w:rFonts w:hint="eastAsia"/>
          <w:kern w:val="2"/>
          <w:lang w:val="en-AU"/>
        </w:rPr>
        <w:t>length, width and thickness are</w:t>
      </w:r>
      <w:r>
        <w:rPr>
          <w:kern w:val="2"/>
          <w:lang w:val="en-AU"/>
        </w:rPr>
        <w:t xml:space="preserve"> 74.3 × 60.6 × 40.6 mm.</w:t>
      </w:r>
    </w:p>
    <w:p w14:paraId="4D4E4F5D">
      <w:pPr>
        <w:pStyle w:val="22"/>
        <w:numPr>
          <w:ilvl w:val="0"/>
          <w:numId w:val="5"/>
        </w:numPr>
        <w:shd w:val="clear" w:color="auto" w:fill="FFFFFF"/>
        <w:ind w:firstLine="240" w:firstLineChars="100"/>
        <w:jc w:val="both"/>
        <w:rPr>
          <w:kern w:val="2"/>
          <w:lang w:val="en-AU"/>
        </w:rPr>
      </w:pPr>
      <w:r>
        <w:rPr>
          <w:kern w:val="2"/>
          <w:lang w:val="en-AU"/>
        </w:rPr>
        <w:t xml:space="preserve">Multifacial cores (n = 20, 10.7%): </w:t>
      </w:r>
      <w:r>
        <w:rPr>
          <w:rFonts w:hint="eastAsia"/>
          <w:kern w:val="2"/>
        </w:rPr>
        <w:t>have at least t</w:t>
      </w:r>
      <w:r>
        <w:rPr>
          <w:kern w:val="2"/>
          <w:lang w:val="en-AU"/>
        </w:rPr>
        <w:t xml:space="preserve">hree </w:t>
      </w:r>
      <w:r>
        <w:rPr>
          <w:rFonts w:hint="eastAsia"/>
          <w:kern w:val="2"/>
        </w:rPr>
        <w:t>flaking</w:t>
      </w:r>
      <w:r>
        <w:rPr>
          <w:kern w:val="2"/>
          <w:lang w:val="en-AU"/>
        </w:rPr>
        <w:t xml:space="preserve"> surfaces</w:t>
      </w:r>
      <w:r>
        <w:rPr>
          <w:rFonts w:hint="eastAsia"/>
          <w:kern w:val="2"/>
        </w:rPr>
        <w:t xml:space="preserve">. </w:t>
      </w:r>
      <w:r>
        <w:rPr>
          <w:kern w:val="2"/>
          <w:lang w:val="en-AU"/>
        </w:rPr>
        <w:t>These cores</w:t>
      </w:r>
      <w:r>
        <w:rPr>
          <w:rFonts w:hint="eastAsia"/>
          <w:kern w:val="2"/>
        </w:rPr>
        <w:t xml:space="preserve"> </w:t>
      </w:r>
      <w:r>
        <w:rPr>
          <w:kern w:val="2"/>
          <w:lang w:val="en-AU"/>
        </w:rPr>
        <w:t>likely</w:t>
      </w:r>
      <w:r>
        <w:rPr>
          <w:rFonts w:hint="eastAsia"/>
          <w:kern w:val="2"/>
          <w:lang w:val="en-AU"/>
        </w:rPr>
        <w:t xml:space="preserve"> </w:t>
      </w:r>
      <w:r>
        <w:rPr>
          <w:kern w:val="2"/>
          <w:lang w:val="en-AU"/>
        </w:rPr>
        <w:t>represent late</w:t>
      </w:r>
      <w:r>
        <w:rPr>
          <w:rFonts w:hint="eastAsia"/>
          <w:kern w:val="2"/>
        </w:rPr>
        <w:t xml:space="preserve">r </w:t>
      </w:r>
      <w:r>
        <w:rPr>
          <w:kern w:val="2"/>
          <w:lang w:val="en-AU"/>
        </w:rPr>
        <w:t xml:space="preserve">stage </w:t>
      </w:r>
      <w:r>
        <w:rPr>
          <w:rFonts w:hint="eastAsia"/>
          <w:kern w:val="2"/>
        </w:rPr>
        <w:t xml:space="preserve">of </w:t>
      </w:r>
      <w:r>
        <w:rPr>
          <w:kern w:val="2"/>
          <w:lang w:val="en-AU"/>
        </w:rPr>
        <w:t>reduction</w:t>
      </w:r>
      <w:r>
        <w:rPr>
          <w:rFonts w:hint="eastAsia"/>
          <w:kern w:val="2"/>
        </w:rPr>
        <w:t xml:space="preserve">, with </w:t>
      </w:r>
      <w:r>
        <w:rPr>
          <w:kern w:val="2"/>
          <w:lang w:val="en-AU"/>
        </w:rPr>
        <w:t>irregular morphology</w:t>
      </w:r>
      <w:r>
        <w:rPr>
          <w:rFonts w:hint="eastAsia"/>
          <w:kern w:val="2"/>
        </w:rPr>
        <w:t xml:space="preserve">. The mean number </w:t>
      </w:r>
      <w:r>
        <w:rPr>
          <w:rFonts w:hint="eastAsia"/>
          <w:kern w:val="2"/>
          <w:lang w:val="en-US" w:eastAsia="zh-CN"/>
        </w:rPr>
        <w:t xml:space="preserve">of scars </w:t>
      </w:r>
      <w:r>
        <w:rPr>
          <w:rFonts w:hint="eastAsia"/>
          <w:kern w:val="2"/>
        </w:rPr>
        <w:t>is 7.7 (</w:t>
      </w:r>
      <w:r>
        <w:rPr>
          <w:kern w:val="2"/>
          <w:lang w:val="en-AU"/>
        </w:rPr>
        <w:t xml:space="preserve">σ = </w:t>
      </w:r>
      <w:r>
        <w:rPr>
          <w:rFonts w:hint="eastAsia"/>
          <w:kern w:val="2"/>
        </w:rPr>
        <w:t>2.6), the a</w:t>
      </w:r>
      <w:r>
        <w:rPr>
          <w:kern w:val="2"/>
          <w:lang w:val="en-AU"/>
        </w:rPr>
        <w:t>verage platform angle</w:t>
      </w:r>
      <w:r>
        <w:rPr>
          <w:rFonts w:hint="eastAsia"/>
          <w:kern w:val="2"/>
        </w:rPr>
        <w:t xml:space="preserve"> is</w:t>
      </w:r>
      <w:r>
        <w:rPr>
          <w:kern w:val="2"/>
          <w:lang w:val="en-AU"/>
        </w:rPr>
        <w:t xml:space="preserve"> 81.0° (σ = 10.4°)</w:t>
      </w:r>
      <w:r>
        <w:rPr>
          <w:rFonts w:hint="eastAsia"/>
          <w:kern w:val="2"/>
        </w:rPr>
        <w:t>, and the mean length, width and thickness are</w:t>
      </w:r>
      <w:r>
        <w:rPr>
          <w:kern w:val="2"/>
          <w:lang w:val="en-AU"/>
        </w:rPr>
        <w:t xml:space="preserve"> 72.6 × 59.9 × 48.2 mm.</w:t>
      </w:r>
    </w:p>
    <w:p w14:paraId="50476F36">
      <w:pPr>
        <w:pStyle w:val="22"/>
        <w:numPr>
          <w:ilvl w:val="0"/>
          <w:numId w:val="5"/>
        </w:numPr>
        <w:shd w:val="clear" w:color="auto" w:fill="FFFFFF"/>
        <w:ind w:firstLine="240" w:firstLineChars="100"/>
        <w:jc w:val="both"/>
        <w:rPr>
          <w:kern w:val="2"/>
          <w:lang w:val="en-AU"/>
        </w:rPr>
      </w:pPr>
      <w:r>
        <w:rPr>
          <w:kern w:val="2"/>
          <w:lang w:val="en-AU"/>
        </w:rPr>
        <w:t xml:space="preserve">Centripetal cores (n = 17, 9.1%): </w:t>
      </w:r>
      <w:r>
        <w:rPr>
          <w:rFonts w:hint="eastAsia"/>
          <w:kern w:val="2"/>
          <w:lang w:val="en-AU"/>
        </w:rPr>
        <w:t xml:space="preserve">are </w:t>
      </w:r>
      <w:r>
        <w:rPr>
          <w:rFonts w:hint="eastAsia"/>
          <w:kern w:val="2"/>
        </w:rPr>
        <w:t>dominated by unifacial centripetal flaking</w:t>
      </w:r>
      <w:r>
        <w:rPr>
          <w:kern w:val="2"/>
          <w:lang w:val="en-AU"/>
        </w:rPr>
        <w:t xml:space="preserve"> (n = 16), with irregular </w:t>
      </w:r>
      <w:r>
        <w:rPr>
          <w:rFonts w:hint="eastAsia"/>
          <w:kern w:val="2"/>
        </w:rPr>
        <w:t>flaking</w:t>
      </w:r>
      <w:r>
        <w:rPr>
          <w:kern w:val="2"/>
          <w:lang w:val="en-AU"/>
        </w:rPr>
        <w:t xml:space="preserve"> surface and high platform angle variability (x̄ = 72.6°; σ = 16.3°; CV = 0.62). </w:t>
      </w:r>
      <w:r>
        <w:rPr>
          <w:rFonts w:hint="eastAsia"/>
          <w:kern w:val="2"/>
        </w:rPr>
        <w:t xml:space="preserve">The mean number </w:t>
      </w:r>
      <w:r>
        <w:rPr>
          <w:rFonts w:hint="eastAsia"/>
          <w:kern w:val="2"/>
          <w:lang w:val="en-US" w:eastAsia="zh-CN"/>
        </w:rPr>
        <w:t xml:space="preserve">of scars </w:t>
      </w:r>
      <w:r>
        <w:rPr>
          <w:rFonts w:hint="eastAsia"/>
          <w:kern w:val="2"/>
        </w:rPr>
        <w:t>is 5.2 (</w:t>
      </w:r>
      <w:r>
        <w:rPr>
          <w:kern w:val="2"/>
          <w:lang w:val="en-AU"/>
        </w:rPr>
        <w:t xml:space="preserve">σ = </w:t>
      </w:r>
      <w:r>
        <w:rPr>
          <w:rFonts w:hint="eastAsia"/>
          <w:kern w:val="2"/>
        </w:rPr>
        <w:t>1.2), and the mean length, width and thickness are</w:t>
      </w:r>
      <w:r>
        <w:rPr>
          <w:kern w:val="2"/>
          <w:lang w:val="en-AU"/>
        </w:rPr>
        <w:t xml:space="preserve"> 64.9 × 58.9 × 34.8 mm. </w:t>
      </w:r>
    </w:p>
    <w:p w14:paraId="5F824EF2">
      <w:pPr>
        <w:pStyle w:val="22"/>
        <w:numPr>
          <w:ilvl w:val="0"/>
          <w:numId w:val="5"/>
        </w:numPr>
        <w:shd w:val="clear" w:color="auto" w:fill="FFFFFF"/>
        <w:ind w:firstLine="240" w:firstLineChars="100"/>
        <w:jc w:val="both"/>
        <w:rPr>
          <w:kern w:val="2"/>
          <w:lang w:val="en-AU"/>
        </w:rPr>
      </w:pPr>
      <w:r>
        <w:rPr>
          <w:rFonts w:hint="eastAsia"/>
          <w:kern w:val="2"/>
        </w:rPr>
        <w:t>D</w:t>
      </w:r>
      <w:r>
        <w:rPr>
          <w:kern w:val="2"/>
          <w:lang w:val="en-AU"/>
        </w:rPr>
        <w:t>iscoid</w:t>
      </w:r>
      <w:r>
        <w:rPr>
          <w:rFonts w:hint="eastAsia"/>
          <w:kern w:val="2"/>
        </w:rPr>
        <w:t>al</w:t>
      </w:r>
      <w:r>
        <w:rPr>
          <w:kern w:val="2"/>
          <w:lang w:val="en-AU"/>
        </w:rPr>
        <w:t xml:space="preserve"> cores (n = 4, 2.1%): </w:t>
      </w:r>
      <w:r>
        <w:rPr>
          <w:rFonts w:hint="eastAsia"/>
          <w:kern w:val="2"/>
          <w:lang w:val="en-AU"/>
        </w:rPr>
        <w:t xml:space="preserve">are </w:t>
      </w:r>
      <w:r>
        <w:rPr>
          <w:rFonts w:hint="eastAsia"/>
          <w:kern w:val="2"/>
        </w:rPr>
        <w:t>e</w:t>
      </w:r>
      <w:r>
        <w:rPr>
          <w:kern w:val="2"/>
        </w:rPr>
        <w:t>qually divided (n = 2 each)</w:t>
      </w:r>
      <w:r>
        <w:rPr>
          <w:rFonts w:hint="eastAsia"/>
          <w:kern w:val="2"/>
        </w:rPr>
        <w:t xml:space="preserve"> </w:t>
      </w:r>
      <w:r>
        <w:rPr>
          <w:kern w:val="2"/>
        </w:rPr>
        <w:t>between</w:t>
      </w:r>
      <w:r>
        <w:rPr>
          <w:rFonts w:hint="eastAsia"/>
          <w:kern w:val="2"/>
        </w:rPr>
        <w:t xml:space="preserve"> unifacial and bifacial flaking. All four cores d</w:t>
      </w:r>
      <w:r>
        <w:rPr>
          <w:kern w:val="2"/>
          <w:lang w:val="en-AU"/>
        </w:rPr>
        <w:t xml:space="preserve">isplay clear biconvex structure, </w:t>
      </w:r>
      <w:r>
        <w:rPr>
          <w:rFonts w:hint="eastAsia"/>
          <w:kern w:val="2"/>
        </w:rPr>
        <w:t xml:space="preserve">along </w:t>
      </w:r>
      <w:r>
        <w:rPr>
          <w:kern w:val="2"/>
          <w:lang w:val="en-AU"/>
        </w:rPr>
        <w:t xml:space="preserve">with </w:t>
      </w:r>
      <w:r>
        <w:rPr>
          <w:rFonts w:hint="eastAsia"/>
          <w:kern w:val="2"/>
        </w:rPr>
        <w:t xml:space="preserve">a lower variability of platform </w:t>
      </w:r>
      <w:r>
        <w:rPr>
          <w:kern w:val="2"/>
          <w:lang w:val="en-AU"/>
        </w:rPr>
        <w:t xml:space="preserve">angle (x̄ = 67.5°; σ = 10.3°). </w:t>
      </w:r>
      <w:r>
        <w:rPr>
          <w:rFonts w:hint="eastAsia"/>
          <w:kern w:val="2"/>
        </w:rPr>
        <w:t xml:space="preserve">The mean number </w:t>
      </w:r>
      <w:r>
        <w:rPr>
          <w:rFonts w:hint="eastAsia"/>
          <w:kern w:val="2"/>
          <w:lang w:val="en-US" w:eastAsia="zh-CN"/>
        </w:rPr>
        <w:t xml:space="preserve">of scars </w:t>
      </w:r>
      <w:r>
        <w:rPr>
          <w:rFonts w:hint="eastAsia"/>
          <w:kern w:val="2"/>
        </w:rPr>
        <w:t>is 7.5 (</w:t>
      </w:r>
      <w:r>
        <w:rPr>
          <w:kern w:val="2"/>
          <w:lang w:val="en-AU"/>
        </w:rPr>
        <w:t xml:space="preserve">σ = </w:t>
      </w:r>
      <w:r>
        <w:rPr>
          <w:rFonts w:hint="eastAsia"/>
          <w:kern w:val="2"/>
        </w:rPr>
        <w:t>1.7), and the mean length, width and thickness are</w:t>
      </w:r>
      <w:r>
        <w:rPr>
          <w:kern w:val="2"/>
          <w:lang w:val="en-AU"/>
        </w:rPr>
        <w:t xml:space="preserve"> 60.8 × 52.0 × 33.8 mm.</w:t>
      </w:r>
    </w:p>
    <w:p w14:paraId="251B7C12">
      <w:pPr>
        <w:pStyle w:val="22"/>
        <w:numPr>
          <w:ilvl w:val="0"/>
          <w:numId w:val="5"/>
        </w:numPr>
        <w:shd w:val="clear" w:color="auto" w:fill="FFFFFF"/>
        <w:ind w:firstLine="240" w:firstLineChars="100"/>
        <w:jc w:val="both"/>
        <w:rPr>
          <w:kern w:val="2"/>
          <w:lang w:val="en-AU"/>
        </w:rPr>
      </w:pPr>
      <w:r>
        <w:rPr>
          <w:kern w:val="2"/>
          <w:lang w:val="en-AU"/>
        </w:rPr>
        <w:t>Cores-on-flakes</w:t>
      </w:r>
      <w:r>
        <w:rPr>
          <w:i/>
          <w:iCs/>
          <w:kern w:val="2"/>
          <w:lang w:val="en-AU"/>
        </w:rPr>
        <w:t> </w:t>
      </w:r>
      <w:r>
        <w:rPr>
          <w:kern w:val="2"/>
          <w:lang w:val="en-AU"/>
        </w:rPr>
        <w:t xml:space="preserve">(n = 8, 4.3%): </w:t>
      </w:r>
      <w:r>
        <w:rPr>
          <w:rFonts w:hint="eastAsia"/>
          <w:kern w:val="2"/>
        </w:rPr>
        <w:t xml:space="preserve">six specimens were flaked on two surfaces, while two pieces were flaked only on one surface. The mean number </w:t>
      </w:r>
      <w:r>
        <w:rPr>
          <w:rFonts w:hint="eastAsia"/>
          <w:kern w:val="2"/>
          <w:lang w:val="en-US" w:eastAsia="zh-CN"/>
        </w:rPr>
        <w:t xml:space="preserve">of scars </w:t>
      </w:r>
      <w:r>
        <w:rPr>
          <w:rFonts w:hint="eastAsia"/>
          <w:kern w:val="2"/>
        </w:rPr>
        <w:t>is 4.5 (</w:t>
      </w:r>
      <w:r>
        <w:rPr>
          <w:kern w:val="2"/>
          <w:lang w:val="en-AU"/>
        </w:rPr>
        <w:t xml:space="preserve">σ = </w:t>
      </w:r>
      <w:r>
        <w:rPr>
          <w:rFonts w:hint="eastAsia"/>
          <w:kern w:val="2"/>
        </w:rPr>
        <w:t>1.9), the a</w:t>
      </w:r>
      <w:r>
        <w:rPr>
          <w:kern w:val="2"/>
          <w:lang w:val="en-AU"/>
        </w:rPr>
        <w:t>verage platform angle</w:t>
      </w:r>
      <w:r>
        <w:rPr>
          <w:rFonts w:hint="eastAsia"/>
          <w:kern w:val="2"/>
        </w:rPr>
        <w:t xml:space="preserve"> is</w:t>
      </w:r>
      <w:r>
        <w:rPr>
          <w:kern w:val="2"/>
          <w:lang w:val="en-AU"/>
        </w:rPr>
        <w:t xml:space="preserve"> 74.1° (σ = 9.5°)</w:t>
      </w:r>
      <w:r>
        <w:rPr>
          <w:rFonts w:hint="eastAsia"/>
          <w:kern w:val="2"/>
        </w:rPr>
        <w:t>, and the mean length, width and thickness are</w:t>
      </w:r>
      <w:r>
        <w:rPr>
          <w:kern w:val="2"/>
          <w:lang w:val="en-AU"/>
        </w:rPr>
        <w:t xml:space="preserve"> 76.1 × 67.4 × 32.1 mm.</w:t>
      </w:r>
    </w:p>
    <w:p w14:paraId="2A73966E">
      <w:pPr>
        <w:pStyle w:val="22"/>
        <w:numPr>
          <w:ilvl w:val="0"/>
          <w:numId w:val="5"/>
        </w:numPr>
        <w:shd w:val="clear" w:color="auto" w:fill="FFFFFF"/>
        <w:ind w:firstLine="240" w:firstLineChars="100"/>
        <w:jc w:val="both"/>
      </w:pPr>
      <w:r>
        <w:rPr>
          <w:kern w:val="2"/>
          <w:lang w:val="en-AU"/>
        </w:rPr>
        <w:t xml:space="preserve">Bipolar cores (n = 3, 1.6%): </w:t>
      </w:r>
      <w:r>
        <w:rPr>
          <w:rFonts w:hint="eastAsia"/>
          <w:kern w:val="2"/>
          <w:lang w:val="en-AU"/>
        </w:rPr>
        <w:t>were e</w:t>
      </w:r>
      <w:r>
        <w:rPr>
          <w:kern w:val="2"/>
          <w:lang w:val="en-AU"/>
        </w:rPr>
        <w:t>xploited along the</w:t>
      </w:r>
      <w:r>
        <w:rPr>
          <w:rFonts w:hint="eastAsia"/>
          <w:kern w:val="2"/>
        </w:rPr>
        <w:t xml:space="preserve"> two ends of</w:t>
      </w:r>
      <w:r>
        <w:rPr>
          <w:kern w:val="2"/>
          <w:lang w:val="en-AU"/>
        </w:rPr>
        <w:t xml:space="preserve"> long-axis, </w:t>
      </w:r>
      <w:r>
        <w:rPr>
          <w:rFonts w:hint="eastAsia"/>
          <w:kern w:val="2"/>
        </w:rPr>
        <w:t xml:space="preserve">this </w:t>
      </w:r>
      <w:r>
        <w:rPr>
          <w:kern w:val="2"/>
        </w:rPr>
        <w:t>possibly</w:t>
      </w:r>
      <w:r>
        <w:rPr>
          <w:kern w:val="2"/>
          <w:lang w:val="en-AU"/>
        </w:rPr>
        <w:t xml:space="preserve"> related to split-cobble reduction. </w:t>
      </w:r>
      <w:r>
        <w:rPr>
          <w:rFonts w:hint="eastAsia"/>
          <w:kern w:val="2"/>
        </w:rPr>
        <w:t>The mean length, width and thickness are</w:t>
      </w:r>
      <w:r>
        <w:rPr>
          <w:kern w:val="2"/>
          <w:lang w:val="en-AU"/>
        </w:rPr>
        <w:t xml:space="preserve"> 75.0 × 48.7 × 30.3 mm.</w:t>
      </w:r>
    </w:p>
    <w:p w14:paraId="2F5ED646">
      <w:pPr>
        <w:pStyle w:val="5"/>
      </w:pPr>
      <w:r>
        <w:rPr>
          <w:rFonts w:hint="eastAsia"/>
        </w:rPr>
        <w:t>Flakes</w:t>
      </w:r>
    </w:p>
    <w:p w14:paraId="644F0CE0">
      <w:pPr>
        <w:pStyle w:val="22"/>
        <w:shd w:val="clear" w:color="auto" w:fill="FFFFFF"/>
        <w:ind w:firstLine="240" w:firstLineChars="100"/>
        <w:jc w:val="both"/>
        <w:rPr>
          <w:kern w:val="2"/>
        </w:rPr>
      </w:pPr>
      <w:r>
        <w:rPr>
          <w:kern w:val="2"/>
        </w:rPr>
        <w:t>The lithic assemblage comprises 135 complete flakes and 86 incomplete flakes (including 54 flake</w:t>
      </w:r>
      <w:r>
        <w:rPr>
          <w:rFonts w:hint="eastAsia"/>
          <w:kern w:val="2"/>
        </w:rPr>
        <w:t xml:space="preserve"> fragments</w:t>
      </w:r>
      <w:r>
        <w:rPr>
          <w:kern w:val="2"/>
        </w:rPr>
        <w:t xml:space="preserve"> and 32 split flakes). Complete flakes </w:t>
      </w:r>
      <w:r>
        <w:rPr>
          <w:rFonts w:hint="eastAsia"/>
          <w:kern w:val="2"/>
        </w:rPr>
        <w:t>were</w:t>
      </w:r>
      <w:r>
        <w:rPr>
          <w:kern w:val="2"/>
        </w:rPr>
        <w:t xml:space="preserve"> classified into </w:t>
      </w:r>
      <w:r>
        <w:rPr>
          <w:rFonts w:hint="eastAsia"/>
          <w:kern w:val="2"/>
        </w:rPr>
        <w:t>different</w:t>
      </w:r>
      <w:r>
        <w:rPr>
          <w:kern w:val="2"/>
        </w:rPr>
        <w:t xml:space="preserve"> types based on technical attributes such as </w:t>
      </w:r>
      <w:r>
        <w:rPr>
          <w:rFonts w:hint="eastAsia"/>
          <w:kern w:val="2"/>
        </w:rPr>
        <w:t>flaking</w:t>
      </w:r>
      <w:r>
        <w:rPr>
          <w:kern w:val="2"/>
        </w:rPr>
        <w:t xml:space="preserve"> stage and dorsal scar patterns</w:t>
      </w:r>
      <w:r>
        <w:rPr>
          <w:rFonts w:hint="eastAsia"/>
          <w:kern w:val="2"/>
          <w:lang w:val="en-US" w:eastAsia="zh-CN"/>
        </w:rPr>
        <w:t xml:space="preserve"> (</w:t>
      </w:r>
      <w:r>
        <w:rPr>
          <w:rFonts w:hint="eastAsia" w:cs="Times New Roman"/>
          <w:color w:val="0000FF"/>
          <w:kern w:val="2"/>
          <w:sz w:val="24"/>
          <w:szCs w:val="24"/>
          <w:lang w:val="en-US" w:eastAsia="zh-CN" w:bidi="ar-SA"/>
        </w:rPr>
        <w:t>Supplementary Fig</w:t>
      </w:r>
      <w:r>
        <w:rPr>
          <w:rFonts w:hint="eastAsia" w:ascii="Times New Roman" w:hAnsi="Times New Roman" w:eastAsia="宋体" w:cs="Times New Roman"/>
          <w:color w:val="0000FF"/>
          <w:kern w:val="2"/>
          <w:sz w:val="24"/>
          <w:szCs w:val="24"/>
          <w:lang w:val="en-US" w:eastAsia="zh-CN" w:bidi="ar-SA"/>
        </w:rPr>
        <w:t>s</w:t>
      </w:r>
      <w:r>
        <w:rPr>
          <w:rFonts w:hint="eastAsia" w:cs="Times New Roman"/>
          <w:color w:val="0000FF"/>
          <w:kern w:val="2"/>
          <w:sz w:val="24"/>
          <w:szCs w:val="24"/>
          <w:lang w:val="en-US" w:eastAsia="zh-CN" w:bidi="ar-SA"/>
        </w:rPr>
        <w:t>.</w:t>
      </w:r>
      <w:r>
        <w:rPr>
          <w:rFonts w:hint="eastAsia" w:ascii="Times New Roman" w:hAnsi="Times New Roman" w:eastAsia="宋体" w:cs="Times New Roman"/>
          <w:color w:val="0000FF"/>
          <w:kern w:val="2"/>
          <w:sz w:val="24"/>
          <w:szCs w:val="24"/>
          <w:lang w:val="en-US" w:eastAsia="zh-CN" w:bidi="ar-SA"/>
        </w:rPr>
        <w:t xml:space="preserve"> 2</w:t>
      </w:r>
      <w:r>
        <w:rPr>
          <w:rFonts w:hint="eastAsia" w:cs="Times New Roman"/>
          <w:color w:val="0000FF"/>
          <w:kern w:val="2"/>
          <w:sz w:val="24"/>
          <w:szCs w:val="24"/>
          <w:lang w:val="en-US" w:eastAsia="zh-CN" w:bidi="ar-SA"/>
        </w:rPr>
        <w:t>6</w:t>
      </w:r>
      <w:r>
        <w:rPr>
          <w:rFonts w:hint="eastAsia" w:ascii="Times New Roman" w:hAnsi="Times New Roman" w:eastAsia="宋体" w:cs="Times New Roman"/>
          <w:color w:val="0000FF"/>
          <w:kern w:val="2"/>
          <w:sz w:val="24"/>
          <w:szCs w:val="24"/>
          <w:lang w:val="en-US" w:eastAsia="zh-CN" w:bidi="ar-SA"/>
        </w:rPr>
        <w:t>, 3</w:t>
      </w:r>
      <w:r>
        <w:rPr>
          <w:rFonts w:hint="eastAsia" w:cs="Times New Roman"/>
          <w:color w:val="0000FF"/>
          <w:kern w:val="2"/>
          <w:sz w:val="24"/>
          <w:szCs w:val="24"/>
          <w:lang w:val="en-US" w:eastAsia="zh-CN" w:bidi="ar-SA"/>
        </w:rPr>
        <w:t>2</w:t>
      </w:r>
      <w:r>
        <w:rPr>
          <w:rFonts w:hint="eastAsia" w:ascii="Times New Roman" w:hAnsi="Times New Roman" w:eastAsia="宋体" w:cs="Times New Roman"/>
          <w:color w:val="0000FF"/>
          <w:kern w:val="2"/>
          <w:sz w:val="24"/>
          <w:szCs w:val="24"/>
          <w:lang w:val="en-US" w:eastAsia="zh-CN" w:bidi="ar-SA"/>
        </w:rPr>
        <w:t>-3</w:t>
      </w:r>
      <w:r>
        <w:rPr>
          <w:rFonts w:hint="eastAsia" w:cs="Times New Roman"/>
          <w:color w:val="0000FF"/>
          <w:kern w:val="2"/>
          <w:sz w:val="24"/>
          <w:szCs w:val="24"/>
          <w:lang w:val="en-US" w:eastAsia="zh-CN" w:bidi="ar-SA"/>
        </w:rPr>
        <w:t>7</w:t>
      </w:r>
      <w:r>
        <w:rPr>
          <w:rFonts w:hint="eastAsia" w:ascii="Times New Roman" w:hAnsi="Times New Roman" w:eastAsia="宋体" w:cs="Times New Roman"/>
          <w:color w:val="0000FF"/>
          <w:kern w:val="2"/>
          <w:sz w:val="24"/>
          <w:szCs w:val="24"/>
          <w:lang w:val="en-US" w:eastAsia="zh-CN" w:bidi="ar-SA"/>
        </w:rPr>
        <w:t xml:space="preserve">; Supplementary Table </w:t>
      </w:r>
      <w:r>
        <w:rPr>
          <w:rFonts w:hint="eastAsia" w:cs="Times New Roman"/>
          <w:color w:val="0000FF"/>
          <w:kern w:val="2"/>
          <w:sz w:val="24"/>
          <w:szCs w:val="24"/>
          <w:lang w:val="en-US" w:eastAsia="zh-CN" w:bidi="ar-SA"/>
        </w:rPr>
        <w:t>22</w:t>
      </w:r>
      <w:r>
        <w:rPr>
          <w:rFonts w:hint="eastAsia"/>
          <w:kern w:val="2"/>
          <w:lang w:val="en-US" w:eastAsia="zh-CN"/>
        </w:rPr>
        <w:t>)</w:t>
      </w:r>
      <w:r>
        <w:rPr>
          <w:kern w:val="2"/>
        </w:rPr>
        <w:t>.</w:t>
      </w:r>
    </w:p>
    <w:p w14:paraId="47ADD839">
      <w:pPr>
        <w:pStyle w:val="22"/>
        <w:numPr>
          <w:ilvl w:val="0"/>
          <w:numId w:val="6"/>
        </w:numPr>
        <w:shd w:val="clear" w:color="auto" w:fill="FFFFFF"/>
        <w:ind w:firstLine="240" w:firstLineChars="100"/>
        <w:jc w:val="both"/>
        <w:rPr>
          <w:kern w:val="2"/>
        </w:rPr>
      </w:pPr>
      <w:r>
        <w:rPr>
          <w:kern w:val="2"/>
        </w:rPr>
        <w:t>Cortical flakes (n = 71, 52.6%)</w:t>
      </w:r>
      <w:r>
        <w:rPr>
          <w:rFonts w:hint="eastAsia"/>
          <w:kern w:val="2"/>
        </w:rPr>
        <w:t>:</w:t>
      </w:r>
      <w:r>
        <w:rPr>
          <w:kern w:val="2"/>
        </w:rPr>
        <w:t xml:space="preserve"> </w:t>
      </w:r>
      <w:r>
        <w:rPr>
          <w:rFonts w:hint="eastAsia"/>
          <w:kern w:val="2"/>
        </w:rPr>
        <w:t>e</w:t>
      </w:r>
      <w:r>
        <w:rPr>
          <w:kern w:val="2"/>
        </w:rPr>
        <w:t>xhibi</w:t>
      </w:r>
      <w:r>
        <w:rPr>
          <w:rFonts w:hint="eastAsia"/>
          <w:kern w:val="2"/>
        </w:rPr>
        <w:t>t</w:t>
      </w:r>
      <w:r>
        <w:rPr>
          <w:kern w:val="2"/>
        </w:rPr>
        <w:t xml:space="preserve"> nearly complete dorsal cortex coverage, indicative of early </w:t>
      </w:r>
      <w:r>
        <w:rPr>
          <w:rFonts w:hint="eastAsia"/>
          <w:kern w:val="2"/>
        </w:rPr>
        <w:t>reduction</w:t>
      </w:r>
      <w:r>
        <w:rPr>
          <w:kern w:val="2"/>
        </w:rPr>
        <w:t xml:space="preserve"> stage. Most cortical flakes retain cortical platform (n = 39). These flakes predominantly exhibit oval morphology, with mean length-to-width ratio of 1.26</w:t>
      </w:r>
      <w:r>
        <w:rPr>
          <w:rFonts w:hint="eastAsia"/>
          <w:kern w:val="2"/>
        </w:rPr>
        <w:t>.</w:t>
      </w:r>
      <w:r>
        <w:rPr>
          <w:kern w:val="2"/>
        </w:rPr>
        <w:t xml:space="preserve"> </w:t>
      </w:r>
      <w:r>
        <w:rPr>
          <w:rFonts w:hint="eastAsia"/>
          <w:kern w:val="2"/>
        </w:rPr>
        <w:t xml:space="preserve">The </w:t>
      </w:r>
      <w:r>
        <w:rPr>
          <w:kern w:val="2"/>
        </w:rPr>
        <w:t xml:space="preserve">mean platform angle </w:t>
      </w:r>
      <w:r>
        <w:rPr>
          <w:rFonts w:hint="eastAsia"/>
          <w:kern w:val="2"/>
        </w:rPr>
        <w:t>is</w:t>
      </w:r>
      <w:r>
        <w:rPr>
          <w:kern w:val="2"/>
        </w:rPr>
        <w:t xml:space="preserve"> 114.0° (σ = 12.5°), and </w:t>
      </w:r>
      <w:r>
        <w:rPr>
          <w:rFonts w:hint="eastAsia"/>
          <w:kern w:val="2"/>
        </w:rPr>
        <w:t xml:space="preserve">the </w:t>
      </w:r>
      <w:r>
        <w:rPr>
          <w:kern w:val="2"/>
        </w:rPr>
        <w:t xml:space="preserve">mean </w:t>
      </w:r>
      <w:r>
        <w:rPr>
          <w:rFonts w:hint="eastAsia"/>
          <w:kern w:val="2"/>
        </w:rPr>
        <w:t>length, width and thickness are</w:t>
      </w:r>
      <w:r>
        <w:rPr>
          <w:kern w:val="2"/>
        </w:rPr>
        <w:t xml:space="preserve"> 67.2 × 54.0 × 23.8 mm.</w:t>
      </w:r>
    </w:p>
    <w:p w14:paraId="734CDD4B">
      <w:pPr>
        <w:pStyle w:val="22"/>
        <w:numPr>
          <w:ilvl w:val="0"/>
          <w:numId w:val="6"/>
        </w:numPr>
        <w:shd w:val="clear" w:color="auto" w:fill="FFFFFF"/>
        <w:ind w:firstLine="240" w:firstLineChars="100"/>
        <w:jc w:val="both"/>
        <w:rPr>
          <w:kern w:val="2"/>
        </w:rPr>
      </w:pPr>
      <w:r>
        <w:rPr>
          <w:kern w:val="2"/>
        </w:rPr>
        <w:t>Unidirectional flakes (n = 25, 18.5%)</w:t>
      </w:r>
      <w:r>
        <w:rPr>
          <w:rFonts w:hint="eastAsia"/>
          <w:kern w:val="2"/>
        </w:rPr>
        <w:t>:</w:t>
      </w:r>
      <w:r>
        <w:rPr>
          <w:kern w:val="2"/>
        </w:rPr>
        <w:t xml:space="preserve"> </w:t>
      </w:r>
      <w:r>
        <w:rPr>
          <w:rFonts w:hint="eastAsia"/>
          <w:kern w:val="2"/>
        </w:rPr>
        <w:t>p</w:t>
      </w:r>
      <w:r>
        <w:rPr>
          <w:kern w:val="2"/>
        </w:rPr>
        <w:t>reserve unidirectional dorsal scars aligned with the flaking axis, reflecting unidirectional reduction strateg</w:t>
      </w:r>
      <w:r>
        <w:rPr>
          <w:rFonts w:hint="eastAsia"/>
          <w:kern w:val="2"/>
        </w:rPr>
        <w:t>y</w:t>
      </w:r>
      <w:r>
        <w:rPr>
          <w:kern w:val="2"/>
        </w:rPr>
        <w:t xml:space="preserve">. Platform types include cortical (n = 15), plain (n = 6), multifaceted (n = 3), and linear (n = 1) variants, </w:t>
      </w:r>
      <w:r>
        <w:rPr>
          <w:rFonts w:hint="eastAsia"/>
          <w:kern w:val="2"/>
        </w:rPr>
        <w:t xml:space="preserve">the latter three types belong to the </w:t>
      </w:r>
      <w:r>
        <w:rPr>
          <w:kern w:val="2"/>
        </w:rPr>
        <w:t>non-cortical platform</w:t>
      </w:r>
      <w:r>
        <w:rPr>
          <w:rFonts w:hint="eastAsia"/>
          <w:kern w:val="2"/>
        </w:rPr>
        <w:t>,</w:t>
      </w:r>
      <w:r>
        <w:rPr>
          <w:kern w:val="2"/>
        </w:rPr>
        <w:t xml:space="preserve"> potentially indicating core rotation during reduction</w:t>
      </w:r>
      <w:r>
        <w:rPr>
          <w:rFonts w:hint="eastAsia"/>
          <w:kern w:val="2"/>
        </w:rPr>
        <w:t xml:space="preserve"> procedures</w:t>
      </w:r>
      <w:r>
        <w:rPr>
          <w:kern w:val="2"/>
        </w:rPr>
        <w:t xml:space="preserve">. </w:t>
      </w:r>
      <w:r>
        <w:rPr>
          <w:rFonts w:hint="eastAsia"/>
          <w:kern w:val="2"/>
        </w:rPr>
        <w:t>Unidirectional f</w:t>
      </w:r>
      <w:r>
        <w:rPr>
          <w:kern w:val="2"/>
        </w:rPr>
        <w:t xml:space="preserve">lakes </w:t>
      </w:r>
      <w:r>
        <w:rPr>
          <w:rFonts w:hint="eastAsia"/>
          <w:kern w:val="2"/>
        </w:rPr>
        <w:t>have a mean dorsal scar number of 2.4, a</w:t>
      </w:r>
      <w:r>
        <w:rPr>
          <w:kern w:val="2"/>
        </w:rPr>
        <w:t xml:space="preserve"> mean platform angle of 109.0° (σ = 13.8°) and </w:t>
      </w:r>
      <w:r>
        <w:rPr>
          <w:rFonts w:hint="eastAsia"/>
          <w:kern w:val="2"/>
        </w:rPr>
        <w:t xml:space="preserve">the </w:t>
      </w:r>
      <w:r>
        <w:rPr>
          <w:kern w:val="2"/>
        </w:rPr>
        <w:t xml:space="preserve">mean </w:t>
      </w:r>
      <w:r>
        <w:rPr>
          <w:rFonts w:hint="eastAsia"/>
          <w:kern w:val="2"/>
        </w:rPr>
        <w:t xml:space="preserve">length, width and thickness </w:t>
      </w:r>
      <w:r>
        <w:rPr>
          <w:kern w:val="2"/>
        </w:rPr>
        <w:t>of 65.3 × 53.6 × 22.6 mm.</w:t>
      </w:r>
    </w:p>
    <w:p w14:paraId="66D2773C">
      <w:pPr>
        <w:pStyle w:val="22"/>
        <w:numPr>
          <w:ilvl w:val="0"/>
          <w:numId w:val="6"/>
        </w:numPr>
        <w:shd w:val="clear" w:color="auto" w:fill="FFFFFF"/>
        <w:ind w:firstLine="240" w:firstLineChars="100"/>
        <w:jc w:val="both"/>
        <w:rPr>
          <w:kern w:val="2"/>
        </w:rPr>
      </w:pPr>
      <w:r>
        <w:rPr>
          <w:kern w:val="2"/>
        </w:rPr>
        <w:t>Opposed-directional flakes (n = 4, 2.7%)</w:t>
      </w:r>
      <w:r>
        <w:rPr>
          <w:rFonts w:hint="eastAsia"/>
          <w:kern w:val="2"/>
        </w:rPr>
        <w:t>:</w:t>
      </w:r>
      <w:r>
        <w:rPr>
          <w:kern w:val="2"/>
        </w:rPr>
        <w:t xml:space="preserve"> </w:t>
      </w:r>
      <w:r>
        <w:rPr>
          <w:rFonts w:hint="eastAsia"/>
          <w:kern w:val="2"/>
        </w:rPr>
        <w:t>preserve</w:t>
      </w:r>
      <w:r>
        <w:rPr>
          <w:kern w:val="2"/>
        </w:rPr>
        <w:t xml:space="preserve"> dorsal scars oriented opposite to the flaking axis, with </w:t>
      </w:r>
      <w:r>
        <w:rPr>
          <w:rFonts w:hint="eastAsia"/>
          <w:kern w:val="2"/>
        </w:rPr>
        <w:t xml:space="preserve">mean dorsal scar number of 2.8, </w:t>
      </w:r>
      <w:r>
        <w:rPr>
          <w:kern w:val="2"/>
        </w:rPr>
        <w:t xml:space="preserve">mean platform angle of 122.0° (σ = 3.9°) and </w:t>
      </w:r>
      <w:r>
        <w:rPr>
          <w:rFonts w:hint="eastAsia"/>
          <w:kern w:val="2"/>
        </w:rPr>
        <w:t xml:space="preserve">mean length, width and thickness </w:t>
      </w:r>
      <w:r>
        <w:rPr>
          <w:kern w:val="2"/>
        </w:rPr>
        <w:t>of 58.0 × 45.2 × 18.0 mm.</w:t>
      </w:r>
    </w:p>
    <w:p w14:paraId="333535B4">
      <w:pPr>
        <w:pStyle w:val="22"/>
        <w:numPr>
          <w:ilvl w:val="0"/>
          <w:numId w:val="6"/>
        </w:numPr>
        <w:shd w:val="clear" w:color="auto" w:fill="FFFFFF"/>
        <w:ind w:firstLine="240" w:firstLineChars="100"/>
        <w:jc w:val="both"/>
        <w:rPr>
          <w:kern w:val="2"/>
        </w:rPr>
      </w:pPr>
      <w:r>
        <w:rPr>
          <w:kern w:val="2"/>
        </w:rPr>
        <w:t>Orthogonal flakes (n = 15, 11.1%)</w:t>
      </w:r>
      <w:r>
        <w:rPr>
          <w:rFonts w:hint="eastAsia"/>
          <w:kern w:val="2"/>
        </w:rPr>
        <w:t>:</w:t>
      </w:r>
      <w:r>
        <w:rPr>
          <w:kern w:val="2"/>
        </w:rPr>
        <w:t xml:space="preserve"> </w:t>
      </w:r>
      <w:r>
        <w:rPr>
          <w:rFonts w:hint="eastAsia"/>
          <w:kern w:val="2"/>
        </w:rPr>
        <w:t>e</w:t>
      </w:r>
      <w:r>
        <w:rPr>
          <w:kern w:val="2"/>
        </w:rPr>
        <w:t xml:space="preserve">xhibit lateral dorsal scars perpendicular to the flaking axis. These flakes show </w:t>
      </w:r>
      <w:r>
        <w:rPr>
          <w:rFonts w:hint="eastAsia"/>
          <w:kern w:val="2"/>
        </w:rPr>
        <w:t xml:space="preserve">mean number of </w:t>
      </w:r>
      <w:r>
        <w:rPr>
          <w:rFonts w:hint="eastAsia"/>
          <w:kern w:val="2"/>
          <w:lang w:val="en-US" w:eastAsia="zh-CN"/>
        </w:rPr>
        <w:t xml:space="preserve">dorsal scars is </w:t>
      </w:r>
      <w:r>
        <w:rPr>
          <w:rFonts w:hint="eastAsia"/>
          <w:kern w:val="2"/>
        </w:rPr>
        <w:t xml:space="preserve">2.9, </w:t>
      </w:r>
      <w:r>
        <w:rPr>
          <w:kern w:val="2"/>
        </w:rPr>
        <w:t xml:space="preserve">mean platform angle of 119.6° (σ = 12.2°) and </w:t>
      </w:r>
      <w:r>
        <w:rPr>
          <w:rFonts w:hint="eastAsia"/>
          <w:kern w:val="2"/>
        </w:rPr>
        <w:t>mean length, width and thickness</w:t>
      </w:r>
      <w:r>
        <w:rPr>
          <w:kern w:val="2"/>
        </w:rPr>
        <w:t xml:space="preserve"> of 69.8 × 55.6 × 25.5 mm. The </w:t>
      </w:r>
      <w:r>
        <w:rPr>
          <w:rFonts w:hint="eastAsia"/>
          <w:kern w:val="2"/>
        </w:rPr>
        <w:t>presence</w:t>
      </w:r>
      <w:r>
        <w:rPr>
          <w:kern w:val="2"/>
        </w:rPr>
        <w:t xml:space="preserve"> of orthogonal and opposed-directional flakes reflect</w:t>
      </w:r>
      <w:r>
        <w:rPr>
          <w:rFonts w:hint="eastAsia"/>
          <w:kern w:val="2"/>
          <w:lang w:val="en-US" w:eastAsia="zh-CN"/>
        </w:rPr>
        <w:t>s</w:t>
      </w:r>
      <w:r>
        <w:rPr>
          <w:kern w:val="2"/>
        </w:rPr>
        <w:t xml:space="preserve"> </w:t>
      </w:r>
      <w:r>
        <w:rPr>
          <w:rFonts w:hint="eastAsia"/>
          <w:kern w:val="2"/>
        </w:rPr>
        <w:t xml:space="preserve">the rotation of striking </w:t>
      </w:r>
      <w:r>
        <w:rPr>
          <w:kern w:val="2"/>
        </w:rPr>
        <w:t>platform</w:t>
      </w:r>
      <w:r>
        <w:rPr>
          <w:rFonts w:hint="eastAsia"/>
          <w:kern w:val="2"/>
          <w:lang w:val="en-US" w:eastAsia="zh-CN"/>
        </w:rPr>
        <w:t>s</w:t>
      </w:r>
      <w:r>
        <w:rPr>
          <w:kern w:val="2"/>
        </w:rPr>
        <w:t xml:space="preserve"> to </w:t>
      </w:r>
      <w:r>
        <w:rPr>
          <w:rFonts w:hint="eastAsia"/>
          <w:kern w:val="2"/>
        </w:rPr>
        <w:t>continuously exploit a single flaking surface</w:t>
      </w:r>
      <w:r>
        <w:rPr>
          <w:kern w:val="2"/>
        </w:rPr>
        <w:t>.</w:t>
      </w:r>
    </w:p>
    <w:p w14:paraId="1B5A0C5D">
      <w:pPr>
        <w:pStyle w:val="22"/>
        <w:numPr>
          <w:ilvl w:val="0"/>
          <w:numId w:val="6"/>
        </w:numPr>
        <w:shd w:val="clear" w:color="auto" w:fill="FFFFFF"/>
        <w:ind w:firstLine="240" w:firstLineChars="100"/>
        <w:jc w:val="both"/>
        <w:rPr>
          <w:kern w:val="2"/>
        </w:rPr>
      </w:pPr>
      <w:r>
        <w:rPr>
          <w:kern w:val="2"/>
        </w:rPr>
        <w:t>Naturally backed flakes (n = 7, 5.2%)</w:t>
      </w:r>
      <w:r>
        <w:rPr>
          <w:rFonts w:hint="eastAsia"/>
          <w:kern w:val="2"/>
        </w:rPr>
        <w:t>:</w:t>
      </w:r>
      <w:r>
        <w:rPr>
          <w:kern w:val="2"/>
        </w:rPr>
        <w:t xml:space="preserve"> retain a </w:t>
      </w:r>
      <w:r>
        <w:rPr>
          <w:rFonts w:hint="eastAsia"/>
          <w:kern w:val="2"/>
        </w:rPr>
        <w:t xml:space="preserve">cortical </w:t>
      </w:r>
      <w:r>
        <w:rPr>
          <w:kern w:val="2"/>
        </w:rPr>
        <w:t>portion of the core</w:t>
      </w:r>
      <w:r>
        <w:rPr>
          <w:rFonts w:hint="eastAsia"/>
          <w:kern w:val="2"/>
        </w:rPr>
        <w:t xml:space="preserve"> edge, forming a natural back. </w:t>
      </w:r>
      <w:r>
        <w:rPr>
          <w:kern w:val="2"/>
        </w:rPr>
        <w:t>The</w:t>
      </w:r>
      <w:r>
        <w:rPr>
          <w:rFonts w:hint="eastAsia"/>
          <w:kern w:val="2"/>
        </w:rPr>
        <w:t xml:space="preserve"> mean </w:t>
      </w:r>
      <w:r>
        <w:rPr>
          <w:rFonts w:hint="eastAsia"/>
          <w:kern w:val="2"/>
          <w:lang w:val="en-US" w:eastAsia="zh-CN"/>
        </w:rPr>
        <w:t xml:space="preserve">number of </w:t>
      </w:r>
      <w:r>
        <w:rPr>
          <w:rFonts w:hint="eastAsia"/>
          <w:kern w:val="2"/>
        </w:rPr>
        <w:t>dorsal scar</w:t>
      </w:r>
      <w:r>
        <w:rPr>
          <w:rFonts w:hint="eastAsia"/>
          <w:kern w:val="2"/>
          <w:lang w:val="en-US" w:eastAsia="zh-CN"/>
        </w:rPr>
        <w:t>s</w:t>
      </w:r>
      <w:r>
        <w:rPr>
          <w:rFonts w:hint="eastAsia"/>
          <w:kern w:val="2"/>
        </w:rPr>
        <w:t xml:space="preserve"> is 2.5,</w:t>
      </w:r>
      <w:r>
        <w:rPr>
          <w:kern w:val="2"/>
        </w:rPr>
        <w:t xml:space="preserve"> </w:t>
      </w:r>
      <w:r>
        <w:rPr>
          <w:rFonts w:hint="eastAsia"/>
          <w:kern w:val="2"/>
        </w:rPr>
        <w:t xml:space="preserve">the </w:t>
      </w:r>
      <w:r>
        <w:rPr>
          <w:kern w:val="2"/>
        </w:rPr>
        <w:t xml:space="preserve">mean platform angle </w:t>
      </w:r>
      <w:r>
        <w:rPr>
          <w:rFonts w:hint="eastAsia"/>
          <w:kern w:val="2"/>
        </w:rPr>
        <w:t xml:space="preserve">is </w:t>
      </w:r>
      <w:r>
        <w:rPr>
          <w:kern w:val="2"/>
        </w:rPr>
        <w:t>112.</w:t>
      </w:r>
      <w:r>
        <w:rPr>
          <w:rFonts w:hint="eastAsia"/>
          <w:kern w:val="2"/>
        </w:rPr>
        <w:t>7</w:t>
      </w:r>
      <w:r>
        <w:rPr>
          <w:kern w:val="2"/>
        </w:rPr>
        <w:t>° (σ = 1</w:t>
      </w:r>
      <w:r>
        <w:rPr>
          <w:rFonts w:hint="eastAsia"/>
          <w:kern w:val="2"/>
        </w:rPr>
        <w:t>1</w:t>
      </w:r>
      <w:r>
        <w:rPr>
          <w:kern w:val="2"/>
        </w:rPr>
        <w:t>.</w:t>
      </w:r>
      <w:r>
        <w:rPr>
          <w:rFonts w:hint="eastAsia"/>
          <w:kern w:val="2"/>
        </w:rPr>
        <w:t>1</w:t>
      </w:r>
      <w:r>
        <w:rPr>
          <w:kern w:val="2"/>
        </w:rPr>
        <w:t xml:space="preserve">°), </w:t>
      </w:r>
      <w:r>
        <w:rPr>
          <w:rFonts w:hint="eastAsia"/>
          <w:kern w:val="2"/>
        </w:rPr>
        <w:t>and the mean length, width and thickness are</w:t>
      </w:r>
      <w:r>
        <w:rPr>
          <w:kern w:val="2"/>
        </w:rPr>
        <w:t xml:space="preserve"> </w:t>
      </w:r>
      <w:r>
        <w:rPr>
          <w:rFonts w:hint="eastAsia"/>
          <w:kern w:val="2"/>
        </w:rPr>
        <w:t>65</w:t>
      </w:r>
      <w:r>
        <w:rPr>
          <w:kern w:val="2"/>
        </w:rPr>
        <w:t>.</w:t>
      </w:r>
      <w:r>
        <w:rPr>
          <w:rFonts w:hint="eastAsia"/>
          <w:kern w:val="2"/>
        </w:rPr>
        <w:t>7</w:t>
      </w:r>
      <w:r>
        <w:rPr>
          <w:kern w:val="2"/>
        </w:rPr>
        <w:t xml:space="preserve"> × </w:t>
      </w:r>
      <w:r>
        <w:rPr>
          <w:rFonts w:hint="eastAsia"/>
          <w:kern w:val="2"/>
        </w:rPr>
        <w:t>46</w:t>
      </w:r>
      <w:r>
        <w:rPr>
          <w:kern w:val="2"/>
        </w:rPr>
        <w:t>.</w:t>
      </w:r>
      <w:r>
        <w:rPr>
          <w:rFonts w:hint="eastAsia"/>
          <w:kern w:val="2"/>
        </w:rPr>
        <w:t>0</w:t>
      </w:r>
      <w:r>
        <w:rPr>
          <w:kern w:val="2"/>
        </w:rPr>
        <w:t xml:space="preserve"> × </w:t>
      </w:r>
      <w:r>
        <w:rPr>
          <w:rFonts w:hint="eastAsia"/>
          <w:kern w:val="2"/>
        </w:rPr>
        <w:t>8</w:t>
      </w:r>
      <w:r>
        <w:rPr>
          <w:kern w:val="2"/>
        </w:rPr>
        <w:t>.</w:t>
      </w:r>
      <w:r>
        <w:rPr>
          <w:rFonts w:hint="eastAsia"/>
          <w:kern w:val="2"/>
        </w:rPr>
        <w:t>9</w:t>
      </w:r>
      <w:r>
        <w:rPr>
          <w:kern w:val="2"/>
        </w:rPr>
        <w:t xml:space="preserve"> mm.</w:t>
      </w:r>
    </w:p>
    <w:p w14:paraId="68991AAF">
      <w:pPr>
        <w:pStyle w:val="22"/>
        <w:numPr>
          <w:ilvl w:val="0"/>
          <w:numId w:val="6"/>
        </w:numPr>
        <w:shd w:val="clear" w:color="auto" w:fill="FFFFFF"/>
        <w:ind w:firstLine="240" w:firstLineChars="100"/>
        <w:jc w:val="both"/>
        <w:rPr>
          <w:kern w:val="2"/>
        </w:rPr>
      </w:pPr>
      <w:r>
        <w:rPr>
          <w:rFonts w:hint="eastAsia"/>
          <w:kern w:val="2"/>
        </w:rPr>
        <w:t>C</w:t>
      </w:r>
      <w:r>
        <w:rPr>
          <w:kern w:val="2"/>
        </w:rPr>
        <w:t>ore-edge-removal flakes (n = 2, 1.5%)</w:t>
      </w:r>
      <w:r>
        <w:rPr>
          <w:rFonts w:hint="eastAsia"/>
          <w:kern w:val="2"/>
        </w:rPr>
        <w:t>:</w:t>
      </w:r>
      <w:r>
        <w:t xml:space="preserve"> </w:t>
      </w:r>
      <w:r>
        <w:rPr>
          <w:rFonts w:hint="eastAsia"/>
          <w:kern w:val="2"/>
        </w:rPr>
        <w:t xml:space="preserve">contain </w:t>
      </w:r>
      <w:r>
        <w:rPr>
          <w:kern w:val="2"/>
        </w:rPr>
        <w:t>remnants of</w:t>
      </w:r>
      <w:r>
        <w:rPr>
          <w:rFonts w:hint="eastAsia"/>
          <w:kern w:val="2"/>
        </w:rPr>
        <w:t xml:space="preserve"> </w:t>
      </w:r>
      <w:r>
        <w:rPr>
          <w:kern w:val="2"/>
        </w:rPr>
        <w:t>prior core margins. The</w:t>
      </w:r>
      <w:r>
        <w:rPr>
          <w:rFonts w:hint="eastAsia"/>
          <w:kern w:val="2"/>
        </w:rPr>
        <w:t>y</w:t>
      </w:r>
      <w:r>
        <w:rPr>
          <w:kern w:val="2"/>
        </w:rPr>
        <w:t xml:space="preserve"> originated </w:t>
      </w:r>
      <w:r>
        <w:rPr>
          <w:rFonts w:hint="eastAsia"/>
          <w:kern w:val="2"/>
        </w:rPr>
        <w:t xml:space="preserve">from the shift in flaking direction to maintain the core reduction, </w:t>
      </w:r>
      <w:r>
        <w:rPr>
          <w:kern w:val="2"/>
        </w:rPr>
        <w:t xml:space="preserve">potentially associated with centripetal </w:t>
      </w:r>
      <w:r>
        <w:rPr>
          <w:rFonts w:hint="eastAsia"/>
          <w:kern w:val="2"/>
        </w:rPr>
        <w:t>flaking</w:t>
      </w:r>
      <w:r>
        <w:rPr>
          <w:kern w:val="2"/>
        </w:rPr>
        <w:t>. The</w:t>
      </w:r>
      <w:r>
        <w:rPr>
          <w:rFonts w:hint="eastAsia"/>
          <w:kern w:val="2"/>
        </w:rPr>
        <w:t xml:space="preserve"> mean </w:t>
      </w:r>
      <w:r>
        <w:rPr>
          <w:rFonts w:hint="eastAsia"/>
          <w:kern w:val="2"/>
          <w:lang w:val="en-US" w:eastAsia="zh-CN"/>
        </w:rPr>
        <w:t xml:space="preserve">number of </w:t>
      </w:r>
      <w:r>
        <w:rPr>
          <w:rFonts w:hint="eastAsia"/>
          <w:kern w:val="2"/>
        </w:rPr>
        <w:t>dorsal scar</w:t>
      </w:r>
      <w:r>
        <w:rPr>
          <w:rFonts w:hint="eastAsia"/>
          <w:kern w:val="2"/>
          <w:lang w:val="en-US" w:eastAsia="zh-CN"/>
        </w:rPr>
        <w:t>s</w:t>
      </w:r>
      <w:r>
        <w:rPr>
          <w:rFonts w:hint="eastAsia"/>
          <w:kern w:val="2"/>
        </w:rPr>
        <w:t xml:space="preserve"> is 3.0,</w:t>
      </w:r>
      <w:r>
        <w:rPr>
          <w:kern w:val="2"/>
        </w:rPr>
        <w:t xml:space="preserve"> </w:t>
      </w:r>
      <w:r>
        <w:rPr>
          <w:rFonts w:hint="eastAsia"/>
          <w:kern w:val="2"/>
        </w:rPr>
        <w:t xml:space="preserve">the </w:t>
      </w:r>
      <w:r>
        <w:rPr>
          <w:kern w:val="2"/>
        </w:rPr>
        <w:t xml:space="preserve">mean platform angle </w:t>
      </w:r>
      <w:r>
        <w:rPr>
          <w:rFonts w:hint="eastAsia"/>
          <w:kern w:val="2"/>
        </w:rPr>
        <w:t>is</w:t>
      </w:r>
      <w:r>
        <w:rPr>
          <w:kern w:val="2"/>
        </w:rPr>
        <w:t xml:space="preserve"> 1</w:t>
      </w:r>
      <w:r>
        <w:rPr>
          <w:rFonts w:hint="eastAsia"/>
          <w:kern w:val="2"/>
        </w:rPr>
        <w:t>09</w:t>
      </w:r>
      <w:r>
        <w:rPr>
          <w:kern w:val="2"/>
        </w:rPr>
        <w:t>.</w:t>
      </w:r>
      <w:r>
        <w:rPr>
          <w:rFonts w:hint="eastAsia"/>
          <w:kern w:val="2"/>
        </w:rPr>
        <w:t>5</w:t>
      </w:r>
      <w:r>
        <w:rPr>
          <w:kern w:val="2"/>
        </w:rPr>
        <w:t>° (σ = 1</w:t>
      </w:r>
      <w:r>
        <w:rPr>
          <w:rFonts w:hint="eastAsia"/>
          <w:kern w:val="2"/>
        </w:rPr>
        <w:t>6</w:t>
      </w:r>
      <w:r>
        <w:rPr>
          <w:kern w:val="2"/>
        </w:rPr>
        <w:t>.</w:t>
      </w:r>
      <w:r>
        <w:rPr>
          <w:rFonts w:hint="eastAsia"/>
          <w:kern w:val="2"/>
        </w:rPr>
        <w:t>3</w:t>
      </w:r>
      <w:r>
        <w:rPr>
          <w:kern w:val="2"/>
        </w:rPr>
        <w:t xml:space="preserve">°), </w:t>
      </w:r>
      <w:r>
        <w:rPr>
          <w:rFonts w:hint="eastAsia"/>
          <w:kern w:val="2"/>
        </w:rPr>
        <w:t>and the mean length, width and thickness are</w:t>
      </w:r>
      <w:r>
        <w:rPr>
          <w:kern w:val="2"/>
        </w:rPr>
        <w:t xml:space="preserve"> 6</w:t>
      </w:r>
      <w:r>
        <w:rPr>
          <w:rFonts w:hint="eastAsia"/>
          <w:kern w:val="2"/>
        </w:rPr>
        <w:t>0</w:t>
      </w:r>
      <w:r>
        <w:rPr>
          <w:kern w:val="2"/>
        </w:rPr>
        <w:t>.</w:t>
      </w:r>
      <w:r>
        <w:rPr>
          <w:rFonts w:hint="eastAsia"/>
          <w:kern w:val="2"/>
        </w:rPr>
        <w:t>0</w:t>
      </w:r>
      <w:r>
        <w:rPr>
          <w:kern w:val="2"/>
        </w:rPr>
        <w:t xml:space="preserve"> × </w:t>
      </w:r>
      <w:r>
        <w:rPr>
          <w:rFonts w:hint="eastAsia"/>
          <w:kern w:val="2"/>
        </w:rPr>
        <w:t>39</w:t>
      </w:r>
      <w:r>
        <w:rPr>
          <w:kern w:val="2"/>
        </w:rPr>
        <w:t>.</w:t>
      </w:r>
      <w:r>
        <w:rPr>
          <w:rFonts w:hint="eastAsia"/>
          <w:kern w:val="2"/>
        </w:rPr>
        <w:t>0</w:t>
      </w:r>
      <w:r>
        <w:rPr>
          <w:kern w:val="2"/>
        </w:rPr>
        <w:t xml:space="preserve"> × </w:t>
      </w:r>
      <w:r>
        <w:rPr>
          <w:rFonts w:hint="eastAsia"/>
          <w:kern w:val="2"/>
        </w:rPr>
        <w:t>23</w:t>
      </w:r>
      <w:r>
        <w:rPr>
          <w:kern w:val="2"/>
        </w:rPr>
        <w:t>.</w:t>
      </w:r>
      <w:r>
        <w:rPr>
          <w:rFonts w:hint="eastAsia"/>
          <w:kern w:val="2"/>
        </w:rPr>
        <w:t>0</w:t>
      </w:r>
      <w:r>
        <w:rPr>
          <w:kern w:val="2"/>
        </w:rPr>
        <w:t xml:space="preserve"> mm.</w:t>
      </w:r>
    </w:p>
    <w:p w14:paraId="54A18FAD">
      <w:pPr>
        <w:pStyle w:val="22"/>
        <w:numPr>
          <w:ilvl w:val="0"/>
          <w:numId w:val="6"/>
        </w:numPr>
        <w:shd w:val="clear" w:color="auto" w:fill="FFFFFF"/>
        <w:ind w:firstLine="240" w:firstLineChars="100"/>
        <w:jc w:val="both"/>
        <w:rPr>
          <w:kern w:val="2"/>
        </w:rPr>
      </w:pPr>
      <w:r>
        <w:rPr>
          <w:kern w:val="2"/>
        </w:rPr>
        <w:t>Kombewa flake (</w:t>
      </w:r>
      <w:r>
        <w:rPr>
          <w:rFonts w:hint="eastAsia"/>
          <w:kern w:val="2"/>
        </w:rPr>
        <w:t>n = 1</w:t>
      </w:r>
      <w:r>
        <w:rPr>
          <w:kern w:val="2"/>
        </w:rPr>
        <w:t>)</w:t>
      </w:r>
      <w:r>
        <w:rPr>
          <w:rFonts w:hint="eastAsia"/>
          <w:kern w:val="2"/>
        </w:rPr>
        <w:t>:</w:t>
      </w:r>
      <w:r>
        <w:rPr>
          <w:kern w:val="2"/>
        </w:rPr>
        <w:t xml:space="preserve"> </w:t>
      </w:r>
      <w:r>
        <w:rPr>
          <w:rFonts w:hint="eastAsia"/>
          <w:kern w:val="2"/>
        </w:rPr>
        <w:t>p</w:t>
      </w:r>
      <w:r>
        <w:rPr>
          <w:kern w:val="2"/>
        </w:rPr>
        <w:t>roduced by</w:t>
      </w:r>
      <w:r>
        <w:rPr>
          <w:rFonts w:hint="eastAsia"/>
          <w:kern w:val="2"/>
        </w:rPr>
        <w:t xml:space="preserve"> exploiting the </w:t>
      </w:r>
      <w:r>
        <w:rPr>
          <w:kern w:val="2"/>
        </w:rPr>
        <w:t xml:space="preserve">ventral surface </w:t>
      </w:r>
      <w:r>
        <w:rPr>
          <w:rFonts w:hint="eastAsia"/>
          <w:kern w:val="2"/>
        </w:rPr>
        <w:t>of a previous flake</w:t>
      </w:r>
      <w:r>
        <w:rPr>
          <w:kern w:val="2"/>
        </w:rPr>
        <w:t>.</w:t>
      </w:r>
      <w:r>
        <w:rPr>
          <w:rFonts w:hint="eastAsia"/>
          <w:kern w:val="2"/>
        </w:rPr>
        <w:t xml:space="preserve"> The </w:t>
      </w:r>
      <w:r>
        <w:rPr>
          <w:rFonts w:hint="eastAsia"/>
          <w:kern w:val="2"/>
          <w:lang w:val="en-US" w:eastAsia="zh-CN"/>
        </w:rPr>
        <w:t>specimen</w:t>
      </w:r>
      <w:r>
        <w:rPr>
          <w:rFonts w:hint="default"/>
          <w:kern w:val="2"/>
          <w:lang w:val="en-US" w:eastAsia="zh-CN"/>
        </w:rPr>
        <w:t>’</w:t>
      </w:r>
      <w:r>
        <w:rPr>
          <w:rFonts w:hint="eastAsia"/>
          <w:kern w:val="2"/>
          <w:lang w:val="en-US" w:eastAsia="zh-CN"/>
        </w:rPr>
        <w:t>s</w:t>
      </w:r>
      <w:r>
        <w:rPr>
          <w:rFonts w:hint="eastAsia"/>
          <w:kern w:val="2"/>
        </w:rPr>
        <w:t xml:space="preserve"> length, width and thickness are</w:t>
      </w:r>
      <w:r>
        <w:rPr>
          <w:kern w:val="2"/>
        </w:rPr>
        <w:t xml:space="preserve"> 59.0 × 47.0 × 20.0 mm</w:t>
      </w:r>
      <w:r>
        <w:rPr>
          <w:rFonts w:hint="eastAsia"/>
          <w:kern w:val="2"/>
        </w:rPr>
        <w:t>.</w:t>
      </w:r>
    </w:p>
    <w:p w14:paraId="5511D376">
      <w:pPr>
        <w:pStyle w:val="22"/>
        <w:numPr>
          <w:ilvl w:val="0"/>
          <w:numId w:val="6"/>
        </w:numPr>
        <w:shd w:val="clear" w:color="auto" w:fill="FFFFFF"/>
        <w:ind w:firstLine="240" w:firstLineChars="100"/>
        <w:jc w:val="both"/>
        <w:rPr>
          <w:kern w:val="2"/>
        </w:rPr>
      </w:pPr>
      <w:r>
        <w:rPr>
          <w:kern w:val="2"/>
        </w:rPr>
        <w:t>Bipolar flakes (n = 8, 5.9%)</w:t>
      </w:r>
      <w:r>
        <w:rPr>
          <w:rFonts w:hint="eastAsia"/>
          <w:kern w:val="2"/>
        </w:rPr>
        <w:t>:</w:t>
      </w:r>
      <w:r>
        <w:rPr>
          <w:kern w:val="2"/>
        </w:rPr>
        <w:t xml:space="preserve"> exhibit two oppos</w:t>
      </w:r>
      <w:r>
        <w:rPr>
          <w:rFonts w:hint="eastAsia"/>
          <w:kern w:val="2"/>
        </w:rPr>
        <w:t>ed</w:t>
      </w:r>
      <w:r>
        <w:rPr>
          <w:kern w:val="2"/>
        </w:rPr>
        <w:t xml:space="preserve"> impact points along the flaking axis</w:t>
      </w:r>
      <w:r>
        <w:rPr>
          <w:rFonts w:hint="eastAsia"/>
          <w:kern w:val="2"/>
        </w:rPr>
        <w:t xml:space="preserve"> and</w:t>
      </w:r>
      <w:r>
        <w:rPr>
          <w:kern w:val="2"/>
        </w:rPr>
        <w:t xml:space="preserve"> retain extensive dorsal cortex (</w:t>
      </w:r>
      <w:r>
        <w:rPr>
          <w:rFonts w:hint="eastAsia"/>
          <w:kern w:val="2"/>
        </w:rPr>
        <w:t>90</w:t>
      </w:r>
      <w:r>
        <w:rPr>
          <w:kern w:val="2"/>
        </w:rPr>
        <w:t xml:space="preserve">%), consistent with </w:t>
      </w:r>
      <w:r>
        <w:rPr>
          <w:rFonts w:hint="eastAsia"/>
          <w:kern w:val="2"/>
        </w:rPr>
        <w:t xml:space="preserve">the initial </w:t>
      </w:r>
      <w:r>
        <w:rPr>
          <w:kern w:val="2"/>
        </w:rPr>
        <w:t xml:space="preserve">phase </w:t>
      </w:r>
      <w:r>
        <w:rPr>
          <w:rFonts w:hint="eastAsia"/>
          <w:kern w:val="2"/>
        </w:rPr>
        <w:t>of core reduction</w:t>
      </w:r>
      <w:r>
        <w:rPr>
          <w:kern w:val="2"/>
        </w:rPr>
        <w:t xml:space="preserve">. The mean </w:t>
      </w:r>
      <w:r>
        <w:rPr>
          <w:rFonts w:hint="eastAsia"/>
          <w:kern w:val="2"/>
        </w:rPr>
        <w:t xml:space="preserve">length, width and thickness are </w:t>
      </w:r>
      <w:r>
        <w:rPr>
          <w:kern w:val="2"/>
        </w:rPr>
        <w:t>77.3 × 55.1 × 22.2 mm.</w:t>
      </w:r>
    </w:p>
    <w:p w14:paraId="27EA3A1F">
      <w:pPr>
        <w:pStyle w:val="22"/>
        <w:shd w:val="clear" w:color="auto" w:fill="FFFFFF"/>
        <w:ind w:firstLine="240" w:firstLineChars="100"/>
        <w:jc w:val="both"/>
        <w:rPr>
          <w:kern w:val="2"/>
        </w:rPr>
      </w:pPr>
      <w:r>
        <w:rPr>
          <w:rFonts w:hint="eastAsia"/>
          <w:kern w:val="2"/>
        </w:rPr>
        <w:t>In addition to above mentioned flake types, t</w:t>
      </w:r>
      <w:r>
        <w:rPr>
          <w:kern w:val="2"/>
        </w:rPr>
        <w:t>wo specimens </w:t>
      </w:r>
      <w:r>
        <w:rPr>
          <w:rFonts w:hint="eastAsia"/>
          <w:kern w:val="2"/>
          <w:lang w:val="en-US" w:eastAsia="zh-CN"/>
        </w:rPr>
        <w:t>could not be assigned to a specific category owing</w:t>
      </w:r>
      <w:r>
        <w:rPr>
          <w:kern w:val="2"/>
        </w:rPr>
        <w:t xml:space="preserve"> to obscured scar patterns.</w:t>
      </w:r>
      <w:r>
        <w:rPr>
          <w:rFonts w:hint="eastAsia"/>
          <w:kern w:val="2"/>
        </w:rPr>
        <w:t xml:space="preserve"> </w:t>
      </w:r>
    </w:p>
    <w:p w14:paraId="5FC49273">
      <w:pPr>
        <w:pStyle w:val="22"/>
        <w:shd w:val="clear" w:color="auto" w:fill="FFFFFF"/>
        <w:ind w:firstLine="240" w:firstLineChars="100"/>
        <w:jc w:val="both"/>
        <w:rPr>
          <w:kern w:val="2"/>
        </w:rPr>
      </w:pPr>
      <w:r>
        <w:rPr>
          <w:rFonts w:hint="eastAsia"/>
          <w:kern w:val="2"/>
        </w:rPr>
        <w:t xml:space="preserve">Overall, </w:t>
      </w:r>
      <w:r>
        <w:rPr>
          <w:kern w:val="2"/>
        </w:rPr>
        <w:t>a variety of reduction strategies</w:t>
      </w:r>
      <w:r>
        <w:rPr>
          <w:rFonts w:hint="eastAsia"/>
          <w:kern w:val="2"/>
        </w:rPr>
        <w:t xml:space="preserve"> co-existed at the Bianfu Cave, while flaking patterns</w:t>
      </w:r>
      <w:r>
        <w:rPr>
          <w:kern w:val="2"/>
        </w:rPr>
        <w:t xml:space="preserve"> </w:t>
      </w:r>
      <w:r>
        <w:rPr>
          <w:rFonts w:hint="eastAsia"/>
          <w:kern w:val="2"/>
        </w:rPr>
        <w:t>are dominated</w:t>
      </w:r>
      <w:r>
        <w:rPr>
          <w:kern w:val="2"/>
        </w:rPr>
        <w:t xml:space="preserve"> by expedient</w:t>
      </w:r>
      <w:r>
        <w:rPr>
          <w:rFonts w:hint="eastAsia"/>
          <w:kern w:val="2"/>
        </w:rPr>
        <w:t xml:space="preserve"> types,</w:t>
      </w:r>
      <w:r>
        <w:rPr>
          <w:kern w:val="2"/>
        </w:rPr>
        <w:t xml:space="preserve"> with limited evidence </w:t>
      </w:r>
      <w:r>
        <w:rPr>
          <w:rFonts w:hint="eastAsia"/>
          <w:kern w:val="2"/>
        </w:rPr>
        <w:t>of</w:t>
      </w:r>
      <w:r>
        <w:rPr>
          <w:kern w:val="2"/>
        </w:rPr>
        <w:t xml:space="preserve"> structured or formalized reduction </w:t>
      </w:r>
      <w:r>
        <w:rPr>
          <w:rFonts w:hint="eastAsia"/>
          <w:kern w:val="2"/>
        </w:rPr>
        <w:t>strategies</w:t>
      </w:r>
      <w:r>
        <w:rPr>
          <w:kern w:val="2"/>
        </w:rPr>
        <w:t>.</w:t>
      </w:r>
    </w:p>
    <w:p w14:paraId="133321CB">
      <w:pPr>
        <w:pStyle w:val="4"/>
      </w:pPr>
      <w:r>
        <w:t>Tools</w:t>
      </w:r>
      <w:r>
        <w:rPr>
          <w:rFonts w:hint="eastAsia"/>
        </w:rPr>
        <w:t xml:space="preserve"> production</w:t>
      </w:r>
    </w:p>
    <w:p w14:paraId="2BA41E52">
      <w:pPr>
        <w:pStyle w:val="22"/>
        <w:shd w:val="clear" w:color="auto" w:fill="FFFFFF"/>
        <w:ind w:firstLine="240" w:firstLineChars="100"/>
        <w:jc w:val="both"/>
        <w:rPr>
          <w:kern w:val="2"/>
        </w:rPr>
      </w:pPr>
      <w:r>
        <w:rPr>
          <w:kern w:val="2"/>
        </w:rPr>
        <w:t>The tool assemblage consists of retouched tools (n = 30) and hammerstones (n = 4). The retouched tools include scrapers (n = 12), denticulates (n = 6), notches (n = 5), choppers (n = 2), and informal tools (n = 5)</w:t>
      </w:r>
      <w:r>
        <w:rPr>
          <w:rFonts w:hint="eastAsia"/>
          <w:kern w:val="2"/>
          <w:lang w:val="en-US" w:eastAsia="zh-CN"/>
        </w:rPr>
        <w:t xml:space="preserve"> (</w:t>
      </w:r>
      <w:r>
        <w:rPr>
          <w:rFonts w:hint="eastAsia" w:cs="Times New Roman"/>
          <w:color w:val="0000FF"/>
          <w:kern w:val="2"/>
          <w:sz w:val="24"/>
          <w:szCs w:val="24"/>
          <w:lang w:val="en-US" w:eastAsia="zh-CN" w:bidi="ar-SA"/>
        </w:rPr>
        <w:t>Supplementary Fig</w:t>
      </w:r>
      <w:r>
        <w:rPr>
          <w:rFonts w:hint="eastAsia" w:ascii="Times New Roman" w:hAnsi="Times New Roman" w:eastAsia="宋体" w:cs="Times New Roman"/>
          <w:color w:val="0000FF"/>
          <w:kern w:val="2"/>
          <w:sz w:val="24"/>
          <w:szCs w:val="24"/>
          <w:lang w:val="en-US" w:eastAsia="zh-CN" w:bidi="ar-SA"/>
        </w:rPr>
        <w:t>s</w:t>
      </w:r>
      <w:r>
        <w:rPr>
          <w:rFonts w:hint="eastAsia" w:cs="Times New Roman"/>
          <w:color w:val="0000FF"/>
          <w:kern w:val="2"/>
          <w:sz w:val="24"/>
          <w:szCs w:val="24"/>
          <w:lang w:val="en-US" w:eastAsia="zh-CN" w:bidi="ar-SA"/>
        </w:rPr>
        <w:t>.</w:t>
      </w:r>
      <w:r>
        <w:rPr>
          <w:rFonts w:hint="eastAsia" w:ascii="Times New Roman" w:hAnsi="Times New Roman" w:eastAsia="宋体" w:cs="Times New Roman"/>
          <w:color w:val="0000FF"/>
          <w:kern w:val="2"/>
          <w:sz w:val="24"/>
          <w:szCs w:val="24"/>
          <w:lang w:val="en-US" w:eastAsia="zh-CN" w:bidi="ar-SA"/>
        </w:rPr>
        <w:t xml:space="preserve"> 2</w:t>
      </w:r>
      <w:r>
        <w:rPr>
          <w:rFonts w:hint="eastAsia" w:cs="Times New Roman"/>
          <w:color w:val="0000FF"/>
          <w:kern w:val="2"/>
          <w:sz w:val="24"/>
          <w:szCs w:val="24"/>
          <w:lang w:val="en-US" w:eastAsia="zh-CN" w:bidi="ar-SA"/>
        </w:rPr>
        <w:t>7</w:t>
      </w:r>
      <w:r>
        <w:rPr>
          <w:rFonts w:hint="eastAsia" w:ascii="Times New Roman" w:hAnsi="Times New Roman" w:eastAsia="宋体" w:cs="Times New Roman"/>
          <w:color w:val="0000FF"/>
          <w:kern w:val="2"/>
          <w:sz w:val="24"/>
          <w:szCs w:val="24"/>
          <w:lang w:val="en-US" w:eastAsia="zh-CN" w:bidi="ar-SA"/>
        </w:rPr>
        <w:t>, 3</w:t>
      </w:r>
      <w:r>
        <w:rPr>
          <w:rFonts w:hint="eastAsia" w:cs="Times New Roman"/>
          <w:color w:val="0000FF"/>
          <w:kern w:val="2"/>
          <w:sz w:val="24"/>
          <w:szCs w:val="24"/>
          <w:lang w:val="en-US" w:eastAsia="zh-CN" w:bidi="ar-SA"/>
        </w:rPr>
        <w:t>8</w:t>
      </w:r>
      <w:r>
        <w:rPr>
          <w:rFonts w:hint="eastAsia" w:ascii="Times New Roman" w:hAnsi="Times New Roman" w:eastAsia="宋体" w:cs="Times New Roman"/>
          <w:color w:val="0000FF"/>
          <w:kern w:val="2"/>
          <w:sz w:val="24"/>
          <w:szCs w:val="24"/>
          <w:lang w:val="en-US" w:eastAsia="zh-CN" w:bidi="ar-SA"/>
        </w:rPr>
        <w:t>, 3</w:t>
      </w:r>
      <w:r>
        <w:rPr>
          <w:rFonts w:hint="eastAsia" w:cs="Times New Roman"/>
          <w:color w:val="0000FF"/>
          <w:kern w:val="2"/>
          <w:sz w:val="24"/>
          <w:szCs w:val="24"/>
          <w:lang w:val="en-US" w:eastAsia="zh-CN" w:bidi="ar-SA"/>
        </w:rPr>
        <w:t>9</w:t>
      </w:r>
      <w:r>
        <w:rPr>
          <w:rFonts w:hint="eastAsia" w:ascii="Times New Roman" w:hAnsi="Times New Roman" w:eastAsia="宋体" w:cs="Times New Roman"/>
          <w:color w:val="0000FF"/>
          <w:kern w:val="2"/>
          <w:sz w:val="24"/>
          <w:szCs w:val="24"/>
          <w:lang w:val="en-US" w:eastAsia="zh-CN" w:bidi="ar-SA"/>
        </w:rPr>
        <w:t>; Supplementary Table 2</w:t>
      </w:r>
      <w:r>
        <w:rPr>
          <w:rFonts w:hint="eastAsia" w:cs="Times New Roman"/>
          <w:color w:val="0000FF"/>
          <w:kern w:val="2"/>
          <w:sz w:val="24"/>
          <w:szCs w:val="24"/>
          <w:lang w:val="en-US" w:eastAsia="zh-CN" w:bidi="ar-SA"/>
        </w:rPr>
        <w:t>3</w:t>
      </w:r>
      <w:r>
        <w:rPr>
          <w:rFonts w:hint="eastAsia"/>
          <w:kern w:val="2"/>
          <w:lang w:val="en-US" w:eastAsia="zh-CN"/>
        </w:rPr>
        <w:t>)</w:t>
      </w:r>
      <w:r>
        <w:rPr>
          <w:kern w:val="2"/>
        </w:rPr>
        <w:t xml:space="preserve">. Flakes serve as the primary blank </w:t>
      </w:r>
      <w:r>
        <w:rPr>
          <w:rFonts w:hint="eastAsia"/>
          <w:kern w:val="2"/>
        </w:rPr>
        <w:t xml:space="preserve">for </w:t>
      </w:r>
      <w:r>
        <w:rPr>
          <w:kern w:val="2"/>
        </w:rPr>
        <w:t xml:space="preserve">tool production (n = 26), </w:t>
      </w:r>
      <w:r>
        <w:rPr>
          <w:rFonts w:hint="eastAsia"/>
          <w:kern w:val="2"/>
        </w:rPr>
        <w:t xml:space="preserve">with </w:t>
      </w:r>
      <w:r>
        <w:rPr>
          <w:kern w:val="2"/>
        </w:rPr>
        <w:t>only two tools</w:t>
      </w:r>
      <w:r>
        <w:rPr>
          <w:rFonts w:hint="eastAsia"/>
          <w:kern w:val="2"/>
        </w:rPr>
        <w:t xml:space="preserve"> </w:t>
      </w:r>
      <w:r>
        <w:rPr>
          <w:kern w:val="2"/>
        </w:rPr>
        <w:t>made on chunks</w:t>
      </w:r>
      <w:r>
        <w:rPr>
          <w:rFonts w:hint="eastAsia"/>
          <w:kern w:val="2"/>
        </w:rPr>
        <w:t xml:space="preserve">. </w:t>
      </w:r>
      <w:r>
        <w:rPr>
          <w:kern w:val="2"/>
        </w:rPr>
        <w:t>Additionally</w:t>
      </w:r>
      <w:r>
        <w:rPr>
          <w:rFonts w:hint="eastAsia"/>
          <w:kern w:val="2"/>
        </w:rPr>
        <w:t xml:space="preserve">, </w:t>
      </w:r>
      <w:r>
        <w:rPr>
          <w:kern w:val="2"/>
        </w:rPr>
        <w:t xml:space="preserve">two choppers </w:t>
      </w:r>
      <w:r>
        <w:rPr>
          <w:rFonts w:hint="eastAsia"/>
          <w:kern w:val="2"/>
        </w:rPr>
        <w:t xml:space="preserve">were </w:t>
      </w:r>
      <w:r>
        <w:rPr>
          <w:kern w:val="2"/>
        </w:rPr>
        <w:t xml:space="preserve">directly </w:t>
      </w:r>
      <w:r>
        <w:rPr>
          <w:rFonts w:hint="eastAsia"/>
          <w:kern w:val="2"/>
        </w:rPr>
        <w:t>made on</w:t>
      </w:r>
      <w:r>
        <w:rPr>
          <w:kern w:val="2"/>
        </w:rPr>
        <w:t xml:space="preserve"> cobbles.</w:t>
      </w:r>
      <w:r>
        <w:rPr>
          <w:rFonts w:hint="eastAsia"/>
          <w:kern w:val="2"/>
        </w:rPr>
        <w:t xml:space="preserve"> </w:t>
      </w:r>
      <w:r>
        <w:rPr>
          <w:kern w:val="2"/>
        </w:rPr>
        <w:t>A comparison of </w:t>
      </w:r>
      <w:r>
        <w:rPr>
          <w:rFonts w:hint="eastAsia"/>
          <w:kern w:val="2"/>
        </w:rPr>
        <w:t xml:space="preserve">dimensions of </w:t>
      </w:r>
      <w:r>
        <w:rPr>
          <w:kern w:val="2"/>
        </w:rPr>
        <w:t>flake tool</w:t>
      </w:r>
      <w:r>
        <w:rPr>
          <w:rFonts w:hint="eastAsia"/>
          <w:kern w:val="2"/>
        </w:rPr>
        <w:t>s</w:t>
      </w:r>
      <w:r>
        <w:rPr>
          <w:kern w:val="2"/>
        </w:rPr>
        <w:t xml:space="preserve"> (mean length</w:t>
      </w:r>
      <w:r>
        <w:rPr>
          <w:rFonts w:hint="eastAsia"/>
          <w:kern w:val="2"/>
        </w:rPr>
        <w:t xml:space="preserve">, </w:t>
      </w:r>
      <w:r>
        <w:rPr>
          <w:kern w:val="2"/>
        </w:rPr>
        <w:t>width</w:t>
      </w:r>
      <w:r>
        <w:rPr>
          <w:rFonts w:hint="eastAsia"/>
          <w:kern w:val="2"/>
        </w:rPr>
        <w:t>,</w:t>
      </w:r>
      <w:r>
        <w:rPr>
          <w:kern w:val="2"/>
        </w:rPr>
        <w:t xml:space="preserve"> thickness </w:t>
      </w:r>
      <w:r>
        <w:rPr>
          <w:rFonts w:hint="eastAsia"/>
          <w:kern w:val="2"/>
        </w:rPr>
        <w:t>of</w:t>
      </w:r>
      <w:r>
        <w:rPr>
          <w:kern w:val="2"/>
        </w:rPr>
        <w:t xml:space="preserve"> 68.8 × 52.4 × 23.2 mm) with unmodified flakes reveals no significant size difference (pseudo-F = 0.179, R² = 0.001, df = 159, P = 0.834), indicating minimal blank reduction and limited tool modification</w:t>
      </w:r>
      <w:r>
        <w:rPr>
          <w:rFonts w:hint="eastAsia"/>
          <w:kern w:val="2"/>
        </w:rPr>
        <w:t>,</w:t>
      </w:r>
      <w:r>
        <w:t xml:space="preserve"> </w:t>
      </w:r>
      <w:r>
        <w:rPr>
          <w:kern w:val="2"/>
        </w:rPr>
        <w:t>besides no specific blank selection for tools.</w:t>
      </w:r>
    </w:p>
    <w:p w14:paraId="522C04C2">
      <w:pPr>
        <w:pStyle w:val="22"/>
        <w:shd w:val="clear" w:color="auto" w:fill="FFFFFF"/>
        <w:ind w:firstLine="240" w:firstLineChars="100"/>
        <w:jc w:val="both"/>
        <w:rPr>
          <w:kern w:val="2"/>
        </w:rPr>
      </w:pPr>
      <w:r>
        <w:rPr>
          <w:rFonts w:hint="eastAsia"/>
          <w:kern w:val="2"/>
        </w:rPr>
        <w:t>The r</w:t>
      </w:r>
      <w:r>
        <w:rPr>
          <w:kern w:val="2"/>
        </w:rPr>
        <w:t>etouch</w:t>
      </w:r>
      <w:r>
        <w:rPr>
          <w:rFonts w:hint="eastAsia"/>
          <w:kern w:val="2"/>
        </w:rPr>
        <w:t>ing</w:t>
      </w:r>
      <w:r>
        <w:rPr>
          <w:kern w:val="2"/>
        </w:rPr>
        <w:t xml:space="preserve"> patterns on flake tools are </w:t>
      </w:r>
      <w:r>
        <w:rPr>
          <w:rFonts w:hint="eastAsia"/>
          <w:kern w:val="2"/>
        </w:rPr>
        <w:t>dominated by</w:t>
      </w:r>
      <w:r>
        <w:rPr>
          <w:kern w:val="2"/>
        </w:rPr>
        <w:t> </w:t>
      </w:r>
      <w:r>
        <w:rPr>
          <w:rFonts w:hint="eastAsia"/>
          <w:kern w:val="2"/>
        </w:rPr>
        <w:t>i</w:t>
      </w:r>
      <w:r>
        <w:rPr>
          <w:kern w:val="2"/>
        </w:rPr>
        <w:t>nverse (n = 13) and direct (n = 12)</w:t>
      </w:r>
      <w:r>
        <w:rPr>
          <w:rFonts w:hint="eastAsia"/>
          <w:kern w:val="2"/>
        </w:rPr>
        <w:t xml:space="preserve"> types</w:t>
      </w:r>
      <w:r>
        <w:rPr>
          <w:kern w:val="2"/>
        </w:rPr>
        <w:t xml:space="preserve">, </w:t>
      </w:r>
      <w:r>
        <w:rPr>
          <w:rFonts w:hint="eastAsia"/>
          <w:kern w:val="2"/>
        </w:rPr>
        <w:t>with only one</w:t>
      </w:r>
      <w:r>
        <w:rPr>
          <w:kern w:val="2"/>
        </w:rPr>
        <w:t xml:space="preserve"> </w:t>
      </w:r>
      <w:r>
        <w:rPr>
          <w:rFonts w:hint="eastAsia"/>
          <w:kern w:val="2"/>
        </w:rPr>
        <w:t>specimen</w:t>
      </w:r>
      <w:r>
        <w:rPr>
          <w:kern w:val="2"/>
        </w:rPr>
        <w:t xml:space="preserve"> </w:t>
      </w:r>
      <w:r>
        <w:rPr>
          <w:rFonts w:hint="eastAsia"/>
          <w:kern w:val="2"/>
        </w:rPr>
        <w:t>shows</w:t>
      </w:r>
      <w:r>
        <w:rPr>
          <w:kern w:val="2"/>
        </w:rPr>
        <w:t> bifacial </w:t>
      </w:r>
      <w:r>
        <w:rPr>
          <w:rFonts w:hint="eastAsia"/>
          <w:kern w:val="2"/>
        </w:rPr>
        <w:t>retouching</w:t>
      </w:r>
      <w:r>
        <w:rPr>
          <w:kern w:val="2"/>
        </w:rPr>
        <w:t xml:space="preserve">. </w:t>
      </w:r>
      <w:r>
        <w:rPr>
          <w:rFonts w:hint="eastAsia"/>
          <w:kern w:val="2"/>
        </w:rPr>
        <w:t>Retouching</w:t>
      </w:r>
      <w:r>
        <w:t xml:space="preserve"> </w:t>
      </w:r>
      <w:r>
        <w:rPr>
          <w:kern w:val="2"/>
        </w:rPr>
        <w:t>is primarily</w:t>
      </w:r>
      <w:r>
        <w:rPr>
          <w:rFonts w:hint="eastAsia"/>
          <w:kern w:val="2"/>
        </w:rPr>
        <w:t xml:space="preserve"> distributed on</w:t>
      </w:r>
      <w:r>
        <w:rPr>
          <w:kern w:val="2"/>
        </w:rPr>
        <w:t xml:space="preserve"> the lateral </w:t>
      </w:r>
      <w:r>
        <w:rPr>
          <w:rFonts w:hint="eastAsia"/>
          <w:kern w:val="2"/>
        </w:rPr>
        <w:t>edges</w:t>
      </w:r>
      <w:r>
        <w:rPr>
          <w:kern w:val="2"/>
        </w:rPr>
        <w:t> (n = 19), with fewer instances on the distal end (n = 6) and proximal end (n = 1). All retouched tools</w:t>
      </w:r>
      <w:r>
        <w:t xml:space="preserve"> </w:t>
      </w:r>
      <w:r>
        <w:rPr>
          <w:kern w:val="2"/>
        </w:rPr>
        <w:t xml:space="preserve">exhibit an average </w:t>
      </w:r>
      <w:r>
        <w:rPr>
          <w:rFonts w:hint="eastAsia"/>
          <w:kern w:val="2"/>
        </w:rPr>
        <w:t>scar</w:t>
      </w:r>
      <w:r>
        <w:t xml:space="preserve"> </w:t>
      </w:r>
      <w:r>
        <w:rPr>
          <w:kern w:val="2"/>
        </w:rPr>
        <w:t>count</w:t>
      </w:r>
      <w:r>
        <w:rPr>
          <w:rFonts w:hint="eastAsia"/>
          <w:kern w:val="2"/>
        </w:rPr>
        <w:t xml:space="preserve"> </w:t>
      </w:r>
      <w:r>
        <w:rPr>
          <w:kern w:val="2"/>
        </w:rPr>
        <w:t>of 1.39 (σ = 0.62), and the Geometric Index of Unifacial Retouch (GIUR) averages 0.39 (σ = 0.23), suggesting low retouch intensity and minimal tool maintenance or prolonged use</w:t>
      </w:r>
      <w:r>
        <w:rPr>
          <w:rFonts w:hint="eastAsia"/>
          <w:kern w:val="2"/>
        </w:rPr>
        <w:t>-life</w:t>
      </w:r>
      <w:r>
        <w:rPr>
          <w:kern w:val="2"/>
        </w:rPr>
        <w:t>.</w:t>
      </w:r>
    </w:p>
    <w:p w14:paraId="7DBF5F90">
      <w:pPr>
        <w:pStyle w:val="22"/>
        <w:shd w:val="clear" w:color="auto" w:fill="FFFFFF"/>
        <w:ind w:firstLine="240" w:firstLineChars="100"/>
        <w:jc w:val="both"/>
      </w:pPr>
      <w:r>
        <w:rPr>
          <w:rFonts w:hint="eastAsia"/>
          <w:kern w:val="2"/>
        </w:rPr>
        <w:t>Four h</w:t>
      </w:r>
      <w:r>
        <w:rPr>
          <w:kern w:val="2"/>
        </w:rPr>
        <w:t xml:space="preserve">ammerstones are </w:t>
      </w:r>
      <w:r>
        <w:rPr>
          <w:rFonts w:hint="eastAsia"/>
          <w:kern w:val="2"/>
        </w:rPr>
        <w:t>all adopted</w:t>
      </w:r>
      <w:r>
        <w:rPr>
          <w:kern w:val="2"/>
        </w:rPr>
        <w:t xml:space="preserve"> from </w:t>
      </w:r>
      <w:r>
        <w:rPr>
          <w:rFonts w:hint="eastAsia"/>
          <w:kern w:val="2"/>
        </w:rPr>
        <w:t>o</w:t>
      </w:r>
      <w:r>
        <w:rPr>
          <w:kern w:val="2"/>
        </w:rPr>
        <w:t>val cobbles, with concentrated percussion marks</w:t>
      </w:r>
      <w:r>
        <w:rPr>
          <w:rFonts w:hint="eastAsia"/>
          <w:kern w:val="2"/>
        </w:rPr>
        <w:t xml:space="preserve"> located</w:t>
      </w:r>
      <w:r>
        <w:rPr>
          <w:kern w:val="2"/>
        </w:rPr>
        <w:t xml:space="preserve"> at one end along the long axis</w:t>
      </w:r>
      <w:r>
        <w:rPr>
          <w:rFonts w:hint="eastAsia"/>
          <w:kern w:val="2"/>
        </w:rPr>
        <w:t xml:space="preserve"> of cobbles</w:t>
      </w:r>
      <w:r>
        <w:rPr>
          <w:kern w:val="2"/>
        </w:rPr>
        <w:t>. The</w:t>
      </w:r>
      <w:r>
        <w:rPr>
          <w:rFonts w:hint="eastAsia"/>
          <w:kern w:val="2"/>
        </w:rPr>
        <w:t xml:space="preserve"> mean length, width and thickness are </w:t>
      </w:r>
      <w:r>
        <w:rPr>
          <w:kern w:val="2"/>
        </w:rPr>
        <w:t>84.5 × 71.8 × 47.3 mm</w:t>
      </w:r>
      <w:r>
        <w:rPr>
          <w:rFonts w:hint="eastAsia"/>
          <w:kern w:val="2"/>
        </w:rPr>
        <w:t xml:space="preserve">, </w:t>
      </w:r>
      <w:r>
        <w:rPr>
          <w:kern w:val="2"/>
        </w:rPr>
        <w:t xml:space="preserve">and </w:t>
      </w:r>
      <w:r>
        <w:rPr>
          <w:rFonts w:hint="eastAsia"/>
          <w:kern w:val="2"/>
        </w:rPr>
        <w:t xml:space="preserve">the average </w:t>
      </w:r>
      <w:r>
        <w:rPr>
          <w:kern w:val="2"/>
        </w:rPr>
        <w:t>weigh</w:t>
      </w:r>
      <w:r>
        <w:rPr>
          <w:rFonts w:hint="eastAsia"/>
          <w:kern w:val="2"/>
        </w:rPr>
        <w:t>t is</w:t>
      </w:r>
      <w:r>
        <w:rPr>
          <w:kern w:val="2"/>
        </w:rPr>
        <w:t xml:space="preserve"> </w:t>
      </w:r>
      <w:r>
        <w:rPr>
          <w:rFonts w:hint="eastAsia"/>
        </w:rPr>
        <w:t xml:space="preserve">391.1 </w:t>
      </w:r>
      <w:r>
        <w:rPr>
          <w:kern w:val="2"/>
        </w:rPr>
        <w:t>g.</w:t>
      </w:r>
    </w:p>
    <w:p w14:paraId="31C21664">
      <w:pPr>
        <w:pStyle w:val="4"/>
      </w:pPr>
      <w:r>
        <w:rPr>
          <w:rFonts w:hint="eastAsia"/>
        </w:rPr>
        <w:t>Technological behavio</w:t>
      </w:r>
      <w:r>
        <w:rPr>
          <w:rFonts w:hint="eastAsia"/>
          <w:lang w:val="en-US" w:eastAsia="zh-CN"/>
        </w:rPr>
        <w:t>u</w:t>
      </w:r>
      <w:r>
        <w:rPr>
          <w:rFonts w:hint="eastAsia"/>
        </w:rPr>
        <w:t>r</w:t>
      </w:r>
      <w:r>
        <w:t xml:space="preserve"> </w:t>
      </w:r>
      <w:r>
        <w:rPr>
          <w:rFonts w:hint="eastAsia"/>
        </w:rPr>
        <w:t>at Bianfu Cave</w:t>
      </w:r>
    </w:p>
    <w:p w14:paraId="704DABC8">
      <w:pPr>
        <w:pStyle w:val="22"/>
        <w:shd w:val="clear" w:color="auto" w:fill="FFFFFF"/>
        <w:ind w:firstLine="240" w:firstLineChars="100"/>
        <w:jc w:val="both"/>
        <w:rPr>
          <w:rFonts w:hint="eastAsia"/>
          <w:kern w:val="2"/>
          <w:lang w:val="en-US" w:eastAsia="zh-CN"/>
        </w:rPr>
      </w:pPr>
      <w:r>
        <w:rPr>
          <w:kern w:val="2"/>
        </w:rPr>
        <w:t xml:space="preserve">The entrance area of </w:t>
      </w:r>
      <w:r>
        <w:rPr>
          <w:rFonts w:hint="eastAsia"/>
          <w:kern w:val="2"/>
        </w:rPr>
        <w:t>Bianfu</w:t>
      </w:r>
      <w:r>
        <w:rPr>
          <w:kern w:val="2"/>
        </w:rPr>
        <w:t xml:space="preserve"> </w:t>
      </w:r>
      <w:r>
        <w:rPr>
          <w:rFonts w:hint="eastAsia"/>
          <w:kern w:val="2"/>
        </w:rPr>
        <w:t>C</w:t>
      </w:r>
      <w:r>
        <w:rPr>
          <w:kern w:val="2"/>
        </w:rPr>
        <w:t xml:space="preserve">ave has been extensively </w:t>
      </w:r>
      <w:r>
        <w:rPr>
          <w:rFonts w:hint="eastAsia"/>
          <w:kern w:val="2"/>
          <w:lang w:val="en-US" w:eastAsia="zh-CN"/>
        </w:rPr>
        <w:t>destroyed by quarrying</w:t>
      </w:r>
      <w:r>
        <w:rPr>
          <w:kern w:val="2"/>
        </w:rPr>
        <w:t xml:space="preserve">, and the </w:t>
      </w:r>
      <w:r>
        <w:rPr>
          <w:rFonts w:hint="eastAsia"/>
          <w:kern w:val="2"/>
          <w:lang w:val="en-US" w:eastAsia="zh-CN"/>
        </w:rPr>
        <w:t>salvage</w:t>
      </w:r>
      <w:r>
        <w:rPr>
          <w:kern w:val="2"/>
        </w:rPr>
        <w:t xml:space="preserve"> excavation </w:t>
      </w:r>
      <w:r>
        <w:rPr>
          <w:rFonts w:hint="eastAsia"/>
          <w:kern w:val="2"/>
          <w:lang w:val="en-US" w:eastAsia="zh-CN"/>
        </w:rPr>
        <w:t>was</w:t>
      </w:r>
      <w:r>
        <w:rPr>
          <w:kern w:val="2"/>
        </w:rPr>
        <w:t xml:space="preserve"> therefore restricted to a</w:t>
      </w:r>
      <w:r>
        <w:rPr>
          <w:rFonts w:hint="eastAsia"/>
          <w:kern w:val="2"/>
        </w:rPr>
        <w:t xml:space="preserve"> relatively </w:t>
      </w:r>
      <w:r>
        <w:rPr>
          <w:kern w:val="2"/>
        </w:rPr>
        <w:t xml:space="preserve">narrow interior passage that likely does not correspond to the core activity </w:t>
      </w:r>
      <w:r>
        <w:rPr>
          <w:rFonts w:hint="eastAsia"/>
          <w:kern w:val="2"/>
        </w:rPr>
        <w:t>area</w:t>
      </w:r>
      <w:r>
        <w:rPr>
          <w:kern w:val="2"/>
        </w:rPr>
        <w:t xml:space="preserve"> of past ancient hominin occupation. Within this spatial and taphonomic context, </w:t>
      </w:r>
      <w:r>
        <w:rPr>
          <w:rFonts w:hint="eastAsia"/>
          <w:kern w:val="2"/>
        </w:rPr>
        <w:t xml:space="preserve">the </w:t>
      </w:r>
      <w:r>
        <w:rPr>
          <w:kern w:val="2"/>
        </w:rPr>
        <w:t>lithic assemblage exhibits</w:t>
      </w:r>
      <w:r>
        <w:rPr>
          <w:rFonts w:hint="eastAsia"/>
          <w:kern w:val="2"/>
        </w:rPr>
        <w:t xml:space="preserve"> </w:t>
      </w:r>
      <w:r>
        <w:rPr>
          <w:kern w:val="2"/>
        </w:rPr>
        <w:t>several consistent technological features:</w:t>
      </w:r>
      <w:r>
        <w:rPr>
          <w:rFonts w:hint="eastAsia"/>
          <w:kern w:val="2"/>
        </w:rPr>
        <w:t xml:space="preserve"> 1) l</w:t>
      </w:r>
      <w:r>
        <w:rPr>
          <w:kern w:val="2"/>
        </w:rPr>
        <w:t xml:space="preserve">ithic production relied </w:t>
      </w:r>
      <w:r>
        <w:rPr>
          <w:rFonts w:hint="eastAsia"/>
          <w:kern w:val="2"/>
        </w:rPr>
        <w:t xml:space="preserve">predominantly </w:t>
      </w:r>
      <w:r>
        <w:rPr>
          <w:kern w:val="2"/>
        </w:rPr>
        <w:t xml:space="preserve">on locally available river cobbles, procured within a short </w:t>
      </w:r>
      <w:r>
        <w:rPr>
          <w:rFonts w:hint="eastAsia"/>
          <w:kern w:val="2"/>
          <w:lang w:val="en-US" w:eastAsia="zh-CN"/>
        </w:rPr>
        <w:t>distance</w:t>
      </w:r>
      <w:r>
        <w:rPr>
          <w:kern w:val="2"/>
        </w:rPr>
        <w:t xml:space="preserve"> of </w:t>
      </w:r>
      <w:r>
        <w:rPr>
          <w:rFonts w:hint="eastAsia"/>
          <w:kern w:val="2"/>
        </w:rPr>
        <w:t xml:space="preserve">approximately </w:t>
      </w:r>
      <w:r>
        <w:rPr>
          <w:kern w:val="2"/>
        </w:rPr>
        <w:t>2 km</w:t>
      </w:r>
      <w:r>
        <w:rPr>
          <w:rFonts w:hint="eastAsia"/>
          <w:kern w:val="2"/>
        </w:rPr>
        <w:t xml:space="preserve">; 2) </w:t>
      </w:r>
      <w:r>
        <w:rPr>
          <w:kern w:val="2"/>
        </w:rPr>
        <w:t>lithic reduction was largely expedient, with little evidence for systematic</w:t>
      </w:r>
      <w:r>
        <w:rPr>
          <w:rFonts w:hint="eastAsia"/>
          <w:kern w:val="2"/>
        </w:rPr>
        <w:t xml:space="preserve"> </w:t>
      </w:r>
      <w:r>
        <w:rPr>
          <w:kern w:val="2"/>
        </w:rPr>
        <w:t>core preparation; although discoidal cores are present, they are rare and do not constitute a dominant technological strategy</w:t>
      </w:r>
      <w:r>
        <w:rPr>
          <w:rFonts w:hint="eastAsia"/>
          <w:kern w:val="2"/>
        </w:rPr>
        <w:t>; 3) r</w:t>
      </w:r>
      <w:r>
        <w:rPr>
          <w:kern w:val="2"/>
        </w:rPr>
        <w:t xml:space="preserve">etouched tools are </w:t>
      </w:r>
      <w:r>
        <w:rPr>
          <w:rFonts w:hint="eastAsia"/>
          <w:kern w:val="2"/>
          <w:lang w:val="en-US" w:eastAsia="zh-CN"/>
        </w:rPr>
        <w:t xml:space="preserve">found </w:t>
      </w:r>
      <w:r>
        <w:rPr>
          <w:rFonts w:hint="eastAsia"/>
          <w:kern w:val="2"/>
        </w:rPr>
        <w:t>in small number</w:t>
      </w:r>
      <w:r>
        <w:rPr>
          <w:rFonts w:hint="eastAsia"/>
          <w:kern w:val="2"/>
          <w:lang w:val="en-US" w:eastAsia="zh-CN"/>
        </w:rPr>
        <w:t>s</w:t>
      </w:r>
      <w:r>
        <w:rPr>
          <w:kern w:val="2"/>
        </w:rPr>
        <w:t xml:space="preserve"> and</w:t>
      </w:r>
      <w:r>
        <w:rPr>
          <w:rFonts w:hint="eastAsia"/>
          <w:kern w:val="2"/>
        </w:rPr>
        <w:t xml:space="preserve"> </w:t>
      </w:r>
      <w:r>
        <w:rPr>
          <w:kern w:val="2"/>
        </w:rPr>
        <w:t>minimally modified, indicating limited investment in tool shaping and maintenance.</w:t>
      </w:r>
      <w:r>
        <w:rPr>
          <w:rFonts w:hint="eastAsia"/>
          <w:kern w:val="2"/>
        </w:rPr>
        <w:t xml:space="preserve"> </w:t>
      </w:r>
      <w:r>
        <w:t>Taken together</w:t>
      </w:r>
      <w:r>
        <w:rPr>
          <w:rFonts w:hint="eastAsia"/>
          <w:kern w:val="2"/>
        </w:rPr>
        <w:t>, t</w:t>
      </w:r>
      <w:r>
        <w:rPr>
          <w:kern w:val="2"/>
        </w:rPr>
        <w:t xml:space="preserve">hese </w:t>
      </w:r>
      <w:r>
        <w:rPr>
          <w:rFonts w:hint="eastAsia"/>
          <w:kern w:val="2"/>
        </w:rPr>
        <w:t>observations</w:t>
      </w:r>
      <w:r>
        <w:rPr>
          <w:kern w:val="2"/>
        </w:rPr>
        <w:t xml:space="preserve"> suggest an expedient technological strategy</w:t>
      </w:r>
      <w:r>
        <w:rPr>
          <w:rFonts w:hint="eastAsia"/>
          <w:kern w:val="2"/>
        </w:rPr>
        <w:t xml:space="preserve"> at the site</w:t>
      </w:r>
      <w:r>
        <w:rPr>
          <w:kern w:val="2"/>
        </w:rPr>
        <w:t>.</w:t>
      </w:r>
      <w:r>
        <w:rPr>
          <w:rFonts w:hint="eastAsia"/>
          <w:kern w:val="2"/>
        </w:rPr>
        <w:t xml:space="preserve"> </w:t>
      </w:r>
      <w:r>
        <w:rPr>
          <w:kern w:val="2"/>
        </w:rPr>
        <w:t xml:space="preserve">It is also worth noting that the limited excavated area inevitably restricts our ability to interpret the Bianfu Cave assemblage as a complete toolkit. Instead, the available lithic record reflects a narrower set of activities, including expedient core reduction and the manufacture of </w:t>
      </w:r>
      <w:r>
        <w:rPr>
          <w:rFonts w:hint="eastAsia"/>
          <w:kern w:val="2"/>
          <w:lang w:val="en-US" w:eastAsia="zh-CN"/>
        </w:rPr>
        <w:t>expedient</w:t>
      </w:r>
      <w:r>
        <w:rPr>
          <w:kern w:val="2"/>
        </w:rPr>
        <w:t xml:space="preserve"> tools for immediate use (e.g., butchery).</w:t>
      </w:r>
    </w:p>
    <w:p w14:paraId="2A6FD255">
      <w:pPr>
        <w:pStyle w:val="22"/>
        <w:shd w:val="clear" w:color="auto" w:fill="FFFFFF"/>
        <w:ind w:firstLine="240" w:firstLineChars="100"/>
        <w:jc w:val="both"/>
        <w:rPr>
          <w:kern w:val="2"/>
        </w:rPr>
      </w:pPr>
      <w:r>
        <w:rPr>
          <w:kern w:val="2"/>
        </w:rPr>
        <w:t>B</w:t>
      </w:r>
      <w:r>
        <w:rPr>
          <w:rFonts w:hint="eastAsia"/>
          <w:kern w:val="2"/>
        </w:rPr>
        <w:t>ianfu</w:t>
      </w:r>
      <w:r>
        <w:rPr>
          <w:kern w:val="2"/>
        </w:rPr>
        <w:t xml:space="preserve"> Cave</w:t>
      </w:r>
      <w:r>
        <w:rPr>
          <w:rFonts w:hint="eastAsia"/>
          <w:kern w:val="2"/>
        </w:rPr>
        <w:t xml:space="preserve">, together with </w:t>
      </w:r>
      <w:r>
        <w:rPr>
          <w:kern w:val="2"/>
        </w:rPr>
        <w:t>Baishiya Karst Cave</w:t>
      </w:r>
      <w:r>
        <w:rPr>
          <w:rFonts w:hint="eastAsia"/>
          <w:kern w:val="2"/>
        </w:rPr>
        <w:t>,</w:t>
      </w:r>
      <w:r>
        <w:rPr>
          <w:kern w:val="2"/>
        </w:rPr>
        <w:t xml:space="preserve"> currently represents the </w:t>
      </w:r>
      <w:r>
        <w:rPr>
          <w:rFonts w:hint="eastAsia"/>
          <w:kern w:val="2"/>
        </w:rPr>
        <w:t>only two</w:t>
      </w:r>
      <w:r>
        <w:rPr>
          <w:kern w:val="2"/>
        </w:rPr>
        <w:t xml:space="preserve"> site</w:t>
      </w:r>
      <w:r>
        <w:rPr>
          <w:rFonts w:hint="eastAsia"/>
          <w:kern w:val="2"/>
        </w:rPr>
        <w:t>s</w:t>
      </w:r>
      <w:r>
        <w:rPr>
          <w:kern w:val="2"/>
        </w:rPr>
        <w:t xml:space="preserve"> in </w:t>
      </w:r>
      <w:r>
        <w:rPr>
          <w:rFonts w:hint="eastAsia"/>
          <w:kern w:val="2"/>
        </w:rPr>
        <w:t>China</w:t>
      </w:r>
      <w:r>
        <w:rPr>
          <w:kern w:val="2"/>
        </w:rPr>
        <w:t xml:space="preserve"> where Denisovan fossils are securely associated with </w:t>
      </w:r>
      <w:r>
        <w:rPr>
          <w:rFonts w:hint="eastAsia"/>
          <w:kern w:val="2"/>
        </w:rPr>
        <w:t>cultural remains</w:t>
      </w:r>
      <w:r>
        <w:rPr>
          <w:kern w:val="2"/>
        </w:rPr>
        <w:t xml:space="preserve">. </w:t>
      </w:r>
      <w:r>
        <w:rPr>
          <w:rFonts w:hint="eastAsia"/>
          <w:kern w:val="2"/>
        </w:rPr>
        <w:t xml:space="preserve">Lithic assemblages from </w:t>
      </w:r>
      <w:r>
        <w:rPr>
          <w:kern w:val="2"/>
        </w:rPr>
        <w:t>Baishiya Karst Cave</w:t>
      </w:r>
      <w:r>
        <w:rPr>
          <w:rFonts w:hint="eastAsia"/>
          <w:kern w:val="2"/>
        </w:rPr>
        <w:t xml:space="preserve"> were only preliminarily reported, </w:t>
      </w:r>
      <w:r>
        <w:rPr>
          <w:rFonts w:hint="eastAsia"/>
          <w:kern w:val="2"/>
          <w:lang w:val="en-US" w:eastAsia="zh-CN"/>
        </w:rPr>
        <w:t xml:space="preserve">but </w:t>
      </w:r>
      <w:r>
        <w:rPr>
          <w:kern w:val="2"/>
        </w:rPr>
        <w:t>lithic</w:t>
      </w:r>
      <w:r>
        <w:rPr>
          <w:rFonts w:hint="eastAsia"/>
          <w:kern w:val="2"/>
        </w:rPr>
        <w:t>s at th</w:t>
      </w:r>
      <w:r>
        <w:rPr>
          <w:rFonts w:hint="eastAsia"/>
          <w:kern w:val="2"/>
          <w:lang w:val="en-US" w:eastAsia="zh-CN"/>
        </w:rPr>
        <w:t>is</w:t>
      </w:r>
      <w:r>
        <w:rPr>
          <w:rFonts w:hint="eastAsia"/>
          <w:kern w:val="2"/>
        </w:rPr>
        <w:t xml:space="preserve"> site</w:t>
      </w:r>
      <w:r>
        <w:rPr>
          <w:kern w:val="2"/>
        </w:rPr>
        <w:t xml:space="preserve"> </w:t>
      </w:r>
      <w:r>
        <w:rPr>
          <w:rFonts w:hint="eastAsia"/>
          <w:kern w:val="2"/>
        </w:rPr>
        <w:t>are</w:t>
      </w:r>
      <w:r>
        <w:rPr>
          <w:kern w:val="2"/>
        </w:rPr>
        <w:t xml:space="preserve"> dominated by expedient flaking and tool-production strategies. The evidence from B</w:t>
      </w:r>
      <w:r>
        <w:rPr>
          <w:rFonts w:hint="eastAsia"/>
          <w:kern w:val="2"/>
        </w:rPr>
        <w:t>ianfu</w:t>
      </w:r>
      <w:r>
        <w:rPr>
          <w:kern w:val="2"/>
        </w:rPr>
        <w:t xml:space="preserve"> Cave </w:t>
      </w:r>
      <w:r>
        <w:rPr>
          <w:rFonts w:hint="eastAsia"/>
          <w:kern w:val="2"/>
        </w:rPr>
        <w:t>refine</w:t>
      </w:r>
      <w:r>
        <w:rPr>
          <w:kern w:val="2"/>
        </w:rPr>
        <w:t xml:space="preserve">s our understanding of this technological pattern </w:t>
      </w:r>
      <w:r>
        <w:rPr>
          <w:rFonts w:hint="eastAsia"/>
          <w:kern w:val="2"/>
          <w:lang w:val="en-US" w:eastAsia="zh-CN"/>
        </w:rPr>
        <w:t xml:space="preserve">among Denisovan populations. It highlights </w:t>
      </w:r>
      <w:r>
        <w:rPr>
          <w:kern w:val="2"/>
        </w:rPr>
        <w:t xml:space="preserve">the persistence of expedient lithic strategies in </w:t>
      </w:r>
      <w:r>
        <w:rPr>
          <w:rFonts w:hint="eastAsia"/>
          <w:kern w:val="2"/>
        </w:rPr>
        <w:t xml:space="preserve">some of the </w:t>
      </w:r>
      <w:r>
        <w:rPr>
          <w:kern w:val="2"/>
        </w:rPr>
        <w:t>East Asia</w:t>
      </w:r>
      <w:r>
        <w:rPr>
          <w:rFonts w:hint="eastAsia"/>
          <w:kern w:val="2"/>
        </w:rPr>
        <w:t xml:space="preserve">n </w:t>
      </w:r>
      <w:r>
        <w:rPr>
          <w:rFonts w:hint="eastAsia"/>
          <w:kern w:val="2"/>
          <w:lang w:val="en-US" w:eastAsia="zh-CN"/>
        </w:rPr>
        <w:t xml:space="preserve">Middle Palaeolithic </w:t>
      </w:r>
      <w:r>
        <w:rPr>
          <w:rFonts w:hint="eastAsia"/>
          <w:kern w:val="2"/>
        </w:rPr>
        <w:t>sites</w:t>
      </w:r>
      <w:r>
        <w:rPr>
          <w:kern w:val="2"/>
        </w:rPr>
        <w:t xml:space="preserve"> since the late Middle Pleistocene.</w:t>
      </w:r>
      <w:r>
        <w:rPr>
          <w:rFonts w:hint="eastAsia"/>
          <w:kern w:val="2"/>
        </w:rPr>
        <w:t xml:space="preserve"> </w:t>
      </w:r>
    </w:p>
    <w:p w14:paraId="51AA1E49">
      <w:pPr>
        <w:pStyle w:val="22"/>
        <w:shd w:val="clear" w:color="auto" w:fill="FFFFFF"/>
        <w:ind w:firstLine="240" w:firstLineChars="100"/>
        <w:jc w:val="both"/>
        <w:rPr>
          <w:rFonts w:hint="default" w:eastAsia="宋体"/>
          <w:kern w:val="2"/>
          <w:lang w:val="en-US" w:eastAsia="zh-CN"/>
        </w:rPr>
      </w:pPr>
      <w:r>
        <w:rPr>
          <w:kern w:val="2"/>
        </w:rPr>
        <w:t>Beyond such expedient technologies, Middle Pal</w:t>
      </w:r>
      <w:r>
        <w:rPr>
          <w:rFonts w:hint="eastAsia"/>
          <w:kern w:val="2"/>
        </w:rPr>
        <w:t>a</w:t>
      </w:r>
      <w:r>
        <w:rPr>
          <w:kern w:val="2"/>
        </w:rPr>
        <w:t>eolithic assemblages with more structured reduction strategies</w:t>
      </w:r>
      <w:r>
        <w:rPr>
          <w:rFonts w:hint="eastAsia"/>
          <w:kern w:val="2"/>
        </w:rPr>
        <w:t xml:space="preserve"> </w:t>
      </w:r>
      <w:r>
        <w:rPr>
          <w:rFonts w:hint="eastAsia"/>
          <w:kern w:val="2"/>
          <w:lang w:val="en-US" w:eastAsia="zh-CN"/>
        </w:rPr>
        <w:t>were</w:t>
      </w:r>
      <w:r>
        <w:rPr>
          <w:rFonts w:hint="eastAsia"/>
          <w:kern w:val="2"/>
        </w:rPr>
        <w:t xml:space="preserve"> also </w:t>
      </w:r>
      <w:r>
        <w:rPr>
          <w:kern w:val="2"/>
        </w:rPr>
        <w:t>documented in the region</w:t>
      </w:r>
      <w:r>
        <w:rPr>
          <w:rFonts w:hint="eastAsia"/>
          <w:kern w:val="2"/>
        </w:rPr>
        <w:t xml:space="preserve"> in recent years,</w:t>
      </w:r>
      <w:r>
        <w:rPr>
          <w:kern w:val="2"/>
        </w:rPr>
        <w:t xml:space="preserve"> including</w:t>
      </w:r>
      <w:r>
        <w:rPr>
          <w:rFonts w:hint="eastAsia"/>
          <w:kern w:val="2"/>
        </w:rPr>
        <w:t xml:space="preserve"> d</w:t>
      </w:r>
      <w:r>
        <w:rPr>
          <w:kern w:val="2"/>
        </w:rPr>
        <w:t>iscoidal technology at Lingjing</w:t>
      </w:r>
      <w:r>
        <w:rPr>
          <w:rFonts w:hint="eastAsia"/>
          <w:kern w:val="2"/>
          <w:vertAlign w:val="superscript"/>
          <w:lang w:val="en-US" w:eastAsia="zh-CN"/>
        </w:rPr>
        <w:t>47</w:t>
      </w:r>
      <w:r>
        <w:rPr>
          <w:kern w:val="2"/>
        </w:rPr>
        <w:t>,</w:t>
      </w:r>
      <w:r>
        <w:rPr>
          <w:rFonts w:hint="eastAsia"/>
          <w:kern w:val="2"/>
        </w:rPr>
        <w:t xml:space="preserve"> </w:t>
      </w:r>
      <w:r>
        <w:rPr>
          <w:kern w:val="2"/>
        </w:rPr>
        <w:t xml:space="preserve">Levallois </w:t>
      </w:r>
      <w:r>
        <w:rPr>
          <w:rFonts w:hint="eastAsia"/>
          <w:kern w:val="2"/>
        </w:rPr>
        <w:t>technology</w:t>
      </w:r>
      <w:r>
        <w:rPr>
          <w:kern w:val="2"/>
        </w:rPr>
        <w:t xml:space="preserve"> at Guanyindong</w:t>
      </w:r>
      <w:r>
        <w:rPr>
          <w:rFonts w:hint="eastAsia"/>
          <w:kern w:val="2"/>
          <w:vertAlign w:val="superscript"/>
          <w:lang w:val="en-US" w:eastAsia="zh-CN"/>
        </w:rPr>
        <w:t>48</w:t>
      </w:r>
      <w:r>
        <w:rPr>
          <w:kern w:val="2"/>
        </w:rPr>
        <w:t>,</w:t>
      </w:r>
      <w:r>
        <w:rPr>
          <w:rFonts w:hint="eastAsia"/>
          <w:kern w:val="2"/>
        </w:rPr>
        <w:t xml:space="preserve"> Quina</w:t>
      </w:r>
      <w:r>
        <w:rPr>
          <w:kern w:val="2"/>
        </w:rPr>
        <w:t xml:space="preserve"> technology at Longtan</w:t>
      </w:r>
      <w:r>
        <w:rPr>
          <w:rFonts w:hint="eastAsia"/>
          <w:kern w:val="2"/>
          <w:vertAlign w:val="superscript"/>
          <w:lang w:val="en-US" w:eastAsia="zh-CN"/>
        </w:rPr>
        <w:t>49</w:t>
      </w:r>
      <w:r>
        <w:rPr>
          <w:kern w:val="2"/>
        </w:rPr>
        <w:t>.</w:t>
      </w:r>
      <w:r>
        <w:rPr>
          <w:rFonts w:hint="eastAsia"/>
          <w:kern w:val="2"/>
        </w:rPr>
        <w:t xml:space="preserve"> Although </w:t>
      </w:r>
      <w:r>
        <w:rPr>
          <w:kern w:val="2"/>
        </w:rPr>
        <w:t>the hominin taxonomic affiliations associated with these sites</w:t>
      </w:r>
      <w:r>
        <w:rPr>
          <w:rFonts w:hint="eastAsia"/>
          <w:kern w:val="2"/>
        </w:rPr>
        <w:t xml:space="preserve"> </w:t>
      </w:r>
      <w:r>
        <w:rPr>
          <w:kern w:val="2"/>
        </w:rPr>
        <w:t>remain unresolved, their presence points to cultural diversity in East Asia</w:t>
      </w:r>
      <w:r>
        <w:rPr>
          <w:rFonts w:hint="eastAsia"/>
          <w:kern w:val="2"/>
        </w:rPr>
        <w:t xml:space="preserve"> since the</w:t>
      </w:r>
      <w:r>
        <w:rPr>
          <w:kern w:val="2"/>
        </w:rPr>
        <w:t xml:space="preserve"> late Middle Pleistocene.</w:t>
      </w:r>
      <w:r>
        <w:rPr>
          <w:rFonts w:hint="eastAsia"/>
          <w:kern w:val="2"/>
        </w:rPr>
        <w:t xml:space="preserve"> From a </w:t>
      </w:r>
      <w:r>
        <w:rPr>
          <w:kern w:val="2"/>
        </w:rPr>
        <w:t>broader</w:t>
      </w:r>
      <w:r>
        <w:rPr>
          <w:rFonts w:hint="eastAsia"/>
          <w:kern w:val="2"/>
        </w:rPr>
        <w:t xml:space="preserve"> geographic </w:t>
      </w:r>
      <w:r>
        <w:rPr>
          <w:kern w:val="2"/>
        </w:rPr>
        <w:t>perspective</w:t>
      </w:r>
      <w:r>
        <w:rPr>
          <w:rFonts w:hint="eastAsia"/>
          <w:kern w:val="2"/>
        </w:rPr>
        <w:t xml:space="preserve">, </w:t>
      </w:r>
      <w:r>
        <w:rPr>
          <w:kern w:val="2"/>
        </w:rPr>
        <w:t>Denisova Cave preserves Middle Pal</w:t>
      </w:r>
      <w:r>
        <w:rPr>
          <w:rFonts w:hint="eastAsia"/>
          <w:kern w:val="2"/>
        </w:rPr>
        <w:t>a</w:t>
      </w:r>
      <w:r>
        <w:rPr>
          <w:kern w:val="2"/>
        </w:rPr>
        <w:t>eolithic elements such as discoidal and Levallois cores, indicating technological repertoires that differ from those documented at East Asian Denisovan sites</w:t>
      </w:r>
      <w:r>
        <w:rPr>
          <w:rFonts w:hint="eastAsia"/>
          <w:kern w:val="2"/>
          <w:vertAlign w:val="superscript"/>
          <w:lang w:val="en-US" w:eastAsia="zh-CN"/>
        </w:rPr>
        <w:t>50</w:t>
      </w:r>
      <w:r>
        <w:rPr>
          <w:kern w:val="2"/>
        </w:rPr>
        <w:t>. At Denisova Cave, Denisovans coexisted with Neanderthals, and some technological features may reflect cultural interaction or gene flow between these populations</w:t>
      </w:r>
      <w:r>
        <w:rPr>
          <w:rFonts w:hint="eastAsia"/>
          <w:kern w:val="2"/>
        </w:rPr>
        <w:t xml:space="preserve">, </w:t>
      </w:r>
      <w:r>
        <w:rPr>
          <w:kern w:val="2"/>
        </w:rPr>
        <w:t>further complicating taxonomic attribution of cultural layers</w:t>
      </w:r>
      <w:r>
        <w:rPr>
          <w:rFonts w:hint="eastAsia"/>
          <w:kern w:val="2"/>
          <w:vertAlign w:val="superscript"/>
          <w:lang w:val="en-US" w:eastAsia="zh-CN"/>
        </w:rPr>
        <w:t>51</w:t>
      </w:r>
      <w:r>
        <w:rPr>
          <w:kern w:val="2"/>
        </w:rPr>
        <w:t xml:space="preserve">. This regional and interregional variability </w:t>
      </w:r>
      <w:r>
        <w:rPr>
          <w:rFonts w:hint="eastAsia"/>
          <w:kern w:val="2"/>
          <w:lang w:val="en-US" w:eastAsia="zh-CN"/>
        </w:rPr>
        <w:t xml:space="preserve">on lithic technology </w:t>
      </w:r>
      <w:r>
        <w:rPr>
          <w:kern w:val="2"/>
        </w:rPr>
        <w:t>highlights the behavio</w:t>
      </w:r>
      <w:r>
        <w:rPr>
          <w:rFonts w:hint="eastAsia"/>
          <w:kern w:val="2"/>
        </w:rPr>
        <w:t>u</w:t>
      </w:r>
      <w:r>
        <w:rPr>
          <w:kern w:val="2"/>
        </w:rPr>
        <w:t>ral flexibility of Denisovans and underscores their capacity to adapt to diverse ecological and cultural contexts across Eurasia.</w:t>
      </w:r>
      <w:r>
        <w:rPr>
          <w:rFonts w:hint="eastAsia"/>
          <w:kern w:val="2"/>
          <w:lang w:val="en-US" w:eastAsia="zh-CN"/>
        </w:rPr>
        <w:t xml:space="preserve"> </w:t>
      </w:r>
    </w:p>
    <w:p w14:paraId="0658BEAC">
      <w:pPr>
        <w:pStyle w:val="3"/>
      </w:pPr>
      <w:r>
        <w:rPr>
          <w:rFonts w:hint="eastAsia"/>
        </w:rPr>
        <w:t>Bone artefacts</w:t>
      </w:r>
    </w:p>
    <w:p w14:paraId="15979265">
      <w:pPr>
        <w:ind w:firstLine="240" w:firstLineChars="100"/>
        <w:jc w:val="both"/>
        <w:rPr>
          <w:rFonts w:asciiTheme="majorBidi" w:hAnsiTheme="majorBidi" w:cstheme="majorBidi"/>
        </w:rPr>
      </w:pPr>
      <w:bookmarkStart w:id="9" w:name="_Toc209814670"/>
      <w:r>
        <w:rPr>
          <w:rFonts w:asciiTheme="majorBidi" w:hAnsiTheme="majorBidi" w:cstheme="majorBidi"/>
        </w:rPr>
        <w:t>The bone tools reported here originate from layer</w:t>
      </w:r>
      <w:r>
        <w:rPr>
          <w:rFonts w:hint="eastAsia" w:asciiTheme="majorBidi" w:hAnsiTheme="majorBidi" w:cstheme="majorBidi"/>
        </w:rPr>
        <w:t>s</w:t>
      </w:r>
      <w:r>
        <w:rPr>
          <w:rFonts w:asciiTheme="majorBidi" w:hAnsiTheme="majorBidi" w:cstheme="majorBidi"/>
        </w:rPr>
        <w:t xml:space="preserve"> 7</w:t>
      </w:r>
      <w:r>
        <w:rPr>
          <w:rFonts w:hint="eastAsia" w:asciiTheme="majorBidi" w:hAnsiTheme="majorBidi" w:cstheme="majorBidi"/>
        </w:rPr>
        <w:t>, 4 and 3</w:t>
      </w:r>
      <w:r>
        <w:rPr>
          <w:rFonts w:asciiTheme="majorBidi" w:hAnsiTheme="majorBidi" w:cstheme="majorBidi"/>
        </w:rPr>
        <w:t xml:space="preserve">. The associated faunal assemblage from </w:t>
      </w:r>
      <w:r>
        <w:rPr>
          <w:lang w:val="en-GB"/>
        </w:rPr>
        <w:t>layer 7</w:t>
      </w:r>
      <w:r>
        <w:rPr>
          <w:rFonts w:asciiTheme="majorBidi" w:hAnsiTheme="majorBidi" w:cstheme="majorBidi"/>
        </w:rPr>
        <w:t xml:space="preserve"> is generally heavily altered with most remains being decalcified, covered by concretion deposits,</w:t>
      </w:r>
      <w:r>
        <w:rPr>
          <w:rFonts w:hint="eastAsia" w:asciiTheme="majorBidi" w:hAnsiTheme="majorBidi" w:cstheme="majorBidi"/>
        </w:rPr>
        <w:t xml:space="preserve"> </w:t>
      </w:r>
      <w:r>
        <w:rPr>
          <w:lang w:val="en-GB"/>
        </w:rPr>
        <w:t>fused in breccia,</w:t>
      </w:r>
      <w:r>
        <w:rPr>
          <w:rFonts w:asciiTheme="majorBidi" w:hAnsiTheme="majorBidi" w:cstheme="majorBidi"/>
        </w:rPr>
        <w:t xml:space="preserve"> and bearing ferro-manganese </w:t>
      </w:r>
      <w:r>
        <w:rPr>
          <w:rFonts w:hint="eastAsia" w:asciiTheme="majorBidi" w:hAnsiTheme="majorBidi" w:cstheme="majorBidi"/>
          <w:lang w:val="en-US" w:eastAsia="zh-CN"/>
        </w:rPr>
        <w:t>staining</w:t>
      </w:r>
      <w:r>
        <w:rPr>
          <w:rFonts w:asciiTheme="majorBidi" w:hAnsiTheme="majorBidi" w:cstheme="majorBidi"/>
        </w:rPr>
        <w:t xml:space="preserve">. These alterations made the recovery of the faunal remains without damaging them extremely difficult, which is evidenced </w:t>
      </w:r>
      <w:r>
        <w:rPr>
          <w:rFonts w:hint="eastAsia" w:asciiTheme="majorBidi" w:hAnsiTheme="majorBidi" w:cstheme="majorBidi"/>
          <w:lang w:val="en-US" w:eastAsia="zh-CN"/>
        </w:rPr>
        <w:t xml:space="preserve">by the </w:t>
      </w:r>
      <w:r>
        <w:rPr>
          <w:rFonts w:asciiTheme="majorBidi" w:hAnsiTheme="majorBidi" w:cstheme="majorBidi"/>
        </w:rPr>
        <w:t xml:space="preserve">high frequency of recent fracture </w:t>
      </w:r>
      <w:r>
        <w:rPr>
          <w:rFonts w:hint="eastAsia" w:asciiTheme="majorBidi" w:hAnsiTheme="majorBidi" w:cstheme="majorBidi"/>
          <w:lang w:val="en-US" w:eastAsia="zh-CN"/>
        </w:rPr>
        <w:t>on the specimens originating from this layer</w:t>
      </w:r>
      <w:r>
        <w:rPr>
          <w:rFonts w:asciiTheme="majorBidi" w:hAnsiTheme="majorBidi" w:cstheme="majorBidi"/>
        </w:rPr>
        <w:t>. Therefore, the sampling strategy implemented in this context relied on selecting specimens that are longer than 40 mm in length and that preserved at least 70% of intact cortical surface. None of the specimen could be taxonomically identified, and, as a result, they were assigned to mammal size class based on their maximum cortical thickness</w:t>
      </w:r>
      <w:r>
        <w:rPr>
          <w:rFonts w:hint="eastAsia"/>
          <w:vertAlign w:val="superscript"/>
          <w:lang w:val="en-US" w:eastAsia="zh-CN"/>
        </w:rPr>
        <w:t>52</w:t>
      </w:r>
      <w:r>
        <w:rPr>
          <w:rFonts w:asciiTheme="majorBidi" w:hAnsiTheme="majorBidi" w:cstheme="majorBidi"/>
        </w:rPr>
        <w:t xml:space="preserve">. </w:t>
      </w:r>
      <w:r>
        <w:rPr>
          <w:rFonts w:hint="eastAsia" w:asciiTheme="majorBidi" w:hAnsiTheme="majorBidi" w:cstheme="majorBidi"/>
        </w:rPr>
        <w:t xml:space="preserve">In contrast, the fauna from layers 4 and 3 is generally in a better state of preservation; slight weathering, limited concretion deposits and ferro-manganese discoloration were recorded. </w:t>
      </w:r>
      <w:r>
        <w:rPr>
          <w:rFonts w:asciiTheme="majorBidi" w:hAnsiTheme="majorBidi" w:cstheme="majorBidi"/>
        </w:rPr>
        <w:t xml:space="preserve">A total of </w:t>
      </w:r>
      <w:r>
        <w:rPr>
          <w:rFonts w:hint="eastAsia" w:asciiTheme="majorBidi" w:hAnsiTheme="majorBidi" w:cstheme="majorBidi"/>
        </w:rPr>
        <w:t>ten</w:t>
      </w:r>
      <w:r>
        <w:rPr>
          <w:rFonts w:asciiTheme="majorBidi" w:hAnsiTheme="majorBidi" w:cstheme="majorBidi"/>
        </w:rPr>
        <w:t xml:space="preserve"> bone tools </w:t>
      </w:r>
      <w:r>
        <w:rPr>
          <w:rFonts w:hint="eastAsia" w:asciiTheme="majorBidi" w:hAnsiTheme="majorBidi" w:cstheme="majorBidi"/>
        </w:rPr>
        <w:t>is</w:t>
      </w:r>
      <w:r>
        <w:rPr>
          <w:rFonts w:asciiTheme="majorBidi" w:hAnsiTheme="majorBidi" w:cstheme="majorBidi"/>
        </w:rPr>
        <w:t xml:space="preserve"> reported here</w:t>
      </w:r>
      <w:r>
        <w:rPr>
          <w:rFonts w:hint="eastAsia" w:asciiTheme="majorBidi" w:hAnsiTheme="majorBidi" w:cstheme="majorBidi"/>
        </w:rPr>
        <w:t xml:space="preserve"> (see </w:t>
      </w:r>
      <w:r>
        <w:rPr>
          <w:rFonts w:hint="eastAsia" w:asciiTheme="majorBidi" w:hAnsiTheme="majorBidi" w:cstheme="majorBidi"/>
          <w:color w:val="0000FF"/>
        </w:rPr>
        <w:t>Supplementary Table 2</w:t>
      </w:r>
      <w:r>
        <w:rPr>
          <w:rFonts w:hint="eastAsia" w:asciiTheme="majorBidi" w:hAnsiTheme="majorBidi" w:cstheme="majorBidi"/>
          <w:color w:val="0000FF"/>
          <w:lang w:val="en-US" w:eastAsia="zh-CN"/>
        </w:rPr>
        <w:t>4</w:t>
      </w:r>
      <w:r>
        <w:rPr>
          <w:rFonts w:hint="eastAsia" w:asciiTheme="majorBidi" w:hAnsiTheme="majorBidi" w:cstheme="majorBidi"/>
        </w:rPr>
        <w:t xml:space="preserve">). </w:t>
      </w:r>
      <w:r>
        <w:rPr>
          <w:rFonts w:asciiTheme="majorBidi" w:hAnsiTheme="majorBidi" w:cstheme="majorBidi"/>
        </w:rPr>
        <w:t>They</w:t>
      </w:r>
      <w:r>
        <w:rPr>
          <w:rFonts w:hint="eastAsia" w:asciiTheme="majorBidi" w:hAnsiTheme="majorBidi" w:cstheme="majorBidi"/>
        </w:rPr>
        <w:t xml:space="preserve"> a</w:t>
      </w:r>
      <w:r>
        <w:rPr>
          <w:rFonts w:asciiTheme="majorBidi" w:hAnsiTheme="majorBidi" w:cstheme="majorBidi"/>
        </w:rPr>
        <w:t>ll originate from</w:t>
      </w:r>
      <w:r>
        <w:rPr>
          <w:rFonts w:hint="eastAsia" w:asciiTheme="majorBidi" w:hAnsiTheme="majorBidi" w:cstheme="majorBidi"/>
        </w:rPr>
        <w:t xml:space="preserve"> limb bones of </w:t>
      </w:r>
      <w:r>
        <w:rPr>
          <w:rFonts w:asciiTheme="majorBidi" w:hAnsiTheme="majorBidi" w:cstheme="majorBidi"/>
        </w:rPr>
        <w:t>medium to large-sized mammals</w:t>
      </w:r>
      <w:r>
        <w:rPr>
          <w:rFonts w:hint="eastAsia" w:asciiTheme="majorBidi" w:hAnsiTheme="majorBidi" w:cstheme="majorBidi"/>
        </w:rPr>
        <w:t xml:space="preserve">. </w:t>
      </w:r>
      <w:r>
        <w:rPr>
          <w:rFonts w:asciiTheme="majorBidi" w:hAnsiTheme="majorBidi" w:cstheme="majorBidi"/>
        </w:rPr>
        <w:t>Below, a general description is provided for these tools which were grouped into typological categories</w:t>
      </w:r>
      <w:r>
        <w:rPr>
          <w:rFonts w:hint="eastAsia" w:asciiTheme="majorBidi" w:hAnsiTheme="majorBidi" w:cstheme="majorBidi"/>
          <w:lang w:val="en-US" w:eastAsia="zh-CN"/>
        </w:rPr>
        <w:t xml:space="preserve"> and layer of origin</w:t>
      </w:r>
      <w:r>
        <w:rPr>
          <w:rFonts w:asciiTheme="majorBidi" w:hAnsiTheme="majorBidi" w:cstheme="majorBidi"/>
        </w:rPr>
        <w:t>.</w:t>
      </w:r>
    </w:p>
    <w:p w14:paraId="72D7F239">
      <w:pPr>
        <w:pStyle w:val="4"/>
      </w:pPr>
      <w:r>
        <w:rPr>
          <w:rFonts w:hint="eastAsia"/>
        </w:rPr>
        <w:t>Bone retouchers</w:t>
      </w:r>
    </w:p>
    <w:p w14:paraId="61746420">
      <w:pPr>
        <w:keepNext w:val="0"/>
        <w:keepLines w:val="0"/>
        <w:pageBreakBefore w:val="0"/>
        <w:widowControl/>
        <w:kinsoku/>
        <w:wordWrap/>
        <w:overflowPunct/>
        <w:topLinePunct w:val="0"/>
        <w:autoSpaceDE/>
        <w:autoSpaceDN/>
        <w:bidi w:val="0"/>
        <w:adjustRightInd/>
        <w:snapToGrid/>
        <w:spacing w:after="0"/>
        <w:ind w:firstLine="240" w:firstLineChars="100"/>
        <w:jc w:val="both"/>
        <w:textAlignment w:val="auto"/>
        <w:rPr>
          <w:rFonts w:asciiTheme="majorBidi" w:hAnsiTheme="majorBidi" w:cstheme="majorBidi"/>
        </w:rPr>
      </w:pPr>
      <w:r>
        <w:rPr>
          <w:rFonts w:hint="eastAsia" w:asciiTheme="majorBidi" w:hAnsiTheme="majorBidi" w:cstheme="majorBidi"/>
        </w:rPr>
        <w:t xml:space="preserve">Layer 7: </w:t>
      </w:r>
      <w:r>
        <w:rPr>
          <w:rFonts w:asciiTheme="majorBidi" w:hAnsiTheme="majorBidi" w:cstheme="majorBidi"/>
        </w:rPr>
        <w:t>Five long bone fragments from medium- to large-sized mammal are attributed to this tool category. All specimens exhibit fresh fractures and measure between 45.42 and 57.88 mm in length. Their cortical surfaces display linear impact marks located on the right side (</w:t>
      </w:r>
      <w:r>
        <w:rPr>
          <w:rFonts w:asciiTheme="majorBidi" w:hAnsiTheme="majorBidi" w:cstheme="majorBidi"/>
          <w:i w:val="0"/>
          <w:iCs w:val="0"/>
        </w:rPr>
        <w:t>n</w:t>
      </w:r>
      <w:r>
        <w:rPr>
          <w:rFonts w:asciiTheme="majorBidi" w:hAnsiTheme="majorBidi" w:cstheme="majorBidi"/>
        </w:rPr>
        <w:t xml:space="preserve"> = 3), the left side (</w:t>
      </w:r>
      <w:r>
        <w:rPr>
          <w:rFonts w:asciiTheme="majorBidi" w:hAnsiTheme="majorBidi" w:cstheme="majorBidi"/>
          <w:i w:val="0"/>
          <w:iCs w:val="0"/>
        </w:rPr>
        <w:t>n</w:t>
      </w:r>
      <w:r>
        <w:rPr>
          <w:rFonts w:asciiTheme="majorBidi" w:hAnsiTheme="majorBidi" w:cstheme="majorBidi"/>
        </w:rPr>
        <w:t xml:space="preserve"> = 1) or the distal end (</w:t>
      </w:r>
      <w:r>
        <w:rPr>
          <w:rFonts w:asciiTheme="majorBidi" w:hAnsiTheme="majorBidi" w:cstheme="majorBidi"/>
          <w:i w:val="0"/>
          <w:iCs w:val="0"/>
        </w:rPr>
        <w:t>n</w:t>
      </w:r>
      <w:r>
        <w:rPr>
          <w:rFonts w:asciiTheme="majorBidi" w:hAnsiTheme="majorBidi" w:cstheme="majorBidi"/>
        </w:rPr>
        <w:t xml:space="preserve"> = 1) of the object. These marks are either dispersed (</w:t>
      </w:r>
      <w:r>
        <w:rPr>
          <w:rFonts w:asciiTheme="majorBidi" w:hAnsiTheme="majorBidi" w:cstheme="majorBidi"/>
          <w:i w:val="0"/>
          <w:iCs w:val="0"/>
        </w:rPr>
        <w:t>n</w:t>
      </w:r>
      <w:r>
        <w:rPr>
          <w:rFonts w:asciiTheme="majorBidi" w:hAnsiTheme="majorBidi" w:cstheme="majorBidi"/>
        </w:rPr>
        <w:t xml:space="preserve"> = 3) or concentrated (</w:t>
      </w:r>
      <w:r>
        <w:rPr>
          <w:rFonts w:asciiTheme="majorBidi" w:hAnsiTheme="majorBidi" w:cstheme="majorBidi"/>
          <w:i w:val="0"/>
          <w:iCs w:val="0"/>
        </w:rPr>
        <w:t>n</w:t>
      </w:r>
      <w:r>
        <w:rPr>
          <w:rFonts w:asciiTheme="majorBidi" w:hAnsiTheme="majorBidi" w:cstheme="majorBidi"/>
        </w:rPr>
        <w:t xml:space="preserve"> = 2) on the cortical surface and consistently occur on slightly convex cortical surfaces. The morphology and location of the impact traces are consistent with repeated contact with lithic cutting edges, indicating </w:t>
      </w:r>
      <w:r>
        <w:rPr>
          <w:rFonts w:hint="eastAsia" w:asciiTheme="majorBidi" w:hAnsiTheme="majorBidi" w:cstheme="majorBidi"/>
        </w:rPr>
        <w:t xml:space="preserve">their </w:t>
      </w:r>
      <w:r>
        <w:rPr>
          <w:rFonts w:asciiTheme="majorBidi" w:hAnsiTheme="majorBidi" w:cstheme="majorBidi"/>
        </w:rPr>
        <w:t xml:space="preserve">use as retouchers. </w:t>
      </w:r>
      <w:r>
        <w:t xml:space="preserve">Such tools may have served to initiate retouch on previously unmodified flakes, sharpen unretouched cutting edges, or reshape and rejuvenate flakes that had already been retouched and used. </w:t>
      </w:r>
      <w:r>
        <w:rPr>
          <w:rFonts w:asciiTheme="majorBidi" w:hAnsiTheme="majorBidi" w:cstheme="majorBidi"/>
        </w:rPr>
        <w:t xml:space="preserve">The limited number of impact scars </w:t>
      </w:r>
      <w:r>
        <w:rPr>
          <w:rFonts w:hint="eastAsia" w:asciiTheme="majorBidi" w:hAnsiTheme="majorBidi" w:cstheme="majorBidi"/>
          <w:lang w:val="en-US" w:eastAsia="zh-CN"/>
        </w:rPr>
        <w:t>is consistent with the low mean number of scars and geometric index of unifacial retouch documented on the lithic tools from the same layer. Similarly to lithic tools, this pattern conforms to</w:t>
      </w:r>
      <w:r>
        <w:rPr>
          <w:rFonts w:asciiTheme="majorBidi" w:hAnsiTheme="majorBidi" w:cstheme="majorBidi"/>
        </w:rPr>
        <w:t xml:space="preserve"> an expedient and opportunistic technological practice, in which faunal fragments with suitable morphological affordance were selected from those available at the site to facilitate rapid and flexible modification of lithic tools.</w:t>
      </w:r>
    </w:p>
    <w:p w14:paraId="093BB160">
      <w:pPr>
        <w:ind w:firstLine="240" w:firstLineChars="100"/>
        <w:jc w:val="both"/>
        <w:rPr>
          <w:rFonts w:hint="default" w:eastAsia="宋体" w:asciiTheme="majorBidi" w:hAnsiTheme="majorBidi" w:cstheme="majorBidi"/>
          <w:lang w:val="en-US" w:eastAsia="zh-CN"/>
        </w:rPr>
      </w:pPr>
      <w:r>
        <w:rPr>
          <w:rFonts w:hint="eastAsia" w:asciiTheme="majorBidi" w:hAnsiTheme="majorBidi" w:cstheme="majorBidi"/>
        </w:rPr>
        <w:t>Layer 3: A large-sized mammal long bone fragment (cortical thickness: 11.4 mm) is assigned to this category. All fractures display signs that the bone was broken while being still fresh. The object measures 144.32 mm in length, 41.5 mm in width, and 15.96 mm in thickness. Its cortical surface bears linear impact marks located on the right side of the object. The marks are dispersed on a surface that is slightly convex. The morphology of the marks is consistent with repeated contact with a lithic cutting edge, indicating its use as a retoucher.</w:t>
      </w:r>
      <w:r>
        <w:rPr>
          <w:rFonts w:hint="eastAsia" w:asciiTheme="majorBidi" w:hAnsiTheme="majorBidi" w:cstheme="majorBidi"/>
          <w:lang w:val="en-US" w:eastAsia="zh-CN"/>
        </w:rPr>
        <w:t xml:space="preserve"> As </w:t>
      </w:r>
      <w:r>
        <w:rPr>
          <w:rFonts w:asciiTheme="majorBidi" w:hAnsiTheme="majorBidi" w:cstheme="majorBidi"/>
        </w:rPr>
        <w:t xml:space="preserve">in the case of </w:t>
      </w:r>
      <w:r>
        <w:rPr>
          <w:rFonts w:hint="eastAsia" w:asciiTheme="majorBidi" w:hAnsiTheme="majorBidi" w:cstheme="majorBidi"/>
          <w:lang w:val="en-US" w:eastAsia="zh-CN"/>
        </w:rPr>
        <w:t>L</w:t>
      </w:r>
      <w:r>
        <w:rPr>
          <w:rFonts w:asciiTheme="majorBidi" w:hAnsiTheme="majorBidi" w:cstheme="majorBidi"/>
        </w:rPr>
        <w:t>ayer 7, the limited number of impact scars is to put in relation with the low retouch intensity and minimal maintenance of lithic tools.</w:t>
      </w:r>
    </w:p>
    <w:p w14:paraId="1DD1952E">
      <w:pPr>
        <w:pStyle w:val="4"/>
      </w:pPr>
      <w:r>
        <w:rPr>
          <w:rFonts w:hint="eastAsia"/>
        </w:rPr>
        <w:t>Intermediate tool</w:t>
      </w:r>
    </w:p>
    <w:p w14:paraId="0C54C8A0">
      <w:pPr>
        <w:ind w:firstLine="240" w:firstLineChars="100"/>
        <w:jc w:val="both"/>
        <w:rPr>
          <w:rFonts w:asciiTheme="majorBidi" w:hAnsiTheme="majorBidi" w:cstheme="majorBidi"/>
        </w:rPr>
      </w:pPr>
      <w:r>
        <w:rPr>
          <w:rFonts w:hint="eastAsia" w:asciiTheme="majorBidi" w:hAnsiTheme="majorBidi" w:cstheme="majorBidi"/>
        </w:rPr>
        <w:t xml:space="preserve">Layer 7: </w:t>
      </w:r>
      <w:r>
        <w:rPr>
          <w:rFonts w:asciiTheme="majorBidi" w:hAnsiTheme="majorBidi" w:cstheme="majorBidi"/>
        </w:rPr>
        <w:t xml:space="preserve">A single item is attributed to this tool category. It originates </w:t>
      </w:r>
      <w:r>
        <w:rPr>
          <w:rFonts w:hint="eastAsia" w:asciiTheme="majorBidi" w:hAnsiTheme="majorBidi" w:cstheme="majorBidi"/>
        </w:rPr>
        <w:t xml:space="preserve">from </w:t>
      </w:r>
      <w:r>
        <w:rPr>
          <w:rFonts w:asciiTheme="majorBidi" w:hAnsiTheme="majorBidi" w:cstheme="majorBidi"/>
        </w:rPr>
        <w:t>a</w:t>
      </w:r>
      <w:r>
        <w:rPr>
          <w:rFonts w:hint="eastAsia" w:asciiTheme="majorBidi" w:hAnsiTheme="majorBidi" w:cstheme="majorBidi"/>
        </w:rPr>
        <w:t xml:space="preserve"> long bone of a medium- to large-sized mammal</w:t>
      </w:r>
      <w:r>
        <w:rPr>
          <w:rFonts w:asciiTheme="majorBidi" w:hAnsiTheme="majorBidi" w:cstheme="majorBidi"/>
        </w:rPr>
        <w:t xml:space="preserve"> and exhibits</w:t>
      </w:r>
      <w:r>
        <w:rPr>
          <w:rFonts w:hint="eastAsia" w:asciiTheme="majorBidi" w:hAnsiTheme="majorBidi" w:cstheme="majorBidi"/>
        </w:rPr>
        <w:t xml:space="preserve"> a cortical thickness of </w:t>
      </w:r>
      <w:r>
        <w:rPr>
          <w:rFonts w:asciiTheme="majorBidi" w:hAnsiTheme="majorBidi" w:cstheme="majorBidi"/>
        </w:rPr>
        <w:t>approximately</w:t>
      </w:r>
      <w:r>
        <w:rPr>
          <w:rFonts w:hint="eastAsia" w:asciiTheme="majorBidi" w:hAnsiTheme="majorBidi" w:cstheme="majorBidi"/>
        </w:rPr>
        <w:t xml:space="preserve"> 8.29 mm.</w:t>
      </w:r>
      <w:r>
        <w:rPr>
          <w:rFonts w:asciiTheme="majorBidi" w:hAnsiTheme="majorBidi" w:cstheme="majorBidi"/>
        </w:rPr>
        <w:t xml:space="preserve"> The object measures</w:t>
      </w:r>
      <w:r>
        <w:rPr>
          <w:rFonts w:hint="eastAsia" w:asciiTheme="majorBidi" w:hAnsiTheme="majorBidi" w:cstheme="majorBidi"/>
        </w:rPr>
        <w:t xml:space="preserve"> 45.92 mm in length, 32.79 mm in width, and 15.04 mm in thickness.</w:t>
      </w:r>
      <w:r>
        <w:rPr>
          <w:rFonts w:asciiTheme="majorBidi" w:hAnsiTheme="majorBidi" w:cstheme="majorBidi"/>
        </w:rPr>
        <w:t xml:space="preserve"> Both the proximal and distal ends display fracture planes indicative of the breakage while the bone was still fresh. The distal end bears nine overlapping flake removal scars ranging from 1.06 to 7.74 mm in breadth. The impacts responsible for these removals systematically originated from the medullar surface and propagated toward the periosteal surface. The number, organization, and orientation of these scars are consistent with deliberate anthropogenic shaping of the active edge</w:t>
      </w:r>
      <w:r>
        <w:rPr>
          <w:rFonts w:hint="eastAsia"/>
          <w:vertAlign w:val="superscript"/>
          <w:lang w:val="en-US" w:eastAsia="zh-CN"/>
        </w:rPr>
        <w:t>53</w:t>
      </w:r>
      <w:r>
        <w:rPr>
          <w:vertAlign w:val="superscript"/>
        </w:rPr>
        <w:t>–</w:t>
      </w:r>
      <w:r>
        <w:rPr>
          <w:rFonts w:hint="eastAsia"/>
          <w:vertAlign w:val="superscript"/>
          <w:lang w:val="en-US" w:eastAsia="zh-CN"/>
        </w:rPr>
        <w:t>57</w:t>
      </w:r>
      <w:r>
        <w:rPr>
          <w:rFonts w:asciiTheme="majorBidi" w:hAnsiTheme="majorBidi" w:cstheme="majorBidi"/>
        </w:rPr>
        <w:t xml:space="preserve">. This shaped edge also exhibits localized rounding, suggesting sustained use following its manufacture. The opposite (proximal) end displays several splintered removals on the periosteal surface. </w:t>
      </w:r>
    </w:p>
    <w:p w14:paraId="2BA15D78">
      <w:pPr>
        <w:ind w:firstLine="240" w:firstLineChars="100"/>
        <w:jc w:val="both"/>
        <w:rPr>
          <w:rFonts w:hint="eastAsia" w:eastAsia="宋体" w:asciiTheme="majorBidi" w:hAnsiTheme="majorBidi" w:cstheme="majorBidi"/>
          <w:lang w:val="en-US" w:eastAsia="zh-CN"/>
        </w:rPr>
      </w:pPr>
      <w:r>
        <w:rPr>
          <w:lang w:val="en-GB"/>
        </w:rPr>
        <w:t>Layer 3: A medium-sized mammal long bone fragment (cortical thickness: 7.44 mm) is attributed to this category. All fracture surfaces are consistent with fresh bone breakage. The specimen measures 69.21 mm in length, 35.83 mm in width, and 15.24 mm in thickness. One end is characterized by continuous and super</w:t>
      </w:r>
      <w:r>
        <w:rPr>
          <w:rFonts w:hint="eastAsia"/>
          <w:lang w:val="en-US" w:eastAsia="zh-CN"/>
        </w:rPr>
        <w:t>im</w:t>
      </w:r>
      <w:r>
        <w:rPr>
          <w:lang w:val="en-GB"/>
        </w:rPr>
        <w:t xml:space="preserve">posed bifacial flake </w:t>
      </w:r>
      <w:r>
        <w:rPr>
          <w:rFonts w:hint="eastAsia"/>
          <w:lang w:val="en-US" w:eastAsia="zh-CN"/>
        </w:rPr>
        <w:t xml:space="preserve">removal </w:t>
      </w:r>
      <w:r>
        <w:rPr>
          <w:lang w:val="en-GB"/>
        </w:rPr>
        <w:t>scars, with notably small and overlapping micro-</w:t>
      </w:r>
      <w:r>
        <w:rPr>
          <w:rFonts w:hint="eastAsia"/>
          <w:lang w:val="en-US" w:eastAsia="zh-CN"/>
        </w:rPr>
        <w:t xml:space="preserve">flake removal </w:t>
      </w:r>
      <w:r>
        <w:rPr>
          <w:lang w:val="en-GB"/>
        </w:rPr>
        <w:t>scars clustered on cortical surface. The edges between the scars display evidence of compression. The opposite end exhibits two fracture planes converging obliquely relative to the bone’s main axis, which likely result from the exertion of an impactful blow while using the fragment as an intermediate tool</w:t>
      </w:r>
      <w:r>
        <w:rPr>
          <w:rFonts w:hint="eastAsia"/>
          <w:vertAlign w:val="superscript"/>
          <w:lang w:val="en-US" w:eastAsia="zh-CN"/>
        </w:rPr>
        <w:t>58</w:t>
      </w:r>
      <w:r>
        <w:rPr>
          <w:vertAlign w:val="superscript"/>
        </w:rPr>
        <w:t>,</w:t>
      </w:r>
      <w:r>
        <w:rPr>
          <w:rFonts w:hint="eastAsia"/>
          <w:vertAlign w:val="superscript"/>
          <w:lang w:val="en-US" w:eastAsia="zh-CN"/>
        </w:rPr>
        <w:t>59</w:t>
      </w:r>
      <w:r>
        <w:rPr>
          <w:rFonts w:hint="eastAsia"/>
          <w:vertAlign w:val="baseline"/>
          <w:lang w:val="en-US" w:eastAsia="zh-CN"/>
        </w:rPr>
        <w:t>.</w:t>
      </w:r>
    </w:p>
    <w:p w14:paraId="688B9909">
      <w:pPr>
        <w:pStyle w:val="4"/>
      </w:pPr>
      <w:r>
        <w:t>Potential e</w:t>
      </w:r>
      <w:r>
        <w:rPr>
          <w:rFonts w:hint="eastAsia"/>
        </w:rPr>
        <w:t>xpedient tool</w:t>
      </w:r>
    </w:p>
    <w:p w14:paraId="4E7AE34F">
      <w:pPr>
        <w:ind w:firstLine="240" w:firstLineChars="100"/>
        <w:jc w:val="both"/>
        <w:rPr>
          <w:rFonts w:asciiTheme="majorBidi" w:hAnsiTheme="majorBidi" w:cstheme="majorBidi"/>
        </w:rPr>
      </w:pPr>
      <w:r>
        <w:rPr>
          <w:rFonts w:hint="eastAsia" w:asciiTheme="majorBidi" w:hAnsiTheme="majorBidi" w:cstheme="majorBidi"/>
        </w:rPr>
        <w:t xml:space="preserve">Layer 7: </w:t>
      </w:r>
      <w:r>
        <w:rPr>
          <w:rFonts w:asciiTheme="majorBidi" w:hAnsiTheme="majorBidi" w:cstheme="majorBidi"/>
        </w:rPr>
        <w:t xml:space="preserve">The single object assigned to this category is </w:t>
      </w:r>
      <w:r>
        <w:rPr>
          <w:rFonts w:hint="eastAsia" w:asciiTheme="majorBidi" w:hAnsiTheme="majorBidi" w:cstheme="majorBidi"/>
        </w:rPr>
        <w:t>a fragment of</w:t>
      </w:r>
      <w:r>
        <w:rPr>
          <w:rFonts w:asciiTheme="majorBidi" w:hAnsiTheme="majorBidi" w:cstheme="majorBidi"/>
        </w:rPr>
        <w:t xml:space="preserve"> </w:t>
      </w:r>
      <w:r>
        <w:rPr>
          <w:rFonts w:hint="eastAsia" w:asciiTheme="majorBidi" w:hAnsiTheme="majorBidi" w:cstheme="majorBidi"/>
        </w:rPr>
        <w:t>an unidentifiable long bone</w:t>
      </w:r>
      <w:r>
        <w:rPr>
          <w:rFonts w:asciiTheme="majorBidi" w:hAnsiTheme="majorBidi" w:cstheme="majorBidi"/>
        </w:rPr>
        <w:t xml:space="preserve"> from a</w:t>
      </w:r>
      <w:r>
        <w:rPr>
          <w:rFonts w:hint="eastAsia" w:asciiTheme="majorBidi" w:hAnsiTheme="majorBidi" w:cstheme="majorBidi"/>
        </w:rPr>
        <w:t xml:space="preserve"> medium-sized mammal</w:t>
      </w:r>
      <w:r>
        <w:rPr>
          <w:rFonts w:asciiTheme="majorBidi" w:hAnsiTheme="majorBidi" w:cstheme="majorBidi"/>
        </w:rPr>
        <w:t xml:space="preserve">, measuring </w:t>
      </w:r>
      <w:r>
        <w:rPr>
          <w:rFonts w:hint="eastAsia" w:asciiTheme="majorBidi" w:hAnsiTheme="majorBidi" w:cstheme="majorBidi"/>
        </w:rPr>
        <w:t>58.27 mm in length, 25.66 mm in width, and 8.83 mm in thickness.</w:t>
      </w:r>
      <w:r>
        <w:rPr>
          <w:rFonts w:asciiTheme="majorBidi" w:hAnsiTheme="majorBidi" w:cstheme="majorBidi"/>
        </w:rPr>
        <w:t xml:space="preserve"> </w:t>
      </w:r>
      <w:r>
        <w:rPr>
          <w:rFonts w:hint="eastAsia" w:asciiTheme="majorBidi" w:hAnsiTheme="majorBidi" w:cstheme="majorBidi"/>
        </w:rPr>
        <w:t>The</w:t>
      </w:r>
      <w:r>
        <w:rPr>
          <w:rFonts w:asciiTheme="majorBidi" w:hAnsiTheme="majorBidi" w:cstheme="majorBidi"/>
        </w:rPr>
        <w:t xml:space="preserve"> morphology of the fracture planes indicates that the bone was broken while still fresh. One end of the fragment exhibits localized deformation and edge rounding. </w:t>
      </w:r>
      <w:r>
        <w:t>Although such modifications could result from a range of natural processes, their spatial association and concentration along a restricted portion of the edge are also consistent with use-related damage, as documented in experimental studies and Middle Palaeolithic archaeological contexts</w:t>
      </w:r>
      <w:r>
        <w:rPr>
          <w:rFonts w:hint="eastAsia"/>
          <w:vertAlign w:val="superscript"/>
          <w:lang w:val="en-US" w:eastAsia="zh-CN"/>
        </w:rPr>
        <w:t>60</w:t>
      </w:r>
      <w:r>
        <w:rPr>
          <w:vertAlign w:val="superscript"/>
        </w:rPr>
        <w:t>–</w:t>
      </w:r>
      <w:r>
        <w:rPr>
          <w:rFonts w:hint="eastAsia"/>
          <w:vertAlign w:val="superscript"/>
          <w:lang w:val="en-US" w:eastAsia="zh-CN"/>
        </w:rPr>
        <w:t>65</w:t>
      </w:r>
      <w:r>
        <w:rPr>
          <w:rFonts w:asciiTheme="majorBidi" w:hAnsiTheme="majorBidi" w:cstheme="majorBidi"/>
        </w:rPr>
        <w:t>. At present, the anthropogenic origin of these modifications cannot be conclusively established. Further quantitative use wear analyses will be required to test the anthropogenic origin of the deformation and, if micro-wear is preserved, to assess the most likely function of the object.</w:t>
      </w:r>
    </w:p>
    <w:p w14:paraId="5B6F1CE6">
      <w:pPr>
        <w:ind w:firstLine="240"/>
        <w:jc w:val="both"/>
        <w:rPr>
          <w:lang w:val="en-GB"/>
        </w:rPr>
      </w:pPr>
      <w:r>
        <w:rPr>
          <w:lang w:val="en-GB"/>
        </w:rPr>
        <w:t xml:space="preserve">Layer 4: A single medium- to large-sized mammal long bone fragment with a cortical thickness of 9.12 mm is attributed to this category. The fracture </w:t>
      </w:r>
      <w:r>
        <w:rPr>
          <w:rFonts w:hint="eastAsia"/>
          <w:lang w:val="en-US" w:eastAsia="zh-CN"/>
        </w:rPr>
        <w:t xml:space="preserve">planes on this fragment </w:t>
      </w:r>
      <w:r>
        <w:rPr>
          <w:lang w:val="en-GB"/>
        </w:rPr>
        <w:t xml:space="preserve">indicate </w:t>
      </w:r>
      <w:r>
        <w:rPr>
          <w:rFonts w:hint="eastAsia"/>
          <w:lang w:val="en-US" w:eastAsia="zh-CN"/>
        </w:rPr>
        <w:t>it was broken</w:t>
      </w:r>
      <w:r>
        <w:rPr>
          <w:lang w:val="en-GB"/>
        </w:rPr>
        <w:t xml:space="preserve"> while the bone was </w:t>
      </w:r>
      <w:r>
        <w:rPr>
          <w:rFonts w:hint="eastAsia"/>
          <w:lang w:val="en-US" w:eastAsia="zh-CN"/>
        </w:rPr>
        <w:t xml:space="preserve">still </w:t>
      </w:r>
      <w:r>
        <w:rPr>
          <w:lang w:val="en-GB"/>
        </w:rPr>
        <w:t xml:space="preserve">fresh. The specimen measures 110.14 mm in length, 40.74 mm in width, and 15.56 mm in thickness. At one end, it displays seven unifacial flake removal scars, ranging from 3.85 mm to 26.01 mm (mean = 10.87 mm). The flakes were all removed by strikes originating from the cortical surface toward the medullary canal. One lateral edge of the object exhibits a series of superimposed flake removal scars. The patterned </w:t>
      </w:r>
      <w:r>
        <w:rPr>
          <w:rFonts w:hint="eastAsia"/>
          <w:lang w:val="en-US" w:eastAsia="zh-CN"/>
        </w:rPr>
        <w:t xml:space="preserve">centripetal orientation of the </w:t>
      </w:r>
      <w:r>
        <w:rPr>
          <w:lang w:val="en-GB"/>
        </w:rPr>
        <w:t>flake removal</w:t>
      </w:r>
      <w:r>
        <w:rPr>
          <w:rFonts w:hint="eastAsia"/>
          <w:lang w:val="en-US" w:eastAsia="zh-CN"/>
        </w:rPr>
        <w:t xml:space="preserve"> scar</w:t>
      </w:r>
      <w:r>
        <w:rPr>
          <w:lang w:val="en-GB"/>
        </w:rPr>
        <w:t>s interrupting the fresh fracture planes exposed when breaking the fresh bone are consistent with intentional modifications of the fragment.</w:t>
      </w:r>
    </w:p>
    <w:p w14:paraId="50B47D2B">
      <w:pPr>
        <w:pStyle w:val="4"/>
        <w:rPr>
          <w:lang w:val="en-GB"/>
        </w:rPr>
      </w:pPr>
      <w:r>
        <w:rPr>
          <w:lang w:val="en-GB"/>
        </w:rPr>
        <w:t>Comparison with Middle Palaeolithic bone technology from Eurasia</w:t>
      </w:r>
    </w:p>
    <w:p w14:paraId="05E3B180">
      <w:pPr>
        <w:ind w:firstLine="240"/>
        <w:jc w:val="both"/>
        <w:rPr>
          <w:lang w:val="en-GB"/>
        </w:rPr>
      </w:pPr>
      <w:r>
        <w:rPr>
          <w:lang w:val="en-GB"/>
        </w:rPr>
        <w:t>The identification of rudimentary bone tools at Bianfu Cave provides further evidence for the selection of butchery and carcass processing by-products for technological purposes. The numerous discoveries reported over the last two decades attest to such behaviour being an integral part of the Neanderthal cultural adaptive systems since at least MIS</w:t>
      </w:r>
      <w:r>
        <w:rPr>
          <w:rFonts w:hint="eastAsia"/>
          <w:lang w:val="en-US" w:eastAsia="zh-CN"/>
        </w:rPr>
        <w:t xml:space="preserve"> </w:t>
      </w:r>
      <w:r>
        <w:rPr>
          <w:lang w:val="en-GB"/>
        </w:rPr>
        <w:t>9</w:t>
      </w:r>
      <w:r>
        <w:rPr>
          <w:rFonts w:hint="eastAsia"/>
          <w:vertAlign w:val="superscript"/>
          <w:lang w:val="en-US" w:eastAsia="zh-CN"/>
        </w:rPr>
        <w:t>53</w:t>
      </w:r>
      <w:r>
        <w:rPr>
          <w:vertAlign w:val="superscript"/>
        </w:rPr>
        <w:t>,</w:t>
      </w:r>
      <w:r>
        <w:rPr>
          <w:rFonts w:hint="eastAsia"/>
          <w:vertAlign w:val="superscript"/>
          <w:lang w:val="en-US" w:eastAsia="zh-CN"/>
        </w:rPr>
        <w:t>59</w:t>
      </w:r>
      <w:r>
        <w:rPr>
          <w:vertAlign w:val="superscript"/>
        </w:rPr>
        <w:t>,</w:t>
      </w:r>
      <w:r>
        <w:rPr>
          <w:rFonts w:hint="eastAsia"/>
          <w:vertAlign w:val="superscript"/>
          <w:lang w:val="en-US" w:eastAsia="zh-CN"/>
        </w:rPr>
        <w:t>65-75</w:t>
      </w:r>
      <w:r>
        <w:rPr>
          <w:lang w:val="en-GB"/>
        </w:rPr>
        <w:t>. The evidence from Bianfu Cave suggests that a similar cultural adaptation was also shared by Denisovans population. Despite the preservation and sample selection biases that may have affected the number of identified specimens in the present study, our results support the idea that bone tools were part of the Denisovans technological system since at least ~145</w:t>
      </w:r>
      <w:r>
        <w:rPr>
          <w:rFonts w:hint="eastAsia"/>
          <w:lang w:val="en-US" w:eastAsia="zh-CN"/>
        </w:rPr>
        <w:t xml:space="preserve"> </w:t>
      </w:r>
      <w:r>
        <w:rPr>
          <w:lang w:val="en-GB"/>
        </w:rPr>
        <w:t>ka and persisted until the end of the human occupation at the cave ~65</w:t>
      </w:r>
      <w:r>
        <w:rPr>
          <w:rFonts w:hint="eastAsia"/>
          <w:lang w:val="en-US" w:eastAsia="zh-CN"/>
        </w:rPr>
        <w:t xml:space="preserve"> </w:t>
      </w:r>
      <w:r>
        <w:rPr>
          <w:lang w:val="en-GB"/>
        </w:rPr>
        <w:t xml:space="preserve">ka. </w:t>
      </w:r>
      <w:r>
        <w:rPr>
          <w:rFonts w:hint="eastAsia"/>
          <w:lang w:val="en-US" w:eastAsia="zh-CN"/>
        </w:rPr>
        <w:t>Althou</w:t>
      </w:r>
      <w:r>
        <w:rPr>
          <w:rFonts w:hint="eastAsia"/>
          <w:color w:val="auto"/>
          <w:lang w:val="en-US" w:eastAsia="zh-CN"/>
        </w:rPr>
        <w:t>gh p</w:t>
      </w:r>
      <w:r>
        <w:rPr>
          <w:rFonts w:hint="eastAsia" w:ascii="Times New Roman" w:hAnsi="Times New Roman" w:eastAsia="宋体" w:cs="Times New Roman"/>
          <w:color w:val="auto"/>
          <w:sz w:val="24"/>
        </w:rPr>
        <w:t>reservational constraints</w:t>
      </w:r>
      <w:r>
        <w:rPr>
          <w:rFonts w:hint="eastAsia" w:ascii="Times New Roman" w:hAnsi="Times New Roman" w:eastAsia="宋体" w:cs="Times New Roman"/>
          <w:color w:val="auto"/>
          <w:sz w:val="24"/>
          <w:lang w:val="en-US" w:eastAsia="zh-CN"/>
        </w:rPr>
        <w:t xml:space="preserve"> (</w:t>
      </w:r>
      <w:r>
        <w:rPr>
          <w:rFonts w:hint="eastAsia" w:ascii="Times New Roman" w:hAnsi="Times New Roman" w:eastAsia="宋体" w:cs="Times New Roman"/>
          <w:color w:val="auto"/>
          <w:sz w:val="24"/>
        </w:rPr>
        <w:t>decalcification</w:t>
      </w:r>
      <w:r>
        <w:rPr>
          <w:rFonts w:hint="eastAsia" w:ascii="Times New Roman" w:hAnsi="Times New Roman" w:eastAsia="宋体" w:cs="Times New Roman"/>
          <w:color w:val="auto"/>
          <w:sz w:val="24"/>
          <w:lang w:val="en-US" w:eastAsia="zh-CN"/>
        </w:rPr>
        <w:t xml:space="preserve"> and </w:t>
      </w:r>
      <w:r>
        <w:rPr>
          <w:rFonts w:hint="eastAsia" w:ascii="Times New Roman" w:hAnsi="Times New Roman" w:eastAsia="宋体" w:cs="Times New Roman"/>
          <w:color w:val="auto"/>
          <w:sz w:val="24"/>
        </w:rPr>
        <w:t>concretion</w:t>
      </w:r>
      <w:r>
        <w:rPr>
          <w:rFonts w:hint="eastAsia" w:ascii="Times New Roman" w:hAnsi="Times New Roman" w:eastAsia="宋体" w:cs="Times New Roman"/>
          <w:color w:val="auto"/>
          <w:sz w:val="24"/>
          <w:lang w:val="en-US" w:eastAsia="zh-CN"/>
        </w:rPr>
        <w:t>s) limit the functional analysis of the currently identified bone tools,</w:t>
      </w:r>
      <w:r>
        <w:rPr>
          <w:color w:val="auto"/>
          <w:lang w:val="en-GB"/>
        </w:rPr>
        <w:t xml:space="preserve"> the</w:t>
      </w:r>
      <w:r>
        <w:rPr>
          <w:rFonts w:hint="eastAsia"/>
          <w:color w:val="auto"/>
          <w:lang w:val="en-US" w:eastAsia="zh-CN"/>
        </w:rPr>
        <w:t>ir</w:t>
      </w:r>
      <w:r>
        <w:rPr>
          <w:color w:val="auto"/>
          <w:lang w:val="en-GB"/>
        </w:rPr>
        <w:t xml:space="preserve"> typological diversity f</w:t>
      </w:r>
      <w:r>
        <w:rPr>
          <w:lang w:val="en-GB"/>
        </w:rPr>
        <w:t xml:space="preserve">alls </w:t>
      </w:r>
      <w:r>
        <w:rPr>
          <w:rFonts w:hint="default"/>
          <w:lang w:val="en-US"/>
        </w:rPr>
        <w:t>completely</w:t>
      </w:r>
      <w:r>
        <w:rPr>
          <w:lang w:val="en-GB"/>
        </w:rPr>
        <w:t xml:space="preserve"> within the variation known for the Middle Palaeolithic in Eurasia</w:t>
      </w:r>
      <w:r>
        <w:rPr>
          <w:rFonts w:hint="eastAsia"/>
          <w:vertAlign w:val="superscript"/>
          <w:lang w:val="en-US" w:eastAsia="zh-CN"/>
        </w:rPr>
        <w:t>76-84</w:t>
      </w:r>
      <w:r>
        <w:rPr>
          <w:lang w:val="en-GB"/>
        </w:rPr>
        <w:t xml:space="preserve">. </w:t>
      </w:r>
    </w:p>
    <w:p w14:paraId="279DEBF3">
      <w:pPr>
        <w:ind w:firstLine="240"/>
        <w:jc w:val="both"/>
        <w:rPr>
          <w:lang w:val="en-GB"/>
        </w:rPr>
      </w:pPr>
      <w:r>
        <w:rPr>
          <w:lang w:val="en-GB"/>
        </w:rPr>
        <w:t>Indeed, retouchers are dominant, although this may be explained by the fact that they are easier to recognise in large faunal assemblages</w:t>
      </w:r>
      <w:r>
        <w:rPr>
          <w:rFonts w:hint="eastAsia"/>
          <w:lang w:val="en-US" w:eastAsia="zh-CN"/>
        </w:rPr>
        <w:t xml:space="preserve"> than other unmodified bone fragments used as tools</w:t>
      </w:r>
      <w:r>
        <w:rPr>
          <w:lang w:val="en-GB"/>
        </w:rPr>
        <w:t xml:space="preserve">. Alongside retouchers, intermediate tools are also present. The working edge of these tools was either unmodified or rapidly shaped into a bevel by direct percussion, thus using a technique generally associated with lithic knapping to intentionally modify the bone fragments to ensure their shape is adequate for the task at hand. The use of these items as intermediate tool is attested by the compression of the edges between the flake removal scars, the development of overlapping micro-scars, splinters and, in one case from </w:t>
      </w:r>
      <w:r>
        <w:rPr>
          <w:rFonts w:hint="eastAsia"/>
          <w:lang w:val="en-US" w:eastAsia="zh-CN"/>
        </w:rPr>
        <w:t>L</w:t>
      </w:r>
      <w:r>
        <w:rPr>
          <w:lang w:val="en-GB"/>
        </w:rPr>
        <w:t>ayer 3, the fracture of the tool. This latter pattern was documented on experimental specimen that were used while the bone was still relatively fresh</w:t>
      </w:r>
      <w:r>
        <w:rPr>
          <w:rFonts w:hint="eastAsia"/>
          <w:vertAlign w:val="superscript"/>
          <w:lang w:val="en-US" w:eastAsia="zh-CN"/>
        </w:rPr>
        <w:t>55</w:t>
      </w:r>
      <w:r>
        <w:rPr>
          <w:vertAlign w:val="superscript"/>
        </w:rPr>
        <w:t>,</w:t>
      </w:r>
      <w:r>
        <w:rPr>
          <w:rFonts w:hint="eastAsia"/>
          <w:vertAlign w:val="superscript"/>
          <w:lang w:val="en-US" w:eastAsia="zh-CN"/>
        </w:rPr>
        <w:t>63</w:t>
      </w:r>
      <w:r>
        <w:rPr>
          <w:vertAlign w:val="superscript"/>
        </w:rPr>
        <w:t>,</w:t>
      </w:r>
      <w:r>
        <w:rPr>
          <w:rFonts w:hint="eastAsia"/>
          <w:vertAlign w:val="superscript"/>
          <w:lang w:val="en-US" w:eastAsia="zh-CN"/>
        </w:rPr>
        <w:t>85</w:t>
      </w:r>
      <w:r>
        <w:rPr>
          <w:lang w:val="en-GB"/>
        </w:rPr>
        <w:t xml:space="preserve">, which further suggests that Denisovans at Bianfu Cave favoured a technological strategy that consisted of selecting fragments with morphology adapted to a given task and rapidly discarded the tool after its initially intended use. </w:t>
      </w:r>
    </w:p>
    <w:p w14:paraId="3732BDC1">
      <w:pPr>
        <w:ind w:firstLine="240"/>
        <w:jc w:val="both"/>
        <w:rPr>
          <w:lang w:val="en-GB"/>
        </w:rPr>
      </w:pPr>
      <w:r>
        <w:rPr>
          <w:lang w:val="en-GB"/>
        </w:rPr>
        <w:t>Finally, several specimens from Bianfu Cave bear a high number of flake removal scars that cannot be attributed to the fracturing of the bone to expose the marrow cavity</w:t>
      </w:r>
      <w:r>
        <w:rPr>
          <w:rFonts w:hint="eastAsia"/>
          <w:vertAlign w:val="superscript"/>
          <w:lang w:val="en-US" w:eastAsia="zh-CN"/>
        </w:rPr>
        <w:t>53</w:t>
      </w:r>
      <w:r>
        <w:rPr>
          <w:vertAlign w:val="superscript"/>
        </w:rPr>
        <w:t>,</w:t>
      </w:r>
      <w:r>
        <w:rPr>
          <w:rFonts w:hint="eastAsia"/>
          <w:vertAlign w:val="superscript"/>
          <w:lang w:val="en-US" w:eastAsia="zh-CN"/>
        </w:rPr>
        <w:t>56</w:t>
      </w:r>
      <w:r>
        <w:rPr>
          <w:lang w:val="en-GB"/>
        </w:rPr>
        <w:t>. While the function of these objects as tools remains to be established, the scar pattern they bear suggest an intentional anthropogenic origin that aimed to modify the bone fragment’s outline and shape its working edge.</w:t>
      </w:r>
    </w:p>
    <w:p w14:paraId="30A65481">
      <w:pPr>
        <w:pStyle w:val="2"/>
        <w:keepNext w:val="0"/>
        <w:spacing w:after="0"/>
      </w:pPr>
    </w:p>
    <w:p w14:paraId="523ADA28">
      <w:pPr>
        <w:pStyle w:val="2"/>
        <w:keepNext w:val="0"/>
        <w:keepLines/>
        <w:pageBreakBefore w:val="0"/>
        <w:widowControl/>
        <w:kinsoku/>
        <w:wordWrap/>
        <w:overflowPunct/>
        <w:topLinePunct w:val="0"/>
        <w:autoSpaceDE/>
        <w:autoSpaceDN/>
        <w:bidi w:val="0"/>
        <w:adjustRightInd/>
        <w:snapToGrid/>
        <w:spacing w:after="0" w:line="360" w:lineRule="auto"/>
        <w:textAlignment w:val="auto"/>
      </w:pPr>
    </w:p>
    <w:p w14:paraId="78E3E0A7">
      <w:pPr>
        <w:pStyle w:val="2"/>
        <w:keepNext w:val="0"/>
        <w:keepLines/>
        <w:pageBreakBefore w:val="0"/>
        <w:widowControl/>
        <w:kinsoku/>
        <w:wordWrap/>
        <w:overflowPunct/>
        <w:topLinePunct w:val="0"/>
        <w:autoSpaceDE/>
        <w:autoSpaceDN/>
        <w:bidi w:val="0"/>
        <w:adjustRightInd/>
        <w:snapToGrid/>
        <w:spacing w:after="0" w:line="360" w:lineRule="auto"/>
        <w:textAlignment w:val="auto"/>
      </w:pPr>
    </w:p>
    <w:bookmarkEnd w:id="9"/>
    <w:p w14:paraId="40ED30C2">
      <w:pPr>
        <w:pStyle w:val="2"/>
        <w:keepNext w:val="0"/>
        <w:spacing w:after="0" w:line="240" w:lineRule="auto"/>
      </w:pPr>
    </w:p>
    <w:p w14:paraId="72DF1072">
      <w:pPr>
        <w:pStyle w:val="2"/>
        <w:keepNext w:val="0"/>
        <w:spacing w:after="0" w:line="240" w:lineRule="auto"/>
        <w:rPr>
          <w:rFonts w:hint="eastAsia"/>
          <w:lang w:val="en-US" w:eastAsia="zh-CN"/>
        </w:rPr>
      </w:pPr>
      <w:r>
        <w:t xml:space="preserve">Supplementary Information </w:t>
      </w:r>
      <w:r>
        <w:rPr>
          <w:rFonts w:hint="eastAsia"/>
          <w:lang w:val="en-US" w:eastAsia="zh-CN"/>
        </w:rPr>
        <w:t>F</w:t>
      </w:r>
      <w:r>
        <w:t xml:space="preserve">: </w:t>
      </w:r>
      <w:r>
        <w:rPr>
          <w:rFonts w:hint="eastAsia"/>
          <w:lang w:val="en-US" w:eastAsia="zh-CN"/>
        </w:rPr>
        <w:t>Faunal Assemblages and Taphonomy</w:t>
      </w:r>
    </w:p>
    <w:p w14:paraId="3D745A6D">
      <w:pPr>
        <w:pStyle w:val="3"/>
        <w:jc w:val="both"/>
      </w:pPr>
      <w:r>
        <w:rPr>
          <w:rFonts w:hint="eastAsia"/>
          <w:lang w:val="en-US" w:eastAsia="zh-CN"/>
        </w:rPr>
        <w:t>Bianfu Cave faunal assemblage: Fragmentation and sampling strategy</w:t>
      </w:r>
    </w:p>
    <w:p w14:paraId="2E3D5052">
      <w:pPr>
        <w:ind w:firstLine="240" w:firstLineChars="100"/>
        <w:jc w:val="both"/>
        <w:rPr>
          <w:rFonts w:asciiTheme="majorBidi" w:hAnsiTheme="majorBidi" w:cstheme="majorBidi"/>
        </w:rPr>
      </w:pPr>
      <w:r>
        <w:rPr>
          <w:rFonts w:asciiTheme="majorBidi" w:hAnsiTheme="majorBidi" w:cstheme="majorBidi"/>
        </w:rPr>
        <w:t>The faunal assemblage recovered from the salvage excavation at Bianfu Cave includes more than 64,000 remains (</w:t>
      </w:r>
      <w:r>
        <w:rPr>
          <w:rFonts w:hint="eastAsia"/>
          <w:color w:val="0000FF"/>
          <w:lang w:val="en-US" w:eastAsia="zh-CN"/>
        </w:rPr>
        <w:t xml:space="preserve">Supplementary Figs. 40, 41; </w:t>
      </w:r>
      <w:r>
        <w:rPr>
          <w:color w:val="0000FF"/>
        </w:rPr>
        <w:t>S</w:t>
      </w:r>
      <w:r>
        <w:rPr>
          <w:rFonts w:hint="eastAsia"/>
          <w:color w:val="0000FF"/>
          <w:lang w:val="en-US" w:eastAsia="zh-CN"/>
        </w:rPr>
        <w:t xml:space="preserve">upplementary </w:t>
      </w:r>
      <w:r>
        <w:rPr>
          <w:color w:val="0000FF"/>
        </w:rPr>
        <w:t>Table 2</w:t>
      </w:r>
      <w:r>
        <w:rPr>
          <w:rFonts w:hint="eastAsia"/>
          <w:color w:val="0000FF"/>
          <w:lang w:val="en-US" w:eastAsia="zh-CN"/>
        </w:rPr>
        <w:t>5</w:t>
      </w:r>
      <w:r>
        <w:rPr>
          <w:rFonts w:asciiTheme="majorBidi" w:hAnsiTheme="majorBidi" w:cstheme="majorBidi"/>
        </w:rPr>
        <w:t>). The specimens are highly fragmented, in part owing to the cemented nature of Layers 7 to 12, which made their recovery without damage extremely difficult. As a result, only 2.1% of the faunal remains from these layers measure 5 cm in length or more compared to 8.3% in Layers 3, 4 and 6. Layer 5 yielded only nine faunal fragments, all measuring less than 5 cm. Given this high fragmentation, refitting, as proposed by</w:t>
      </w:r>
      <w:r>
        <w:rPr>
          <w:rFonts w:asciiTheme="majorBidi" w:hAnsiTheme="majorBidi" w:cstheme="majorBidi"/>
          <w:highlight w:val="none"/>
        </w:rPr>
        <w:t xml:space="preserve"> Marean and Kim</w:t>
      </w:r>
      <w:r>
        <w:rPr>
          <w:rFonts w:hint="eastAsia" w:asciiTheme="majorBidi" w:hAnsiTheme="majorBidi" w:cstheme="majorBidi"/>
          <w:highlight w:val="none"/>
          <w:vertAlign w:val="superscript"/>
          <w:lang w:val="en-US" w:eastAsia="zh-CN"/>
        </w:rPr>
        <w:t>86</w:t>
      </w:r>
      <w:r>
        <w:rPr>
          <w:rFonts w:asciiTheme="majorBidi" w:hAnsiTheme="majorBidi" w:cstheme="majorBidi"/>
          <w:highlight w:val="none"/>
        </w:rPr>
        <w:t xml:space="preserve">, </w:t>
      </w:r>
      <w:r>
        <w:rPr>
          <w:rFonts w:asciiTheme="majorBidi" w:hAnsiTheme="majorBidi" w:cstheme="majorBidi"/>
        </w:rPr>
        <w:t>was not attempted. Our sampling strategy reflects the key questions we wished to address:</w:t>
      </w:r>
    </w:p>
    <w:p w14:paraId="0346457A">
      <w:pPr>
        <w:pStyle w:val="33"/>
        <w:numPr>
          <w:ilvl w:val="0"/>
          <w:numId w:val="7"/>
        </w:numPr>
        <w:jc w:val="both"/>
        <w:rPr>
          <w:rFonts w:asciiTheme="majorBidi" w:hAnsiTheme="majorBidi" w:cstheme="majorBidi"/>
        </w:rPr>
      </w:pPr>
      <w:r>
        <w:rPr>
          <w:rFonts w:asciiTheme="majorBidi" w:hAnsiTheme="majorBidi" w:cstheme="majorBidi"/>
        </w:rPr>
        <w:t>What are the species represented in each layer and how does the spectra inform us on the palaeoenvironmental contexts of the human occupations?</w:t>
      </w:r>
    </w:p>
    <w:p w14:paraId="4E969FA2">
      <w:pPr>
        <w:pStyle w:val="33"/>
        <w:numPr>
          <w:ilvl w:val="0"/>
          <w:numId w:val="7"/>
        </w:numPr>
        <w:jc w:val="both"/>
        <w:rPr>
          <w:rFonts w:asciiTheme="majorBidi" w:hAnsiTheme="majorBidi" w:cstheme="majorBidi"/>
        </w:rPr>
      </w:pPr>
      <w:r>
        <w:rPr>
          <w:rFonts w:asciiTheme="majorBidi" w:hAnsiTheme="majorBidi" w:cstheme="majorBidi"/>
        </w:rPr>
        <w:t>Who was (or were) the primary agent(s) responsible for the accumulation of the faunal assemblage?</w:t>
      </w:r>
    </w:p>
    <w:p w14:paraId="10C9BDFD">
      <w:pPr>
        <w:pStyle w:val="33"/>
        <w:numPr>
          <w:ilvl w:val="0"/>
          <w:numId w:val="7"/>
        </w:numPr>
        <w:rPr>
          <w:rFonts w:asciiTheme="majorBidi" w:hAnsiTheme="majorBidi" w:cstheme="majorBidi"/>
        </w:rPr>
      </w:pPr>
      <w:r>
        <w:rPr>
          <w:rFonts w:asciiTheme="majorBidi" w:hAnsiTheme="majorBidi" w:cstheme="majorBidi"/>
        </w:rPr>
        <w:t>What is the evidence for anthropogenic modifications of the faunal remains?</w:t>
      </w:r>
    </w:p>
    <w:p w14:paraId="6802D706">
      <w:pPr>
        <w:ind w:firstLine="284" w:firstLineChars="0"/>
        <w:jc w:val="both"/>
        <w:rPr>
          <w:rFonts w:asciiTheme="majorBidi" w:hAnsiTheme="majorBidi" w:cstheme="majorBidi"/>
          <w:highlight w:val="none"/>
        </w:rPr>
      </w:pPr>
      <w:r>
        <w:rPr>
          <w:rFonts w:asciiTheme="majorBidi" w:hAnsiTheme="majorBidi" w:cstheme="majorBidi"/>
        </w:rPr>
        <w:t xml:space="preserve">A first sample included all identifiable remains, which mainly comprises isolated teeth and maxillae/mandibles with teeth and amounts to 1,896 specimens. Owing to its good preservation, this sample was used to establish the species represented in the faunal spectrum for each layer, calculate the Minimum Number of Individuals (MNI) and produce mortality profiles. A second sample includes all bone fragments with length greater or equal to 5 cm to estimate the skeletal representation more accurately, and to record bone surface modifications that would allow infer the agent(s) responsible for the accumulation of the assemblage. Generally speaking, the second sample is less well preserved than the first one, which is common </w:t>
      </w:r>
      <w:r>
        <w:rPr>
          <w:rFonts w:hint="eastAsia" w:asciiTheme="majorBidi" w:hAnsiTheme="majorBidi" w:cstheme="majorBidi"/>
          <w:lang w:val="en-US" w:eastAsia="zh-CN"/>
        </w:rPr>
        <w:t>in the cave sites in s</w:t>
      </w:r>
      <w:r>
        <w:rPr>
          <w:rFonts w:asciiTheme="majorBidi" w:hAnsiTheme="majorBidi" w:cstheme="majorBidi"/>
        </w:rPr>
        <w:t>outhern China</w:t>
      </w:r>
      <w:r>
        <w:rPr>
          <w:rFonts w:hint="eastAsia" w:asciiTheme="majorBidi" w:hAnsiTheme="majorBidi" w:cstheme="majorBidi"/>
          <w:vertAlign w:val="superscript"/>
          <w:lang w:val="en-US" w:eastAsia="zh-CN"/>
        </w:rPr>
        <w:t>87,88</w:t>
      </w:r>
      <w:r>
        <w:rPr>
          <w:rFonts w:asciiTheme="majorBidi" w:hAnsiTheme="majorBidi" w:cstheme="majorBidi"/>
        </w:rPr>
        <w:t xml:space="preserve">. In most cases, the 5,428 bone fragments included in this second sample could not be taxonomically identified. They were, therefore, assigned to mammal size-class based on their cortical thickness following the method developed by </w:t>
      </w:r>
      <w:r>
        <w:rPr>
          <w:rFonts w:asciiTheme="majorBidi" w:hAnsiTheme="majorBidi" w:cstheme="majorBidi"/>
          <w:highlight w:val="none"/>
        </w:rPr>
        <w:t>Bunn</w:t>
      </w:r>
      <w:r>
        <w:rPr>
          <w:rFonts w:hint="eastAsia" w:asciiTheme="majorBidi" w:hAnsiTheme="majorBidi" w:cstheme="majorBidi"/>
          <w:highlight w:val="none"/>
          <w:vertAlign w:val="superscript"/>
          <w:lang w:val="en-US" w:eastAsia="zh-CN"/>
        </w:rPr>
        <w:t>46</w:t>
      </w:r>
      <w:r>
        <w:rPr>
          <w:rFonts w:hint="eastAsia" w:asciiTheme="majorBidi" w:hAnsiTheme="majorBidi" w:cstheme="majorBidi"/>
          <w:highlight w:val="none"/>
          <w:vertAlign w:val="baseline"/>
          <w:lang w:val="en-US" w:eastAsia="zh-CN"/>
        </w:rPr>
        <w:t xml:space="preserve"> (</w:t>
      </w:r>
      <w:r>
        <w:rPr>
          <w:rFonts w:hint="eastAsia"/>
          <w:color w:val="0000FF"/>
          <w:lang w:val="en-US" w:eastAsia="zh-CN"/>
        </w:rPr>
        <w:t>Supplementary Tables 26, 27</w:t>
      </w:r>
      <w:r>
        <w:rPr>
          <w:rFonts w:hint="eastAsia" w:asciiTheme="majorBidi" w:hAnsiTheme="majorBidi" w:cstheme="majorBidi"/>
          <w:highlight w:val="none"/>
          <w:vertAlign w:val="baseline"/>
          <w:lang w:val="en-US" w:eastAsia="zh-CN"/>
        </w:rPr>
        <w:t>)</w:t>
      </w:r>
      <w:r>
        <w:rPr>
          <w:rFonts w:asciiTheme="majorBidi" w:hAnsiTheme="majorBidi" w:cstheme="majorBidi"/>
          <w:highlight w:val="none"/>
        </w:rPr>
        <w:t>.</w:t>
      </w:r>
    </w:p>
    <w:p w14:paraId="665E1F0B">
      <w:pPr>
        <w:keepNext w:val="0"/>
        <w:keepLines w:val="0"/>
        <w:pageBreakBefore w:val="0"/>
        <w:widowControl/>
        <w:kinsoku/>
        <w:wordWrap/>
        <w:overflowPunct/>
        <w:topLinePunct w:val="0"/>
        <w:autoSpaceDE/>
        <w:autoSpaceDN/>
        <w:bidi w:val="0"/>
        <w:adjustRightInd/>
        <w:snapToGrid/>
        <w:spacing w:after="0"/>
        <w:ind w:firstLine="0" w:firstLineChars="0"/>
        <w:jc w:val="both"/>
        <w:textAlignment w:val="auto"/>
        <w:rPr>
          <w:rFonts w:hint="eastAsia" w:cstheme="majorBidi"/>
          <w:b/>
          <w:bCs/>
          <w:snapToGrid w:val="0"/>
          <w:szCs w:val="32"/>
          <w:lang w:val="en-US" w:eastAsia="zh-CN"/>
        </w:rPr>
      </w:pPr>
      <w:r>
        <w:rPr>
          <w:rFonts w:hint="eastAsia" w:cstheme="majorBidi"/>
          <w:b/>
          <w:bCs/>
          <w:snapToGrid w:val="0"/>
          <w:szCs w:val="32"/>
          <w:lang w:val="en-US" w:eastAsia="zh-CN"/>
        </w:rPr>
        <w:t>Methods</w:t>
      </w:r>
    </w:p>
    <w:p w14:paraId="04BCBC7C">
      <w:pPr>
        <w:pStyle w:val="4"/>
        <w:keepNext w:val="0"/>
        <w:keepLines w:val="0"/>
        <w:pageBreakBefore w:val="0"/>
        <w:widowControl/>
        <w:kinsoku/>
        <w:wordWrap/>
        <w:overflowPunct/>
        <w:topLinePunct w:val="0"/>
        <w:autoSpaceDE/>
        <w:autoSpaceDN/>
        <w:bidi w:val="0"/>
        <w:adjustRightInd/>
        <w:snapToGrid/>
        <w:spacing w:before="0"/>
        <w:textAlignment w:val="auto"/>
        <w:rPr>
          <w:lang w:val="en-US"/>
        </w:rPr>
      </w:pPr>
      <w:r>
        <w:rPr>
          <w:lang w:val="en-US"/>
        </w:rPr>
        <w:t>Species and skeletal element identification</w:t>
      </w:r>
    </w:p>
    <w:p w14:paraId="74AD077C">
      <w:pPr>
        <w:ind w:firstLine="240" w:firstLineChars="100"/>
        <w:jc w:val="both"/>
        <w:rPr>
          <w:rFonts w:asciiTheme="majorBidi" w:hAnsiTheme="majorBidi" w:cstheme="majorBidi"/>
          <w:lang w:val="en-GB"/>
        </w:rPr>
      </w:pPr>
      <w:r>
        <w:rPr>
          <w:rFonts w:asciiTheme="majorBidi" w:hAnsiTheme="majorBidi" w:cstheme="majorBidi"/>
        </w:rPr>
        <w:t xml:space="preserve">Taxonomic and element identification was achieved via comparisons with the </w:t>
      </w:r>
      <w:r>
        <w:rPr>
          <w:rFonts w:asciiTheme="majorBidi" w:hAnsiTheme="majorBidi" w:cstheme="majorBidi"/>
          <w:lang w:val="en-GB"/>
        </w:rPr>
        <w:t>reference collection curated at the Yunan Provincial Institute of Archaeology and atlases of comparative anatomy</w:t>
      </w:r>
      <w:r>
        <w:rPr>
          <w:rFonts w:hint="eastAsia" w:asciiTheme="majorBidi" w:hAnsiTheme="majorBidi" w:cstheme="majorBidi"/>
          <w:vertAlign w:val="superscript"/>
          <w:lang w:val="en-US" w:eastAsia="zh-CN"/>
        </w:rPr>
        <w:t>89-92</w:t>
      </w:r>
      <w:r>
        <w:rPr>
          <w:rFonts w:asciiTheme="majorBidi" w:hAnsiTheme="majorBidi" w:cstheme="majorBidi"/>
          <w:lang w:val="en-GB"/>
        </w:rPr>
        <w:t xml:space="preserve">. The landmark-based approach proposed by </w:t>
      </w:r>
      <w:r>
        <w:rPr>
          <w:rFonts w:asciiTheme="majorBidi" w:hAnsiTheme="majorBidi" w:cstheme="majorBidi"/>
          <w:highlight w:val="none"/>
          <w:lang w:val="en-GB"/>
        </w:rPr>
        <w:t>Morin et al.</w:t>
      </w:r>
      <w:r>
        <w:rPr>
          <w:rFonts w:hint="eastAsia" w:asciiTheme="majorBidi" w:hAnsiTheme="majorBidi" w:cstheme="majorBidi"/>
          <w:highlight w:val="none"/>
          <w:vertAlign w:val="superscript"/>
          <w:lang w:val="en-US" w:eastAsia="zh-CN"/>
        </w:rPr>
        <w:t xml:space="preserve">93 </w:t>
      </w:r>
      <w:r>
        <w:rPr>
          <w:rFonts w:asciiTheme="majorBidi" w:hAnsiTheme="majorBidi" w:cstheme="majorBidi"/>
          <w:lang w:val="en-GB"/>
        </w:rPr>
        <w:t>was also used to assign smaller fragments to specific genera or species, and/or elements.</w:t>
      </w:r>
    </w:p>
    <w:p w14:paraId="7D5F2ECB">
      <w:pPr>
        <w:pStyle w:val="4"/>
        <w:rPr>
          <w:lang w:val="en-US"/>
        </w:rPr>
      </w:pPr>
      <w:r>
        <w:rPr>
          <w:lang w:val="en-US"/>
        </w:rPr>
        <w:t>MNI and mortality profiles</w:t>
      </w:r>
    </w:p>
    <w:p w14:paraId="47932372">
      <w:pPr>
        <w:ind w:firstLine="240" w:firstLineChars="100"/>
        <w:jc w:val="both"/>
        <w:rPr>
          <w:rFonts w:asciiTheme="majorBidi" w:hAnsiTheme="majorBidi" w:cstheme="majorBidi"/>
        </w:rPr>
      </w:pPr>
      <w:r>
        <w:rPr>
          <w:rFonts w:asciiTheme="majorBidi" w:hAnsiTheme="majorBidi" w:cstheme="majorBidi"/>
        </w:rPr>
        <w:t xml:space="preserve">After discarding post-cranial bone fragments, indistinguishable canines and tooth fragments, the total number of identifiable specimens (NISP) amounted to 1,705 teeth. The differential preservation method proposed by </w:t>
      </w:r>
      <w:r>
        <w:rPr>
          <w:rFonts w:asciiTheme="majorBidi" w:hAnsiTheme="majorBidi" w:cstheme="majorBidi"/>
          <w:highlight w:val="none"/>
        </w:rPr>
        <w:t>Brain</w:t>
      </w:r>
      <w:r>
        <w:rPr>
          <w:rFonts w:hint="eastAsia" w:asciiTheme="majorBidi" w:hAnsiTheme="majorBidi" w:cstheme="majorBidi"/>
          <w:highlight w:val="none"/>
          <w:vertAlign w:val="superscript"/>
          <w:lang w:val="en-US" w:eastAsia="zh-CN"/>
        </w:rPr>
        <w:t>94</w:t>
      </w:r>
      <w:r>
        <w:rPr>
          <w:rFonts w:asciiTheme="majorBidi" w:hAnsiTheme="majorBidi" w:cstheme="majorBidi"/>
        </w:rPr>
        <w:t xml:space="preserve"> was used to assess whether the skeletal element selected to calculate the MNI was reliable at Bianfu Cave. The sequence of tooth loss and eruption was accounted for the calculation of the MNI by combining deciduous and permanent teeth of the maxillae and mandibles for each species that yielded enough specimens.</w:t>
      </w:r>
    </w:p>
    <w:p w14:paraId="70C2E217">
      <w:pPr>
        <w:ind w:firstLine="240" w:firstLineChars="100"/>
        <w:jc w:val="both"/>
        <w:rPr>
          <w:rFonts w:asciiTheme="majorBidi" w:hAnsiTheme="majorBidi" w:cstheme="majorBidi"/>
        </w:rPr>
      </w:pPr>
      <w:r>
        <w:rPr>
          <w:rFonts w:asciiTheme="majorBidi" w:hAnsiTheme="majorBidi" w:cstheme="majorBidi"/>
          <w:lang w:val="en-GB"/>
        </w:rPr>
        <w:t>The mortality profiles for dominant herbivore species were established based on the dental wear of the third molar in adults (M</w:t>
      </w:r>
      <w:r>
        <w:rPr>
          <w:rFonts w:asciiTheme="majorBidi" w:hAnsiTheme="majorBidi" w:cstheme="majorBidi"/>
          <w:vertAlign w:val="subscript"/>
          <w:lang w:val="en-GB"/>
        </w:rPr>
        <w:t>3</w:t>
      </w:r>
      <w:r>
        <w:rPr>
          <w:rFonts w:asciiTheme="majorBidi" w:hAnsiTheme="majorBidi" w:cstheme="majorBidi"/>
          <w:lang w:val="en-GB"/>
        </w:rPr>
        <w:t>) and the fourth deciduous premolar for young individuals (DP</w:t>
      </w:r>
      <w:r>
        <w:rPr>
          <w:rFonts w:asciiTheme="majorBidi" w:hAnsiTheme="majorBidi" w:cstheme="majorBidi"/>
          <w:vertAlign w:val="subscript"/>
          <w:lang w:val="en-GB"/>
        </w:rPr>
        <w:t>4</w:t>
      </w:r>
      <w:r>
        <w:rPr>
          <w:rFonts w:asciiTheme="majorBidi" w:hAnsiTheme="majorBidi" w:cstheme="majorBidi"/>
          <w:lang w:val="en-GB"/>
        </w:rPr>
        <w:t>). This methodology is justified by the fact that M</w:t>
      </w:r>
      <w:r>
        <w:rPr>
          <w:rFonts w:asciiTheme="majorBidi" w:hAnsiTheme="majorBidi" w:cstheme="majorBidi"/>
          <w:vertAlign w:val="subscript"/>
          <w:lang w:val="en-GB"/>
        </w:rPr>
        <w:t>3</w:t>
      </w:r>
      <w:r>
        <w:rPr>
          <w:rFonts w:asciiTheme="majorBidi" w:hAnsiTheme="majorBidi" w:cstheme="majorBidi"/>
          <w:lang w:val="en-GB"/>
        </w:rPr>
        <w:t xml:space="preserve"> erupts only after the shedding of DP</w:t>
      </w:r>
      <w:r>
        <w:rPr>
          <w:rFonts w:asciiTheme="majorBidi" w:hAnsiTheme="majorBidi" w:cstheme="majorBidi"/>
          <w:vertAlign w:val="subscript"/>
          <w:lang w:val="en-GB"/>
        </w:rPr>
        <w:t>4</w:t>
      </w:r>
      <w:r>
        <w:rPr>
          <w:rFonts w:asciiTheme="majorBidi" w:hAnsiTheme="majorBidi" w:cstheme="majorBidi"/>
          <w:lang w:val="en-GB"/>
        </w:rPr>
        <w:t xml:space="preserve"> in larger herbivores, thus allowing to cover the full life cycle of these animals. </w:t>
      </w:r>
      <w:r>
        <w:rPr>
          <w:rFonts w:asciiTheme="majorBidi" w:hAnsiTheme="majorBidi" w:cstheme="majorBidi"/>
        </w:rPr>
        <w:t>All DP</w:t>
      </w:r>
      <w:r>
        <w:rPr>
          <w:rFonts w:asciiTheme="majorBidi" w:hAnsiTheme="majorBidi" w:cstheme="majorBidi"/>
          <w:vertAlign w:val="subscript"/>
        </w:rPr>
        <w:t>4</w:t>
      </w:r>
      <w:r>
        <w:rPr>
          <w:rFonts w:asciiTheme="majorBidi" w:hAnsiTheme="majorBidi" w:cstheme="majorBidi"/>
        </w:rPr>
        <w:t xml:space="preserve"> were assigned to juvenile individuals. For the M</w:t>
      </w:r>
      <w:r>
        <w:rPr>
          <w:rFonts w:asciiTheme="majorBidi" w:hAnsiTheme="majorBidi" w:cstheme="majorBidi"/>
          <w:vertAlign w:val="subscript"/>
        </w:rPr>
        <w:t>3</w:t>
      </w:r>
      <w:r>
        <w:rPr>
          <w:rFonts w:asciiTheme="majorBidi" w:hAnsiTheme="majorBidi" w:cstheme="majorBidi"/>
        </w:rPr>
        <w:t xml:space="preserve">, the individual age was established by measuring the height of the tooth crown, the sequence of tooth eruption, and the degree of tooth wear. Since </w:t>
      </w:r>
      <w:r>
        <w:rPr>
          <w:rFonts w:asciiTheme="majorBidi" w:hAnsiTheme="majorBidi" w:cstheme="majorBidi"/>
          <w:i/>
        </w:rPr>
        <w:t>Bubalus</w:t>
      </w:r>
      <w:r>
        <w:rPr>
          <w:rFonts w:asciiTheme="majorBidi" w:hAnsiTheme="majorBidi" w:cstheme="majorBidi"/>
        </w:rPr>
        <w:t xml:space="preserve"> sp. and </w:t>
      </w:r>
      <w:r>
        <w:rPr>
          <w:rFonts w:asciiTheme="majorBidi" w:hAnsiTheme="majorBidi" w:cstheme="majorBidi"/>
          <w:i/>
        </w:rPr>
        <w:t>Bos</w:t>
      </w:r>
      <w:r>
        <w:rPr>
          <w:rFonts w:hint="eastAsia" w:asciiTheme="majorBidi" w:hAnsiTheme="majorBidi" w:cstheme="majorBidi"/>
          <w:i/>
          <w:lang w:val="en-US" w:eastAsia="zh-CN"/>
        </w:rPr>
        <w:t xml:space="preserve"> </w:t>
      </w:r>
      <w:r>
        <w:rPr>
          <w:rFonts w:asciiTheme="majorBidi" w:hAnsiTheme="majorBidi" w:cstheme="majorBidi"/>
          <w:i/>
        </w:rPr>
        <w:t>(Bibos) gaurus</w:t>
      </w:r>
      <w:r>
        <w:rPr>
          <w:rFonts w:asciiTheme="majorBidi" w:hAnsiTheme="majorBidi" w:cstheme="majorBidi"/>
          <w:iCs/>
        </w:rPr>
        <w:t xml:space="preserve"> on the one hand, and </w:t>
      </w:r>
      <w:r>
        <w:rPr>
          <w:rFonts w:asciiTheme="majorBidi" w:hAnsiTheme="majorBidi" w:cstheme="majorBidi"/>
          <w:i/>
        </w:rPr>
        <w:t>Cervus elaphus</w:t>
      </w:r>
      <w:r>
        <w:rPr>
          <w:rFonts w:asciiTheme="majorBidi" w:hAnsiTheme="majorBidi" w:cstheme="majorBidi"/>
        </w:rPr>
        <w:t xml:space="preserve"> and </w:t>
      </w:r>
      <w:r>
        <w:rPr>
          <w:rFonts w:asciiTheme="majorBidi" w:hAnsiTheme="majorBidi" w:cstheme="majorBidi"/>
          <w:i/>
        </w:rPr>
        <w:t>Cervus (Sika) nippon</w:t>
      </w:r>
      <w:r>
        <w:rPr>
          <w:rFonts w:asciiTheme="majorBidi" w:hAnsiTheme="majorBidi" w:cstheme="majorBidi"/>
          <w:iCs/>
        </w:rPr>
        <w:t xml:space="preserve"> on the other,</w:t>
      </w:r>
      <w:r>
        <w:rPr>
          <w:rFonts w:asciiTheme="majorBidi" w:hAnsiTheme="majorBidi" w:cstheme="majorBidi"/>
        </w:rPr>
        <w:t xml:space="preserve"> share similar body size, sequence of tooth eruption, and enamel wear trajectories, bovids and cervids were combined into two classification units for the analysis. </w:t>
      </w:r>
      <w:r>
        <w:rPr>
          <w:rFonts w:asciiTheme="majorBidi" w:hAnsiTheme="majorBidi" w:cstheme="majorBidi"/>
          <w:bCs/>
        </w:rPr>
        <w:t>The individual age estimate from dental crown heights</w:t>
      </w:r>
      <w:r>
        <w:rPr>
          <w:rFonts w:asciiTheme="majorBidi" w:hAnsiTheme="majorBidi" w:cstheme="majorBidi"/>
        </w:rPr>
        <w:t xml:space="preserve"> of M</w:t>
      </w:r>
      <w:r>
        <w:rPr>
          <w:rFonts w:asciiTheme="majorBidi" w:hAnsiTheme="majorBidi" w:cstheme="majorBidi"/>
          <w:vertAlign w:val="subscript"/>
        </w:rPr>
        <w:t>3</w:t>
      </w:r>
      <w:r>
        <w:rPr>
          <w:rFonts w:asciiTheme="majorBidi" w:hAnsiTheme="majorBidi" w:cstheme="majorBidi"/>
        </w:rPr>
        <w:t xml:space="preserve"> for Bovids relied on the following formula: </w:t>
      </w:r>
      <w:r>
        <w:rPr>
          <w:rFonts w:asciiTheme="majorBidi" w:hAnsiTheme="majorBidi" w:cstheme="majorBidi"/>
          <w:i/>
        </w:rPr>
        <w:t>AGE</w:t>
      </w:r>
      <w:r>
        <w:rPr>
          <w:rFonts w:asciiTheme="majorBidi" w:hAnsiTheme="majorBidi" w:cstheme="majorBidi"/>
        </w:rPr>
        <w:t>=</w:t>
      </w:r>
      <w:r>
        <w:rPr>
          <w:rFonts w:asciiTheme="majorBidi" w:hAnsiTheme="majorBidi" w:cstheme="majorBidi"/>
          <w:i/>
        </w:rPr>
        <w:t>AGE</w:t>
      </w:r>
      <w:r>
        <w:rPr>
          <w:rFonts w:asciiTheme="majorBidi" w:hAnsiTheme="majorBidi" w:cstheme="majorBidi"/>
          <w:i/>
          <w:vertAlign w:val="subscript"/>
        </w:rPr>
        <w:t>pel</w:t>
      </w:r>
      <w:r>
        <w:rPr>
          <w:rFonts w:asciiTheme="majorBidi" w:hAnsiTheme="majorBidi" w:cstheme="majorBidi"/>
        </w:rPr>
        <w:t>-2 (</w:t>
      </w:r>
      <w:r>
        <w:rPr>
          <w:rFonts w:asciiTheme="majorBidi" w:hAnsiTheme="majorBidi" w:cstheme="majorBidi"/>
          <w:i/>
        </w:rPr>
        <w:t>AGE</w:t>
      </w:r>
      <w:r>
        <w:rPr>
          <w:rFonts w:asciiTheme="majorBidi" w:hAnsiTheme="majorBidi" w:cstheme="majorBidi"/>
          <w:i/>
          <w:vertAlign w:val="subscript"/>
        </w:rPr>
        <w:t>pel</w:t>
      </w:r>
      <w:r>
        <w:rPr>
          <w:rFonts w:asciiTheme="majorBidi" w:hAnsiTheme="majorBidi" w:cstheme="majorBidi"/>
        </w:rPr>
        <w:t>-</w:t>
      </w:r>
      <w:r>
        <w:rPr>
          <w:rFonts w:asciiTheme="majorBidi" w:hAnsiTheme="majorBidi" w:cstheme="majorBidi"/>
          <w:i/>
        </w:rPr>
        <w:t>AGE</w:t>
      </w:r>
      <w:r>
        <w:rPr>
          <w:rFonts w:asciiTheme="majorBidi" w:hAnsiTheme="majorBidi" w:cstheme="majorBidi"/>
          <w:i/>
          <w:vertAlign w:val="subscript"/>
        </w:rPr>
        <w:t>e</w:t>
      </w:r>
      <w:r>
        <w:rPr>
          <w:rFonts w:asciiTheme="majorBidi" w:hAnsiTheme="majorBidi" w:cstheme="majorBidi"/>
          <w:iCs/>
        </w:rPr>
        <w:t>)</w:t>
      </w:r>
      <w:r>
        <w:rPr>
          <w:rFonts w:asciiTheme="majorBidi" w:hAnsiTheme="majorBidi" w:cstheme="majorBidi"/>
          <w:i/>
        </w:rPr>
        <w:t xml:space="preserve"> </w:t>
      </w:r>
      <w:r>
        <w:rPr>
          <w:rFonts w:asciiTheme="majorBidi" w:hAnsiTheme="majorBidi" w:cstheme="majorBidi"/>
          <w:iCs/>
        </w:rPr>
        <w:t>(</w:t>
      </w:r>
      <w:r>
        <w:rPr>
          <w:rFonts w:asciiTheme="majorBidi" w:hAnsiTheme="majorBidi" w:cstheme="majorBidi"/>
          <w:i/>
        </w:rPr>
        <w:t>CH</w:t>
      </w:r>
      <w:r>
        <w:rPr>
          <w:rFonts w:asciiTheme="majorBidi" w:hAnsiTheme="majorBidi" w:cstheme="majorBidi"/>
        </w:rPr>
        <w:t>/</w:t>
      </w:r>
      <w:r>
        <w:rPr>
          <w:rFonts w:asciiTheme="majorBidi" w:hAnsiTheme="majorBidi" w:cstheme="majorBidi"/>
          <w:i/>
        </w:rPr>
        <w:t>CH</w:t>
      </w:r>
      <w:r>
        <w:rPr>
          <w:rFonts w:asciiTheme="majorBidi" w:hAnsiTheme="majorBidi" w:cstheme="majorBidi"/>
          <w:i/>
          <w:vertAlign w:val="subscript"/>
        </w:rPr>
        <w:t>O</w:t>
      </w:r>
      <w:r>
        <w:rPr>
          <w:rFonts w:asciiTheme="majorBidi" w:hAnsiTheme="majorBidi" w:cstheme="majorBidi"/>
        </w:rPr>
        <w:t>) +(</w:t>
      </w:r>
      <w:r>
        <w:rPr>
          <w:rFonts w:asciiTheme="majorBidi" w:hAnsiTheme="majorBidi" w:cstheme="majorBidi"/>
          <w:i/>
        </w:rPr>
        <w:t>AGE</w:t>
      </w:r>
      <w:r>
        <w:rPr>
          <w:rFonts w:asciiTheme="majorBidi" w:hAnsiTheme="majorBidi" w:cstheme="majorBidi"/>
          <w:i/>
          <w:vertAlign w:val="subscript"/>
        </w:rPr>
        <w:t>pel</w:t>
      </w:r>
      <w:r>
        <w:rPr>
          <w:rFonts w:asciiTheme="majorBidi" w:hAnsiTheme="majorBidi" w:cstheme="majorBidi"/>
        </w:rPr>
        <w:t>-</w:t>
      </w:r>
      <w:r>
        <w:rPr>
          <w:rFonts w:asciiTheme="majorBidi" w:hAnsiTheme="majorBidi" w:cstheme="majorBidi"/>
          <w:i/>
        </w:rPr>
        <w:t>AGE</w:t>
      </w:r>
      <w:r>
        <w:rPr>
          <w:rFonts w:asciiTheme="majorBidi" w:hAnsiTheme="majorBidi" w:cstheme="majorBidi"/>
          <w:i/>
          <w:vertAlign w:val="subscript"/>
        </w:rPr>
        <w:t>e</w:t>
      </w:r>
      <w:r>
        <w:rPr>
          <w:rFonts w:asciiTheme="majorBidi" w:hAnsiTheme="majorBidi" w:cstheme="majorBidi"/>
          <w:iCs/>
        </w:rPr>
        <w:t>) (</w:t>
      </w:r>
      <w:r>
        <w:rPr>
          <w:rFonts w:asciiTheme="majorBidi" w:hAnsiTheme="majorBidi" w:cstheme="majorBidi"/>
          <w:i/>
        </w:rPr>
        <w:t>CH</w:t>
      </w:r>
      <w:r>
        <w:rPr>
          <w:rFonts w:asciiTheme="majorBidi" w:hAnsiTheme="majorBidi" w:cstheme="majorBidi"/>
          <w:i/>
          <w:vertAlign w:val="superscript"/>
        </w:rPr>
        <w:t>2</w:t>
      </w:r>
      <w:r>
        <w:rPr>
          <w:rFonts w:asciiTheme="majorBidi" w:hAnsiTheme="majorBidi" w:cstheme="majorBidi"/>
        </w:rPr>
        <w:t>/</w:t>
      </w:r>
      <w:r>
        <w:rPr>
          <w:rFonts w:asciiTheme="majorBidi" w:hAnsiTheme="majorBidi" w:cstheme="majorBidi"/>
          <w:i/>
        </w:rPr>
        <w:t>CH</w:t>
      </w:r>
      <w:r>
        <w:rPr>
          <w:rFonts w:asciiTheme="majorBidi" w:hAnsiTheme="majorBidi" w:cstheme="majorBidi"/>
          <w:i/>
          <w:vertAlign w:val="subscript"/>
        </w:rPr>
        <w:t>O</w:t>
      </w:r>
      <w:r>
        <w:rPr>
          <w:rFonts w:asciiTheme="majorBidi" w:hAnsiTheme="majorBidi" w:cstheme="majorBidi"/>
          <w:vertAlign w:val="superscript"/>
        </w:rPr>
        <w:t>2</w:t>
      </w:r>
      <w:r>
        <w:rPr>
          <w:rFonts w:asciiTheme="majorBidi" w:hAnsiTheme="majorBidi" w:cstheme="majorBidi"/>
        </w:rPr>
        <w:t>)</w:t>
      </w:r>
      <w:r>
        <w:rPr>
          <w:rFonts w:hint="eastAsia" w:asciiTheme="majorBidi" w:hAnsiTheme="majorBidi" w:cstheme="majorBidi"/>
          <w:lang w:val="en-US" w:eastAsia="zh-CN"/>
        </w:rPr>
        <w:t xml:space="preserve">, </w:t>
      </w:r>
      <w:r>
        <w:rPr>
          <w:rFonts w:asciiTheme="majorBidi" w:hAnsiTheme="majorBidi" w:cstheme="majorBidi"/>
          <w:bCs/>
        </w:rPr>
        <w:t xml:space="preserve">where </w:t>
      </w:r>
      <w:r>
        <w:rPr>
          <w:rFonts w:asciiTheme="majorBidi" w:hAnsiTheme="majorBidi" w:cstheme="majorBidi"/>
          <w:bCs/>
          <w:i/>
          <w:iCs/>
        </w:rPr>
        <w:t xml:space="preserve">CH </w:t>
      </w:r>
      <w:r>
        <w:rPr>
          <w:rFonts w:asciiTheme="majorBidi" w:hAnsiTheme="majorBidi" w:cstheme="majorBidi"/>
          <w:bCs/>
        </w:rPr>
        <w:t>is the variable crown height,</w:t>
      </w:r>
      <w:r>
        <w:rPr>
          <w:rFonts w:asciiTheme="majorBidi" w:hAnsiTheme="majorBidi" w:cstheme="majorBidi"/>
          <w:bCs/>
          <w:i/>
          <w:iCs/>
        </w:rPr>
        <w:t xml:space="preserve"> CH</w:t>
      </w:r>
      <w:r>
        <w:rPr>
          <w:rFonts w:asciiTheme="majorBidi" w:hAnsiTheme="majorBidi" w:cstheme="majorBidi"/>
          <w:bCs/>
          <w:i/>
          <w:iCs/>
          <w:vertAlign w:val="subscript"/>
        </w:rPr>
        <w:t>O</w:t>
      </w:r>
      <w:r>
        <w:rPr>
          <w:rFonts w:asciiTheme="majorBidi" w:hAnsiTheme="majorBidi" w:cstheme="majorBidi"/>
          <w:bCs/>
          <w:i/>
          <w:iCs/>
        </w:rPr>
        <w:t xml:space="preserve"> </w:t>
      </w:r>
      <w:r>
        <w:rPr>
          <w:rFonts w:asciiTheme="majorBidi" w:hAnsiTheme="majorBidi" w:cstheme="majorBidi"/>
          <w:bCs/>
        </w:rPr>
        <w:t xml:space="preserve">is initial (unworn) crown height, </w:t>
      </w:r>
      <w:r>
        <w:rPr>
          <w:rFonts w:asciiTheme="majorBidi" w:hAnsiTheme="majorBidi" w:cstheme="majorBidi"/>
          <w:bCs/>
          <w:i/>
          <w:iCs/>
        </w:rPr>
        <w:t>AGE</w:t>
      </w:r>
      <w:r>
        <w:rPr>
          <w:rFonts w:asciiTheme="majorBidi" w:hAnsiTheme="majorBidi" w:cstheme="majorBidi"/>
          <w:bCs/>
          <w:i/>
          <w:iCs/>
          <w:vertAlign w:val="subscript"/>
        </w:rPr>
        <w:t>e</w:t>
      </w:r>
      <w:r>
        <w:rPr>
          <w:rFonts w:asciiTheme="majorBidi" w:hAnsiTheme="majorBidi" w:cstheme="majorBidi"/>
          <w:bCs/>
        </w:rPr>
        <w:t xml:space="preserve"> is the age at which M</w:t>
      </w:r>
      <w:r>
        <w:rPr>
          <w:rFonts w:asciiTheme="majorBidi" w:hAnsiTheme="majorBidi" w:cstheme="majorBidi"/>
          <w:bCs/>
          <w:vertAlign w:val="subscript"/>
        </w:rPr>
        <w:t>3</w:t>
      </w:r>
      <w:r>
        <w:rPr>
          <w:rFonts w:asciiTheme="majorBidi" w:hAnsiTheme="majorBidi" w:cstheme="majorBidi"/>
          <w:bCs/>
        </w:rPr>
        <w:t xml:space="preserve"> erupts, and </w:t>
      </w:r>
      <w:r>
        <w:rPr>
          <w:rFonts w:asciiTheme="majorBidi" w:hAnsiTheme="majorBidi" w:cstheme="majorBidi"/>
          <w:bCs/>
          <w:i/>
          <w:iCs/>
        </w:rPr>
        <w:t>AGE</w:t>
      </w:r>
      <w:r>
        <w:rPr>
          <w:rFonts w:asciiTheme="majorBidi" w:hAnsiTheme="majorBidi" w:cstheme="majorBidi"/>
          <w:bCs/>
          <w:i/>
          <w:iCs/>
          <w:vertAlign w:val="subscript"/>
        </w:rPr>
        <w:t>pel</w:t>
      </w:r>
      <w:r>
        <w:rPr>
          <w:rFonts w:asciiTheme="majorBidi" w:hAnsiTheme="majorBidi" w:cstheme="majorBidi"/>
          <w:bCs/>
          <w:i/>
          <w:iCs/>
        </w:rPr>
        <w:t xml:space="preserve"> </w:t>
      </w:r>
      <w:r>
        <w:rPr>
          <w:rFonts w:asciiTheme="majorBidi" w:hAnsiTheme="majorBidi" w:cstheme="majorBidi"/>
          <w:bCs/>
        </w:rPr>
        <w:t>is the maximum possible age of and individual (=age at potential ecological longevity)</w:t>
      </w:r>
      <w:r>
        <w:rPr>
          <w:rFonts w:hint="eastAsia" w:asciiTheme="majorBidi" w:hAnsiTheme="majorBidi" w:cstheme="majorBidi"/>
          <w:bCs/>
          <w:vertAlign w:val="superscript"/>
          <w:lang w:val="en-US" w:eastAsia="zh-CN"/>
        </w:rPr>
        <w:t>95</w:t>
      </w:r>
      <w:r>
        <w:rPr>
          <w:rFonts w:asciiTheme="majorBidi" w:hAnsiTheme="majorBidi" w:cstheme="majorBidi"/>
          <w:bCs/>
        </w:rPr>
        <w:t>.</w:t>
      </w:r>
      <w:r>
        <w:rPr>
          <w:rFonts w:asciiTheme="majorBidi" w:hAnsiTheme="majorBidi" w:cstheme="majorBidi"/>
        </w:rPr>
        <w:t xml:space="preserve"> The formula used for Cervids is as follow</w:t>
      </w:r>
      <w:r>
        <w:rPr>
          <w:rFonts w:hint="eastAsia" w:asciiTheme="majorBidi" w:hAnsiTheme="majorBidi" w:cstheme="majorBidi"/>
          <w:lang w:val="en-US" w:eastAsia="zh-CN"/>
        </w:rPr>
        <w:t>s</w:t>
      </w:r>
      <w:r>
        <w:rPr>
          <w:rFonts w:asciiTheme="majorBidi" w:hAnsiTheme="majorBidi" w:cstheme="majorBidi"/>
          <w:bCs/>
        </w:rPr>
        <w:t>:</w:t>
      </w:r>
      <w:r>
        <w:rPr>
          <w:rFonts w:asciiTheme="majorBidi" w:hAnsiTheme="majorBidi" w:cstheme="majorBidi"/>
          <w:bCs/>
          <w:i/>
        </w:rPr>
        <w:t xml:space="preserve"> AGE</w:t>
      </w:r>
      <w:r>
        <w:rPr>
          <w:rFonts w:asciiTheme="majorBidi" w:hAnsiTheme="majorBidi" w:cstheme="majorBidi"/>
          <w:bCs/>
        </w:rPr>
        <w:t>=</w:t>
      </w:r>
      <w:r>
        <w:rPr>
          <w:rFonts w:asciiTheme="majorBidi" w:hAnsiTheme="majorBidi" w:cstheme="majorBidi"/>
          <w:bCs/>
          <w:lang w:val="fr-CA"/>
        </w:rPr>
        <w:t>(</w:t>
      </w:r>
      <w:r>
        <w:rPr>
          <w:rFonts w:asciiTheme="majorBidi" w:hAnsiTheme="majorBidi" w:cstheme="majorBidi"/>
          <w:bCs/>
          <w:i/>
        </w:rPr>
        <w:t>Y</w:t>
      </w:r>
      <w:r>
        <w:rPr>
          <w:rFonts w:asciiTheme="majorBidi" w:hAnsiTheme="majorBidi" w:cstheme="majorBidi"/>
          <w:bCs/>
          <w:i/>
          <w:vertAlign w:val="subscript"/>
        </w:rPr>
        <w:t>pel</w:t>
      </w:r>
      <w:r>
        <w:rPr>
          <w:rFonts w:asciiTheme="majorBidi" w:hAnsiTheme="majorBidi" w:cstheme="majorBidi"/>
          <w:bCs/>
        </w:rPr>
        <w:t>-</w:t>
      </w:r>
      <w:r>
        <w:rPr>
          <w:rFonts w:asciiTheme="majorBidi" w:hAnsiTheme="majorBidi" w:cstheme="majorBidi"/>
          <w:bCs/>
          <w:i/>
        </w:rPr>
        <w:t>Y</w:t>
      </w:r>
      <w:r>
        <w:rPr>
          <w:rFonts w:asciiTheme="majorBidi" w:hAnsiTheme="majorBidi" w:cstheme="majorBidi"/>
          <w:bCs/>
          <w:i/>
          <w:vertAlign w:val="subscript"/>
        </w:rPr>
        <w:t>e</w:t>
      </w:r>
      <w:r>
        <w:rPr>
          <w:rFonts w:asciiTheme="majorBidi" w:hAnsiTheme="majorBidi" w:cstheme="majorBidi"/>
          <w:bCs/>
          <w:lang w:val="fr-CA"/>
        </w:rPr>
        <w:t>)</w:t>
      </w:r>
      <w:r>
        <w:rPr>
          <w:rFonts w:asciiTheme="majorBidi" w:hAnsiTheme="majorBidi" w:cstheme="majorBidi"/>
          <w:bCs/>
        </w:rPr>
        <w:t>/</w:t>
      </w:r>
      <w:r>
        <w:rPr>
          <w:rFonts w:asciiTheme="majorBidi" w:hAnsiTheme="majorBidi" w:cstheme="majorBidi"/>
          <w:bCs/>
          <w:i/>
        </w:rPr>
        <w:t>X</w:t>
      </w:r>
      <w:r>
        <w:rPr>
          <w:rFonts w:asciiTheme="majorBidi" w:hAnsiTheme="majorBidi" w:cstheme="majorBidi"/>
          <w:bCs/>
          <w:i/>
          <w:vertAlign w:val="subscript"/>
        </w:rPr>
        <w:t>max</w:t>
      </w:r>
      <w:r>
        <w:rPr>
          <w:rFonts w:asciiTheme="majorBidi" w:hAnsiTheme="majorBidi" w:cstheme="majorBidi"/>
          <w:bCs/>
        </w:rPr>
        <w:t xml:space="preserve"> (CROWN HEIHT) +</w:t>
      </w:r>
      <w:r>
        <w:rPr>
          <w:rFonts w:asciiTheme="majorBidi" w:hAnsiTheme="majorBidi" w:cstheme="majorBidi"/>
          <w:bCs/>
          <w:i/>
        </w:rPr>
        <w:t>Y</w:t>
      </w:r>
      <w:r>
        <w:rPr>
          <w:rFonts w:asciiTheme="majorBidi" w:hAnsiTheme="majorBidi" w:cstheme="majorBidi"/>
          <w:bCs/>
          <w:i/>
          <w:vertAlign w:val="subscript"/>
        </w:rPr>
        <w:t>pel</w:t>
      </w:r>
      <w:r>
        <w:rPr>
          <w:rFonts w:asciiTheme="majorBidi" w:hAnsiTheme="majorBidi" w:cstheme="majorBidi"/>
          <w:bCs/>
          <w:iCs/>
        </w:rPr>
        <w:t>,</w:t>
      </w:r>
      <w:r>
        <w:rPr>
          <w:rFonts w:hint="eastAsia" w:asciiTheme="majorBidi" w:hAnsiTheme="majorBidi" w:cstheme="majorBidi"/>
          <w:bCs/>
          <w:iCs/>
          <w:lang w:val="en-US" w:eastAsia="zh-CN"/>
        </w:rPr>
        <w:t xml:space="preserve"> </w:t>
      </w:r>
      <w:r>
        <w:rPr>
          <w:rFonts w:asciiTheme="majorBidi" w:hAnsiTheme="majorBidi" w:cstheme="majorBidi"/>
          <w:i/>
        </w:rPr>
        <w:t>Y</w:t>
      </w:r>
      <w:r>
        <w:rPr>
          <w:rFonts w:asciiTheme="majorBidi" w:hAnsiTheme="majorBidi" w:cstheme="majorBidi"/>
          <w:i/>
          <w:vertAlign w:val="subscript"/>
        </w:rPr>
        <w:t>e</w:t>
      </w:r>
      <w:r>
        <w:rPr>
          <w:rFonts w:asciiTheme="majorBidi" w:hAnsiTheme="majorBidi" w:cstheme="majorBidi"/>
        </w:rPr>
        <w:t xml:space="preserve"> is the age at which M</w:t>
      </w:r>
      <w:r>
        <w:rPr>
          <w:rFonts w:asciiTheme="majorBidi" w:hAnsiTheme="majorBidi" w:cstheme="majorBidi"/>
          <w:vertAlign w:val="subscript"/>
        </w:rPr>
        <w:t>3</w:t>
      </w:r>
      <w:r>
        <w:rPr>
          <w:rFonts w:asciiTheme="majorBidi" w:hAnsiTheme="majorBidi" w:cstheme="majorBidi"/>
        </w:rPr>
        <w:t xml:space="preserve"> erupts, </w:t>
      </w:r>
      <w:r>
        <w:rPr>
          <w:rFonts w:asciiTheme="majorBidi" w:hAnsiTheme="majorBidi" w:cstheme="majorBidi"/>
          <w:i/>
        </w:rPr>
        <w:t>Y</w:t>
      </w:r>
      <w:r>
        <w:rPr>
          <w:rFonts w:asciiTheme="majorBidi" w:hAnsiTheme="majorBidi" w:cstheme="majorBidi"/>
          <w:i/>
          <w:vertAlign w:val="subscript"/>
        </w:rPr>
        <w:t>pel</w:t>
      </w:r>
      <w:r>
        <w:rPr>
          <w:rFonts w:asciiTheme="majorBidi" w:hAnsiTheme="majorBidi" w:cstheme="majorBidi"/>
        </w:rPr>
        <w:t xml:space="preserve"> is the potential lifespan of individuals, and </w:t>
      </w:r>
      <w:r>
        <w:rPr>
          <w:rFonts w:asciiTheme="majorBidi" w:hAnsiTheme="majorBidi" w:cstheme="majorBidi"/>
          <w:i/>
        </w:rPr>
        <w:t>X</w:t>
      </w:r>
      <w:r>
        <w:rPr>
          <w:rFonts w:asciiTheme="majorBidi" w:hAnsiTheme="majorBidi" w:cstheme="majorBidi"/>
          <w:i/>
          <w:vertAlign w:val="subscript"/>
        </w:rPr>
        <w:t>max</w:t>
      </w:r>
      <w:r>
        <w:rPr>
          <w:rFonts w:asciiTheme="majorBidi" w:hAnsiTheme="majorBidi" w:cstheme="majorBidi"/>
        </w:rPr>
        <w:t xml:space="preserve"> is an estimate of unworn crown height</w:t>
      </w:r>
      <w:r>
        <w:rPr>
          <w:rFonts w:hint="eastAsia" w:asciiTheme="majorBidi" w:hAnsiTheme="majorBidi" w:cstheme="majorBidi"/>
          <w:vertAlign w:val="superscript"/>
          <w:lang w:val="en-US" w:eastAsia="zh-CN"/>
        </w:rPr>
        <w:t>96</w:t>
      </w:r>
      <w:r>
        <w:rPr>
          <w:rFonts w:asciiTheme="majorBidi" w:hAnsiTheme="majorBidi" w:cstheme="majorBidi"/>
        </w:rPr>
        <w:t>. Based on previous studies</w:t>
      </w:r>
      <w:r>
        <w:rPr>
          <w:rFonts w:hint="eastAsia" w:asciiTheme="majorBidi" w:hAnsiTheme="majorBidi" w:cstheme="majorBidi"/>
          <w:vertAlign w:val="superscript"/>
          <w:lang w:val="en-US" w:eastAsia="zh-CN"/>
        </w:rPr>
        <w:t>97-102</w:t>
      </w:r>
      <w:r>
        <w:rPr>
          <w:rFonts w:asciiTheme="majorBidi" w:hAnsiTheme="majorBidi" w:cstheme="majorBidi"/>
        </w:rPr>
        <w:t xml:space="preserve">, the relative parameters were defined as follows: </w:t>
      </w:r>
      <w:r>
        <w:rPr>
          <w:rFonts w:asciiTheme="majorBidi" w:hAnsiTheme="majorBidi" w:cstheme="majorBidi"/>
          <w:bCs/>
          <w:i/>
          <w:iCs/>
        </w:rPr>
        <w:t>CH</w:t>
      </w:r>
      <w:r>
        <w:rPr>
          <w:rFonts w:asciiTheme="majorBidi" w:hAnsiTheme="majorBidi" w:cstheme="majorBidi"/>
          <w:bCs/>
          <w:i/>
          <w:iCs/>
          <w:vertAlign w:val="subscript"/>
        </w:rPr>
        <w:t>O</w:t>
      </w:r>
      <w:r>
        <w:rPr>
          <w:rFonts w:asciiTheme="majorBidi" w:hAnsiTheme="majorBidi" w:cstheme="majorBidi"/>
          <w:bCs/>
          <w:iCs/>
        </w:rPr>
        <w:t xml:space="preserve">=70mm, </w:t>
      </w:r>
      <w:r>
        <w:rPr>
          <w:rFonts w:asciiTheme="majorBidi" w:hAnsiTheme="majorBidi" w:cstheme="majorBidi"/>
          <w:bCs/>
          <w:i/>
          <w:iCs/>
        </w:rPr>
        <w:t>AGEe</w:t>
      </w:r>
      <w:r>
        <w:rPr>
          <w:rFonts w:asciiTheme="majorBidi" w:hAnsiTheme="majorBidi" w:cstheme="majorBidi"/>
          <w:bCs/>
          <w:iCs/>
        </w:rPr>
        <w:t xml:space="preserve">=36 months, </w:t>
      </w:r>
      <w:r>
        <w:rPr>
          <w:rFonts w:asciiTheme="majorBidi" w:hAnsiTheme="majorBidi" w:cstheme="majorBidi"/>
          <w:bCs/>
          <w:i/>
          <w:iCs/>
        </w:rPr>
        <w:t>AGE</w:t>
      </w:r>
      <w:r>
        <w:rPr>
          <w:rFonts w:asciiTheme="majorBidi" w:hAnsiTheme="majorBidi" w:cstheme="majorBidi"/>
          <w:bCs/>
          <w:i/>
          <w:iCs/>
          <w:vertAlign w:val="subscript"/>
        </w:rPr>
        <w:t>pel</w:t>
      </w:r>
      <w:r>
        <w:rPr>
          <w:rFonts w:asciiTheme="majorBidi" w:hAnsiTheme="majorBidi" w:cstheme="majorBidi"/>
          <w:bCs/>
          <w:iCs/>
        </w:rPr>
        <w:t xml:space="preserve">=300 months, </w:t>
      </w:r>
      <w:r>
        <w:rPr>
          <w:rFonts w:asciiTheme="majorBidi" w:hAnsiTheme="majorBidi" w:cstheme="majorBidi"/>
          <w:bCs/>
          <w:i/>
          <w:iCs/>
        </w:rPr>
        <w:t>Y</w:t>
      </w:r>
      <w:r>
        <w:rPr>
          <w:rFonts w:asciiTheme="majorBidi" w:hAnsiTheme="majorBidi" w:cstheme="majorBidi"/>
          <w:bCs/>
          <w:i/>
          <w:iCs/>
          <w:vertAlign w:val="subscript"/>
        </w:rPr>
        <w:t>e</w:t>
      </w:r>
      <w:r>
        <w:rPr>
          <w:rFonts w:asciiTheme="majorBidi" w:hAnsiTheme="majorBidi" w:cstheme="majorBidi"/>
          <w:bCs/>
          <w:iCs/>
        </w:rPr>
        <w:t xml:space="preserve">=30 months, </w:t>
      </w:r>
      <w:r>
        <w:rPr>
          <w:rFonts w:asciiTheme="majorBidi" w:hAnsiTheme="majorBidi" w:cstheme="majorBidi"/>
          <w:bCs/>
          <w:i/>
          <w:iCs/>
        </w:rPr>
        <w:t>Y</w:t>
      </w:r>
      <w:r>
        <w:rPr>
          <w:rFonts w:asciiTheme="majorBidi" w:hAnsiTheme="majorBidi" w:cstheme="majorBidi"/>
          <w:bCs/>
          <w:i/>
          <w:iCs/>
          <w:vertAlign w:val="subscript"/>
        </w:rPr>
        <w:t>pel</w:t>
      </w:r>
      <w:r>
        <w:rPr>
          <w:rFonts w:asciiTheme="majorBidi" w:hAnsiTheme="majorBidi" w:cstheme="majorBidi"/>
          <w:bCs/>
          <w:iCs/>
        </w:rPr>
        <w:t xml:space="preserve">=192 months, </w:t>
      </w:r>
      <w:r>
        <w:rPr>
          <w:rFonts w:asciiTheme="majorBidi" w:hAnsiTheme="majorBidi" w:cstheme="majorBidi"/>
          <w:bCs/>
          <w:i/>
          <w:iCs/>
        </w:rPr>
        <w:t>X</w:t>
      </w:r>
      <w:r>
        <w:rPr>
          <w:rFonts w:asciiTheme="majorBidi" w:hAnsiTheme="majorBidi" w:cstheme="majorBidi"/>
          <w:bCs/>
          <w:i/>
          <w:iCs/>
          <w:vertAlign w:val="subscript"/>
        </w:rPr>
        <w:t>max</w:t>
      </w:r>
      <w:r>
        <w:rPr>
          <w:rFonts w:asciiTheme="majorBidi" w:hAnsiTheme="majorBidi" w:cstheme="majorBidi"/>
        </w:rPr>
        <w:t xml:space="preserve">=21mm (for </w:t>
      </w:r>
      <w:r>
        <w:rPr>
          <w:rFonts w:asciiTheme="majorBidi" w:hAnsiTheme="majorBidi" w:cstheme="majorBidi"/>
          <w:i/>
          <w:iCs/>
        </w:rPr>
        <w:t>Cervus (Sika) nippon</w:t>
      </w:r>
      <w:r>
        <w:rPr>
          <w:rFonts w:asciiTheme="majorBidi" w:hAnsiTheme="majorBidi" w:cstheme="majorBidi"/>
        </w:rPr>
        <w:t xml:space="preserve">), 25mm (for </w:t>
      </w:r>
      <w:r>
        <w:rPr>
          <w:rFonts w:asciiTheme="majorBidi" w:hAnsiTheme="majorBidi" w:cstheme="majorBidi"/>
          <w:i/>
          <w:iCs/>
        </w:rPr>
        <w:t>Cervus elaphus</w:t>
      </w:r>
      <w:r>
        <w:rPr>
          <w:rFonts w:asciiTheme="majorBidi" w:hAnsiTheme="majorBidi" w:cstheme="majorBidi"/>
        </w:rPr>
        <w:t xml:space="preserve">). In Bovids, the thresholds of 3 and 15 years old were used to distinguish between respectively juveniles and prime adults, and prime and old adults. In Cervids, these thresholds were set to 2.5 and 12 years old. Mortality profiles are illustrated using ternary diagrams based on the proportions of each animal’s age following the method proposed by </w:t>
      </w:r>
      <w:r>
        <w:rPr>
          <w:rFonts w:asciiTheme="majorBidi" w:hAnsiTheme="majorBidi" w:cstheme="majorBidi"/>
          <w:highlight w:val="none"/>
        </w:rPr>
        <w:t>Discamps and Costamagno</w:t>
      </w:r>
      <w:r>
        <w:rPr>
          <w:rFonts w:hint="eastAsia" w:asciiTheme="majorBidi" w:hAnsiTheme="majorBidi" w:cstheme="majorBidi"/>
          <w:highlight w:val="none"/>
          <w:vertAlign w:val="superscript"/>
          <w:lang w:val="en-US" w:eastAsia="zh-CN"/>
        </w:rPr>
        <w:t>103</w:t>
      </w:r>
      <w:r>
        <w:rPr>
          <w:rFonts w:asciiTheme="majorBidi" w:hAnsiTheme="majorBidi" w:cstheme="majorBidi"/>
          <w:highlight w:val="none"/>
        </w:rPr>
        <w:t>.</w:t>
      </w:r>
      <w:r>
        <w:rPr>
          <w:rFonts w:asciiTheme="majorBidi" w:hAnsiTheme="majorBidi" w:cstheme="majorBidi"/>
        </w:rPr>
        <w:t xml:space="preserve"> To ensure a sufficient sample size to interpret the emerging pattern, layers 3 and 4, on the one hand, and layers 6 to 12, on the other, were merged in this analysis.</w:t>
      </w:r>
    </w:p>
    <w:p w14:paraId="2D2B93FF">
      <w:pPr>
        <w:pStyle w:val="4"/>
        <w:rPr>
          <w:lang w:val="en-US"/>
        </w:rPr>
      </w:pPr>
      <w:r>
        <w:rPr>
          <w:lang w:val="en-US"/>
        </w:rPr>
        <w:t>Bone breakage and surface modifications</w:t>
      </w:r>
    </w:p>
    <w:p w14:paraId="1048DF39">
      <w:pPr>
        <w:ind w:firstLine="240" w:firstLineChars="100"/>
        <w:jc w:val="both"/>
        <w:rPr>
          <w:rFonts w:asciiTheme="majorBidi" w:hAnsiTheme="majorBidi" w:cstheme="majorBidi"/>
          <w:lang w:val="en-GB"/>
        </w:rPr>
      </w:pPr>
      <w:r>
        <w:rPr>
          <w:rFonts w:asciiTheme="majorBidi" w:hAnsiTheme="majorBidi" w:cstheme="majorBidi"/>
          <w:lang w:val="en-GB"/>
        </w:rPr>
        <w:t xml:space="preserve">The fracture planes on the fragments were described following the criteria developed by </w:t>
      </w:r>
      <w:r>
        <w:rPr>
          <w:rFonts w:asciiTheme="majorBidi" w:hAnsiTheme="majorBidi" w:cstheme="majorBidi"/>
          <w:highlight w:val="none"/>
          <w:lang w:val="en-GB"/>
        </w:rPr>
        <w:t>Villa and Mahieu</w:t>
      </w:r>
      <w:r>
        <w:rPr>
          <w:rFonts w:hint="eastAsia" w:asciiTheme="majorBidi" w:hAnsiTheme="majorBidi" w:cstheme="majorBidi"/>
          <w:highlight w:val="none"/>
          <w:vertAlign w:val="superscript"/>
          <w:lang w:val="en-US" w:eastAsia="zh-CN"/>
        </w:rPr>
        <w:t>104</w:t>
      </w:r>
      <w:r>
        <w:rPr>
          <w:rFonts w:asciiTheme="majorBidi" w:hAnsiTheme="majorBidi" w:cstheme="majorBidi"/>
          <w:highlight w:val="none"/>
          <w:lang w:val="en-GB"/>
        </w:rPr>
        <w:t xml:space="preserve">. </w:t>
      </w:r>
      <w:r>
        <w:rPr>
          <w:rFonts w:asciiTheme="majorBidi" w:hAnsiTheme="majorBidi" w:cstheme="majorBidi"/>
          <w:lang w:val="en-GB"/>
        </w:rPr>
        <w:t xml:space="preserve">Percussion scars and notches likely resulting from the breakage of long bones to access the marrow were recorded following the nomenclature developed by </w:t>
      </w:r>
      <w:r>
        <w:rPr>
          <w:rFonts w:asciiTheme="majorBidi" w:hAnsiTheme="majorBidi" w:cstheme="majorBidi"/>
          <w:highlight w:val="none"/>
          <w:lang w:val="en-GB"/>
        </w:rPr>
        <w:t>Vetesse and collaborators</w:t>
      </w:r>
      <w:r>
        <w:rPr>
          <w:rFonts w:hint="eastAsia" w:asciiTheme="majorBidi" w:hAnsiTheme="majorBidi" w:cstheme="majorBidi"/>
          <w:highlight w:val="none"/>
          <w:vertAlign w:val="superscript"/>
          <w:lang w:val="en-US" w:eastAsia="zh-CN"/>
        </w:rPr>
        <w:t>105</w:t>
      </w:r>
      <w:r>
        <w:rPr>
          <w:rFonts w:asciiTheme="majorBidi" w:hAnsiTheme="majorBidi" w:cstheme="majorBidi"/>
          <w:highlight w:val="none"/>
          <w:lang w:val="en-GB"/>
        </w:rPr>
        <w:t>. Weathering stages were recorded based on the work of Behrensmeyer</w:t>
      </w:r>
      <w:r>
        <w:rPr>
          <w:rFonts w:hint="eastAsia" w:asciiTheme="majorBidi" w:hAnsiTheme="majorBidi" w:cstheme="majorBidi"/>
          <w:highlight w:val="none"/>
          <w:vertAlign w:val="superscript"/>
          <w:lang w:val="en-US" w:eastAsia="zh-CN"/>
        </w:rPr>
        <w:t>106</w:t>
      </w:r>
      <w:r>
        <w:rPr>
          <w:rFonts w:asciiTheme="majorBidi" w:hAnsiTheme="majorBidi" w:cstheme="majorBidi"/>
          <w:highlight w:val="none"/>
          <w:lang w:val="en-GB"/>
        </w:rPr>
        <w:t xml:space="preserve"> while rounding followed the stages defined by C</w:t>
      </w:r>
      <w:r>
        <w:rPr>
          <w:rFonts w:hint="eastAsia" w:asciiTheme="majorBidi" w:hAnsiTheme="majorBidi" w:cstheme="majorBidi"/>
          <w:highlight w:val="none"/>
          <w:lang w:val="en-GB"/>
        </w:rPr>
        <w:t>á</w:t>
      </w:r>
      <w:r>
        <w:rPr>
          <w:rFonts w:asciiTheme="majorBidi" w:hAnsiTheme="majorBidi" w:cstheme="majorBidi"/>
          <w:highlight w:val="none"/>
          <w:lang w:val="en-GB"/>
        </w:rPr>
        <w:t>ceres</w:t>
      </w:r>
      <w:r>
        <w:rPr>
          <w:rFonts w:hint="eastAsia" w:asciiTheme="majorBidi" w:hAnsiTheme="majorBidi" w:cstheme="majorBidi"/>
          <w:highlight w:val="none"/>
          <w:vertAlign w:val="superscript"/>
          <w:lang w:val="en-US" w:eastAsia="zh-CN"/>
        </w:rPr>
        <w:t>107</w:t>
      </w:r>
      <w:r>
        <w:rPr>
          <w:rFonts w:asciiTheme="majorBidi" w:hAnsiTheme="majorBidi" w:cstheme="majorBidi"/>
          <w:highlight w:val="none"/>
          <w:lang w:val="en-GB"/>
        </w:rPr>
        <w:t>. A preliminary a</w:t>
      </w:r>
      <w:r>
        <w:rPr>
          <w:rFonts w:asciiTheme="majorBidi" w:hAnsiTheme="majorBidi" w:cstheme="majorBidi"/>
          <w:lang w:val="en-GB"/>
        </w:rPr>
        <w:t>ssessment of the preservation of the intact cortical surface was done by identifying areas covered by concretions or affected by exfoliation and rounding. Surfaces were then inspected to distinguish between anthropogenic and non-anthropogenic processes based on criteria available in the literature</w:t>
      </w:r>
      <w:r>
        <w:rPr>
          <w:rFonts w:hint="eastAsia" w:asciiTheme="majorBidi" w:hAnsiTheme="majorBidi" w:cstheme="majorBidi"/>
          <w:vertAlign w:val="superscript"/>
          <w:lang w:val="en-US" w:eastAsia="zh-CN"/>
        </w:rPr>
        <w:t>108,109</w:t>
      </w:r>
      <w:r>
        <w:rPr>
          <w:rFonts w:asciiTheme="majorBidi" w:hAnsiTheme="majorBidi" w:cstheme="majorBidi"/>
          <w:lang w:val="en-GB"/>
        </w:rPr>
        <w:t>. A particular focus was given to linear marks, e.g., trampling marks and cut marks, as well as bone surface modifications induced by carnivores</w:t>
      </w:r>
      <w:r>
        <w:rPr>
          <w:rFonts w:hint="eastAsia" w:asciiTheme="majorBidi" w:hAnsiTheme="majorBidi" w:cstheme="majorBidi"/>
          <w:vertAlign w:val="superscript"/>
          <w:lang w:val="en-US" w:eastAsia="zh-CN"/>
        </w:rPr>
        <w:t>110-112</w:t>
      </w:r>
      <w:r>
        <w:rPr>
          <w:rFonts w:asciiTheme="majorBidi" w:hAnsiTheme="majorBidi" w:cstheme="majorBidi"/>
          <w:lang w:val="en-GB"/>
        </w:rPr>
        <w:t xml:space="preserve"> and rodents</w:t>
      </w:r>
      <w:r>
        <w:rPr>
          <w:rFonts w:hint="eastAsia" w:asciiTheme="majorBidi" w:hAnsiTheme="majorBidi" w:cstheme="majorBidi"/>
          <w:vertAlign w:val="superscript"/>
          <w:lang w:val="en-US" w:eastAsia="zh-CN"/>
        </w:rPr>
        <w:t>109,113</w:t>
      </w:r>
      <w:r>
        <w:rPr>
          <w:rFonts w:asciiTheme="majorBidi" w:hAnsiTheme="majorBidi" w:cstheme="majorBidi"/>
          <w:lang w:val="en-GB"/>
        </w:rPr>
        <w:t>. Whenever possible, the location and orientation of cut marks was recorded to establish the most likely carcass processing activity taking place at the site</w:t>
      </w:r>
      <w:r>
        <w:rPr>
          <w:rFonts w:hint="eastAsia" w:asciiTheme="majorBidi" w:hAnsiTheme="majorBidi" w:cstheme="majorBidi"/>
          <w:vertAlign w:val="superscript"/>
          <w:lang w:val="en-US" w:eastAsia="zh-CN"/>
        </w:rPr>
        <w:t>114,115</w:t>
      </w:r>
      <w:r>
        <w:rPr>
          <w:rFonts w:asciiTheme="majorBidi" w:hAnsiTheme="majorBidi" w:cstheme="majorBidi"/>
          <w:lang w:val="en-GB"/>
        </w:rPr>
        <w:t>.</w:t>
      </w:r>
    </w:p>
    <w:p w14:paraId="35C44D08">
      <w:pPr>
        <w:pStyle w:val="3"/>
      </w:pPr>
      <w:r>
        <w:t>Taxonomic and element identification</w:t>
      </w:r>
    </w:p>
    <w:p w14:paraId="1BEABB35">
      <w:pPr>
        <w:ind w:firstLine="240" w:firstLineChars="100"/>
        <w:jc w:val="both"/>
        <w:rPr>
          <w:rFonts w:hint="eastAsia" w:asciiTheme="majorBidi" w:hAnsiTheme="majorBidi" w:cstheme="majorBidi"/>
          <w:lang w:val="en-US" w:eastAsia="zh-CN"/>
        </w:rPr>
      </w:pPr>
      <w:r>
        <w:rPr>
          <w:rFonts w:asciiTheme="majorBidi" w:hAnsiTheme="majorBidi" w:cstheme="majorBidi"/>
        </w:rPr>
        <w:t xml:space="preserve">A total of 1,896 specimens were identified to the genera, or species. Throughout the sequence, </w:t>
      </w:r>
      <w:r>
        <w:rPr>
          <w:rFonts w:asciiTheme="majorBidi" w:hAnsiTheme="majorBidi" w:cstheme="majorBidi"/>
          <w:i/>
          <w:iCs/>
        </w:rPr>
        <w:t>Cervus (Sika) nippon</w:t>
      </w:r>
      <w:r>
        <w:rPr>
          <w:rFonts w:asciiTheme="majorBidi" w:hAnsiTheme="majorBidi" w:cstheme="majorBidi"/>
        </w:rPr>
        <w:t xml:space="preserve"> dominates the faunal assemblage, except in Layer 8 where </w:t>
      </w:r>
      <w:r>
        <w:rPr>
          <w:rFonts w:asciiTheme="majorBidi" w:hAnsiTheme="majorBidi" w:cstheme="majorBidi"/>
          <w:i/>
          <w:iCs/>
        </w:rPr>
        <w:t>Rhinoceros sinensis</w:t>
      </w:r>
      <w:r>
        <w:rPr>
          <w:rFonts w:asciiTheme="majorBidi" w:hAnsiTheme="majorBidi" w:cstheme="majorBidi"/>
        </w:rPr>
        <w:t xml:space="preserve"> remains prevail despite the small sample size for this layer, and in Layer 6 where it is found in proportions similar to </w:t>
      </w:r>
      <w:r>
        <w:rPr>
          <w:rFonts w:asciiTheme="majorBidi" w:hAnsiTheme="majorBidi" w:cstheme="majorBidi"/>
          <w:i/>
          <w:iCs/>
        </w:rPr>
        <w:t>Bos (Bibos) gaurus</w:t>
      </w:r>
      <w:r>
        <w:rPr>
          <w:rFonts w:asciiTheme="majorBidi" w:hAnsiTheme="majorBidi" w:cstheme="majorBidi"/>
        </w:rPr>
        <w:t xml:space="preserve">. The other herbivores found at Bianfu Cave include the following species: </w:t>
      </w:r>
      <w:r>
        <w:rPr>
          <w:rFonts w:asciiTheme="majorBidi" w:hAnsiTheme="majorBidi" w:cstheme="majorBidi"/>
          <w:i/>
          <w:iCs/>
        </w:rPr>
        <w:t>Cervus elaphus</w:t>
      </w:r>
      <w:r>
        <w:rPr>
          <w:rFonts w:asciiTheme="majorBidi" w:hAnsiTheme="majorBidi" w:cstheme="majorBidi"/>
        </w:rPr>
        <w:t xml:space="preserve">, </w:t>
      </w:r>
      <w:r>
        <w:rPr>
          <w:rFonts w:asciiTheme="majorBidi" w:hAnsiTheme="majorBidi" w:cstheme="majorBidi"/>
          <w:i/>
          <w:iCs/>
        </w:rPr>
        <w:t xml:space="preserve">Bubalus </w:t>
      </w:r>
      <w:r>
        <w:rPr>
          <w:rFonts w:asciiTheme="majorBidi" w:hAnsiTheme="majorBidi" w:cstheme="majorBidi"/>
        </w:rPr>
        <w:t xml:space="preserve">sp., </w:t>
      </w:r>
      <w:r>
        <w:rPr>
          <w:rFonts w:asciiTheme="majorBidi" w:hAnsiTheme="majorBidi" w:cstheme="majorBidi"/>
          <w:i/>
          <w:iCs/>
        </w:rPr>
        <w:t xml:space="preserve">Sus </w:t>
      </w:r>
      <w:r>
        <w:rPr>
          <w:rFonts w:asciiTheme="majorBidi" w:hAnsiTheme="majorBidi" w:cstheme="majorBidi"/>
        </w:rPr>
        <w:t xml:space="preserve">sp., </w:t>
      </w:r>
      <w:r>
        <w:rPr>
          <w:rFonts w:asciiTheme="majorBidi" w:hAnsiTheme="majorBidi" w:cstheme="majorBidi"/>
          <w:i/>
          <w:iCs/>
        </w:rPr>
        <w:t xml:space="preserve">Pseudoiss </w:t>
      </w:r>
      <w:r>
        <w:rPr>
          <w:rFonts w:asciiTheme="majorBidi" w:hAnsiTheme="majorBidi" w:cstheme="majorBidi"/>
        </w:rPr>
        <w:t xml:space="preserve">sp., and </w:t>
      </w:r>
      <w:r>
        <w:rPr>
          <w:rFonts w:asciiTheme="majorBidi" w:hAnsiTheme="majorBidi" w:cstheme="majorBidi"/>
          <w:i/>
          <w:iCs/>
        </w:rPr>
        <w:t xml:space="preserve">Capra </w:t>
      </w:r>
      <w:r>
        <w:rPr>
          <w:rFonts w:asciiTheme="majorBidi" w:hAnsiTheme="majorBidi" w:cstheme="majorBidi"/>
        </w:rPr>
        <w:t xml:space="preserve">sp. Carnivores were also found in layers 3, 6, 9,11 and 12 but the number of NISP never surpasses a dozen for all species combined. The carnivore guild is dominated by </w:t>
      </w:r>
      <w:r>
        <w:rPr>
          <w:rFonts w:asciiTheme="majorBidi" w:hAnsiTheme="majorBidi" w:cstheme="majorBidi"/>
          <w:i/>
          <w:iCs/>
        </w:rPr>
        <w:t>Crocrocuta Crocuta ultima</w:t>
      </w:r>
      <w:r>
        <w:rPr>
          <w:rFonts w:asciiTheme="majorBidi" w:hAnsiTheme="majorBidi" w:cstheme="majorBidi"/>
        </w:rPr>
        <w:t xml:space="preserve">, followed by Felidae gen. et sp. indet. and </w:t>
      </w:r>
      <w:r>
        <w:rPr>
          <w:rFonts w:asciiTheme="majorBidi" w:hAnsiTheme="majorBidi" w:cstheme="majorBidi"/>
          <w:i/>
          <w:iCs/>
        </w:rPr>
        <w:t>Ursus thibetanus</w:t>
      </w:r>
      <w:r>
        <w:rPr>
          <w:rFonts w:hint="eastAsia" w:asciiTheme="majorBidi" w:hAnsiTheme="majorBidi" w:cstheme="majorBidi"/>
          <w:i/>
          <w:iCs/>
          <w:lang w:val="en-US" w:eastAsia="zh-CN"/>
        </w:rPr>
        <w:t xml:space="preserve"> </w:t>
      </w:r>
      <w:r>
        <w:rPr>
          <w:rFonts w:hint="eastAsia" w:asciiTheme="majorBidi" w:hAnsiTheme="majorBidi" w:cstheme="majorBidi"/>
          <w:i w:val="0"/>
          <w:iCs w:val="0"/>
          <w:lang w:val="en-US" w:eastAsia="zh-CN"/>
        </w:rPr>
        <w:t>(</w:t>
      </w:r>
      <w:r>
        <w:rPr>
          <w:rFonts w:hint="eastAsia"/>
          <w:color w:val="0000FF"/>
          <w:lang w:val="en-US" w:eastAsia="zh-CN"/>
        </w:rPr>
        <w:t>Supplementary Table 27</w:t>
      </w:r>
      <w:r>
        <w:rPr>
          <w:rFonts w:hint="eastAsia" w:asciiTheme="majorBidi" w:hAnsiTheme="majorBidi" w:cstheme="majorBidi"/>
          <w:i w:val="0"/>
          <w:iCs w:val="0"/>
          <w:lang w:val="en-US" w:eastAsia="zh-CN"/>
        </w:rPr>
        <w:t>)</w:t>
      </w:r>
      <w:r>
        <w:rPr>
          <w:rFonts w:asciiTheme="majorBidi" w:hAnsiTheme="majorBidi" w:cstheme="majorBidi"/>
        </w:rPr>
        <w:t>.</w:t>
      </w:r>
    </w:p>
    <w:p w14:paraId="450A1B78">
      <w:pPr>
        <w:ind w:firstLine="240" w:firstLineChars="100"/>
        <w:jc w:val="both"/>
        <w:rPr>
          <w:rFonts w:asciiTheme="majorBidi" w:hAnsiTheme="majorBidi" w:cstheme="majorBidi"/>
          <w:highlight w:val="none"/>
        </w:rPr>
      </w:pPr>
      <w:r>
        <w:rPr>
          <w:rFonts w:hint="eastAsia" w:asciiTheme="majorBidi" w:hAnsiTheme="majorBidi" w:cstheme="majorBidi"/>
          <w:lang w:val="en-US" w:eastAsia="zh-CN"/>
        </w:rPr>
        <w:t>T</w:t>
      </w:r>
      <w:r>
        <w:rPr>
          <w:rFonts w:asciiTheme="majorBidi" w:hAnsiTheme="majorBidi" w:cstheme="majorBidi"/>
        </w:rPr>
        <w:t>he skeletal element representation for the taxonomically identified specimens correspond</w:t>
      </w:r>
      <w:r>
        <w:rPr>
          <w:rFonts w:hint="eastAsia" w:asciiTheme="majorBidi" w:hAnsiTheme="majorBidi" w:cstheme="majorBidi"/>
          <w:lang w:val="en-US" w:eastAsia="zh-CN"/>
        </w:rPr>
        <w:t>s</w:t>
      </w:r>
      <w:r>
        <w:rPr>
          <w:rFonts w:asciiTheme="majorBidi" w:hAnsiTheme="majorBidi" w:cstheme="majorBidi"/>
        </w:rPr>
        <w:t xml:space="preserve"> to a head-and-foot-dominated skeletal-element pattern</w:t>
      </w:r>
      <w:r>
        <w:rPr>
          <w:rFonts w:hint="eastAsia" w:asciiTheme="majorBidi" w:hAnsiTheme="majorBidi" w:cstheme="majorBidi"/>
          <w:lang w:val="en-US" w:eastAsia="zh-CN"/>
        </w:rPr>
        <w:t xml:space="preserve">, which is best </w:t>
      </w:r>
      <w:r>
        <w:rPr>
          <w:rFonts w:asciiTheme="majorBidi" w:hAnsiTheme="majorBidi" w:cstheme="majorBidi"/>
        </w:rPr>
        <w:t>explained by the ease of identifying teeth, antlers, mandibles and long bones preserving an epiphysis compared to post-cranial fragmented remains. However, when including the bone fragments assigned to mammal size-classes, all skeletal portions become represented, with a slight overrepresentation for ribs and appendicular bones</w:t>
      </w:r>
      <w:r>
        <w:rPr>
          <w:rFonts w:hint="eastAsia" w:asciiTheme="majorBidi" w:hAnsiTheme="majorBidi" w:cstheme="majorBidi"/>
          <w:lang w:val="en-US" w:eastAsia="zh-CN"/>
        </w:rPr>
        <w:t xml:space="preserve"> (</w:t>
      </w:r>
      <w:r>
        <w:rPr>
          <w:rFonts w:hint="eastAsia"/>
          <w:color w:val="0000FF"/>
          <w:lang w:val="en-US" w:eastAsia="zh-CN"/>
        </w:rPr>
        <w:t>Supplementary Table 26</w:t>
      </w:r>
      <w:r>
        <w:rPr>
          <w:rFonts w:hint="eastAsia" w:asciiTheme="majorBidi" w:hAnsiTheme="majorBidi" w:cstheme="majorBidi"/>
          <w:lang w:val="en-US" w:eastAsia="zh-CN"/>
        </w:rPr>
        <w:t>)</w:t>
      </w:r>
      <w:r>
        <w:rPr>
          <w:rFonts w:asciiTheme="majorBidi" w:hAnsiTheme="majorBidi" w:cstheme="majorBidi"/>
        </w:rPr>
        <w:t>. This entails that the faunal assemblage suffered a limited attrition following its initial accumulation, for instance through the transport of smaller elements by various site formation processes</w:t>
      </w:r>
      <w:r>
        <w:rPr>
          <w:rFonts w:hint="eastAsia" w:asciiTheme="majorBidi" w:hAnsiTheme="majorBidi" w:cstheme="majorBidi"/>
          <w:vertAlign w:val="superscript"/>
          <w:lang w:val="en-US" w:eastAsia="zh-CN"/>
        </w:rPr>
        <w:t>116,117</w:t>
      </w:r>
      <w:r>
        <w:rPr>
          <w:rFonts w:asciiTheme="majorBidi" w:hAnsiTheme="majorBidi" w:cstheme="majorBidi"/>
        </w:rPr>
        <w:t>.</w:t>
      </w:r>
      <w:r>
        <w:rPr>
          <w:rFonts w:hint="eastAsia" w:asciiTheme="majorBidi" w:hAnsiTheme="majorBidi" w:cstheme="majorBidi"/>
          <w:lang w:val="en-US" w:eastAsia="zh-CN"/>
        </w:rPr>
        <w:t xml:space="preserve"> </w:t>
      </w:r>
      <w:r>
        <w:rPr>
          <w:rFonts w:asciiTheme="majorBidi" w:hAnsiTheme="majorBidi" w:cstheme="majorBidi"/>
        </w:rPr>
        <w:t>The MNI calculated from dental remains</w:t>
      </w:r>
      <w:r>
        <w:rPr>
          <w:rFonts w:hint="eastAsia" w:asciiTheme="majorBidi" w:hAnsiTheme="majorBidi" w:cstheme="majorBidi"/>
          <w:vertAlign w:val="superscript"/>
          <w:lang w:val="en-US" w:eastAsia="zh-CN"/>
        </w:rPr>
        <w:t>94</w:t>
      </w:r>
      <w:r>
        <w:rPr>
          <w:rFonts w:asciiTheme="majorBidi" w:hAnsiTheme="majorBidi" w:cstheme="majorBidi"/>
        </w:rPr>
        <w:t xml:space="preserve"> suggests that at least 144 individuals are represented in the assemblage: in decreasing order, </w:t>
      </w:r>
      <w:r>
        <w:rPr>
          <w:rFonts w:asciiTheme="majorBidi" w:hAnsiTheme="majorBidi" w:cstheme="majorBidi"/>
          <w:i/>
          <w:iCs/>
        </w:rPr>
        <w:t>Cervus (Sika) nippon</w:t>
      </w:r>
      <w:r>
        <w:rPr>
          <w:rFonts w:asciiTheme="majorBidi" w:hAnsiTheme="majorBidi" w:cstheme="majorBidi"/>
        </w:rPr>
        <w:t xml:space="preserve"> (n = 93), </w:t>
      </w:r>
      <w:r>
        <w:rPr>
          <w:rFonts w:asciiTheme="majorBidi" w:hAnsiTheme="majorBidi" w:cstheme="majorBidi"/>
          <w:i/>
          <w:iCs/>
        </w:rPr>
        <w:t xml:space="preserve">Bos(Bibos) gaurus </w:t>
      </w:r>
      <w:r>
        <w:rPr>
          <w:rFonts w:asciiTheme="majorBidi" w:hAnsiTheme="majorBidi" w:cstheme="majorBidi"/>
        </w:rPr>
        <w:t xml:space="preserve">(n = 15), </w:t>
      </w:r>
      <w:r>
        <w:rPr>
          <w:rFonts w:asciiTheme="majorBidi" w:hAnsiTheme="majorBidi" w:cstheme="majorBidi"/>
          <w:i/>
          <w:iCs/>
        </w:rPr>
        <w:t xml:space="preserve">Bubalus </w:t>
      </w:r>
      <w:r>
        <w:rPr>
          <w:rFonts w:asciiTheme="majorBidi" w:hAnsiTheme="majorBidi" w:cstheme="majorBidi"/>
        </w:rPr>
        <w:t xml:space="preserve">sp. (n = 14), </w:t>
      </w:r>
      <w:r>
        <w:rPr>
          <w:rFonts w:asciiTheme="majorBidi" w:hAnsiTheme="majorBidi" w:cstheme="majorBidi"/>
          <w:i/>
          <w:iCs/>
        </w:rPr>
        <w:t>Cervus elaphus</w:t>
      </w:r>
      <w:r>
        <w:rPr>
          <w:rFonts w:asciiTheme="majorBidi" w:hAnsiTheme="majorBidi" w:cstheme="majorBidi"/>
        </w:rPr>
        <w:t xml:space="preserve"> (n = 10), </w:t>
      </w:r>
      <w:r>
        <w:rPr>
          <w:rFonts w:asciiTheme="majorBidi" w:hAnsiTheme="majorBidi" w:cstheme="majorBidi"/>
          <w:i/>
          <w:iCs/>
        </w:rPr>
        <w:t>Crocuta Crocuta ultima</w:t>
      </w:r>
      <w:r>
        <w:rPr>
          <w:rFonts w:asciiTheme="majorBidi" w:hAnsiTheme="majorBidi" w:cstheme="majorBidi"/>
        </w:rPr>
        <w:t xml:space="preserve"> (n = 4), </w:t>
      </w:r>
      <w:r>
        <w:rPr>
          <w:rFonts w:asciiTheme="majorBidi" w:hAnsiTheme="majorBidi" w:cstheme="majorBidi"/>
          <w:i/>
          <w:iCs/>
        </w:rPr>
        <w:t>Capra</w:t>
      </w:r>
      <w:r>
        <w:rPr>
          <w:rFonts w:asciiTheme="majorBidi" w:hAnsiTheme="majorBidi" w:cstheme="majorBidi"/>
        </w:rPr>
        <w:t xml:space="preserve"> sp. (n = 3), </w:t>
      </w:r>
      <w:r>
        <w:rPr>
          <w:rFonts w:asciiTheme="majorBidi" w:hAnsiTheme="majorBidi" w:cstheme="majorBidi"/>
          <w:i/>
          <w:iCs/>
        </w:rPr>
        <w:t>Pseudois</w:t>
      </w:r>
      <w:r>
        <w:rPr>
          <w:rFonts w:asciiTheme="majorBidi" w:hAnsiTheme="majorBidi" w:cstheme="majorBidi"/>
        </w:rPr>
        <w:t xml:space="preserve"> sp. (n = 2), </w:t>
      </w:r>
      <w:r>
        <w:rPr>
          <w:rFonts w:asciiTheme="majorBidi" w:hAnsiTheme="majorBidi" w:cstheme="majorBidi"/>
          <w:i/>
          <w:iCs/>
        </w:rPr>
        <w:t>Ursus thibetanus</w:t>
      </w:r>
      <w:r>
        <w:rPr>
          <w:rFonts w:asciiTheme="majorBidi" w:hAnsiTheme="majorBidi" w:cstheme="majorBidi"/>
        </w:rPr>
        <w:t xml:space="preserve"> (n = 1), </w:t>
      </w:r>
      <w:r>
        <w:rPr>
          <w:rFonts w:asciiTheme="majorBidi" w:hAnsiTheme="majorBidi" w:cstheme="majorBidi"/>
          <w:i/>
          <w:iCs/>
        </w:rPr>
        <w:t>Rhinoceros sinensis</w:t>
      </w:r>
      <w:r>
        <w:rPr>
          <w:rFonts w:asciiTheme="majorBidi" w:hAnsiTheme="majorBidi" w:cstheme="majorBidi"/>
        </w:rPr>
        <w:t xml:space="preserve"> (n = 1), and </w:t>
      </w:r>
      <w:r>
        <w:rPr>
          <w:rFonts w:asciiTheme="majorBidi" w:hAnsiTheme="majorBidi" w:cstheme="majorBidi"/>
          <w:i/>
          <w:iCs/>
        </w:rPr>
        <w:t>Sus</w:t>
      </w:r>
      <w:r>
        <w:rPr>
          <w:rFonts w:asciiTheme="majorBidi" w:hAnsiTheme="majorBidi" w:cstheme="majorBidi"/>
        </w:rPr>
        <w:t xml:space="preserve"> sp. (n = 1)</w:t>
      </w:r>
      <w:r>
        <w:rPr>
          <w:rFonts w:hint="eastAsia" w:asciiTheme="majorBidi" w:hAnsiTheme="majorBidi" w:cstheme="majorBidi"/>
          <w:lang w:val="en-US" w:eastAsia="zh-CN"/>
        </w:rPr>
        <w:t xml:space="preserve"> (</w:t>
      </w:r>
      <w:r>
        <w:rPr>
          <w:rFonts w:hint="eastAsia"/>
          <w:color w:val="0000FF"/>
          <w:lang w:val="en-US" w:eastAsia="zh-CN"/>
        </w:rPr>
        <w:t>Supplementary Fig. 42;</w:t>
      </w:r>
      <w:r>
        <w:rPr>
          <w:rFonts w:hint="eastAsia"/>
          <w:color w:val="0000FF"/>
          <w:highlight w:val="none"/>
          <w:lang w:val="en-US" w:eastAsia="zh-CN"/>
        </w:rPr>
        <w:t xml:space="preserve"> Supplementary Table 28</w:t>
      </w:r>
      <w:r>
        <w:rPr>
          <w:rFonts w:hint="eastAsia" w:asciiTheme="majorBidi" w:hAnsiTheme="majorBidi" w:cstheme="majorBidi"/>
          <w:highlight w:val="none"/>
          <w:lang w:val="en-US" w:eastAsia="zh-CN"/>
        </w:rPr>
        <w:t>)</w:t>
      </w:r>
      <w:r>
        <w:rPr>
          <w:rFonts w:asciiTheme="majorBidi" w:hAnsiTheme="majorBidi" w:cstheme="majorBidi"/>
          <w:highlight w:val="none"/>
        </w:rPr>
        <w:t>.</w:t>
      </w:r>
    </w:p>
    <w:p w14:paraId="2FCCABC7">
      <w:pPr>
        <w:ind w:firstLine="240" w:firstLineChars="100"/>
        <w:jc w:val="both"/>
        <w:rPr>
          <w:rFonts w:asciiTheme="majorBidi" w:hAnsiTheme="majorBidi" w:cstheme="majorBidi"/>
        </w:rPr>
      </w:pPr>
      <w:r>
        <w:rPr>
          <w:rFonts w:hint="eastAsia" w:asciiTheme="majorBidi" w:hAnsiTheme="majorBidi" w:cstheme="majorBidi"/>
          <w:highlight w:val="none"/>
        </w:rPr>
        <w:t xml:space="preserve">A comparative analysis of large mammal species at Bianfu Cave and their extant relatives at </w:t>
      </w:r>
      <w:r>
        <w:rPr>
          <w:rFonts w:hint="eastAsia" w:asciiTheme="majorBidi" w:hAnsiTheme="majorBidi" w:cstheme="majorBidi"/>
          <w:highlight w:val="none"/>
          <w:lang w:val="en-US" w:eastAsia="zh-CN"/>
        </w:rPr>
        <w:t>the</w:t>
      </w:r>
      <w:r>
        <w:rPr>
          <w:rFonts w:hint="eastAsia" w:asciiTheme="majorBidi" w:hAnsiTheme="majorBidi" w:cstheme="majorBidi"/>
          <w:highlight w:val="none"/>
        </w:rPr>
        <w:t xml:space="preserve"> generic level </w:t>
      </w:r>
      <w:r>
        <w:rPr>
          <w:rFonts w:hint="eastAsia" w:asciiTheme="majorBidi" w:hAnsiTheme="majorBidi" w:cstheme="majorBidi"/>
          <w:highlight w:val="none"/>
          <w:lang w:val="en-US" w:eastAsia="zh-CN"/>
        </w:rPr>
        <w:t xml:space="preserve">reveals that </w:t>
      </w:r>
      <w:r>
        <w:rPr>
          <w:rFonts w:hint="eastAsia" w:asciiTheme="majorBidi" w:hAnsiTheme="majorBidi" w:cstheme="majorBidi"/>
          <w:highlight w:val="none"/>
        </w:rPr>
        <w:t xml:space="preserve">most taxa at the site </w:t>
      </w:r>
      <w:r>
        <w:rPr>
          <w:rFonts w:hint="eastAsia" w:asciiTheme="majorBidi" w:hAnsiTheme="majorBidi" w:cstheme="majorBidi"/>
          <w:highlight w:val="none"/>
          <w:lang w:val="en-US" w:eastAsia="zh-CN"/>
        </w:rPr>
        <w:t>inhabit</w:t>
      </w:r>
      <w:r>
        <w:rPr>
          <w:rFonts w:hint="eastAsia" w:asciiTheme="majorBidi" w:hAnsiTheme="majorBidi" w:cstheme="majorBidi"/>
          <w:highlight w:val="none"/>
        </w:rPr>
        <w:t xml:space="preserve"> a </w:t>
      </w:r>
      <w:r>
        <w:rPr>
          <w:rFonts w:hint="eastAsia" w:asciiTheme="majorBidi" w:hAnsiTheme="majorBidi" w:cstheme="majorBidi"/>
          <w:highlight w:val="none"/>
          <w:lang w:val="en-US" w:eastAsia="zh-CN"/>
        </w:rPr>
        <w:t>mountainous</w:t>
      </w:r>
      <w:r>
        <w:rPr>
          <w:rFonts w:hint="eastAsia" w:asciiTheme="majorBidi" w:hAnsiTheme="majorBidi" w:cstheme="majorBidi"/>
          <w:highlight w:val="none"/>
        </w:rPr>
        <w:t xml:space="preserve"> forest environment interspersed with open glades and clearings. </w:t>
      </w:r>
      <w:r>
        <w:rPr>
          <w:rFonts w:hint="eastAsia" w:asciiTheme="majorBidi" w:hAnsiTheme="majorBidi" w:cstheme="majorBidi"/>
          <w:lang w:val="en-US" w:eastAsia="zh-CN"/>
        </w:rPr>
        <w:t xml:space="preserve">Some variations are however noted at a specific level. </w:t>
      </w:r>
      <w:r>
        <w:rPr>
          <w:rFonts w:hint="eastAsia" w:asciiTheme="majorBidi" w:hAnsiTheme="majorBidi" w:cstheme="majorBidi"/>
        </w:rPr>
        <w:t xml:space="preserve"> </w:t>
      </w:r>
    </w:p>
    <w:p w14:paraId="59E6BB52">
      <w:pPr>
        <w:ind w:firstLine="240" w:firstLineChars="100"/>
        <w:jc w:val="both"/>
        <w:rPr>
          <w:rFonts w:asciiTheme="majorBidi" w:hAnsiTheme="majorBidi" w:cstheme="majorBidi"/>
        </w:rPr>
      </w:pPr>
      <w:r>
        <w:rPr>
          <w:rFonts w:hint="eastAsia" w:asciiTheme="majorBidi" w:hAnsiTheme="majorBidi" w:cstheme="majorBidi"/>
        </w:rPr>
        <w:t>Sika deer mainly inhabits mountainous areas with mixed coniferous and broad-leaved forests, forest edges, and mountain grasslands. Red deer mainly</w:t>
      </w:r>
      <w:r>
        <w:rPr>
          <w:rFonts w:asciiTheme="majorBidi" w:hAnsiTheme="majorBidi" w:cstheme="majorBidi"/>
        </w:rPr>
        <w:t xml:space="preserve"> lives in</w:t>
      </w:r>
      <w:r>
        <w:rPr>
          <w:rFonts w:hint="eastAsia" w:asciiTheme="majorBidi" w:hAnsiTheme="majorBidi" w:cstheme="majorBidi"/>
        </w:rPr>
        <w:t xml:space="preserve"> high mountain forests, grasslands, mixed forests, as well as shrub and meadow areas. Gaur mainly </w:t>
      </w:r>
      <w:r>
        <w:rPr>
          <w:rFonts w:asciiTheme="majorBidi" w:hAnsiTheme="majorBidi" w:cstheme="majorBidi"/>
        </w:rPr>
        <w:t>occup</w:t>
      </w:r>
      <w:r>
        <w:rPr>
          <w:rFonts w:hint="eastAsia" w:asciiTheme="majorBidi" w:hAnsiTheme="majorBidi" w:cstheme="majorBidi"/>
          <w:lang w:val="en-US" w:eastAsia="zh-CN"/>
        </w:rPr>
        <w:t>ies</w:t>
      </w:r>
      <w:r>
        <w:rPr>
          <w:rFonts w:hint="eastAsia" w:asciiTheme="majorBidi" w:hAnsiTheme="majorBidi" w:cstheme="majorBidi"/>
        </w:rPr>
        <w:t xml:space="preserve"> shrubbery at the edge of forests, grasslands, and under sparse forests. Buffalo inhabits highland forests, primitive lowland forests, water areas of tropical plains, jungles, bamboo forests or reed thickets. Rhinoceroses mainly </w:t>
      </w:r>
      <w:r>
        <w:rPr>
          <w:rFonts w:asciiTheme="majorBidi" w:hAnsiTheme="majorBidi" w:cstheme="majorBidi"/>
        </w:rPr>
        <w:t>live in</w:t>
      </w:r>
      <w:r>
        <w:rPr>
          <w:rFonts w:hint="eastAsia" w:asciiTheme="majorBidi" w:hAnsiTheme="majorBidi" w:cstheme="majorBidi"/>
        </w:rPr>
        <w:t xml:space="preserve"> open grasslands, savannas, areas of shrubs, or swamps. Bharal and goat are typical mountain animal</w:t>
      </w:r>
      <w:r>
        <w:rPr>
          <w:rFonts w:hint="eastAsia" w:asciiTheme="majorBidi" w:hAnsiTheme="majorBidi" w:cstheme="majorBidi"/>
          <w:lang w:val="en-US" w:eastAsia="zh-CN"/>
        </w:rPr>
        <w:t>.</w:t>
      </w:r>
      <w:r>
        <w:rPr>
          <w:rFonts w:hint="eastAsia" w:asciiTheme="majorBidi" w:hAnsiTheme="majorBidi" w:cstheme="majorBidi"/>
        </w:rPr>
        <w:t xml:space="preserve"> </w:t>
      </w:r>
      <w:r>
        <w:rPr>
          <w:rFonts w:hint="eastAsia" w:asciiTheme="majorBidi" w:hAnsiTheme="majorBidi" w:cstheme="majorBidi"/>
          <w:lang w:val="en-US" w:eastAsia="zh-CN"/>
        </w:rPr>
        <w:t xml:space="preserve">They </w:t>
      </w:r>
      <w:r>
        <w:rPr>
          <w:rFonts w:hint="eastAsia" w:asciiTheme="majorBidi" w:hAnsiTheme="majorBidi" w:cstheme="majorBidi"/>
        </w:rPr>
        <w:t xml:space="preserve">inhabit the high-altitude areas above the tree line, including plateaus, slopes, bare rocks on mountains, and grasslands in mountainous regions. Black bears are forest-dwelling animals with a </w:t>
      </w:r>
      <w:r>
        <w:rPr>
          <w:rFonts w:hint="eastAsia" w:asciiTheme="majorBidi" w:hAnsiTheme="majorBidi" w:cstheme="majorBidi"/>
          <w:lang w:val="en-US" w:eastAsia="zh-CN"/>
        </w:rPr>
        <w:t>capacity to adapt to various environments</w:t>
      </w:r>
      <w:r>
        <w:rPr>
          <w:rFonts w:hint="eastAsia" w:asciiTheme="majorBidi" w:hAnsiTheme="majorBidi" w:cstheme="majorBidi"/>
        </w:rPr>
        <w:t xml:space="preserve"> from the tropical rainforest to the mountainous cold-temperate dark-coniferous forest at an altitude of around 4000 meters. Hyena </w:t>
      </w:r>
      <w:r>
        <w:rPr>
          <w:rFonts w:asciiTheme="majorBidi" w:hAnsiTheme="majorBidi" w:cstheme="majorBidi"/>
        </w:rPr>
        <w:t>live</w:t>
      </w:r>
      <w:r>
        <w:rPr>
          <w:rFonts w:hint="eastAsia" w:asciiTheme="majorBidi" w:hAnsiTheme="majorBidi" w:cstheme="majorBidi"/>
          <w:lang w:val="en-US" w:eastAsia="zh-CN"/>
        </w:rPr>
        <w:t>s</w:t>
      </w:r>
      <w:r>
        <w:rPr>
          <w:rFonts w:hint="eastAsia" w:asciiTheme="majorBidi" w:hAnsiTheme="majorBidi" w:cstheme="majorBidi"/>
        </w:rPr>
        <w:t xml:space="preserve"> in tropical and subtropical areas with sparse grasslands and deserts. Pig has a strong adaptability to </w:t>
      </w:r>
      <w:r>
        <w:rPr>
          <w:rFonts w:hint="eastAsia" w:asciiTheme="majorBidi" w:hAnsiTheme="majorBidi" w:cstheme="majorBidi"/>
          <w:lang w:val="en-US" w:eastAsia="zh-CN"/>
        </w:rPr>
        <w:t>diverse</w:t>
      </w:r>
      <w:r>
        <w:rPr>
          <w:rFonts w:hint="eastAsia" w:asciiTheme="majorBidi" w:hAnsiTheme="majorBidi" w:cstheme="majorBidi"/>
        </w:rPr>
        <w:t xml:space="preserve"> environment</w:t>
      </w:r>
      <w:r>
        <w:rPr>
          <w:rFonts w:hint="eastAsia" w:asciiTheme="majorBidi" w:hAnsiTheme="majorBidi" w:cstheme="majorBidi"/>
          <w:lang w:val="en-US" w:eastAsia="zh-CN"/>
        </w:rPr>
        <w:t>s</w:t>
      </w:r>
      <w:r>
        <w:rPr>
          <w:rFonts w:hint="eastAsia" w:asciiTheme="majorBidi" w:hAnsiTheme="majorBidi" w:cstheme="majorBidi"/>
        </w:rPr>
        <w:t xml:space="preserve"> </w:t>
      </w:r>
      <w:r>
        <w:rPr>
          <w:rFonts w:hint="eastAsia" w:asciiTheme="majorBidi" w:hAnsiTheme="majorBidi" w:cstheme="majorBidi"/>
          <w:lang w:val="en-US" w:eastAsia="zh-CN"/>
        </w:rPr>
        <w:t>such as</w:t>
      </w:r>
      <w:r>
        <w:rPr>
          <w:rFonts w:hint="eastAsia" w:asciiTheme="majorBidi" w:hAnsiTheme="majorBidi" w:cstheme="majorBidi"/>
        </w:rPr>
        <w:t xml:space="preserve"> mountainous areas, hills, deserts, grasslands, forests and other regions. </w:t>
      </w:r>
    </w:p>
    <w:p w14:paraId="03AD2451">
      <w:pPr>
        <w:ind w:firstLine="240" w:firstLineChars="100"/>
        <w:jc w:val="both"/>
        <w:rPr>
          <w:rFonts w:asciiTheme="majorBidi" w:hAnsiTheme="majorBidi" w:cstheme="majorBidi"/>
        </w:rPr>
      </w:pPr>
      <w:r>
        <w:rPr>
          <w:rFonts w:hint="eastAsia" w:asciiTheme="majorBidi" w:hAnsiTheme="majorBidi" w:cstheme="majorBidi"/>
        </w:rPr>
        <w:t xml:space="preserve">Overall, fauna at the Bianfu Cave indicates that climate in this region was cool and moderately humid, and the ecological environment </w:t>
      </w:r>
      <w:r>
        <w:rPr>
          <w:rFonts w:hint="eastAsia" w:asciiTheme="majorBidi" w:hAnsiTheme="majorBidi" w:cstheme="majorBidi"/>
          <w:lang w:val="en-US" w:eastAsia="zh-CN"/>
        </w:rPr>
        <w:t>encompassed mountainous</w:t>
      </w:r>
      <w:r>
        <w:rPr>
          <w:rFonts w:hint="eastAsia" w:asciiTheme="majorBidi" w:hAnsiTheme="majorBidi" w:cstheme="majorBidi"/>
        </w:rPr>
        <w:t xml:space="preserve"> forest, with interspersed areas of open woodland, shrubbery, grassland, alpine meadows </w:t>
      </w:r>
      <w:r>
        <w:rPr>
          <w:rFonts w:hint="eastAsia" w:asciiTheme="majorBidi" w:hAnsiTheme="majorBidi" w:cstheme="majorBidi"/>
          <w:lang w:val="en-US" w:eastAsia="zh-CN"/>
        </w:rPr>
        <w:t>in the vicinity of the site</w:t>
      </w:r>
      <w:r>
        <w:rPr>
          <w:rFonts w:hint="eastAsia" w:asciiTheme="majorBidi" w:hAnsiTheme="majorBidi" w:cstheme="majorBidi"/>
        </w:rPr>
        <w:t xml:space="preserve">. This is consistent with the </w:t>
      </w:r>
      <w:r>
        <w:rPr>
          <w:rFonts w:hint="eastAsia" w:asciiTheme="majorBidi" w:hAnsiTheme="majorBidi" w:cstheme="majorBidi"/>
          <w:lang w:val="en-US" w:eastAsia="zh-CN"/>
        </w:rPr>
        <w:t xml:space="preserve">surrounding </w:t>
      </w:r>
      <w:r>
        <w:rPr>
          <w:rFonts w:hint="eastAsia" w:asciiTheme="majorBidi" w:hAnsiTheme="majorBidi" w:cstheme="majorBidi"/>
        </w:rPr>
        <w:t xml:space="preserve">topography and geomorphology, which is </w:t>
      </w:r>
      <w:r>
        <w:rPr>
          <w:rFonts w:hint="eastAsia" w:asciiTheme="majorBidi" w:hAnsiTheme="majorBidi" w:cstheme="majorBidi"/>
          <w:lang w:val="en-US" w:eastAsia="zh-CN"/>
        </w:rPr>
        <w:t>encircled</w:t>
      </w:r>
      <w:r>
        <w:rPr>
          <w:rFonts w:hint="eastAsia" w:asciiTheme="majorBidi" w:hAnsiTheme="majorBidi" w:cstheme="majorBidi"/>
        </w:rPr>
        <w:t xml:space="preserve"> by high mountains in the south, west and east and </w:t>
      </w:r>
      <w:r>
        <w:rPr>
          <w:rFonts w:hint="eastAsia" w:asciiTheme="majorBidi" w:hAnsiTheme="majorBidi" w:cstheme="majorBidi"/>
          <w:lang w:val="en-US" w:eastAsia="zh-CN"/>
        </w:rPr>
        <w:t>a</w:t>
      </w:r>
      <w:r>
        <w:rPr>
          <w:rFonts w:hint="eastAsia" w:asciiTheme="majorBidi" w:hAnsiTheme="majorBidi" w:cstheme="majorBidi"/>
        </w:rPr>
        <w:t xml:space="preserve"> relatively flat basin</w:t>
      </w:r>
      <w:r>
        <w:rPr>
          <w:rFonts w:hint="eastAsia" w:asciiTheme="majorBidi" w:hAnsiTheme="majorBidi" w:cstheme="majorBidi"/>
          <w:lang w:val="en-US" w:eastAsia="zh-CN"/>
        </w:rPr>
        <w:t>,</w:t>
      </w:r>
      <w:r>
        <w:rPr>
          <w:rFonts w:hint="eastAsia" w:asciiTheme="majorBidi" w:hAnsiTheme="majorBidi" w:cstheme="majorBidi"/>
        </w:rPr>
        <w:t xml:space="preserve"> </w:t>
      </w:r>
      <w:r>
        <w:rPr>
          <w:rFonts w:hint="eastAsia" w:asciiTheme="majorBidi" w:hAnsiTheme="majorBidi" w:cstheme="majorBidi"/>
          <w:lang w:val="en-US" w:eastAsia="zh-CN"/>
        </w:rPr>
        <w:t xml:space="preserve">the </w:t>
      </w:r>
      <w:r>
        <w:rPr>
          <w:rFonts w:hint="eastAsia" w:asciiTheme="majorBidi" w:hAnsiTheme="majorBidi" w:cstheme="majorBidi"/>
        </w:rPr>
        <w:t>Heqing Basin</w:t>
      </w:r>
      <w:r>
        <w:rPr>
          <w:rFonts w:hint="eastAsia" w:asciiTheme="majorBidi" w:hAnsiTheme="majorBidi" w:cstheme="majorBidi"/>
          <w:lang w:val="en-US" w:eastAsia="zh-CN"/>
        </w:rPr>
        <w:t>,</w:t>
      </w:r>
      <w:r>
        <w:rPr>
          <w:rFonts w:hint="eastAsia" w:asciiTheme="majorBidi" w:hAnsiTheme="majorBidi" w:cstheme="majorBidi"/>
        </w:rPr>
        <w:t xml:space="preserve"> in the north</w:t>
      </w:r>
      <w:r>
        <w:rPr>
          <w:rFonts w:hint="eastAsia" w:asciiTheme="majorBidi" w:hAnsiTheme="majorBidi" w:cstheme="majorBidi"/>
          <w:lang w:val="en-US" w:eastAsia="zh-CN"/>
        </w:rPr>
        <w:t xml:space="preserve"> (</w:t>
      </w:r>
      <w:r>
        <w:rPr>
          <w:rFonts w:hint="eastAsia"/>
          <w:color w:val="0000FF"/>
          <w:lang w:val="en-US" w:eastAsia="zh-CN"/>
        </w:rPr>
        <w:t>Extended Data Fig. 1a</w:t>
      </w:r>
      <w:r>
        <w:rPr>
          <w:rFonts w:hint="eastAsia" w:asciiTheme="majorBidi" w:hAnsiTheme="majorBidi" w:cstheme="majorBidi"/>
          <w:lang w:val="en-US" w:eastAsia="zh-CN"/>
        </w:rPr>
        <w:t>)</w:t>
      </w:r>
      <w:r>
        <w:rPr>
          <w:rFonts w:hint="eastAsia" w:asciiTheme="majorBidi" w:hAnsiTheme="majorBidi" w:cstheme="majorBidi"/>
        </w:rPr>
        <w:t>. The diverse natural environment</w:t>
      </w:r>
      <w:r>
        <w:rPr>
          <w:rFonts w:hint="eastAsia" w:asciiTheme="majorBidi" w:hAnsiTheme="majorBidi" w:cstheme="majorBidi"/>
          <w:lang w:val="en-US" w:eastAsia="zh-CN"/>
        </w:rPr>
        <w:t>s</w:t>
      </w:r>
      <w:r>
        <w:rPr>
          <w:rFonts w:hint="eastAsia" w:asciiTheme="majorBidi" w:hAnsiTheme="majorBidi" w:cstheme="majorBidi"/>
        </w:rPr>
        <w:t xml:space="preserve"> </w:t>
      </w:r>
      <w:r>
        <w:rPr>
          <w:rFonts w:hint="eastAsia" w:asciiTheme="majorBidi" w:hAnsiTheme="majorBidi" w:cstheme="majorBidi"/>
          <w:lang w:val="en-US" w:eastAsia="zh-CN"/>
        </w:rPr>
        <w:t xml:space="preserve">and </w:t>
      </w:r>
      <w:r>
        <w:rPr>
          <w:rFonts w:hint="eastAsia" w:asciiTheme="majorBidi" w:hAnsiTheme="majorBidi" w:cstheme="majorBidi"/>
        </w:rPr>
        <w:t>abundant resources</w:t>
      </w:r>
      <w:r>
        <w:rPr>
          <w:rFonts w:hint="eastAsia" w:asciiTheme="majorBidi" w:hAnsiTheme="majorBidi" w:cstheme="majorBidi"/>
          <w:lang w:val="en-US" w:eastAsia="zh-CN"/>
        </w:rPr>
        <w:t xml:space="preserve"> they contained likely played a role in the recurrent visits by hominins at Bianfu Cave during MIS 6 and 4. </w:t>
      </w:r>
    </w:p>
    <w:p w14:paraId="314D4EE5">
      <w:pPr>
        <w:pStyle w:val="33"/>
        <w:numPr>
          <w:ilvl w:val="-1"/>
          <w:numId w:val="0"/>
        </w:numPr>
        <w:ind w:left="0" w:leftChars="0" w:firstLine="0" w:firstLineChars="0"/>
        <w:rPr>
          <w:b/>
          <w:sz w:val="24"/>
          <w:szCs w:val="24"/>
        </w:rPr>
      </w:pPr>
      <w:r>
        <w:rPr>
          <w:b/>
          <w:lang w:val="en-US"/>
        </w:rPr>
        <w:t>Mortality profiles and bone surface modifications</w:t>
      </w:r>
    </w:p>
    <w:p w14:paraId="41E6767E">
      <w:pPr>
        <w:ind w:firstLine="240" w:firstLineChars="100"/>
        <w:jc w:val="both"/>
      </w:pPr>
      <w:r>
        <w:t>After eliminating the taxonomically identifiable post-cranial bone fragments, the indistinguishable canines and the tooth fragments, the total number of teeth, including those preserved in maxillae and mandibles, amounts to 1</w:t>
      </w:r>
      <w:r>
        <w:rPr>
          <w:rFonts w:hint="eastAsia"/>
          <w:lang w:val="en-US" w:eastAsia="zh-CN"/>
        </w:rPr>
        <w:t>,</w:t>
      </w:r>
      <w:r>
        <w:t>705 specimens (</w:t>
      </w:r>
      <w:r>
        <w:rPr>
          <w:rFonts w:hint="eastAsia"/>
          <w:color w:val="0000FF"/>
          <w:lang w:val="en-US" w:eastAsia="zh-CN"/>
        </w:rPr>
        <w:t>Supplementary Table 27</w:t>
      </w:r>
      <w:r>
        <w:rPr>
          <w:color w:val="auto"/>
          <w:highlight w:val="none"/>
        </w:rPr>
        <w:t>)</w:t>
      </w:r>
      <w:r>
        <w:rPr>
          <w:highlight w:val="none"/>
        </w:rPr>
        <w:t>. Using the differential preservation method proposed by Brain</w:t>
      </w:r>
      <w:r>
        <w:rPr>
          <w:rFonts w:hint="eastAsia"/>
          <w:color w:val="auto"/>
          <w:highlight w:val="none"/>
          <w:vertAlign w:val="superscript"/>
          <w:lang w:eastAsia="zh-CN"/>
        </w:rPr>
        <w:t>9</w:t>
      </w:r>
      <w:r>
        <w:rPr>
          <w:rFonts w:hint="eastAsia"/>
          <w:color w:val="auto"/>
          <w:highlight w:val="none"/>
          <w:vertAlign w:val="superscript"/>
          <w:lang w:val="en-US" w:eastAsia="zh-CN"/>
        </w:rPr>
        <w:t>4</w:t>
      </w:r>
      <w:r>
        <w:rPr>
          <w:color w:val="auto"/>
          <w:highlight w:val="none"/>
        </w:rPr>
        <w:t xml:space="preserve">, </w:t>
      </w:r>
      <w:r>
        <w:rPr>
          <w:highlight w:val="none"/>
        </w:rPr>
        <w:t xml:space="preserve">it </w:t>
      </w:r>
      <w:r>
        <w:rPr>
          <w:rFonts w:hint="eastAsia"/>
          <w:highlight w:val="none"/>
          <w:lang w:val="en-US" w:eastAsia="zh-CN"/>
        </w:rPr>
        <w:t>becomes</w:t>
      </w:r>
      <w:r>
        <w:rPr>
          <w:highlight w:val="none"/>
        </w:rPr>
        <w:t xml:space="preserve"> clear that these elements are adapted to calculate the MNI and mortality profiles at Bianfu Cave. The scores obtained for the bovids and cervids, i.e., the most represented herbivores at the site, are as follow: </w:t>
      </w:r>
      <w:r>
        <w:rPr>
          <w:i/>
          <w:highlight w:val="none"/>
        </w:rPr>
        <w:t>Cervus (Sika) nippon</w:t>
      </w:r>
      <w:r>
        <w:rPr>
          <w:highlight w:val="none"/>
        </w:rPr>
        <w:t xml:space="preserve"> 97.4%; </w:t>
      </w:r>
      <w:r>
        <w:rPr>
          <w:i/>
          <w:highlight w:val="none"/>
        </w:rPr>
        <w:t>Cervus elaphus</w:t>
      </w:r>
      <w:r>
        <w:rPr>
          <w:highlight w:val="none"/>
        </w:rPr>
        <w:t xml:space="preserve"> 85.9%; </w:t>
      </w:r>
      <w:r>
        <w:rPr>
          <w:i/>
          <w:highlight w:val="none"/>
        </w:rPr>
        <w:t>Bos(Bibos) gaurus</w:t>
      </w:r>
      <w:r>
        <w:rPr>
          <w:highlight w:val="none"/>
        </w:rPr>
        <w:t xml:space="preserve"> 92.6%; </w:t>
      </w:r>
      <w:r>
        <w:rPr>
          <w:i/>
          <w:highlight w:val="none"/>
        </w:rPr>
        <w:t>Bubalus</w:t>
      </w:r>
      <w:r>
        <w:rPr>
          <w:highlight w:val="none"/>
        </w:rPr>
        <w:t xml:space="preserve"> sp. 98.4% (see </w:t>
      </w:r>
      <w:r>
        <w:rPr>
          <w:rFonts w:hint="eastAsia"/>
          <w:color w:val="0000FF"/>
          <w:lang w:val="en-US" w:eastAsia="zh-CN"/>
        </w:rPr>
        <w:t>Supplementary Table 27</w:t>
      </w:r>
      <w:r>
        <w:rPr>
          <w:highlight w:val="none"/>
        </w:rPr>
        <w:t>). For both</w:t>
      </w:r>
      <w:r>
        <w:t xml:space="preserve"> bovids and cervids, the mortality profiles suggest a pattern where prime adults dominate the assemblage, albeit with a slightly higher proportion of juvenile bovids in layers 6-12</w:t>
      </w:r>
      <w:r>
        <w:rPr>
          <w:rFonts w:hint="eastAsia"/>
          <w:lang w:val="en-US" w:eastAsia="zh-CN"/>
        </w:rPr>
        <w:t xml:space="preserve"> (</w:t>
      </w:r>
      <w:r>
        <w:rPr>
          <w:rFonts w:hint="eastAsia"/>
          <w:color w:val="0000FF"/>
          <w:lang w:val="en-US" w:eastAsia="zh-CN"/>
        </w:rPr>
        <w:t>Supplementary Fig. 43; Supplementary Tables 28, 29</w:t>
      </w:r>
      <w:r>
        <w:rPr>
          <w:rFonts w:hint="eastAsia"/>
          <w:lang w:val="en-US" w:eastAsia="zh-CN"/>
        </w:rPr>
        <w:t>)</w:t>
      </w:r>
      <w:r>
        <w:t>. It is worth noting, however, that in these layers, the proportion of juveniles never exceed 20%.</w:t>
      </w:r>
    </w:p>
    <w:p w14:paraId="090F1C5C">
      <w:pPr>
        <w:ind w:firstLine="240" w:firstLineChars="100"/>
        <w:jc w:val="both"/>
      </w:pPr>
      <w:r>
        <w:rPr>
          <w:color w:val="211D1E"/>
        </w:rPr>
        <w:t xml:space="preserve">These </w:t>
      </w:r>
      <w:r>
        <w:rPr>
          <w:rFonts w:eastAsiaTheme="minorEastAsia"/>
        </w:rPr>
        <w:t>mortality pro</w:t>
      </w:r>
      <w:r>
        <w:rPr>
          <w:rFonts w:eastAsia="AdvOT863180fb+fb"/>
        </w:rPr>
        <w:t>fi</w:t>
      </w:r>
      <w:r>
        <w:rPr>
          <w:rFonts w:eastAsiaTheme="minorEastAsia"/>
        </w:rPr>
        <w:t>les reflect, to some extent,</w:t>
      </w:r>
      <w:r>
        <w:rPr>
          <w:color w:val="211D1E"/>
        </w:rPr>
        <w:t xml:space="preserve"> the hunting strategies of the predators</w:t>
      </w:r>
      <w:r>
        <w:rPr>
          <w:rFonts w:hint="eastAsia"/>
          <w:color w:val="auto"/>
          <w:vertAlign w:val="superscript"/>
          <w:lang w:val="en-US" w:eastAsia="zh-CN"/>
        </w:rPr>
        <w:t>103</w:t>
      </w:r>
      <w:r>
        <w:rPr>
          <w:color w:val="211D1E"/>
        </w:rPr>
        <w:t xml:space="preserve">. Among common carnivorous species, ambush hunting by lions and tigers results in catastrophic mortality profiles where there </w:t>
      </w:r>
      <w:r>
        <w:rPr>
          <w:rFonts w:hint="eastAsia"/>
          <w:color w:val="211D1E"/>
          <w:lang w:val="en-US" w:eastAsia="zh-CN"/>
        </w:rPr>
        <w:t>are</w:t>
      </w:r>
      <w:r>
        <w:rPr>
          <w:color w:val="211D1E"/>
        </w:rPr>
        <w:t xml:space="preserve"> more </w:t>
      </w:r>
      <w:r>
        <w:rPr>
          <w:rFonts w:eastAsiaTheme="minorEastAsia"/>
          <w:color w:val="211D1E"/>
        </w:rPr>
        <w:t>juveniles</w:t>
      </w:r>
      <w:r>
        <w:rPr>
          <w:color w:val="211D1E"/>
        </w:rPr>
        <w:t xml:space="preserve"> than prime or old individuals. Predators such as hyenas and wolves generally resort to long-distance running, tracking and attacking vulnerable individuals such as </w:t>
      </w:r>
      <w:r>
        <w:rPr>
          <w:rFonts w:eastAsiaTheme="minorEastAsia"/>
          <w:color w:val="211D1E"/>
        </w:rPr>
        <w:t>juveniles</w:t>
      </w:r>
      <w:r>
        <w:rPr>
          <w:color w:val="211D1E"/>
        </w:rPr>
        <w:t xml:space="preserve"> and old individuals, thereby forming an </w:t>
      </w:r>
      <w:r>
        <w:rPr>
          <w:rFonts w:eastAsiaTheme="minorEastAsia"/>
        </w:rPr>
        <w:t>attritional mortality pro</w:t>
      </w:r>
      <w:r>
        <w:rPr>
          <w:rFonts w:eastAsia="AdvOT863180fb+fb"/>
        </w:rPr>
        <w:t>fi</w:t>
      </w:r>
      <w:r>
        <w:rPr>
          <w:rFonts w:eastAsiaTheme="minorEastAsia"/>
        </w:rPr>
        <w:t>le</w:t>
      </w:r>
      <w:r>
        <w:rPr>
          <w:color w:val="211D1E"/>
        </w:rPr>
        <w:t xml:space="preserve"> dominated by these two groups. At Bianfu Cave, the overrepresentation of prime adults suggests a targeted hunt aimed at individuals that could yield higher return rate, a behavio</w:t>
      </w:r>
      <w:r>
        <w:rPr>
          <w:rFonts w:hint="eastAsia"/>
          <w:color w:val="211D1E"/>
          <w:lang w:val="en-US" w:eastAsia="zh-CN"/>
        </w:rPr>
        <w:t>u</w:t>
      </w:r>
      <w:r>
        <w:rPr>
          <w:color w:val="211D1E"/>
        </w:rPr>
        <w:t>r usually associated with hominin hunting strategies.</w:t>
      </w:r>
    </w:p>
    <w:p w14:paraId="3898C6B3">
      <w:pPr>
        <w:ind w:firstLine="240" w:firstLineChars="100"/>
        <w:jc w:val="both"/>
      </w:pPr>
      <w:r>
        <w:t xml:space="preserve">The taphonomic analysis of the Bianfu Cave faunal assemblage was conducted to further evaluate the main agent(s) responsible for its accumulation and processing </w:t>
      </w:r>
      <w:r>
        <w:rPr>
          <w:rFonts w:asciiTheme="majorBidi" w:hAnsiTheme="majorBidi" w:cstheme="majorBidi"/>
        </w:rPr>
        <w:t xml:space="preserve">(see </w:t>
      </w:r>
      <w:r>
        <w:rPr>
          <w:rFonts w:asciiTheme="majorBidi" w:hAnsiTheme="majorBidi" w:cstheme="majorBidi"/>
          <w:color w:val="0000FF"/>
        </w:rPr>
        <w:t>Supplementary Table</w:t>
      </w:r>
      <w:r>
        <w:rPr>
          <w:rFonts w:asciiTheme="majorBidi" w:hAnsiTheme="majorBidi" w:cstheme="majorBidi"/>
          <w:color w:val="0000FF"/>
          <w:highlight w:val="none"/>
        </w:rPr>
        <w:t xml:space="preserve"> </w:t>
      </w:r>
      <w:r>
        <w:rPr>
          <w:rFonts w:hint="eastAsia" w:asciiTheme="majorBidi" w:hAnsiTheme="majorBidi" w:cstheme="majorBidi"/>
          <w:color w:val="0000FF"/>
          <w:lang w:val="en-US" w:eastAsia="zh-CN"/>
        </w:rPr>
        <w:t>30</w:t>
      </w:r>
      <w:r>
        <w:rPr>
          <w:rFonts w:asciiTheme="majorBidi" w:hAnsiTheme="majorBidi" w:cstheme="majorBidi"/>
          <w:highlight w:val="none"/>
        </w:rPr>
        <w:t>)</w:t>
      </w:r>
      <w:r>
        <w:rPr>
          <w:highlight w:val="none"/>
        </w:rPr>
        <w:t xml:space="preserve">. The results presented here must be understood while keeping in mind the differential preservation of the remains. While dental remains show good preservation, the surfaces legibility of bone and antler fragments ranges from poor to moderate across the sequence, which reflects the complex post-depositional processes that affected their fossilization </w:t>
      </w:r>
      <w:r>
        <w:rPr>
          <w:rFonts w:asciiTheme="majorBidi" w:hAnsiTheme="majorBidi" w:cstheme="majorBidi"/>
          <w:highlight w:val="none"/>
        </w:rPr>
        <w:t xml:space="preserve">(see </w:t>
      </w:r>
      <w:r>
        <w:rPr>
          <w:rFonts w:hint="eastAsia" w:asciiTheme="majorBidi" w:hAnsiTheme="majorBidi" w:cstheme="majorBidi"/>
          <w:color w:val="0000FF"/>
          <w:highlight w:val="none"/>
          <w:lang w:eastAsia="zh-CN"/>
        </w:rPr>
        <w:t>Supplementary Fig.</w:t>
      </w:r>
      <w:r>
        <w:rPr>
          <w:rFonts w:asciiTheme="majorBidi" w:hAnsiTheme="majorBidi" w:cstheme="majorBidi"/>
          <w:color w:val="0000FF"/>
          <w:highlight w:val="none"/>
        </w:rPr>
        <w:t xml:space="preserve"> </w:t>
      </w:r>
      <w:r>
        <w:rPr>
          <w:rFonts w:hint="eastAsia" w:asciiTheme="majorBidi" w:hAnsiTheme="majorBidi" w:cstheme="majorBidi"/>
          <w:color w:val="0000FF"/>
          <w:highlight w:val="none"/>
          <w:lang w:val="en-US" w:eastAsia="zh-CN"/>
        </w:rPr>
        <w:t>41;</w:t>
      </w:r>
      <w:r>
        <w:rPr>
          <w:rFonts w:asciiTheme="majorBidi" w:hAnsiTheme="majorBidi" w:cstheme="majorBidi"/>
          <w:color w:val="0000FF"/>
          <w:highlight w:val="none"/>
        </w:rPr>
        <w:t xml:space="preserve"> Supplementary Table </w:t>
      </w:r>
      <w:r>
        <w:rPr>
          <w:rFonts w:hint="eastAsia" w:asciiTheme="majorBidi" w:hAnsiTheme="majorBidi" w:cstheme="majorBidi"/>
          <w:color w:val="0000FF"/>
          <w:highlight w:val="none"/>
          <w:lang w:val="en-US" w:eastAsia="zh-CN"/>
        </w:rPr>
        <w:t>30</w:t>
      </w:r>
      <w:r>
        <w:rPr>
          <w:rFonts w:asciiTheme="majorBidi" w:hAnsiTheme="majorBidi" w:cstheme="majorBidi"/>
          <w:highlight w:val="none"/>
        </w:rPr>
        <w:t>)</w:t>
      </w:r>
      <w:r>
        <w:rPr>
          <w:highlight w:val="none"/>
        </w:rPr>
        <w:t>. M</w:t>
      </w:r>
      <w:r>
        <w:t>any specimens retain only limited portions of the original cortical surface, and surface observation is further reduced by concretion deposits, evidence of sediment compaction, ferromanganese staining, decalcification, exfoliation, and other abrasive post-depositional alterations. In the recorded assemblage, almost two-third of the specimens preserve less than 60% of their cortical surface. Generally, specimens from layers 3 and 4 are better preserved than those at the bottom of the sequence, a pattern that is correlated with the heavy cementation of the layers 7 to 12.</w:t>
      </w:r>
    </w:p>
    <w:p w14:paraId="5403A0DF">
      <w:pPr>
        <w:wordWrap/>
        <w:ind w:firstLine="240" w:firstLineChars="100"/>
        <w:jc w:val="both"/>
        <w:rPr>
          <w:rFonts w:hint="eastAsia" w:eastAsia="宋体"/>
          <w:lang w:val="en-US" w:eastAsia="zh-CN"/>
        </w:rPr>
      </w:pPr>
      <w:r>
        <w:t>Ferromanganese staining is the most widespread alteration, affecting about 92.7% of the bone remains, followed by decalcification, which is present on 76.8% of the assemblage. In these lower layers, decalcification is much more extensive, the bone surfaces appear chalky, powdery, and whitish. At a microscopic level, the original anatomical features of bone, e.g., vascular openings, are completely altered, and surface exfoliation is more pronounced. Trampling traces are also common and were recorded on 45.2% of the specimens. Root etching, however, is rare, and affects less than 0.5% of the remains.</w:t>
      </w:r>
      <w:r>
        <w:rPr>
          <w:rFonts w:hint="eastAsia"/>
          <w:lang w:val="en-US" w:eastAsia="zh-CN"/>
        </w:rPr>
        <w:t xml:space="preserve"> </w:t>
      </w:r>
      <w:r>
        <w:t>No evidence of abrasion or heavy rounding usually attributed to water erosion</w:t>
      </w:r>
      <w:r>
        <w:rPr>
          <w:rFonts w:hint="eastAsia"/>
          <w:vertAlign w:val="superscript"/>
          <w:lang w:val="en-US" w:eastAsia="zh-CN"/>
        </w:rPr>
        <w:t>118,119</w:t>
      </w:r>
      <w:r>
        <w:rPr>
          <w:vertAlign w:val="superscript"/>
        </w:rPr>
        <w:t xml:space="preserve"> </w:t>
      </w:r>
      <w:r>
        <w:t>or the occupation of the cave by carnivore</w:t>
      </w:r>
      <w:r>
        <w:rPr>
          <w:rFonts w:hint="eastAsia"/>
          <w:vertAlign w:val="superscript"/>
          <w:lang w:val="en-US" w:eastAsia="zh-CN"/>
        </w:rPr>
        <w:t>120,121</w:t>
      </w:r>
      <w:r>
        <w:t xml:space="preserve"> w</w:t>
      </w:r>
      <w:r>
        <w:rPr>
          <w:rFonts w:hint="eastAsia"/>
          <w:lang w:val="en-US" w:eastAsia="zh-CN"/>
        </w:rPr>
        <w:t>as</w:t>
      </w:r>
      <w:r>
        <w:t xml:space="preserve"> observed on the assemblage.</w:t>
      </w:r>
    </w:p>
    <w:p w14:paraId="0B4A442A">
      <w:pPr>
        <w:keepNext w:val="0"/>
        <w:keepLines w:val="0"/>
        <w:pageBreakBefore w:val="0"/>
        <w:widowControl/>
        <w:kinsoku/>
        <w:wordWrap/>
        <w:overflowPunct/>
        <w:topLinePunct w:val="0"/>
        <w:autoSpaceDE/>
        <w:autoSpaceDN/>
        <w:bidi w:val="0"/>
        <w:adjustRightInd/>
        <w:snapToGrid/>
        <w:ind w:firstLine="240" w:firstLineChars="100"/>
        <w:jc w:val="both"/>
        <w:textAlignment w:val="auto"/>
      </w:pPr>
      <w:r>
        <w:t>Among the better-preserved specimens, several characteristic bone surface modifications were identified</w:t>
      </w:r>
      <w:r>
        <w:rPr>
          <w:rFonts w:hint="eastAsia"/>
          <w:lang w:val="en-US" w:eastAsia="zh-CN"/>
        </w:rPr>
        <w:t xml:space="preserve"> (</w:t>
      </w:r>
      <w:r>
        <w:rPr>
          <w:rFonts w:hint="eastAsia" w:asciiTheme="majorBidi" w:hAnsiTheme="majorBidi" w:cstheme="majorBidi"/>
          <w:color w:val="0000FF"/>
          <w:highlight w:val="none"/>
          <w:lang w:val="en-US" w:eastAsia="zh-CN"/>
        </w:rPr>
        <w:t>Supplementary Table 30</w:t>
      </w:r>
      <w:r>
        <w:rPr>
          <w:rFonts w:hint="eastAsia"/>
          <w:lang w:val="en-US" w:eastAsia="zh-CN"/>
        </w:rPr>
        <w:t>)</w:t>
      </w:r>
      <w:r>
        <w:t>. Carnivore and rodent modifications are present but remain minor in frequency. Carnivore-related traces were recorded on 34 specimens (0.6%), including pits, punctures, furrows, gnawing, and few digestion traces. Rodent gnawing, mainly attributing to porcupines, was observed on 37 specimens (0.7%). Most bone surface modifications were attributed to anthropogenic activities. Evidence of percussion to access the marrow cavity was identified on 366 specimens, including 259 scars and 107 notches, which represent 6.7% of our sample. Cut marks were recorded on 63 specimens (1.</w:t>
      </w:r>
      <w:r>
        <w:rPr>
          <w:rFonts w:hint="eastAsia"/>
          <w:lang w:val="en-US" w:eastAsia="zh-CN"/>
        </w:rPr>
        <w:t>2</w:t>
      </w:r>
      <w:r>
        <w:t xml:space="preserve">%). Collectively, when accounting for specimens that bear two or more of these traces, </w:t>
      </w:r>
      <w:r>
        <w:rPr>
          <w:highlight w:val="none"/>
        </w:rPr>
        <w:t xml:space="preserve">7.53% </w:t>
      </w:r>
      <w:r>
        <w:t>of the faunal sample considered here bear clear evidence of anthropogenic activities. While this proportion appears relatively low, it is explained by the poor preservation of the cortical surfaces in general, and the sampling strategy focusing on specimens measuring more than 5 cm in length. This frequency should, therefore, be considered a minimum value.</w:t>
      </w:r>
    </w:p>
    <w:p w14:paraId="6991D986">
      <w:pPr>
        <w:keepNext w:val="0"/>
        <w:keepLines w:val="0"/>
        <w:pageBreakBefore w:val="0"/>
        <w:widowControl/>
        <w:kinsoku/>
        <w:wordWrap/>
        <w:overflowPunct/>
        <w:topLinePunct w:val="0"/>
        <w:autoSpaceDE/>
        <w:autoSpaceDN/>
        <w:bidi w:val="0"/>
        <w:adjustRightInd/>
        <w:snapToGrid/>
        <w:ind w:firstLine="240" w:firstLineChars="100"/>
        <w:jc w:val="both"/>
        <w:textAlignment w:val="auto"/>
      </w:pPr>
      <w:r>
        <w:t>On long bones and scapulae, cut marks are preferentially oriented obliquely relative to the bone’s main axis. Cut marks oriented transversely are also present while those parallel to the bone’s main axis are rare. On metapodials, cut marks obliquely and transversely oriented relative to the main axis were likewise observed. Overall, the cut marks are concentrated on long bone diaphysis (</w:t>
      </w:r>
      <w:r>
        <w:rPr>
          <w:rFonts w:hint="eastAsia"/>
          <w:highlight w:val="none"/>
          <w:lang w:val="en-US" w:eastAsia="zh-CN"/>
        </w:rPr>
        <w:t>n = 57/63, 90.5</w:t>
      </w:r>
      <w:r>
        <w:rPr>
          <w:highlight w:val="none"/>
        </w:rPr>
        <w:t>%</w:t>
      </w:r>
      <w:r>
        <w:t>) and measure on average 7.3 mm in length (</w:t>
      </w:r>
      <w:r>
        <w:rPr>
          <w:rFonts w:hint="eastAsia" w:asciiTheme="majorBidi" w:hAnsiTheme="majorBidi" w:cstheme="majorBidi"/>
          <w:color w:val="0000FF"/>
          <w:highlight w:val="none"/>
          <w:lang w:eastAsia="zh-CN"/>
        </w:rPr>
        <w:t>Supplementary Fig.</w:t>
      </w:r>
      <w:r>
        <w:rPr>
          <w:rFonts w:asciiTheme="majorBidi" w:hAnsiTheme="majorBidi" w:cstheme="majorBidi"/>
          <w:color w:val="0000FF"/>
          <w:highlight w:val="none"/>
        </w:rPr>
        <w:t xml:space="preserve"> </w:t>
      </w:r>
      <w:r>
        <w:rPr>
          <w:rFonts w:hint="eastAsia" w:asciiTheme="majorBidi" w:hAnsiTheme="majorBidi" w:cstheme="majorBidi"/>
          <w:color w:val="0000FF"/>
          <w:highlight w:val="none"/>
          <w:lang w:val="en-US" w:eastAsia="zh-CN"/>
        </w:rPr>
        <w:t>44</w:t>
      </w:r>
      <w:r>
        <w:t>). Comparison with experimental and ethnographic data supports that this pattern is consistent with carcass defleshing and the breakage of fresh bones to extract marrow. The cut mark pattern observed on metapodial fragments could also entail that the skinning of the preys occurred at the site</w:t>
      </w:r>
      <w:r>
        <w:rPr>
          <w:rFonts w:hint="eastAsia"/>
          <w:vertAlign w:val="superscript"/>
          <w:lang w:val="en-US" w:eastAsia="zh-CN"/>
        </w:rPr>
        <w:t>114,122,123</w:t>
      </w:r>
      <w:r>
        <w:t>.</w:t>
      </w:r>
    </w:p>
    <w:p w14:paraId="747AA4B3">
      <w:pPr>
        <w:ind w:firstLine="240" w:firstLineChars="100"/>
        <w:jc w:val="both"/>
      </w:pPr>
      <w:r>
        <w:rPr>
          <w:rFonts w:hint="eastAsia"/>
          <w:color w:val="auto"/>
          <w:lang w:val="en-US" w:eastAsia="zh-CN"/>
        </w:rPr>
        <w:t>Spatial distribution analysis</w:t>
      </w:r>
      <w:r>
        <w:rPr>
          <w:rFonts w:hint="eastAsia"/>
          <w:color w:val="auto"/>
        </w:rPr>
        <w:t xml:space="preserve"> </w:t>
      </w:r>
      <w:r>
        <w:rPr>
          <w:rFonts w:hint="eastAsia"/>
          <w:color w:val="auto"/>
          <w:lang w:val="en-US" w:eastAsia="zh-CN"/>
        </w:rPr>
        <w:t>of</w:t>
      </w:r>
      <w:r>
        <w:rPr>
          <w:rFonts w:hint="eastAsia"/>
          <w:color w:val="auto"/>
        </w:rPr>
        <w:t xml:space="preserve"> the lithic and the faunal assemblages</w:t>
      </w:r>
      <w:r>
        <w:rPr>
          <w:rFonts w:hint="eastAsia"/>
          <w:color w:val="auto"/>
          <w:lang w:val="en-US" w:eastAsia="zh-CN"/>
        </w:rPr>
        <w:t xml:space="preserve"> from</w:t>
      </w:r>
      <w:r>
        <w:rPr>
          <w:rFonts w:hint="eastAsia"/>
          <w:color w:val="auto"/>
        </w:rPr>
        <w:t xml:space="preserve"> layers 3, 7, 9, 11 and 12, </w:t>
      </w:r>
      <w:r>
        <w:rPr>
          <w:rFonts w:hint="eastAsia"/>
          <w:color w:val="auto"/>
          <w:lang w:val="en-US" w:eastAsia="zh-CN"/>
        </w:rPr>
        <w:t>all of which</w:t>
      </w:r>
      <w:r>
        <w:rPr>
          <w:rFonts w:hint="eastAsia"/>
          <w:color w:val="auto"/>
        </w:rPr>
        <w:t xml:space="preserve"> yielded sufficient specimens for analysis</w:t>
      </w:r>
      <w:r>
        <w:rPr>
          <w:rFonts w:hint="eastAsia"/>
          <w:color w:val="auto"/>
          <w:lang w:val="en-US" w:eastAsia="zh-CN"/>
        </w:rPr>
        <w:t>, reveals</w:t>
      </w:r>
      <w:r>
        <w:rPr>
          <w:rFonts w:hint="eastAsia"/>
          <w:color w:val="auto"/>
        </w:rPr>
        <w:t xml:space="preserve"> small shifts </w:t>
      </w:r>
      <w:r>
        <w:rPr>
          <w:rFonts w:hint="eastAsia"/>
          <w:color w:val="auto"/>
          <w:lang w:val="en-US" w:eastAsia="zh-CN"/>
        </w:rPr>
        <w:t>in</w:t>
      </w:r>
      <w:r>
        <w:rPr>
          <w:rFonts w:hint="eastAsia"/>
          <w:color w:val="auto"/>
        </w:rPr>
        <w:t xml:space="preserve"> concentrations along </w:t>
      </w:r>
      <w:r>
        <w:rPr>
          <w:rFonts w:hint="eastAsia"/>
          <w:color w:val="auto"/>
          <w:highlight w:val="none"/>
        </w:rPr>
        <w:t xml:space="preserve">a </w:t>
      </w:r>
      <w:r>
        <w:rPr>
          <w:rFonts w:hint="eastAsia"/>
          <w:color w:val="auto"/>
          <w:highlight w:val="none"/>
          <w:lang w:val="en-US" w:eastAsia="zh-CN"/>
        </w:rPr>
        <w:t>southeast-northwest</w:t>
      </w:r>
      <w:r>
        <w:rPr>
          <w:color w:val="auto"/>
          <w:highlight w:val="none"/>
        </w:rPr>
        <w:t xml:space="preserve"> </w:t>
      </w:r>
      <w:r>
        <w:rPr>
          <w:rFonts w:hint="eastAsia"/>
          <w:color w:val="auto"/>
          <w:highlight w:val="none"/>
        </w:rPr>
        <w:t>cli</w:t>
      </w:r>
      <w:r>
        <w:rPr>
          <w:rFonts w:hint="eastAsia"/>
          <w:color w:val="auto"/>
        </w:rPr>
        <w:t>ne between layers 11 and 12 on the one hand</w:t>
      </w:r>
      <w:r>
        <w:rPr>
          <w:rFonts w:hint="eastAsia"/>
          <w:color w:val="auto"/>
          <w:lang w:val="en-US" w:eastAsia="zh-CN"/>
        </w:rPr>
        <w:t>,</w:t>
      </w:r>
      <w:r>
        <w:rPr>
          <w:rFonts w:hint="eastAsia"/>
          <w:color w:val="auto"/>
        </w:rPr>
        <w:t xml:space="preserve"> and layers 7 and 3 on the other</w:t>
      </w:r>
      <w:r>
        <w:rPr>
          <w:rFonts w:hint="eastAsia"/>
          <w:color w:val="auto"/>
          <w:lang w:val="en-US" w:eastAsia="zh-CN"/>
        </w:rPr>
        <w:t xml:space="preserve"> (</w:t>
      </w:r>
      <w:r>
        <w:rPr>
          <w:rFonts w:hint="eastAsia" w:asciiTheme="majorBidi" w:hAnsiTheme="majorBidi" w:cstheme="majorBidi"/>
          <w:color w:val="0000FF"/>
          <w:highlight w:val="none"/>
          <w:lang w:val="en-US" w:eastAsia="zh-CN"/>
        </w:rPr>
        <w:t>Supplementary Fig. 45</w:t>
      </w:r>
      <w:r>
        <w:rPr>
          <w:rFonts w:hint="eastAsia"/>
          <w:color w:val="auto"/>
          <w:lang w:val="en-US" w:eastAsia="zh-CN"/>
        </w:rPr>
        <w:t>).</w:t>
      </w:r>
      <w:r>
        <w:rPr>
          <w:rFonts w:hint="eastAsia"/>
          <w:color w:val="auto"/>
        </w:rPr>
        <w:t xml:space="preserve"> </w:t>
      </w:r>
      <w:r>
        <w:rPr>
          <w:rFonts w:hint="eastAsia"/>
          <w:color w:val="auto"/>
          <w:lang w:val="en-US" w:eastAsia="zh-CN"/>
        </w:rPr>
        <w:t>Nevertheless, this result</w:t>
      </w:r>
      <w:r>
        <w:rPr>
          <w:rFonts w:hint="eastAsia"/>
          <w:color w:val="auto"/>
        </w:rPr>
        <w:t xml:space="preserve"> </w:t>
      </w:r>
      <w:r>
        <w:rPr>
          <w:rFonts w:hint="eastAsia"/>
          <w:color w:val="auto"/>
          <w:lang w:val="en-US" w:eastAsia="zh-CN"/>
        </w:rPr>
        <w:t>should</w:t>
      </w:r>
      <w:r>
        <w:rPr>
          <w:rFonts w:hint="eastAsia"/>
          <w:color w:val="auto"/>
        </w:rPr>
        <w:t xml:space="preserve"> be interpreted with caution given the limited excavated area at Bianfu Cave</w:t>
      </w:r>
      <w:r>
        <w:rPr>
          <w:rFonts w:hint="eastAsia"/>
          <w:color w:val="auto"/>
          <w:lang w:val="en-US" w:eastAsia="zh-CN"/>
        </w:rPr>
        <w:t>. W</w:t>
      </w:r>
      <w:r>
        <w:rPr>
          <w:rFonts w:hint="eastAsia"/>
          <w:color w:val="auto"/>
        </w:rPr>
        <w:t xml:space="preserve">e </w:t>
      </w:r>
      <w:r>
        <w:rPr>
          <w:rFonts w:hint="eastAsia"/>
          <w:color w:val="auto"/>
          <w:lang w:val="en-US" w:eastAsia="zh-CN"/>
        </w:rPr>
        <w:t xml:space="preserve">therefore </w:t>
      </w:r>
      <w:r>
        <w:rPr>
          <w:rFonts w:hint="eastAsia"/>
          <w:color w:val="auto"/>
        </w:rPr>
        <w:t xml:space="preserve">err on the side of caution and </w:t>
      </w:r>
      <w:r>
        <w:rPr>
          <w:rFonts w:hint="eastAsia"/>
          <w:color w:val="auto"/>
          <w:lang w:val="en-US" w:eastAsia="zh-CN"/>
        </w:rPr>
        <w:t>restrict</w:t>
      </w:r>
      <w:r>
        <w:rPr>
          <w:rFonts w:hint="eastAsia"/>
          <w:color w:val="auto"/>
        </w:rPr>
        <w:t xml:space="preserve"> our interpretation </w:t>
      </w:r>
      <w:r>
        <w:rPr>
          <w:rFonts w:hint="eastAsia"/>
          <w:color w:val="auto"/>
          <w:lang w:val="en-US" w:eastAsia="zh-CN"/>
        </w:rPr>
        <w:t>of</w:t>
      </w:r>
      <w:r>
        <w:rPr>
          <w:rFonts w:hint="eastAsia"/>
          <w:color w:val="auto"/>
        </w:rPr>
        <w:t xml:space="preserve"> possible variation </w:t>
      </w:r>
      <w:r>
        <w:rPr>
          <w:rFonts w:hint="eastAsia"/>
          <w:color w:val="auto"/>
          <w:lang w:val="en-US" w:eastAsia="zh-CN"/>
        </w:rPr>
        <w:t>when considering</w:t>
      </w:r>
      <w:r>
        <w:rPr>
          <w:rFonts w:hint="eastAsia"/>
          <w:color w:val="auto"/>
        </w:rPr>
        <w:t xml:space="preserve"> the site</w:t>
      </w:r>
      <w:r>
        <w:rPr>
          <w:color w:val="auto"/>
        </w:rPr>
        <w:t>’</w:t>
      </w:r>
      <w:r>
        <w:rPr>
          <w:rFonts w:hint="eastAsia"/>
          <w:color w:val="auto"/>
        </w:rPr>
        <w:t xml:space="preserve">s occupation </w:t>
      </w:r>
      <w:r>
        <w:rPr>
          <w:rFonts w:hint="eastAsia"/>
          <w:color w:val="auto"/>
          <w:lang w:val="en-US" w:eastAsia="zh-CN"/>
        </w:rPr>
        <w:t xml:space="preserve">and formation </w:t>
      </w:r>
      <w:r>
        <w:rPr>
          <w:rFonts w:hint="eastAsia"/>
          <w:color w:val="auto"/>
        </w:rPr>
        <w:t>history.</w:t>
      </w:r>
    </w:p>
    <w:p w14:paraId="0B64B262">
      <w:pPr>
        <w:wordWrap/>
        <w:ind w:firstLine="240" w:firstLineChars="100"/>
        <w:jc w:val="both"/>
        <w:rPr>
          <w:rFonts w:hint="eastAsia" w:eastAsia="宋体"/>
          <w:lang w:val="en-US" w:eastAsia="zh-CN"/>
        </w:rPr>
      </w:pPr>
      <w:r>
        <w:t xml:space="preserve">In conclusion, the poor preservation of many cortical surfaces probably resulted in an underestimation of bone surface modifications, and the contribution of other taphonomic agents cannot be completely excluded. However, the zooarchaeological and taphonomic evidence converges toward an interpretation according to which, hominins are the main agent for the accumulation of the faunal assemblage and its initial transformation. This hypothesis is supported by </w:t>
      </w:r>
      <w:r>
        <w:rPr>
          <w:rFonts w:hint="eastAsia"/>
          <w:lang w:val="en-US" w:eastAsia="zh-CN"/>
        </w:rPr>
        <w:t xml:space="preserve">(1) </w:t>
      </w:r>
      <w:r>
        <w:t xml:space="preserve">an overrepresentation of herbivore throughout the sequence, </w:t>
      </w:r>
      <w:r>
        <w:rPr>
          <w:rFonts w:hint="eastAsia"/>
          <w:lang w:val="en-US" w:eastAsia="zh-CN"/>
        </w:rPr>
        <w:t xml:space="preserve">(2) </w:t>
      </w:r>
      <w:r>
        <w:t xml:space="preserve">the targeting of prime adults with high yield rates, </w:t>
      </w:r>
      <w:r>
        <w:rPr>
          <w:rFonts w:hint="eastAsia"/>
          <w:lang w:val="en-US" w:eastAsia="zh-CN"/>
        </w:rPr>
        <w:t xml:space="preserve">(3) </w:t>
      </w:r>
      <w:r>
        <w:t xml:space="preserve">the larger number of appendicular elements, </w:t>
      </w:r>
      <w:r>
        <w:rPr>
          <w:rFonts w:hint="eastAsia"/>
          <w:lang w:val="en-US" w:eastAsia="zh-CN"/>
        </w:rPr>
        <w:t xml:space="preserve">(4) </w:t>
      </w:r>
      <w:r>
        <w:t xml:space="preserve">the abundance of fresh fractures on long bones, </w:t>
      </w:r>
      <w:r>
        <w:rPr>
          <w:rFonts w:hint="eastAsia"/>
          <w:lang w:val="en-US" w:eastAsia="zh-CN"/>
        </w:rPr>
        <w:t xml:space="preserve">(5) </w:t>
      </w:r>
      <w:r>
        <w:t>the presence of cut marks</w:t>
      </w:r>
      <w:r>
        <w:rPr>
          <w:rFonts w:hint="eastAsia"/>
          <w:lang w:val="en-US" w:eastAsia="zh-CN"/>
        </w:rPr>
        <w:t xml:space="preserve"> (</w:t>
      </w:r>
      <w:r>
        <w:t>albeit in frequency likely underrepresented owing to the taphonomic processes that affected the preservation of the cortical surface of the bones</w:t>
      </w:r>
      <w:r>
        <w:rPr>
          <w:rFonts w:hint="eastAsia"/>
          <w:lang w:val="en-US" w:eastAsia="zh-CN"/>
        </w:rPr>
        <w:t>)</w:t>
      </w:r>
      <w:r>
        <w:t>, percussion marks, scars and notches</w:t>
      </w:r>
      <w:r>
        <w:rPr>
          <w:rFonts w:hint="eastAsia"/>
          <w:lang w:val="en-US" w:eastAsia="zh-CN"/>
        </w:rPr>
        <w:t xml:space="preserve"> </w:t>
      </w:r>
      <w:r>
        <w:t xml:space="preserve">attesting to anthropogenic interaction with the carcasses, and (6) the low frequency of carnivore and rodent modifications recorded on the assemblage. </w:t>
      </w:r>
      <w:r>
        <w:rPr>
          <w:rFonts w:hint="eastAsia"/>
          <w:lang w:val="en-US" w:eastAsia="zh-CN"/>
        </w:rPr>
        <w:t>T</w:t>
      </w:r>
      <w:r>
        <w:t>ogether</w:t>
      </w:r>
      <w:r>
        <w:rPr>
          <w:rFonts w:hint="eastAsia"/>
          <w:lang w:val="en-US" w:eastAsia="zh-CN"/>
        </w:rPr>
        <w:t>, this evidence</w:t>
      </w:r>
      <w:r>
        <w:t xml:space="preserve"> suggest</w:t>
      </w:r>
      <w:r>
        <w:rPr>
          <w:rFonts w:hint="eastAsia"/>
          <w:lang w:val="en-US" w:eastAsia="zh-CN"/>
        </w:rPr>
        <w:t>s</w:t>
      </w:r>
      <w:r>
        <w:t xml:space="preserve"> </w:t>
      </w:r>
      <w:r>
        <w:rPr>
          <w:rFonts w:hint="eastAsia"/>
          <w:lang w:val="en-US" w:eastAsia="zh-CN"/>
        </w:rPr>
        <w:t>hominins introduced</w:t>
      </w:r>
      <w:r>
        <w:t xml:space="preserve"> medium- and large</w:t>
      </w:r>
      <w:r>
        <w:rPr>
          <w:rFonts w:hint="eastAsia"/>
          <w:lang w:val="en-US" w:eastAsia="zh-CN"/>
        </w:rPr>
        <w:t>-</w:t>
      </w:r>
      <w:r>
        <w:t>size mammal carcasses in the site and process</w:t>
      </w:r>
      <w:r>
        <w:rPr>
          <w:rFonts w:hint="eastAsia"/>
          <w:lang w:val="en-US" w:eastAsia="zh-CN"/>
        </w:rPr>
        <w:t xml:space="preserve">ed </w:t>
      </w:r>
      <w:r>
        <w:t>them by removing their skin, extracting the meat and accessing the bone marrow.</w:t>
      </w:r>
      <w:r>
        <w:rPr>
          <w:rFonts w:hint="eastAsia"/>
          <w:lang w:val="en-US" w:eastAsia="zh-CN"/>
        </w:rPr>
        <w:t xml:space="preserve"> </w:t>
      </w:r>
      <w:r>
        <w:t>The faunal remains abandoned by the visitors at Bianfu Cave appear to have occasionally attracted carnivores and rodents. However, the extent of their modification of the assemblage appears relatively limited considering the presence of several intact long bone epiphyses and the low frequencies of traces attributed to these agents.</w:t>
      </w:r>
      <w:r>
        <w:rPr>
          <w:rFonts w:hint="eastAsia"/>
          <w:lang w:val="en-US" w:eastAsia="zh-CN"/>
        </w:rPr>
        <w:t xml:space="preserve"> </w:t>
      </w:r>
      <w:r>
        <w:t>While we cannot exclude that some individuals could have been introduced in the cave by carnivore</w:t>
      </w:r>
      <w:r>
        <w:rPr>
          <w:rFonts w:hint="eastAsia"/>
          <w:lang w:val="en-US" w:eastAsia="zh-CN"/>
        </w:rPr>
        <w:t>s</w:t>
      </w:r>
      <w:r>
        <w:t xml:space="preserve"> or other means, such introduction appears marginal in comparison to the anthropogenic origin.</w:t>
      </w:r>
    </w:p>
    <w:p w14:paraId="55052E3D">
      <w:pPr>
        <w:ind w:firstLine="0"/>
        <w:jc w:val="both"/>
        <w:rPr>
          <w:rFonts w:hint="default"/>
          <w:b/>
          <w:bCs/>
          <w:lang w:val="en-US" w:eastAsia="zh-CN"/>
        </w:rPr>
      </w:pPr>
    </w:p>
    <w:p w14:paraId="5BC8E046">
      <w:pPr>
        <w:pStyle w:val="2"/>
        <w:keepNext w:val="0"/>
        <w:keepLines w:val="0"/>
        <w:pageBreakBefore w:val="0"/>
        <w:widowControl w:val="0"/>
        <w:kinsoku/>
        <w:wordWrap/>
        <w:overflowPunct/>
        <w:topLinePunct w:val="0"/>
        <w:autoSpaceDE/>
        <w:autoSpaceDN/>
        <w:bidi w:val="0"/>
        <w:adjustRightInd/>
        <w:snapToGrid/>
        <w:textAlignment w:val="auto"/>
      </w:pPr>
      <w:bookmarkStart w:id="10" w:name="_Toc209814671"/>
    </w:p>
    <w:p w14:paraId="363E1F16">
      <w:pPr>
        <w:bidi w:val="0"/>
        <w:ind w:left="0" w:leftChars="0" w:firstLine="0" w:firstLineChars="0"/>
        <w:rPr>
          <w:b/>
          <w:bCs/>
          <w:sz w:val="28"/>
          <w:szCs w:val="28"/>
        </w:rPr>
      </w:pPr>
    </w:p>
    <w:p w14:paraId="1338B57F">
      <w:pPr>
        <w:bidi w:val="0"/>
        <w:ind w:left="0" w:leftChars="0" w:firstLine="0" w:firstLineChars="0"/>
        <w:rPr>
          <w:b/>
          <w:bCs/>
          <w:sz w:val="28"/>
          <w:szCs w:val="28"/>
        </w:rPr>
      </w:pPr>
    </w:p>
    <w:p w14:paraId="6105F209">
      <w:pPr>
        <w:bidi w:val="0"/>
        <w:ind w:left="0" w:leftChars="0" w:firstLine="0" w:firstLineChars="0"/>
        <w:rPr>
          <w:b/>
          <w:bCs/>
          <w:sz w:val="28"/>
          <w:szCs w:val="28"/>
        </w:rPr>
      </w:pPr>
    </w:p>
    <w:p w14:paraId="037AAD04">
      <w:pPr>
        <w:bidi w:val="0"/>
        <w:ind w:left="0" w:leftChars="0" w:firstLine="0" w:firstLineChars="0"/>
        <w:rPr>
          <w:b/>
          <w:bCs/>
          <w:sz w:val="28"/>
          <w:szCs w:val="28"/>
        </w:rPr>
      </w:pPr>
    </w:p>
    <w:p w14:paraId="1E0A7E27">
      <w:pPr>
        <w:bidi w:val="0"/>
        <w:ind w:left="0" w:leftChars="0" w:firstLine="0" w:firstLineChars="0"/>
        <w:rPr>
          <w:b/>
          <w:bCs/>
          <w:sz w:val="28"/>
          <w:szCs w:val="28"/>
        </w:rPr>
      </w:pPr>
    </w:p>
    <w:p w14:paraId="250D9923">
      <w:pPr>
        <w:bidi w:val="0"/>
        <w:ind w:left="0" w:leftChars="0" w:firstLine="0" w:firstLineChars="0"/>
        <w:rPr>
          <w:b/>
          <w:bCs/>
          <w:sz w:val="28"/>
          <w:szCs w:val="28"/>
        </w:rPr>
      </w:pPr>
    </w:p>
    <w:p w14:paraId="74964D00">
      <w:pPr>
        <w:bidi w:val="0"/>
        <w:ind w:left="0" w:leftChars="0" w:firstLine="0" w:firstLineChars="0"/>
        <w:rPr>
          <w:b/>
          <w:bCs/>
          <w:sz w:val="28"/>
          <w:szCs w:val="28"/>
        </w:rPr>
      </w:pPr>
    </w:p>
    <w:p w14:paraId="0AA3BCA3">
      <w:pPr>
        <w:bidi w:val="0"/>
        <w:ind w:left="0" w:leftChars="0" w:firstLine="0" w:firstLineChars="0"/>
        <w:rPr>
          <w:b/>
          <w:bCs/>
          <w:sz w:val="28"/>
          <w:szCs w:val="28"/>
        </w:rPr>
      </w:pPr>
    </w:p>
    <w:p w14:paraId="738395B9">
      <w:pPr>
        <w:bidi w:val="0"/>
        <w:ind w:left="0" w:leftChars="0" w:firstLine="0" w:firstLineChars="0"/>
        <w:rPr>
          <w:b/>
          <w:bCs/>
          <w:sz w:val="28"/>
          <w:szCs w:val="28"/>
        </w:rPr>
      </w:pPr>
    </w:p>
    <w:p w14:paraId="3107BB0C">
      <w:pPr>
        <w:bidi w:val="0"/>
        <w:ind w:left="0" w:leftChars="0" w:firstLine="0" w:firstLineChars="0"/>
        <w:rPr>
          <w:b/>
          <w:bCs/>
          <w:sz w:val="28"/>
          <w:szCs w:val="28"/>
        </w:rPr>
      </w:pPr>
    </w:p>
    <w:p w14:paraId="799C756D">
      <w:pPr>
        <w:bidi w:val="0"/>
        <w:ind w:left="0" w:leftChars="0" w:firstLine="0" w:firstLineChars="0"/>
        <w:rPr>
          <w:b/>
          <w:bCs/>
          <w:sz w:val="28"/>
          <w:szCs w:val="28"/>
        </w:rPr>
      </w:pPr>
    </w:p>
    <w:p w14:paraId="3381A87B">
      <w:pPr>
        <w:bidi w:val="0"/>
        <w:ind w:left="0" w:leftChars="0" w:firstLine="0" w:firstLineChars="0"/>
        <w:rPr>
          <w:b/>
          <w:bCs/>
          <w:sz w:val="28"/>
          <w:szCs w:val="28"/>
        </w:rPr>
      </w:pPr>
      <w:r>
        <w:rPr>
          <w:b/>
          <w:bCs/>
          <w:sz w:val="28"/>
          <w:szCs w:val="28"/>
        </w:rPr>
        <w:t>Supplementary References</w:t>
      </w:r>
      <w:bookmarkEnd w:id="10"/>
    </w:p>
    <w:p w14:paraId="1029509A">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sz w:val="24"/>
          <w:szCs w:val="24"/>
        </w:rPr>
        <w:t>1.</w:t>
      </w:r>
      <w:r>
        <w:rPr>
          <w:rFonts w:hint="eastAsia"/>
          <w:sz w:val="24"/>
          <w:szCs w:val="24"/>
        </w:rPr>
        <w:t xml:space="preserve"> </w:t>
      </w:r>
      <w:r>
        <w:rPr>
          <w:sz w:val="24"/>
          <w:szCs w:val="24"/>
        </w:rPr>
        <w:t xml:space="preserve">Ma, L. </w:t>
      </w:r>
      <w:r>
        <w:rPr>
          <w:i/>
          <w:iCs/>
          <w:sz w:val="24"/>
          <w:szCs w:val="24"/>
        </w:rPr>
        <w:t>Atlas of Geology of China</w:t>
      </w:r>
      <w:r>
        <w:rPr>
          <w:sz w:val="24"/>
          <w:szCs w:val="24"/>
        </w:rPr>
        <w:t>. (Geological Publishing House, Beijing, 2002).</w:t>
      </w:r>
    </w:p>
    <w:p w14:paraId="1C05D63A">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sz w:val="24"/>
          <w:szCs w:val="24"/>
        </w:rPr>
        <w:t>2.</w:t>
      </w:r>
      <w:r>
        <w:rPr>
          <w:rFonts w:hint="eastAsia"/>
          <w:sz w:val="24"/>
          <w:szCs w:val="24"/>
        </w:rPr>
        <w:t xml:space="preserve"> </w:t>
      </w:r>
      <w:r>
        <w:rPr>
          <w:sz w:val="24"/>
          <w:szCs w:val="24"/>
        </w:rPr>
        <w:t xml:space="preserve">Aitken, M. J. </w:t>
      </w:r>
      <w:r>
        <w:rPr>
          <w:i/>
          <w:iCs/>
          <w:sz w:val="24"/>
          <w:szCs w:val="24"/>
        </w:rPr>
        <w:t>Thermoluminescence Dating</w:t>
      </w:r>
      <w:r>
        <w:rPr>
          <w:sz w:val="24"/>
          <w:szCs w:val="24"/>
        </w:rPr>
        <w:t>. (Academic press, 1985).</w:t>
      </w:r>
    </w:p>
    <w:p w14:paraId="26F81DFA">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sz w:val="24"/>
          <w:szCs w:val="24"/>
        </w:rPr>
        <w:t>3.</w:t>
      </w:r>
      <w:r>
        <w:rPr>
          <w:rFonts w:hint="eastAsia"/>
          <w:sz w:val="24"/>
          <w:szCs w:val="24"/>
        </w:rPr>
        <w:t xml:space="preserve"> </w:t>
      </w:r>
      <w:r>
        <w:rPr>
          <w:sz w:val="24"/>
          <w:szCs w:val="24"/>
        </w:rPr>
        <w:t xml:space="preserve">Brennan, B. J. Beta doses to spherical grains. </w:t>
      </w:r>
      <w:r>
        <w:rPr>
          <w:i/>
          <w:iCs/>
          <w:sz w:val="24"/>
          <w:szCs w:val="24"/>
        </w:rPr>
        <w:t>Radiat. Meas.</w:t>
      </w:r>
      <w:r>
        <w:rPr>
          <w:sz w:val="24"/>
          <w:szCs w:val="24"/>
        </w:rPr>
        <w:t xml:space="preserve"> </w:t>
      </w:r>
      <w:r>
        <w:rPr>
          <w:b/>
          <w:bCs/>
          <w:sz w:val="24"/>
          <w:szCs w:val="24"/>
        </w:rPr>
        <w:t>37</w:t>
      </w:r>
      <w:r>
        <w:rPr>
          <w:sz w:val="24"/>
          <w:szCs w:val="24"/>
        </w:rPr>
        <w:t>, 299–303 (2003).</w:t>
      </w:r>
    </w:p>
    <w:p w14:paraId="17A2CE6C">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sz w:val="24"/>
          <w:szCs w:val="24"/>
        </w:rPr>
        <w:t>4.</w:t>
      </w:r>
      <w:r>
        <w:rPr>
          <w:rFonts w:hint="eastAsia"/>
          <w:sz w:val="24"/>
          <w:szCs w:val="24"/>
        </w:rPr>
        <w:t xml:space="preserve"> </w:t>
      </w:r>
      <w:r>
        <w:rPr>
          <w:sz w:val="24"/>
          <w:szCs w:val="24"/>
        </w:rPr>
        <w:t xml:space="preserve">Peng, J. &amp; Li, B. Single-aliquot Regenerative-Dose (SAR) and Standardised Growth Curve (SGC) Equivalent Dose Determination in a Batch Model Using the R Package ‘numOSL’. </w:t>
      </w:r>
      <w:r>
        <w:rPr>
          <w:i/>
          <w:iCs/>
          <w:sz w:val="24"/>
          <w:szCs w:val="24"/>
        </w:rPr>
        <w:t>Anc. TL</w:t>
      </w:r>
      <w:r>
        <w:rPr>
          <w:sz w:val="24"/>
          <w:szCs w:val="24"/>
        </w:rPr>
        <w:t xml:space="preserve"> </w:t>
      </w:r>
      <w:r>
        <w:rPr>
          <w:b/>
          <w:bCs/>
          <w:sz w:val="24"/>
          <w:szCs w:val="24"/>
        </w:rPr>
        <w:t>35</w:t>
      </w:r>
      <w:r>
        <w:rPr>
          <w:sz w:val="24"/>
          <w:szCs w:val="24"/>
        </w:rPr>
        <w:t>, 32–53 (2017).</w:t>
      </w:r>
    </w:p>
    <w:p w14:paraId="5BD5CD77">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sz w:val="24"/>
          <w:szCs w:val="24"/>
        </w:rPr>
        <w:t>5.</w:t>
      </w:r>
      <w:r>
        <w:rPr>
          <w:rFonts w:hint="eastAsia"/>
          <w:sz w:val="24"/>
          <w:szCs w:val="24"/>
        </w:rPr>
        <w:t xml:space="preserve"> </w:t>
      </w:r>
      <w:r>
        <w:rPr>
          <w:sz w:val="24"/>
          <w:szCs w:val="24"/>
        </w:rPr>
        <w:t xml:space="preserve">Zhang, D. </w:t>
      </w:r>
      <w:r>
        <w:rPr>
          <w:i/>
          <w:iCs/>
          <w:sz w:val="24"/>
          <w:szCs w:val="24"/>
        </w:rPr>
        <w:t>et al.</w:t>
      </w:r>
      <w:r>
        <w:rPr>
          <w:sz w:val="24"/>
          <w:szCs w:val="24"/>
        </w:rPr>
        <w:t xml:space="preserve"> Denisovan DNA in Late Pleistocene sediments from Baishiya Karst Cave on the Tibetan Plateau. </w:t>
      </w:r>
      <w:r>
        <w:rPr>
          <w:i/>
          <w:iCs/>
          <w:sz w:val="24"/>
          <w:szCs w:val="24"/>
        </w:rPr>
        <w:t>Science</w:t>
      </w:r>
      <w:r>
        <w:rPr>
          <w:sz w:val="24"/>
          <w:szCs w:val="24"/>
        </w:rPr>
        <w:t xml:space="preserve"> </w:t>
      </w:r>
      <w:r>
        <w:rPr>
          <w:b/>
          <w:bCs/>
          <w:sz w:val="24"/>
          <w:szCs w:val="24"/>
        </w:rPr>
        <w:t>370</w:t>
      </w:r>
      <w:r>
        <w:rPr>
          <w:sz w:val="24"/>
          <w:szCs w:val="24"/>
        </w:rPr>
        <w:t>, 584–587 (2020).</w:t>
      </w:r>
    </w:p>
    <w:p w14:paraId="34382BF8">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sz w:val="24"/>
          <w:szCs w:val="24"/>
        </w:rPr>
        <w:t>6.</w:t>
      </w:r>
      <w:r>
        <w:rPr>
          <w:rFonts w:hint="eastAsia"/>
          <w:sz w:val="24"/>
          <w:szCs w:val="24"/>
        </w:rPr>
        <w:t xml:space="preserve"> </w:t>
      </w:r>
      <w:r>
        <w:rPr>
          <w:sz w:val="24"/>
          <w:szCs w:val="24"/>
        </w:rPr>
        <w:t xml:space="preserve">Li, B., Jacobs, Z. &amp; Roberts, R. G. A Bayesian hierarchical age model for optical dating of single grains of quartz. </w:t>
      </w:r>
      <w:r>
        <w:rPr>
          <w:i/>
          <w:iCs/>
          <w:sz w:val="24"/>
          <w:szCs w:val="24"/>
        </w:rPr>
        <w:t>Quat. Geochronol.</w:t>
      </w:r>
      <w:r>
        <w:rPr>
          <w:sz w:val="24"/>
          <w:szCs w:val="24"/>
        </w:rPr>
        <w:t xml:space="preserve"> </w:t>
      </w:r>
      <w:r>
        <w:rPr>
          <w:b/>
          <w:bCs/>
          <w:sz w:val="24"/>
          <w:szCs w:val="24"/>
        </w:rPr>
        <w:t>77</w:t>
      </w:r>
      <w:r>
        <w:rPr>
          <w:sz w:val="24"/>
          <w:szCs w:val="24"/>
        </w:rPr>
        <w:t>, 101455 (2023).</w:t>
      </w:r>
    </w:p>
    <w:p w14:paraId="69FB857C">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sz w:val="24"/>
          <w:szCs w:val="24"/>
        </w:rPr>
        <w:t>7.</w:t>
      </w:r>
      <w:r>
        <w:rPr>
          <w:rFonts w:hint="eastAsia"/>
          <w:sz w:val="24"/>
          <w:szCs w:val="24"/>
        </w:rPr>
        <w:t xml:space="preserve"> </w:t>
      </w:r>
      <w:r>
        <w:rPr>
          <w:sz w:val="24"/>
          <w:szCs w:val="24"/>
        </w:rPr>
        <w:t>Roberts, R. G.</w:t>
      </w:r>
      <w:r>
        <w:rPr>
          <w:rFonts w:hint="eastAsia"/>
          <w:sz w:val="24"/>
          <w:szCs w:val="24"/>
          <w:lang w:val="en-US" w:eastAsia="zh-CN"/>
        </w:rPr>
        <w:t xml:space="preserve"> </w:t>
      </w:r>
      <w:r>
        <w:rPr>
          <w:rFonts w:hint="eastAsia"/>
          <w:i/>
          <w:iCs/>
          <w:sz w:val="24"/>
          <w:szCs w:val="24"/>
          <w:lang w:val="en-US" w:eastAsia="zh-CN"/>
        </w:rPr>
        <w:t>et al.</w:t>
      </w:r>
      <w:r>
        <w:rPr>
          <w:sz w:val="24"/>
          <w:szCs w:val="24"/>
        </w:rPr>
        <w:t xml:space="preserve"> Optical Dating of Single and Multiple Grains of Quartz from Jinmium Rock Shelter, Northern Australia: Part Ii, Results and Implications. </w:t>
      </w:r>
      <w:r>
        <w:rPr>
          <w:i/>
          <w:iCs/>
          <w:sz w:val="24"/>
          <w:szCs w:val="24"/>
        </w:rPr>
        <w:t>Archaeometry</w:t>
      </w:r>
      <w:r>
        <w:rPr>
          <w:sz w:val="24"/>
          <w:szCs w:val="24"/>
        </w:rPr>
        <w:t xml:space="preserve"> </w:t>
      </w:r>
      <w:r>
        <w:rPr>
          <w:b/>
          <w:bCs/>
          <w:sz w:val="24"/>
          <w:szCs w:val="24"/>
        </w:rPr>
        <w:t>41</w:t>
      </w:r>
      <w:r>
        <w:rPr>
          <w:sz w:val="24"/>
          <w:szCs w:val="24"/>
        </w:rPr>
        <w:t>, 365–395 (1999).</w:t>
      </w:r>
    </w:p>
    <w:p w14:paraId="713CCF52">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sz w:val="24"/>
          <w:szCs w:val="24"/>
        </w:rPr>
        <w:t>8.</w:t>
      </w:r>
      <w:r>
        <w:rPr>
          <w:rFonts w:hint="eastAsia"/>
          <w:sz w:val="24"/>
          <w:szCs w:val="24"/>
        </w:rPr>
        <w:t xml:space="preserve"> </w:t>
      </w:r>
      <w:r>
        <w:rPr>
          <w:sz w:val="24"/>
          <w:szCs w:val="24"/>
        </w:rPr>
        <w:t xml:space="preserve">Li, B., Jacobs, Z. &amp; Roberts, R. G. Validation of the LnTn method for De determination in optical dating of K-feldspar and quartz. </w:t>
      </w:r>
      <w:r>
        <w:rPr>
          <w:i/>
          <w:iCs/>
          <w:sz w:val="24"/>
          <w:szCs w:val="24"/>
        </w:rPr>
        <w:t>Quat. Geochronol.</w:t>
      </w:r>
      <w:r>
        <w:rPr>
          <w:sz w:val="24"/>
          <w:szCs w:val="24"/>
        </w:rPr>
        <w:t xml:space="preserve"> </w:t>
      </w:r>
      <w:r>
        <w:rPr>
          <w:b/>
          <w:bCs/>
          <w:sz w:val="24"/>
          <w:szCs w:val="24"/>
        </w:rPr>
        <w:t>58</w:t>
      </w:r>
      <w:r>
        <w:rPr>
          <w:sz w:val="24"/>
          <w:szCs w:val="24"/>
        </w:rPr>
        <w:t>, 101066 (2020).</w:t>
      </w:r>
    </w:p>
    <w:p w14:paraId="44EA5E7F">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sz w:val="24"/>
          <w:szCs w:val="24"/>
        </w:rPr>
        <w:t>9.</w:t>
      </w:r>
      <w:r>
        <w:rPr>
          <w:rFonts w:hint="eastAsia"/>
          <w:sz w:val="24"/>
          <w:szCs w:val="24"/>
        </w:rPr>
        <w:t xml:space="preserve"> </w:t>
      </w:r>
      <w:r>
        <w:rPr>
          <w:sz w:val="24"/>
          <w:szCs w:val="24"/>
        </w:rPr>
        <w:t>Li, B.</w:t>
      </w:r>
      <w:r>
        <w:rPr>
          <w:rFonts w:hint="eastAsia"/>
          <w:sz w:val="24"/>
          <w:szCs w:val="24"/>
          <w:lang w:val="en-US" w:eastAsia="zh-CN"/>
        </w:rPr>
        <w:t xml:space="preserve"> </w:t>
      </w:r>
      <w:r>
        <w:rPr>
          <w:rFonts w:hint="eastAsia"/>
          <w:i/>
          <w:iCs/>
          <w:sz w:val="24"/>
          <w:szCs w:val="24"/>
          <w:lang w:val="en-US" w:eastAsia="zh-CN"/>
        </w:rPr>
        <w:t>et al.</w:t>
      </w:r>
      <w:r>
        <w:rPr>
          <w:sz w:val="24"/>
          <w:szCs w:val="24"/>
        </w:rPr>
        <w:t xml:space="preserve"> Variability in quartz OSL signals caused by measurement uncertainties: Problems and solutions. </w:t>
      </w:r>
      <w:r>
        <w:rPr>
          <w:i/>
          <w:iCs/>
          <w:sz w:val="24"/>
          <w:szCs w:val="24"/>
        </w:rPr>
        <w:t>Quat. Geochronol.</w:t>
      </w:r>
      <w:r>
        <w:rPr>
          <w:sz w:val="24"/>
          <w:szCs w:val="24"/>
        </w:rPr>
        <w:t xml:space="preserve"> </w:t>
      </w:r>
      <w:r>
        <w:rPr>
          <w:b/>
          <w:bCs/>
          <w:sz w:val="24"/>
          <w:szCs w:val="24"/>
        </w:rPr>
        <w:t>41</w:t>
      </w:r>
      <w:r>
        <w:rPr>
          <w:sz w:val="24"/>
          <w:szCs w:val="24"/>
        </w:rPr>
        <w:t>, 11–25 (2017).</w:t>
      </w:r>
    </w:p>
    <w:p w14:paraId="6E380294">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sz w:val="24"/>
          <w:szCs w:val="24"/>
        </w:rPr>
        <w:t>10.</w:t>
      </w:r>
      <w:r>
        <w:rPr>
          <w:rFonts w:hint="eastAsia"/>
          <w:sz w:val="24"/>
          <w:szCs w:val="24"/>
        </w:rPr>
        <w:t xml:space="preserve"> </w:t>
      </w:r>
      <w:r>
        <w:rPr>
          <w:sz w:val="24"/>
          <w:szCs w:val="24"/>
        </w:rPr>
        <w:t xml:space="preserve">Li, B., Jacobs, Z. &amp; Roberts, R. G. Investigation of the applicability of standardised growth curves for OSL dating of quartz from Haua Fteah cave, Libya. </w:t>
      </w:r>
      <w:r>
        <w:rPr>
          <w:i/>
          <w:iCs/>
          <w:sz w:val="24"/>
          <w:szCs w:val="24"/>
        </w:rPr>
        <w:t>Quat. Geochronol.</w:t>
      </w:r>
      <w:r>
        <w:rPr>
          <w:sz w:val="24"/>
          <w:szCs w:val="24"/>
        </w:rPr>
        <w:t xml:space="preserve"> </w:t>
      </w:r>
      <w:r>
        <w:rPr>
          <w:b/>
          <w:bCs/>
          <w:sz w:val="24"/>
          <w:szCs w:val="24"/>
        </w:rPr>
        <w:t>35</w:t>
      </w:r>
      <w:r>
        <w:rPr>
          <w:sz w:val="24"/>
          <w:szCs w:val="24"/>
        </w:rPr>
        <w:t>, 1–15 (2016).</w:t>
      </w:r>
    </w:p>
    <w:p w14:paraId="75C7DCCD">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sz w:val="24"/>
          <w:szCs w:val="24"/>
        </w:rPr>
        <w:t>11.</w:t>
      </w:r>
      <w:r>
        <w:rPr>
          <w:rFonts w:hint="eastAsia"/>
          <w:sz w:val="24"/>
          <w:szCs w:val="24"/>
        </w:rPr>
        <w:t xml:space="preserve"> </w:t>
      </w:r>
      <w:r>
        <w:rPr>
          <w:sz w:val="24"/>
          <w:szCs w:val="24"/>
        </w:rPr>
        <w:t xml:space="preserve">Galbraith, R. F. &amp; Green, P. F. Estimating the component ages in a finite mixture. </w:t>
      </w:r>
      <w:r>
        <w:rPr>
          <w:i/>
          <w:iCs/>
          <w:sz w:val="24"/>
          <w:szCs w:val="24"/>
        </w:rPr>
        <w:t>Int. J. Radiat. Appl. Instrum. Part Nucl. Tracks Radiat. Meas.</w:t>
      </w:r>
      <w:r>
        <w:rPr>
          <w:sz w:val="24"/>
          <w:szCs w:val="24"/>
        </w:rPr>
        <w:t xml:space="preserve"> </w:t>
      </w:r>
      <w:r>
        <w:rPr>
          <w:b/>
          <w:bCs/>
          <w:sz w:val="24"/>
          <w:szCs w:val="24"/>
        </w:rPr>
        <w:t>17</w:t>
      </w:r>
      <w:r>
        <w:rPr>
          <w:sz w:val="24"/>
          <w:szCs w:val="24"/>
        </w:rPr>
        <w:t>, 197–206 (1990).</w:t>
      </w:r>
    </w:p>
    <w:p w14:paraId="0F6E9A30">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sz w:val="24"/>
          <w:szCs w:val="24"/>
        </w:rPr>
        <w:t>12.</w:t>
      </w:r>
      <w:r>
        <w:rPr>
          <w:rFonts w:hint="eastAsia"/>
          <w:sz w:val="24"/>
          <w:szCs w:val="24"/>
        </w:rPr>
        <w:t xml:space="preserve"> </w:t>
      </w:r>
      <w:r>
        <w:rPr>
          <w:sz w:val="24"/>
          <w:szCs w:val="24"/>
        </w:rPr>
        <w:t>Roberts, R. G.</w:t>
      </w:r>
      <w:r>
        <w:rPr>
          <w:rFonts w:hint="eastAsia"/>
          <w:sz w:val="24"/>
          <w:szCs w:val="24"/>
          <w:lang w:val="en-US" w:eastAsia="zh-CN"/>
        </w:rPr>
        <w:t xml:space="preserve"> </w:t>
      </w:r>
      <w:r>
        <w:rPr>
          <w:rFonts w:hint="eastAsia"/>
          <w:i/>
          <w:iCs/>
          <w:sz w:val="24"/>
          <w:szCs w:val="24"/>
          <w:lang w:val="en-US" w:eastAsia="zh-CN"/>
        </w:rPr>
        <w:t>et al.</w:t>
      </w:r>
      <w:r>
        <w:rPr>
          <w:sz w:val="24"/>
          <w:szCs w:val="24"/>
        </w:rPr>
        <w:t xml:space="preserve"> Distinguishing dose populations in sediment mixtures: a test of single-grain optical dating procedures using mixtures of laboratory-dosed quartz. </w:t>
      </w:r>
      <w:r>
        <w:rPr>
          <w:b/>
          <w:bCs/>
          <w:sz w:val="24"/>
          <w:szCs w:val="24"/>
        </w:rPr>
        <w:t>32</w:t>
      </w:r>
      <w:r>
        <w:rPr>
          <w:sz w:val="24"/>
          <w:szCs w:val="24"/>
        </w:rPr>
        <w:t>, 459–465 (2000).</w:t>
      </w:r>
    </w:p>
    <w:p w14:paraId="211DE4B4">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sz w:val="24"/>
          <w:szCs w:val="24"/>
        </w:rPr>
        <w:t>13.</w:t>
      </w:r>
      <w:r>
        <w:rPr>
          <w:rFonts w:hint="eastAsia"/>
          <w:sz w:val="24"/>
          <w:szCs w:val="24"/>
        </w:rPr>
        <w:t xml:space="preserve"> </w:t>
      </w:r>
      <w:r>
        <w:rPr>
          <w:sz w:val="24"/>
          <w:szCs w:val="24"/>
        </w:rPr>
        <w:t xml:space="preserve">Guralnik, B. </w:t>
      </w:r>
      <w:r>
        <w:rPr>
          <w:i/>
          <w:iCs/>
          <w:sz w:val="24"/>
          <w:szCs w:val="24"/>
        </w:rPr>
        <w:t>et al.</w:t>
      </w:r>
      <w:r>
        <w:rPr>
          <w:sz w:val="24"/>
          <w:szCs w:val="24"/>
        </w:rPr>
        <w:t xml:space="preserve"> Radiation-induced growth and isothermal decay of infrared-stimulated luminescence from feldspar. </w:t>
      </w:r>
      <w:r>
        <w:rPr>
          <w:i/>
          <w:iCs/>
          <w:sz w:val="24"/>
          <w:szCs w:val="24"/>
        </w:rPr>
        <w:t>Radiat. Meas.</w:t>
      </w:r>
      <w:r>
        <w:rPr>
          <w:sz w:val="24"/>
          <w:szCs w:val="24"/>
        </w:rPr>
        <w:t xml:space="preserve"> </w:t>
      </w:r>
      <w:r>
        <w:rPr>
          <w:b/>
          <w:bCs/>
          <w:sz w:val="24"/>
          <w:szCs w:val="24"/>
        </w:rPr>
        <w:t>81</w:t>
      </w:r>
      <w:r>
        <w:rPr>
          <w:sz w:val="24"/>
          <w:szCs w:val="24"/>
        </w:rPr>
        <w:t>, 224–231 (2015).</w:t>
      </w:r>
    </w:p>
    <w:p w14:paraId="12DB88E3">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sz w:val="24"/>
          <w:szCs w:val="24"/>
        </w:rPr>
        <w:t>14.</w:t>
      </w:r>
      <w:r>
        <w:rPr>
          <w:rFonts w:hint="eastAsia"/>
          <w:sz w:val="24"/>
          <w:szCs w:val="24"/>
        </w:rPr>
        <w:t xml:space="preserve"> </w:t>
      </w:r>
      <w:r>
        <w:rPr>
          <w:sz w:val="24"/>
          <w:szCs w:val="24"/>
        </w:rPr>
        <w:t xml:space="preserve">Fu, X. </w:t>
      </w:r>
      <w:r>
        <w:rPr>
          <w:i/>
          <w:iCs/>
          <w:sz w:val="24"/>
          <w:szCs w:val="24"/>
        </w:rPr>
        <w:t>et al.</w:t>
      </w:r>
      <w:r>
        <w:rPr>
          <w:sz w:val="24"/>
          <w:szCs w:val="24"/>
        </w:rPr>
        <w:t xml:space="preserve"> Beta dose heterogeneity in sediment samples measured using a Timepix pixelated detector and its implications for optical dating of individual mineral grains. </w:t>
      </w:r>
      <w:r>
        <w:rPr>
          <w:i/>
          <w:iCs/>
          <w:sz w:val="24"/>
          <w:szCs w:val="24"/>
        </w:rPr>
        <w:t>Quat. Geochronol.</w:t>
      </w:r>
      <w:r>
        <w:rPr>
          <w:sz w:val="24"/>
          <w:szCs w:val="24"/>
        </w:rPr>
        <w:t xml:space="preserve"> </w:t>
      </w:r>
      <w:r>
        <w:rPr>
          <w:b/>
          <w:bCs/>
          <w:sz w:val="24"/>
          <w:szCs w:val="24"/>
        </w:rPr>
        <w:t>68</w:t>
      </w:r>
      <w:r>
        <w:rPr>
          <w:sz w:val="24"/>
          <w:szCs w:val="24"/>
        </w:rPr>
        <w:t>, 101254 (2022).</w:t>
      </w:r>
    </w:p>
    <w:p w14:paraId="0B1F287C">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sz w:val="24"/>
          <w:szCs w:val="24"/>
        </w:rPr>
        <w:t>15.</w:t>
      </w:r>
      <w:r>
        <w:rPr>
          <w:rFonts w:hint="eastAsia"/>
          <w:sz w:val="24"/>
          <w:szCs w:val="24"/>
        </w:rPr>
        <w:t xml:space="preserve"> </w:t>
      </w:r>
      <w:r>
        <w:rPr>
          <w:sz w:val="24"/>
          <w:szCs w:val="24"/>
        </w:rPr>
        <w:t>Guérin, G.</w:t>
      </w:r>
      <w:r>
        <w:rPr>
          <w:rFonts w:hint="eastAsia"/>
          <w:sz w:val="24"/>
          <w:szCs w:val="24"/>
          <w:lang w:val="en-US" w:eastAsia="zh-CN"/>
        </w:rPr>
        <w:t xml:space="preserve"> </w:t>
      </w:r>
      <w:r>
        <w:rPr>
          <w:rFonts w:hint="eastAsia"/>
          <w:i/>
          <w:iCs/>
          <w:sz w:val="24"/>
          <w:szCs w:val="24"/>
          <w:lang w:val="en-US" w:eastAsia="zh-CN"/>
        </w:rPr>
        <w:t>et al.</w:t>
      </w:r>
      <w:r>
        <w:rPr>
          <w:sz w:val="24"/>
          <w:szCs w:val="24"/>
        </w:rPr>
        <w:t xml:space="preserve"> Modelling dose rate to single grains of quartz in well-sorted sand samples: The dispersion arising from the presence of potassium feldspars and implications for single grain OSL dating. </w:t>
      </w:r>
      <w:r>
        <w:rPr>
          <w:i/>
          <w:iCs/>
          <w:sz w:val="24"/>
          <w:szCs w:val="24"/>
        </w:rPr>
        <w:t>Quat. Geochronol.</w:t>
      </w:r>
      <w:r>
        <w:rPr>
          <w:sz w:val="24"/>
          <w:szCs w:val="24"/>
        </w:rPr>
        <w:t xml:space="preserve"> </w:t>
      </w:r>
      <w:r>
        <w:rPr>
          <w:b/>
          <w:bCs/>
          <w:sz w:val="24"/>
          <w:szCs w:val="24"/>
        </w:rPr>
        <w:t>27</w:t>
      </w:r>
      <w:r>
        <w:rPr>
          <w:sz w:val="24"/>
          <w:szCs w:val="24"/>
        </w:rPr>
        <w:t>, 52–65 (2015).</w:t>
      </w:r>
    </w:p>
    <w:p w14:paraId="4560E37B">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sz w:val="24"/>
          <w:szCs w:val="24"/>
        </w:rPr>
        <w:t>16.</w:t>
      </w:r>
      <w:r>
        <w:rPr>
          <w:rFonts w:hint="eastAsia"/>
          <w:sz w:val="24"/>
          <w:szCs w:val="24"/>
        </w:rPr>
        <w:t xml:space="preserve"> </w:t>
      </w:r>
      <w:r>
        <w:rPr>
          <w:sz w:val="24"/>
          <w:szCs w:val="24"/>
        </w:rPr>
        <w:t>Nathan, R. P.</w:t>
      </w:r>
      <w:r>
        <w:rPr>
          <w:rFonts w:hint="eastAsia"/>
          <w:sz w:val="24"/>
          <w:szCs w:val="24"/>
          <w:lang w:val="en-US" w:eastAsia="zh-CN"/>
        </w:rPr>
        <w:t xml:space="preserve"> </w:t>
      </w:r>
      <w:r>
        <w:rPr>
          <w:rFonts w:hint="eastAsia"/>
          <w:i/>
          <w:iCs/>
          <w:sz w:val="24"/>
          <w:szCs w:val="24"/>
          <w:lang w:val="en-US" w:eastAsia="zh-CN"/>
        </w:rPr>
        <w:t>et al.</w:t>
      </w:r>
      <w:r>
        <w:rPr>
          <w:sz w:val="24"/>
          <w:szCs w:val="24"/>
        </w:rPr>
        <w:t xml:space="preserve"> Environmental dose rate heterogeneity of beta radiation and its implications for luminescence dating: Monte Carlo modelling and experimental validation. </w:t>
      </w:r>
      <w:r>
        <w:rPr>
          <w:i/>
          <w:iCs/>
          <w:sz w:val="24"/>
          <w:szCs w:val="24"/>
        </w:rPr>
        <w:t>Radiat. Meas.</w:t>
      </w:r>
      <w:r>
        <w:rPr>
          <w:sz w:val="24"/>
          <w:szCs w:val="24"/>
        </w:rPr>
        <w:t xml:space="preserve"> </w:t>
      </w:r>
      <w:r>
        <w:rPr>
          <w:b/>
          <w:bCs/>
          <w:sz w:val="24"/>
          <w:szCs w:val="24"/>
        </w:rPr>
        <w:t>37</w:t>
      </w:r>
      <w:r>
        <w:rPr>
          <w:sz w:val="24"/>
          <w:szCs w:val="24"/>
        </w:rPr>
        <w:t>, 305–313 (2003).</w:t>
      </w:r>
    </w:p>
    <w:p w14:paraId="3103B5A2">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sz w:val="24"/>
          <w:szCs w:val="24"/>
        </w:rPr>
        <w:t>17.</w:t>
      </w:r>
      <w:r>
        <w:rPr>
          <w:rFonts w:hint="eastAsia"/>
          <w:sz w:val="24"/>
          <w:szCs w:val="24"/>
        </w:rPr>
        <w:t xml:space="preserve"> </w:t>
      </w:r>
      <w:r>
        <w:rPr>
          <w:sz w:val="24"/>
          <w:szCs w:val="24"/>
        </w:rPr>
        <w:t xml:space="preserve">Plummer, M. JAGS: A Program for Analysis of Bayesian Graphical Models using Gibbs Sampling. 3rd International Workshop on Distributed Statistical Computing (DSC 2003). </w:t>
      </w:r>
      <w:r>
        <w:rPr>
          <w:i/>
          <w:iCs/>
          <w:sz w:val="24"/>
          <w:szCs w:val="24"/>
        </w:rPr>
        <w:t>Vienna Austria</w:t>
      </w:r>
      <w:r>
        <w:rPr>
          <w:sz w:val="24"/>
          <w:szCs w:val="24"/>
        </w:rPr>
        <w:t xml:space="preserve"> </w:t>
      </w:r>
      <w:r>
        <w:rPr>
          <w:b/>
          <w:bCs/>
          <w:sz w:val="24"/>
          <w:szCs w:val="24"/>
        </w:rPr>
        <w:t>124</w:t>
      </w:r>
      <w:r>
        <w:rPr>
          <w:sz w:val="24"/>
          <w:szCs w:val="24"/>
        </w:rPr>
        <w:t>, (2003).</w:t>
      </w:r>
    </w:p>
    <w:p w14:paraId="765BDA6B">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sz w:val="24"/>
          <w:szCs w:val="24"/>
        </w:rPr>
        <w:t>18.</w:t>
      </w:r>
      <w:r>
        <w:rPr>
          <w:rFonts w:hint="eastAsia"/>
          <w:sz w:val="24"/>
          <w:szCs w:val="24"/>
        </w:rPr>
        <w:t xml:space="preserve"> </w:t>
      </w:r>
      <w:r>
        <w:rPr>
          <w:sz w:val="24"/>
          <w:szCs w:val="24"/>
        </w:rPr>
        <w:t xml:space="preserve">Ramsey, C. B. Bayesian Analysis of Radiocarbon Dates. </w:t>
      </w:r>
      <w:r>
        <w:rPr>
          <w:i/>
          <w:iCs/>
          <w:sz w:val="24"/>
          <w:szCs w:val="24"/>
        </w:rPr>
        <w:t>Radiocarbon</w:t>
      </w:r>
      <w:r>
        <w:rPr>
          <w:sz w:val="24"/>
          <w:szCs w:val="24"/>
        </w:rPr>
        <w:t xml:space="preserve"> </w:t>
      </w:r>
      <w:r>
        <w:rPr>
          <w:b/>
          <w:bCs/>
          <w:sz w:val="24"/>
          <w:szCs w:val="24"/>
        </w:rPr>
        <w:t>51</w:t>
      </w:r>
      <w:r>
        <w:rPr>
          <w:sz w:val="24"/>
          <w:szCs w:val="24"/>
        </w:rPr>
        <w:t>, 337–360 (2009).</w:t>
      </w:r>
    </w:p>
    <w:p w14:paraId="3CD74185">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sz w:val="24"/>
          <w:szCs w:val="24"/>
        </w:rPr>
        <w:t>19.</w:t>
      </w:r>
      <w:r>
        <w:rPr>
          <w:rFonts w:hint="eastAsia"/>
          <w:sz w:val="24"/>
          <w:szCs w:val="24"/>
        </w:rPr>
        <w:t xml:space="preserve"> </w:t>
      </w:r>
      <w:r>
        <w:rPr>
          <w:sz w:val="24"/>
          <w:szCs w:val="24"/>
        </w:rPr>
        <w:t xml:space="preserve">Ramsey, C. B. Dealing with Outliers and Offsets in Radiocarbon Dating. </w:t>
      </w:r>
      <w:r>
        <w:rPr>
          <w:i/>
          <w:iCs/>
          <w:sz w:val="24"/>
          <w:szCs w:val="24"/>
        </w:rPr>
        <w:t>Radiocarbon</w:t>
      </w:r>
      <w:r>
        <w:rPr>
          <w:sz w:val="24"/>
          <w:szCs w:val="24"/>
        </w:rPr>
        <w:t xml:space="preserve"> </w:t>
      </w:r>
      <w:r>
        <w:rPr>
          <w:b/>
          <w:bCs/>
          <w:sz w:val="24"/>
          <w:szCs w:val="24"/>
        </w:rPr>
        <w:t>51</w:t>
      </w:r>
      <w:r>
        <w:rPr>
          <w:sz w:val="24"/>
          <w:szCs w:val="24"/>
        </w:rPr>
        <w:t>, 1023–1045 (2009).</w:t>
      </w:r>
    </w:p>
    <w:p w14:paraId="1AD4CF2B">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highlight w:val="none"/>
          <w:lang w:val="en-US" w:eastAsia="zh-CN"/>
        </w:rPr>
        <w:t>20</w:t>
      </w:r>
      <w:r>
        <w:rPr>
          <w:sz w:val="24"/>
          <w:szCs w:val="24"/>
          <w:highlight w:val="none"/>
        </w:rPr>
        <w:t>.</w:t>
      </w:r>
      <w:r>
        <w:rPr>
          <w:rFonts w:hint="eastAsia"/>
          <w:sz w:val="24"/>
          <w:szCs w:val="24"/>
          <w:highlight w:val="none"/>
        </w:rPr>
        <w:t xml:space="preserve"> Faegri, K. &amp; Iversen, J. Textbook of Pollen Analysis. (John Wiley and Sons, New York, 1989).</w:t>
      </w:r>
    </w:p>
    <w:p w14:paraId="43926A87">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21</w:t>
      </w:r>
      <w:r>
        <w:rPr>
          <w:sz w:val="24"/>
          <w:szCs w:val="24"/>
        </w:rPr>
        <w:t>.</w:t>
      </w:r>
      <w:r>
        <w:rPr>
          <w:rFonts w:hint="eastAsia"/>
          <w:sz w:val="24"/>
          <w:szCs w:val="24"/>
        </w:rPr>
        <w:t xml:space="preserve"> </w:t>
      </w:r>
      <w:r>
        <w:rPr>
          <w:sz w:val="24"/>
          <w:szCs w:val="24"/>
        </w:rPr>
        <w:t>Prentice, C.</w:t>
      </w:r>
      <w:r>
        <w:rPr>
          <w:rFonts w:hint="eastAsia"/>
          <w:sz w:val="24"/>
          <w:szCs w:val="24"/>
          <w:lang w:val="en-US" w:eastAsia="zh-CN"/>
        </w:rPr>
        <w:t xml:space="preserve"> </w:t>
      </w:r>
      <w:r>
        <w:rPr>
          <w:rFonts w:hint="eastAsia"/>
          <w:i/>
          <w:iCs/>
          <w:sz w:val="24"/>
          <w:szCs w:val="24"/>
          <w:lang w:val="en-US" w:eastAsia="zh-CN"/>
        </w:rPr>
        <w:t>et al.</w:t>
      </w:r>
      <w:r>
        <w:rPr>
          <w:sz w:val="24"/>
          <w:szCs w:val="24"/>
        </w:rPr>
        <w:t xml:space="preserve"> Reconstructing biomes from palaeoecological data: a general method and its application to European pollen data at 0 and 6 ka. </w:t>
      </w:r>
      <w:r>
        <w:rPr>
          <w:i/>
          <w:iCs/>
          <w:sz w:val="24"/>
          <w:szCs w:val="24"/>
        </w:rPr>
        <w:t>Clim. Dyn.</w:t>
      </w:r>
      <w:r>
        <w:rPr>
          <w:sz w:val="24"/>
          <w:szCs w:val="24"/>
        </w:rPr>
        <w:t xml:space="preserve"> </w:t>
      </w:r>
      <w:r>
        <w:rPr>
          <w:b/>
          <w:bCs/>
          <w:sz w:val="24"/>
          <w:szCs w:val="24"/>
        </w:rPr>
        <w:t>12</w:t>
      </w:r>
      <w:r>
        <w:rPr>
          <w:sz w:val="24"/>
          <w:szCs w:val="24"/>
        </w:rPr>
        <w:t>, 185–194 (1996).</w:t>
      </w:r>
    </w:p>
    <w:p w14:paraId="5221B72E">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22</w:t>
      </w:r>
      <w:r>
        <w:rPr>
          <w:sz w:val="24"/>
          <w:szCs w:val="24"/>
        </w:rPr>
        <w:t>.</w:t>
      </w:r>
      <w:r>
        <w:rPr>
          <w:rFonts w:hint="eastAsia"/>
          <w:sz w:val="24"/>
          <w:szCs w:val="24"/>
        </w:rPr>
        <w:t xml:space="preserve"> </w:t>
      </w:r>
      <w:r>
        <w:rPr>
          <w:sz w:val="24"/>
          <w:szCs w:val="24"/>
        </w:rPr>
        <w:t>Ni, J.</w:t>
      </w:r>
      <w:r>
        <w:rPr>
          <w:rFonts w:hint="eastAsia"/>
          <w:sz w:val="24"/>
          <w:szCs w:val="24"/>
          <w:lang w:val="en-US" w:eastAsia="zh-CN"/>
        </w:rPr>
        <w:t xml:space="preserve"> </w:t>
      </w:r>
      <w:r>
        <w:rPr>
          <w:rFonts w:hint="eastAsia"/>
          <w:i/>
          <w:iCs/>
          <w:sz w:val="24"/>
          <w:szCs w:val="24"/>
          <w:lang w:val="en-US" w:eastAsia="zh-CN"/>
        </w:rPr>
        <w:t>et al.</w:t>
      </w:r>
      <w:r>
        <w:rPr>
          <w:sz w:val="24"/>
          <w:szCs w:val="24"/>
        </w:rPr>
        <w:t xml:space="preserve"> Palaeovegetation in China during the late Quaternary: Biome reconstructions based on a global scheme of plant functional types. </w:t>
      </w:r>
      <w:r>
        <w:rPr>
          <w:i/>
          <w:iCs/>
          <w:sz w:val="24"/>
          <w:szCs w:val="24"/>
        </w:rPr>
        <w:t>Palaeogeogr. Palaeoclimatol. Palaeoecol.</w:t>
      </w:r>
      <w:r>
        <w:rPr>
          <w:sz w:val="24"/>
          <w:szCs w:val="24"/>
        </w:rPr>
        <w:t xml:space="preserve"> </w:t>
      </w:r>
      <w:r>
        <w:rPr>
          <w:b/>
          <w:bCs/>
          <w:sz w:val="24"/>
          <w:szCs w:val="24"/>
        </w:rPr>
        <w:t>289</w:t>
      </w:r>
      <w:r>
        <w:rPr>
          <w:sz w:val="24"/>
          <w:szCs w:val="24"/>
        </w:rPr>
        <w:t>, 44–61 (2010).</w:t>
      </w:r>
    </w:p>
    <w:p w14:paraId="57E7F2A1">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23</w:t>
      </w:r>
      <w:r>
        <w:rPr>
          <w:sz w:val="24"/>
          <w:szCs w:val="24"/>
        </w:rPr>
        <w:t>.</w:t>
      </w:r>
      <w:r>
        <w:rPr>
          <w:rFonts w:hint="eastAsia"/>
          <w:sz w:val="24"/>
          <w:szCs w:val="24"/>
        </w:rPr>
        <w:t xml:space="preserve"> </w:t>
      </w:r>
      <w:r>
        <w:rPr>
          <w:sz w:val="24"/>
          <w:szCs w:val="24"/>
        </w:rPr>
        <w:t xml:space="preserve">Sun, A. </w:t>
      </w:r>
      <w:r>
        <w:rPr>
          <w:i/>
          <w:iCs/>
          <w:sz w:val="24"/>
          <w:szCs w:val="24"/>
        </w:rPr>
        <w:t>et al.</w:t>
      </w:r>
      <w:r>
        <w:rPr>
          <w:sz w:val="24"/>
          <w:szCs w:val="24"/>
        </w:rPr>
        <w:t xml:space="preserve"> An updated biomization scheme and vegetation reconstruction based on a synthesis of modern and mid-Holocene pollen data in China. </w:t>
      </w:r>
      <w:r>
        <w:rPr>
          <w:i/>
          <w:iCs/>
          <w:sz w:val="24"/>
          <w:szCs w:val="24"/>
        </w:rPr>
        <w:t>Glob. Planet. Change</w:t>
      </w:r>
      <w:r>
        <w:rPr>
          <w:sz w:val="24"/>
          <w:szCs w:val="24"/>
        </w:rPr>
        <w:t xml:space="preserve"> </w:t>
      </w:r>
      <w:r>
        <w:rPr>
          <w:b/>
          <w:bCs/>
          <w:sz w:val="24"/>
          <w:szCs w:val="24"/>
        </w:rPr>
        <w:t>192</w:t>
      </w:r>
      <w:r>
        <w:rPr>
          <w:sz w:val="24"/>
          <w:szCs w:val="24"/>
        </w:rPr>
        <w:t>, 103178 (2020).</w:t>
      </w:r>
    </w:p>
    <w:p w14:paraId="49D1713C">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24</w:t>
      </w:r>
      <w:r>
        <w:rPr>
          <w:sz w:val="24"/>
          <w:szCs w:val="24"/>
        </w:rPr>
        <w:t>.</w:t>
      </w:r>
      <w:r>
        <w:rPr>
          <w:rFonts w:hint="eastAsia"/>
          <w:sz w:val="24"/>
          <w:szCs w:val="24"/>
        </w:rPr>
        <w:t xml:space="preserve"> </w:t>
      </w:r>
      <w:r>
        <w:rPr>
          <w:sz w:val="24"/>
          <w:szCs w:val="24"/>
        </w:rPr>
        <w:t>Xiao, X.</w:t>
      </w:r>
      <w:r>
        <w:rPr>
          <w:rFonts w:hint="eastAsia"/>
          <w:sz w:val="24"/>
          <w:szCs w:val="24"/>
          <w:lang w:val="en-US" w:eastAsia="zh-CN"/>
        </w:rPr>
        <w:t xml:space="preserve"> </w:t>
      </w:r>
      <w:r>
        <w:rPr>
          <w:rFonts w:hint="eastAsia"/>
          <w:i/>
          <w:iCs/>
          <w:sz w:val="24"/>
          <w:szCs w:val="24"/>
          <w:lang w:val="en-US" w:eastAsia="zh-CN"/>
        </w:rPr>
        <w:t>et al.</w:t>
      </w:r>
      <w:r>
        <w:rPr>
          <w:sz w:val="24"/>
          <w:szCs w:val="24"/>
        </w:rPr>
        <w:t xml:space="preserve"> Palynological evidence for vegetational and climatic changes from the HQ deep drilling core in Yunnan Province, China. </w:t>
      </w:r>
      <w:r>
        <w:rPr>
          <w:i/>
          <w:iCs/>
          <w:sz w:val="24"/>
          <w:szCs w:val="24"/>
        </w:rPr>
        <w:t>Sci. China Ser. Earth Sci.</w:t>
      </w:r>
      <w:r>
        <w:rPr>
          <w:sz w:val="24"/>
          <w:szCs w:val="24"/>
        </w:rPr>
        <w:t xml:space="preserve"> </w:t>
      </w:r>
      <w:r>
        <w:rPr>
          <w:b/>
          <w:bCs/>
          <w:sz w:val="24"/>
          <w:szCs w:val="24"/>
        </w:rPr>
        <w:t>50</w:t>
      </w:r>
      <w:r>
        <w:rPr>
          <w:sz w:val="24"/>
          <w:szCs w:val="24"/>
        </w:rPr>
        <w:t>, 1189–1201 (2007).</w:t>
      </w:r>
    </w:p>
    <w:p w14:paraId="595CFCDE">
      <w:pPr>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highlight w:val="none"/>
        </w:rPr>
      </w:pPr>
      <w:r>
        <w:rPr>
          <w:rFonts w:hint="eastAsia"/>
          <w:sz w:val="24"/>
          <w:szCs w:val="24"/>
          <w:lang w:val="en-US" w:eastAsia="zh-CN"/>
        </w:rPr>
        <w:t>25</w:t>
      </w:r>
      <w:r>
        <w:rPr>
          <w:sz w:val="24"/>
          <w:szCs w:val="24"/>
        </w:rPr>
        <w:t>.</w:t>
      </w:r>
      <w:r>
        <w:rPr>
          <w:rFonts w:hint="eastAsia"/>
          <w:sz w:val="24"/>
          <w:szCs w:val="24"/>
        </w:rPr>
        <w:t xml:space="preserve"> </w:t>
      </w:r>
      <w:r>
        <w:rPr>
          <w:sz w:val="24"/>
          <w:szCs w:val="24"/>
        </w:rPr>
        <w:t xml:space="preserve">An, Z. et al. Glacial-Interglacial Indian Summer Monsoon Dynamics. </w:t>
      </w:r>
      <w:r>
        <w:rPr>
          <w:i/>
          <w:iCs/>
          <w:sz w:val="24"/>
          <w:szCs w:val="24"/>
        </w:rPr>
        <w:t>Science</w:t>
      </w:r>
      <w:r>
        <w:rPr>
          <w:sz w:val="24"/>
          <w:szCs w:val="24"/>
        </w:rPr>
        <w:t xml:space="preserve"> </w:t>
      </w:r>
      <w:r>
        <w:rPr>
          <w:b/>
          <w:bCs/>
          <w:sz w:val="24"/>
          <w:szCs w:val="24"/>
        </w:rPr>
        <w:t>333</w:t>
      </w:r>
      <w:r>
        <w:rPr>
          <w:sz w:val="24"/>
          <w:szCs w:val="24"/>
        </w:rPr>
        <w:t>, 719–723 (2011).</w:t>
      </w:r>
    </w:p>
    <w:p w14:paraId="1009449E">
      <w:pPr>
        <w:keepNext w:val="0"/>
        <w:keepLines w:val="0"/>
        <w:pageBreakBefore w:val="0"/>
        <w:widowControl/>
        <w:kinsoku/>
        <w:wordWrap/>
        <w:overflowPunct/>
        <w:topLinePunct w:val="0"/>
        <w:autoSpaceDE/>
        <w:autoSpaceDN/>
        <w:bidi w:val="0"/>
        <w:snapToGrid w:val="0"/>
        <w:spacing w:line="240" w:lineRule="auto"/>
        <w:ind w:left="240" w:hanging="240" w:hangingChars="100"/>
        <w:jc w:val="both"/>
        <w:textAlignment w:val="auto"/>
        <w:rPr>
          <w:rFonts w:hint="eastAsia"/>
          <w:sz w:val="24"/>
          <w:szCs w:val="24"/>
          <w:highlight w:val="none"/>
        </w:rPr>
      </w:pPr>
      <w:r>
        <w:rPr>
          <w:sz w:val="24"/>
          <w:szCs w:val="24"/>
          <w:highlight w:val="none"/>
        </w:rPr>
        <w:t>2</w:t>
      </w:r>
      <w:r>
        <w:rPr>
          <w:rFonts w:hint="eastAsia"/>
          <w:sz w:val="24"/>
          <w:szCs w:val="24"/>
          <w:highlight w:val="none"/>
          <w:lang w:val="en-US" w:eastAsia="zh-CN"/>
        </w:rPr>
        <w:t>6</w:t>
      </w:r>
      <w:r>
        <w:rPr>
          <w:sz w:val="24"/>
          <w:szCs w:val="24"/>
          <w:highlight w:val="none"/>
        </w:rPr>
        <w:t>.</w:t>
      </w:r>
      <w:r>
        <w:rPr>
          <w:rFonts w:hint="eastAsia"/>
          <w:sz w:val="24"/>
          <w:szCs w:val="24"/>
          <w:highlight w:val="none"/>
          <w:lang w:val="en-US" w:eastAsia="zh-CN"/>
        </w:rPr>
        <w:t xml:space="preserve"> </w:t>
      </w:r>
      <w:r>
        <w:rPr>
          <w:rFonts w:hint="eastAsia"/>
          <w:sz w:val="24"/>
          <w:szCs w:val="24"/>
          <w:highlight w:val="none"/>
        </w:rPr>
        <w:t xml:space="preserve">AlQahtani, S. J., Hector, M. P. &amp; Liversidge, H. M. Brief communication: The London atlas of human tooth development and eruption. </w:t>
      </w:r>
      <w:r>
        <w:rPr>
          <w:rFonts w:hint="eastAsia"/>
          <w:i/>
          <w:iCs/>
          <w:sz w:val="24"/>
          <w:szCs w:val="24"/>
          <w:highlight w:val="none"/>
        </w:rPr>
        <w:t>Am. J. Phys. Anthropol.</w:t>
      </w:r>
      <w:r>
        <w:rPr>
          <w:rFonts w:hint="eastAsia"/>
          <w:sz w:val="24"/>
          <w:szCs w:val="24"/>
          <w:highlight w:val="none"/>
        </w:rPr>
        <w:t xml:space="preserve"> </w:t>
      </w:r>
      <w:r>
        <w:rPr>
          <w:rFonts w:hint="eastAsia"/>
          <w:b/>
          <w:bCs/>
          <w:sz w:val="24"/>
          <w:szCs w:val="24"/>
          <w:highlight w:val="none"/>
        </w:rPr>
        <w:t>142</w:t>
      </w:r>
      <w:r>
        <w:rPr>
          <w:rFonts w:hint="eastAsia"/>
          <w:sz w:val="24"/>
          <w:szCs w:val="24"/>
          <w:highlight w:val="none"/>
        </w:rPr>
        <w:t>, 481</w:t>
      </w:r>
      <w:r>
        <w:rPr>
          <w:sz w:val="24"/>
          <w:szCs w:val="24"/>
        </w:rPr>
        <w:t>–</w:t>
      </w:r>
      <w:r>
        <w:rPr>
          <w:rFonts w:hint="eastAsia"/>
          <w:sz w:val="24"/>
          <w:szCs w:val="24"/>
          <w:highlight w:val="none"/>
        </w:rPr>
        <w:t>490 (2010).</w:t>
      </w:r>
    </w:p>
    <w:p w14:paraId="6D779F1F">
      <w:pPr>
        <w:keepNext w:val="0"/>
        <w:keepLines w:val="0"/>
        <w:pageBreakBefore w:val="0"/>
        <w:widowControl/>
        <w:kinsoku/>
        <w:wordWrap/>
        <w:overflowPunct/>
        <w:topLinePunct w:val="0"/>
        <w:autoSpaceDE/>
        <w:autoSpaceDN/>
        <w:bidi w:val="0"/>
        <w:snapToGrid w:val="0"/>
        <w:spacing w:line="240" w:lineRule="auto"/>
        <w:ind w:left="240" w:hanging="240" w:hangingChars="100"/>
        <w:jc w:val="both"/>
        <w:textAlignment w:val="auto"/>
        <w:rPr>
          <w:rFonts w:hint="eastAsia"/>
          <w:sz w:val="24"/>
          <w:szCs w:val="24"/>
          <w:highlight w:val="none"/>
          <w:lang w:val="en-US" w:eastAsia="zh-CN"/>
        </w:rPr>
      </w:pPr>
      <w:r>
        <w:rPr>
          <w:sz w:val="24"/>
          <w:szCs w:val="24"/>
          <w:highlight w:val="none"/>
        </w:rPr>
        <w:t>2</w:t>
      </w:r>
      <w:r>
        <w:rPr>
          <w:rFonts w:hint="eastAsia"/>
          <w:sz w:val="24"/>
          <w:szCs w:val="24"/>
          <w:highlight w:val="none"/>
          <w:lang w:val="en-US" w:eastAsia="zh-CN"/>
        </w:rPr>
        <w:t>7</w:t>
      </w:r>
      <w:r>
        <w:rPr>
          <w:sz w:val="24"/>
          <w:szCs w:val="24"/>
          <w:highlight w:val="none"/>
        </w:rPr>
        <w:t>.</w:t>
      </w:r>
      <w:r>
        <w:rPr>
          <w:rFonts w:hint="eastAsia"/>
          <w:sz w:val="24"/>
          <w:szCs w:val="24"/>
          <w:highlight w:val="none"/>
          <w:lang w:val="en-US" w:eastAsia="zh-CN"/>
        </w:rPr>
        <w:t xml:space="preserve"> </w:t>
      </w:r>
      <w:r>
        <w:rPr>
          <w:rFonts w:hint="eastAsia"/>
          <w:sz w:val="24"/>
          <w:szCs w:val="24"/>
          <w:highlight w:val="none"/>
        </w:rPr>
        <w:t xml:space="preserve">Haavikko, K. The formation and the alveolar and clinical eruption of the permanent teeth: an orthopantomographic study. </w:t>
      </w:r>
      <w:r>
        <w:rPr>
          <w:rFonts w:hint="eastAsia"/>
          <w:i/>
          <w:iCs/>
          <w:sz w:val="24"/>
          <w:szCs w:val="24"/>
          <w:highlight w:val="none"/>
        </w:rPr>
        <w:t>Suomen Hammaslaakariseuran toimituksia</w:t>
      </w:r>
      <w:r>
        <w:rPr>
          <w:rFonts w:hint="eastAsia"/>
          <w:sz w:val="24"/>
          <w:szCs w:val="24"/>
          <w:highlight w:val="none"/>
        </w:rPr>
        <w:t xml:space="preserve"> </w:t>
      </w:r>
      <w:r>
        <w:rPr>
          <w:rFonts w:hint="eastAsia"/>
          <w:b/>
          <w:bCs/>
          <w:sz w:val="24"/>
          <w:szCs w:val="24"/>
          <w:highlight w:val="none"/>
        </w:rPr>
        <w:t>66</w:t>
      </w:r>
      <w:r>
        <w:rPr>
          <w:rFonts w:hint="eastAsia"/>
          <w:sz w:val="24"/>
          <w:szCs w:val="24"/>
          <w:highlight w:val="none"/>
        </w:rPr>
        <w:t>, 103</w:t>
      </w:r>
      <w:r>
        <w:rPr>
          <w:sz w:val="24"/>
          <w:szCs w:val="24"/>
        </w:rPr>
        <w:t>–</w:t>
      </w:r>
      <w:r>
        <w:rPr>
          <w:rFonts w:hint="eastAsia"/>
          <w:sz w:val="24"/>
          <w:szCs w:val="24"/>
          <w:highlight w:val="none"/>
        </w:rPr>
        <w:t>170 (1970).</w:t>
      </w:r>
    </w:p>
    <w:p w14:paraId="4929B8A2">
      <w:pPr>
        <w:keepNext w:val="0"/>
        <w:keepLines w:val="0"/>
        <w:pageBreakBefore w:val="0"/>
        <w:widowControl/>
        <w:kinsoku/>
        <w:wordWrap/>
        <w:overflowPunct/>
        <w:topLinePunct w:val="0"/>
        <w:autoSpaceDE/>
        <w:autoSpaceDN/>
        <w:bidi w:val="0"/>
        <w:snapToGrid w:val="0"/>
        <w:spacing w:line="240" w:lineRule="auto"/>
        <w:ind w:left="240" w:hanging="240" w:hangingChars="100"/>
        <w:jc w:val="both"/>
        <w:textAlignment w:val="auto"/>
        <w:rPr>
          <w:rFonts w:hint="eastAsia"/>
          <w:sz w:val="24"/>
          <w:szCs w:val="24"/>
          <w:highlight w:val="none"/>
        </w:rPr>
      </w:pPr>
      <w:r>
        <w:rPr>
          <w:rFonts w:hint="eastAsia"/>
          <w:lang w:val="en-US" w:eastAsia="zh-CN"/>
        </w:rPr>
        <w:t xml:space="preserve">28. </w:t>
      </w:r>
      <w:r>
        <w:t xml:space="preserve">Xing, S. </w:t>
      </w:r>
      <w:r>
        <w:rPr>
          <w:i/>
          <w:iCs/>
        </w:rPr>
        <w:t>et al</w:t>
      </w:r>
      <w:r>
        <w:t xml:space="preserve">. First systematic assessment of dental growth and development in an archaic hominin (genus, </w:t>
      </w:r>
      <w:r>
        <w:rPr>
          <w:i/>
          <w:iCs/>
        </w:rPr>
        <w:t>Homo</w:t>
      </w:r>
      <w:r>
        <w:t xml:space="preserve">) from East Asia. </w:t>
      </w:r>
      <w:r>
        <w:rPr>
          <w:i/>
          <w:iCs/>
        </w:rPr>
        <w:t>Sci. Adv</w:t>
      </w:r>
      <w:r>
        <w:t xml:space="preserve">. </w:t>
      </w:r>
      <w:r>
        <w:rPr>
          <w:b/>
          <w:bCs/>
        </w:rPr>
        <w:t>5</w:t>
      </w:r>
      <w:r>
        <w:t>, eaau0930</w:t>
      </w:r>
      <w:r>
        <w:rPr>
          <w:rFonts w:hint="eastAsia"/>
          <w:lang w:val="en-US" w:eastAsia="zh-CN"/>
        </w:rPr>
        <w:t xml:space="preserve"> </w:t>
      </w:r>
      <w:r>
        <w:t>(2019).</w:t>
      </w:r>
    </w:p>
    <w:p w14:paraId="61251CA1">
      <w:pPr>
        <w:keepNext w:val="0"/>
        <w:keepLines w:val="0"/>
        <w:pageBreakBefore w:val="0"/>
        <w:widowControl/>
        <w:kinsoku/>
        <w:wordWrap/>
        <w:overflowPunct/>
        <w:topLinePunct w:val="0"/>
        <w:autoSpaceDE/>
        <w:autoSpaceDN/>
        <w:bidi w:val="0"/>
        <w:snapToGrid w:val="0"/>
        <w:spacing w:line="240" w:lineRule="auto"/>
        <w:ind w:left="240" w:hanging="240" w:hangingChars="100"/>
        <w:jc w:val="both"/>
        <w:textAlignment w:val="auto"/>
      </w:pPr>
      <w:r>
        <w:rPr>
          <w:rFonts w:hint="default"/>
          <w:lang w:val="en-US" w:eastAsia="zh-CN"/>
        </w:rPr>
        <w:t>2</w:t>
      </w:r>
      <w:r>
        <w:rPr>
          <w:rFonts w:hint="eastAsia"/>
          <w:lang w:val="en-US" w:eastAsia="zh-CN"/>
        </w:rPr>
        <w:t>9</w:t>
      </w:r>
      <w:r>
        <w:rPr>
          <w:rFonts w:hint="default"/>
          <w:lang w:val="en-US" w:eastAsia="zh-CN"/>
        </w:rPr>
        <w:t xml:space="preserve">. </w:t>
      </w:r>
      <w:r>
        <w:rPr>
          <w:rFonts w:hint="eastAsia"/>
        </w:rPr>
        <w:t>Xing, S.</w:t>
      </w:r>
      <w:r>
        <w:rPr>
          <w:rFonts w:hint="eastAsia"/>
          <w:lang w:val="en-US" w:eastAsia="zh-CN"/>
        </w:rPr>
        <w:t xml:space="preserve"> </w:t>
      </w:r>
      <w:r>
        <w:rPr>
          <w:rFonts w:hint="eastAsia"/>
          <w:i/>
          <w:iCs/>
          <w:lang w:val="en-US" w:eastAsia="zh-CN"/>
        </w:rPr>
        <w:t>et al</w:t>
      </w:r>
      <w:r>
        <w:rPr>
          <w:rFonts w:hint="eastAsia"/>
        </w:rPr>
        <w:t xml:space="preserve">. Hominin teeth from the early Late Pleistocene site of Xujiayao, Northern China. </w:t>
      </w:r>
      <w:r>
        <w:rPr>
          <w:rFonts w:hint="eastAsia"/>
          <w:i/>
          <w:iCs/>
        </w:rPr>
        <w:t>Am. J. Phys. Anthropol</w:t>
      </w:r>
      <w:r>
        <w:rPr>
          <w:rFonts w:hint="eastAsia"/>
        </w:rPr>
        <w:t xml:space="preserve">. </w:t>
      </w:r>
      <w:r>
        <w:rPr>
          <w:rFonts w:hint="eastAsia"/>
          <w:b/>
          <w:bCs/>
        </w:rPr>
        <w:t>156</w:t>
      </w:r>
      <w:r>
        <w:rPr>
          <w:rFonts w:hint="eastAsia"/>
        </w:rPr>
        <w:t>, 224</w:t>
      </w:r>
      <w:r>
        <w:rPr>
          <w:sz w:val="24"/>
          <w:szCs w:val="24"/>
        </w:rPr>
        <w:t>–</w:t>
      </w:r>
      <w:r>
        <w:rPr>
          <w:rFonts w:hint="eastAsia"/>
        </w:rPr>
        <w:t>240 (2015).</w:t>
      </w:r>
    </w:p>
    <w:p w14:paraId="41266798">
      <w:pPr>
        <w:keepNext w:val="0"/>
        <w:keepLines w:val="0"/>
        <w:pageBreakBefore w:val="0"/>
        <w:widowControl/>
        <w:kinsoku/>
        <w:wordWrap/>
        <w:overflowPunct/>
        <w:topLinePunct w:val="0"/>
        <w:autoSpaceDE/>
        <w:autoSpaceDN/>
        <w:bidi w:val="0"/>
        <w:snapToGrid w:val="0"/>
        <w:spacing w:line="240" w:lineRule="auto"/>
        <w:ind w:left="240" w:hanging="240" w:hangingChars="100"/>
        <w:jc w:val="both"/>
        <w:textAlignment w:val="auto"/>
      </w:pPr>
      <w:r>
        <w:rPr>
          <w:rFonts w:hint="eastAsia"/>
          <w:lang w:val="en-US" w:eastAsia="zh-CN"/>
        </w:rPr>
        <w:t xml:space="preserve">30. </w:t>
      </w:r>
      <w:r>
        <w:rPr>
          <w:rFonts w:hint="default"/>
        </w:rPr>
        <w:t xml:space="preserve">Wu, X. &amp; Bae, C. J. Xujiayao </w:t>
      </w:r>
      <w:r>
        <w:rPr>
          <w:rFonts w:hint="default"/>
          <w:i/>
          <w:iCs/>
        </w:rPr>
        <w:t>Homo</w:t>
      </w:r>
      <w:r>
        <w:rPr>
          <w:rFonts w:hint="default"/>
        </w:rPr>
        <w:t xml:space="preserve">: A </w:t>
      </w:r>
      <w:r>
        <w:rPr>
          <w:rFonts w:hint="eastAsia"/>
          <w:lang w:val="en-US" w:eastAsia="zh-CN"/>
        </w:rPr>
        <w:t>n</w:t>
      </w:r>
      <w:r>
        <w:rPr>
          <w:rFonts w:hint="default"/>
        </w:rPr>
        <w:t xml:space="preserve">ew </w:t>
      </w:r>
      <w:r>
        <w:rPr>
          <w:rFonts w:hint="eastAsia"/>
          <w:lang w:val="en-US" w:eastAsia="zh-CN"/>
        </w:rPr>
        <w:t>f</w:t>
      </w:r>
      <w:r>
        <w:rPr>
          <w:rFonts w:hint="default"/>
        </w:rPr>
        <w:t xml:space="preserve">orm of </w:t>
      </w:r>
      <w:r>
        <w:rPr>
          <w:rFonts w:hint="eastAsia"/>
          <w:lang w:val="en-US" w:eastAsia="zh-CN"/>
        </w:rPr>
        <w:t>l</w:t>
      </w:r>
      <w:r>
        <w:rPr>
          <w:rFonts w:hint="default"/>
        </w:rPr>
        <w:t xml:space="preserve">arge </w:t>
      </w:r>
      <w:r>
        <w:rPr>
          <w:rFonts w:hint="eastAsia"/>
          <w:lang w:val="en-US" w:eastAsia="zh-CN"/>
        </w:rPr>
        <w:t>b</w:t>
      </w:r>
      <w:r>
        <w:rPr>
          <w:rFonts w:hint="default"/>
        </w:rPr>
        <w:t xml:space="preserve">rained </w:t>
      </w:r>
      <w:r>
        <w:rPr>
          <w:rFonts w:hint="eastAsia"/>
          <w:lang w:val="en-US" w:eastAsia="zh-CN"/>
        </w:rPr>
        <w:t>h</w:t>
      </w:r>
      <w:r>
        <w:rPr>
          <w:rFonts w:hint="default"/>
        </w:rPr>
        <w:t xml:space="preserve">ominin in </w:t>
      </w:r>
      <w:r>
        <w:rPr>
          <w:rFonts w:hint="eastAsia"/>
          <w:lang w:val="en-US" w:eastAsia="zh-CN"/>
        </w:rPr>
        <w:t>e</w:t>
      </w:r>
      <w:r>
        <w:rPr>
          <w:rFonts w:hint="default"/>
        </w:rPr>
        <w:t xml:space="preserve">astern Asia. </w:t>
      </w:r>
      <w:r>
        <w:rPr>
          <w:rFonts w:hint="default"/>
          <w:i/>
          <w:iCs/>
        </w:rPr>
        <w:t>PaleoAnthropology</w:t>
      </w:r>
      <w:r>
        <w:rPr>
          <w:rFonts w:hint="default"/>
        </w:rPr>
        <w:t xml:space="preserve"> </w:t>
      </w:r>
      <w:r>
        <w:rPr>
          <w:rFonts w:hint="eastAsia"/>
          <w:b/>
          <w:bCs/>
          <w:lang w:val="en-US" w:eastAsia="zh-CN"/>
        </w:rPr>
        <w:t>2</w:t>
      </w:r>
      <w:r>
        <w:rPr>
          <w:rFonts w:hint="eastAsia"/>
          <w:lang w:val="en-US" w:eastAsia="zh-CN"/>
        </w:rPr>
        <w:t xml:space="preserve">, </w:t>
      </w:r>
      <w:r>
        <w:rPr>
          <w:rFonts w:hint="default"/>
        </w:rPr>
        <w:t>356</w:t>
      </w:r>
      <w:r>
        <w:rPr>
          <w:sz w:val="24"/>
          <w:szCs w:val="24"/>
        </w:rPr>
        <w:t>–</w:t>
      </w:r>
      <w:r>
        <w:rPr>
          <w:rFonts w:hint="default"/>
        </w:rPr>
        <w:t>369 (2025).</w:t>
      </w:r>
    </w:p>
    <w:p w14:paraId="22AE9BC9">
      <w:pPr>
        <w:keepNext w:val="0"/>
        <w:keepLines w:val="0"/>
        <w:pageBreakBefore w:val="0"/>
        <w:widowControl/>
        <w:kinsoku/>
        <w:wordWrap/>
        <w:overflowPunct/>
        <w:topLinePunct w:val="0"/>
        <w:autoSpaceDE/>
        <w:autoSpaceDN/>
        <w:bidi w:val="0"/>
        <w:snapToGrid w:val="0"/>
        <w:spacing w:line="240" w:lineRule="auto"/>
        <w:ind w:left="240" w:hanging="240" w:hangingChars="100"/>
        <w:jc w:val="both"/>
        <w:textAlignment w:val="auto"/>
        <w:rPr>
          <w:rFonts w:hint="eastAsia"/>
          <w:sz w:val="24"/>
          <w:szCs w:val="24"/>
          <w:highlight w:val="none"/>
          <w:lang w:val="en-US" w:eastAsia="zh-CN"/>
        </w:rPr>
      </w:pPr>
      <w:r>
        <w:rPr>
          <w:rFonts w:hint="eastAsia"/>
          <w:lang w:val="en-US" w:eastAsia="zh-CN"/>
        </w:rPr>
        <w:t xml:space="preserve">31. </w:t>
      </w:r>
      <w:r>
        <w:rPr>
          <w:rFonts w:hint="default"/>
        </w:rPr>
        <w:t xml:space="preserve">Shao, Q. </w:t>
      </w:r>
      <w:r>
        <w:rPr>
          <w:rFonts w:hint="default"/>
          <w:i/>
          <w:iCs/>
        </w:rPr>
        <w:t>et al</w:t>
      </w:r>
      <w:r>
        <w:rPr>
          <w:rFonts w:hint="default"/>
        </w:rPr>
        <w:t xml:space="preserve">. New U-series and coupled ESR/U-series dating of Xujiayao (northern China), the type site for </w:t>
      </w:r>
      <w:r>
        <w:rPr>
          <w:rFonts w:hint="default"/>
          <w:i/>
          <w:iCs/>
        </w:rPr>
        <w:t>Homo juluensis</w:t>
      </w:r>
      <w:r>
        <w:rPr>
          <w:rFonts w:hint="default"/>
        </w:rPr>
        <w:t xml:space="preserve">. </w:t>
      </w:r>
      <w:r>
        <w:rPr>
          <w:rFonts w:hint="default"/>
          <w:i/>
          <w:iCs/>
        </w:rPr>
        <w:t>Quat. Sci. Rev</w:t>
      </w:r>
      <w:r>
        <w:rPr>
          <w:rFonts w:hint="default"/>
        </w:rPr>
        <w:t xml:space="preserve">. </w:t>
      </w:r>
      <w:r>
        <w:rPr>
          <w:rFonts w:hint="default"/>
          <w:b/>
          <w:bCs/>
        </w:rPr>
        <w:t>373</w:t>
      </w:r>
      <w:r>
        <w:rPr>
          <w:rFonts w:hint="default"/>
        </w:rPr>
        <w:t>, 109742 (2026).</w:t>
      </w:r>
    </w:p>
    <w:p w14:paraId="45D56B44">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32</w:t>
      </w:r>
      <w:r>
        <w:rPr>
          <w:sz w:val="24"/>
          <w:szCs w:val="24"/>
        </w:rPr>
        <w:t>.</w:t>
      </w:r>
      <w:r>
        <w:rPr>
          <w:rFonts w:hint="eastAsia"/>
          <w:sz w:val="24"/>
          <w:szCs w:val="24"/>
        </w:rPr>
        <w:t xml:space="preserve"> </w:t>
      </w:r>
      <w:r>
        <w:rPr>
          <w:sz w:val="24"/>
          <w:szCs w:val="24"/>
        </w:rPr>
        <w:t>Turner, C. G., Nichol, C. R. &amp; Scott, G. R</w:t>
      </w:r>
      <w:r>
        <w:rPr>
          <w:i/>
          <w:iCs/>
          <w:sz w:val="24"/>
          <w:szCs w:val="24"/>
        </w:rPr>
        <w:t>. in Advances in Dental Anthropology</w:t>
      </w:r>
      <w:r>
        <w:rPr>
          <w:sz w:val="24"/>
          <w:szCs w:val="24"/>
        </w:rPr>
        <w:t xml:space="preserve"> (Eds Mark A. Kelley &amp; Clark Spencer Larsen) </w:t>
      </w:r>
      <w:r>
        <w:rPr>
          <w:rFonts w:hint="eastAsia"/>
          <w:sz w:val="24"/>
          <w:szCs w:val="24"/>
          <w:lang w:val="en-US" w:eastAsia="zh-CN"/>
        </w:rPr>
        <w:t>13</w:t>
      </w:r>
      <w:r>
        <w:rPr>
          <w:sz w:val="24"/>
          <w:szCs w:val="24"/>
        </w:rPr>
        <w:t>–31 (Wiley-Liss, 1991)</w:t>
      </w:r>
      <w:r>
        <w:rPr>
          <w:i/>
          <w:iCs/>
          <w:sz w:val="24"/>
          <w:szCs w:val="24"/>
        </w:rPr>
        <w:t>.</w:t>
      </w:r>
    </w:p>
    <w:p w14:paraId="6E267EFA">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33</w:t>
      </w:r>
      <w:r>
        <w:rPr>
          <w:sz w:val="24"/>
          <w:szCs w:val="24"/>
        </w:rPr>
        <w:t>.</w:t>
      </w:r>
      <w:r>
        <w:rPr>
          <w:rFonts w:hint="eastAsia"/>
          <w:sz w:val="24"/>
          <w:szCs w:val="24"/>
        </w:rPr>
        <w:t xml:space="preserve"> </w:t>
      </w:r>
      <w:r>
        <w:rPr>
          <w:sz w:val="24"/>
          <w:szCs w:val="24"/>
        </w:rPr>
        <w:t>Martinón-Torres, M.</w:t>
      </w:r>
      <w:r>
        <w:rPr>
          <w:rFonts w:hint="eastAsia"/>
          <w:sz w:val="24"/>
          <w:szCs w:val="24"/>
          <w:lang w:val="en-US" w:eastAsia="zh-CN"/>
        </w:rPr>
        <w:t xml:space="preserve"> </w:t>
      </w:r>
      <w:r>
        <w:rPr>
          <w:rFonts w:hint="eastAsia"/>
          <w:i/>
          <w:iCs/>
          <w:sz w:val="24"/>
          <w:szCs w:val="24"/>
          <w:lang w:val="en-US" w:eastAsia="zh-CN"/>
        </w:rPr>
        <w:t>et al.</w:t>
      </w:r>
      <w:r>
        <w:rPr>
          <w:sz w:val="24"/>
          <w:szCs w:val="24"/>
        </w:rPr>
        <w:t xml:space="preserve"> Morphological description and comparison of the dental remains from Atapuerca-Sima de los Huesos site (Spain). </w:t>
      </w:r>
      <w:r>
        <w:rPr>
          <w:i/>
          <w:iCs/>
          <w:sz w:val="24"/>
          <w:szCs w:val="24"/>
        </w:rPr>
        <w:t>J. Hum. Evol.</w:t>
      </w:r>
      <w:r>
        <w:rPr>
          <w:sz w:val="24"/>
          <w:szCs w:val="24"/>
        </w:rPr>
        <w:t xml:space="preserve"> </w:t>
      </w:r>
      <w:r>
        <w:rPr>
          <w:b/>
          <w:bCs/>
          <w:sz w:val="24"/>
          <w:szCs w:val="24"/>
        </w:rPr>
        <w:t>62</w:t>
      </w:r>
      <w:r>
        <w:rPr>
          <w:sz w:val="24"/>
          <w:szCs w:val="24"/>
        </w:rPr>
        <w:t>, 7–58 (2012).</w:t>
      </w:r>
    </w:p>
    <w:p w14:paraId="61A7A90E">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34</w:t>
      </w:r>
      <w:r>
        <w:rPr>
          <w:sz w:val="24"/>
          <w:szCs w:val="24"/>
        </w:rPr>
        <w:t>.</w:t>
      </w:r>
      <w:r>
        <w:rPr>
          <w:rFonts w:hint="eastAsia"/>
          <w:sz w:val="24"/>
          <w:szCs w:val="24"/>
        </w:rPr>
        <w:t xml:space="preserve"> </w:t>
      </w:r>
      <w:r>
        <w:rPr>
          <w:sz w:val="24"/>
          <w:szCs w:val="24"/>
        </w:rPr>
        <w:t xml:space="preserve">Molnar, S. Human tooth wear, tooth function and cultural variability. </w:t>
      </w:r>
      <w:r>
        <w:rPr>
          <w:i/>
          <w:iCs/>
          <w:sz w:val="24"/>
          <w:szCs w:val="24"/>
        </w:rPr>
        <w:t>Am. J. Phys. Anthropol.</w:t>
      </w:r>
      <w:r>
        <w:rPr>
          <w:sz w:val="24"/>
          <w:szCs w:val="24"/>
        </w:rPr>
        <w:t xml:space="preserve"> </w:t>
      </w:r>
      <w:r>
        <w:rPr>
          <w:b/>
          <w:bCs/>
          <w:sz w:val="24"/>
          <w:szCs w:val="24"/>
        </w:rPr>
        <w:t>34</w:t>
      </w:r>
      <w:r>
        <w:rPr>
          <w:sz w:val="24"/>
          <w:szCs w:val="24"/>
        </w:rPr>
        <w:t>, 175–189 (1971).</w:t>
      </w:r>
    </w:p>
    <w:p w14:paraId="1E68106C">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35</w:t>
      </w:r>
      <w:r>
        <w:rPr>
          <w:sz w:val="24"/>
          <w:szCs w:val="24"/>
        </w:rPr>
        <w:t>.</w:t>
      </w:r>
      <w:r>
        <w:rPr>
          <w:rFonts w:hint="eastAsia"/>
          <w:sz w:val="24"/>
          <w:szCs w:val="24"/>
        </w:rPr>
        <w:t xml:space="preserve"> </w:t>
      </w:r>
      <w:r>
        <w:rPr>
          <w:sz w:val="24"/>
          <w:szCs w:val="24"/>
        </w:rPr>
        <w:t xml:space="preserve">Wu, X. </w:t>
      </w:r>
      <w:r>
        <w:rPr>
          <w:i/>
          <w:iCs/>
          <w:sz w:val="24"/>
          <w:szCs w:val="24"/>
        </w:rPr>
        <w:t>et al.</w:t>
      </w:r>
      <w:r>
        <w:rPr>
          <w:sz w:val="24"/>
          <w:szCs w:val="24"/>
        </w:rPr>
        <w:t xml:space="preserve"> Archaic human remains from Hualongdong, China, and Middle Pleistocene human continuity and variation. </w:t>
      </w:r>
      <w:r>
        <w:rPr>
          <w:i/>
          <w:iCs/>
          <w:sz w:val="24"/>
          <w:szCs w:val="24"/>
        </w:rPr>
        <w:t>Proc. Natl. Acad. Sci.</w:t>
      </w:r>
      <w:r>
        <w:rPr>
          <w:sz w:val="24"/>
          <w:szCs w:val="24"/>
        </w:rPr>
        <w:t xml:space="preserve"> </w:t>
      </w:r>
      <w:r>
        <w:rPr>
          <w:b/>
          <w:bCs/>
          <w:sz w:val="24"/>
          <w:szCs w:val="24"/>
        </w:rPr>
        <w:t>116</w:t>
      </w:r>
      <w:r>
        <w:rPr>
          <w:sz w:val="24"/>
          <w:szCs w:val="24"/>
        </w:rPr>
        <w:t>, 9820–9824 (2019).</w:t>
      </w:r>
    </w:p>
    <w:p w14:paraId="793C4504">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36</w:t>
      </w:r>
      <w:r>
        <w:rPr>
          <w:sz w:val="24"/>
          <w:szCs w:val="24"/>
        </w:rPr>
        <w:t>.</w:t>
      </w:r>
      <w:r>
        <w:rPr>
          <w:rFonts w:hint="eastAsia"/>
          <w:sz w:val="24"/>
          <w:szCs w:val="24"/>
        </w:rPr>
        <w:t xml:space="preserve"> </w:t>
      </w:r>
      <w:r>
        <w:rPr>
          <w:sz w:val="24"/>
          <w:szCs w:val="24"/>
        </w:rPr>
        <w:t xml:space="preserve">Xing, S., Martinón-Torres, M. &amp; Bermúdez de Castro, J. M. The fossil teeth of the Peking Man. </w:t>
      </w:r>
      <w:r>
        <w:rPr>
          <w:i/>
          <w:iCs/>
          <w:sz w:val="24"/>
          <w:szCs w:val="24"/>
        </w:rPr>
        <w:t>Sci. Rep.</w:t>
      </w:r>
      <w:r>
        <w:rPr>
          <w:sz w:val="24"/>
          <w:szCs w:val="24"/>
        </w:rPr>
        <w:t xml:space="preserve"> </w:t>
      </w:r>
      <w:r>
        <w:rPr>
          <w:b/>
          <w:bCs/>
          <w:sz w:val="24"/>
          <w:szCs w:val="24"/>
        </w:rPr>
        <w:t>8</w:t>
      </w:r>
      <w:r>
        <w:rPr>
          <w:sz w:val="24"/>
          <w:szCs w:val="24"/>
        </w:rPr>
        <w:t>, 2066 (2018).</w:t>
      </w:r>
    </w:p>
    <w:p w14:paraId="6DABC66F">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37</w:t>
      </w:r>
      <w:r>
        <w:rPr>
          <w:sz w:val="24"/>
          <w:szCs w:val="24"/>
        </w:rPr>
        <w:t>.</w:t>
      </w:r>
      <w:r>
        <w:rPr>
          <w:rFonts w:hint="eastAsia"/>
          <w:sz w:val="24"/>
          <w:szCs w:val="24"/>
        </w:rPr>
        <w:t xml:space="preserve"> </w:t>
      </w:r>
      <w:r>
        <w:rPr>
          <w:sz w:val="24"/>
          <w:szCs w:val="24"/>
        </w:rPr>
        <w:t xml:space="preserve">Weidenreich, F. </w:t>
      </w:r>
      <w:r>
        <w:rPr>
          <w:i/>
          <w:iCs/>
          <w:sz w:val="24"/>
          <w:szCs w:val="24"/>
        </w:rPr>
        <w:t>The Dentition of Sinanthropus Pekinensis: A Comparative Odontography of the Hominids</w:t>
      </w:r>
      <w:r>
        <w:rPr>
          <w:sz w:val="24"/>
          <w:szCs w:val="24"/>
        </w:rPr>
        <w:t>. vol. Palaeontol. Sin. Series D I (1937).</w:t>
      </w:r>
    </w:p>
    <w:p w14:paraId="38889F94">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38</w:t>
      </w:r>
      <w:r>
        <w:rPr>
          <w:sz w:val="24"/>
          <w:szCs w:val="24"/>
        </w:rPr>
        <w:t>.</w:t>
      </w:r>
      <w:r>
        <w:rPr>
          <w:rFonts w:hint="eastAsia"/>
          <w:sz w:val="24"/>
          <w:szCs w:val="24"/>
        </w:rPr>
        <w:t xml:space="preserve"> </w:t>
      </w:r>
      <w:r>
        <w:rPr>
          <w:sz w:val="24"/>
          <w:szCs w:val="24"/>
        </w:rPr>
        <w:t xml:space="preserve">Grine, F. E. &amp; Franzen, J. L. Fossil hominid teeth from the Sangiran dome (Java, Indonesia). </w:t>
      </w:r>
      <w:r>
        <w:rPr>
          <w:i/>
          <w:iCs/>
          <w:sz w:val="24"/>
          <w:szCs w:val="24"/>
        </w:rPr>
        <w:t>Cour Forsch Inst Senckenberg</w:t>
      </w:r>
      <w:r>
        <w:rPr>
          <w:sz w:val="24"/>
          <w:szCs w:val="24"/>
        </w:rPr>
        <w:t xml:space="preserve"> </w:t>
      </w:r>
      <w:r>
        <w:rPr>
          <w:b/>
          <w:bCs/>
          <w:sz w:val="24"/>
          <w:szCs w:val="24"/>
        </w:rPr>
        <w:t>171</w:t>
      </w:r>
      <w:r>
        <w:rPr>
          <w:sz w:val="24"/>
          <w:szCs w:val="24"/>
        </w:rPr>
        <w:t>, 75–103 (1994).</w:t>
      </w:r>
    </w:p>
    <w:p w14:paraId="793C41B4">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39</w:t>
      </w:r>
      <w:r>
        <w:rPr>
          <w:sz w:val="24"/>
          <w:szCs w:val="24"/>
        </w:rPr>
        <w:t>.</w:t>
      </w:r>
      <w:r>
        <w:rPr>
          <w:rFonts w:hint="eastAsia"/>
          <w:sz w:val="24"/>
          <w:szCs w:val="24"/>
        </w:rPr>
        <w:t xml:space="preserve"> </w:t>
      </w:r>
      <w:r>
        <w:rPr>
          <w:sz w:val="24"/>
          <w:szCs w:val="24"/>
        </w:rPr>
        <w:t xml:space="preserve">Chen, F. </w:t>
      </w:r>
      <w:r>
        <w:rPr>
          <w:i/>
          <w:iCs/>
          <w:sz w:val="24"/>
          <w:szCs w:val="24"/>
        </w:rPr>
        <w:t>et al.</w:t>
      </w:r>
      <w:r>
        <w:rPr>
          <w:sz w:val="24"/>
          <w:szCs w:val="24"/>
        </w:rPr>
        <w:t xml:space="preserve"> A late Middle Pleistocene Denisovan mandible from the Tibetan Plateau. </w:t>
      </w:r>
      <w:r>
        <w:rPr>
          <w:i/>
          <w:iCs/>
          <w:sz w:val="24"/>
          <w:szCs w:val="24"/>
        </w:rPr>
        <w:t>Nature</w:t>
      </w:r>
      <w:r>
        <w:rPr>
          <w:sz w:val="24"/>
          <w:szCs w:val="24"/>
        </w:rPr>
        <w:t xml:space="preserve"> </w:t>
      </w:r>
      <w:r>
        <w:rPr>
          <w:b/>
          <w:bCs/>
          <w:sz w:val="24"/>
          <w:szCs w:val="24"/>
        </w:rPr>
        <w:t>569</w:t>
      </w:r>
      <w:r>
        <w:rPr>
          <w:sz w:val="24"/>
          <w:szCs w:val="24"/>
        </w:rPr>
        <w:t>, 409–412 (2019).</w:t>
      </w:r>
    </w:p>
    <w:p w14:paraId="629DD56C">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40</w:t>
      </w:r>
      <w:r>
        <w:rPr>
          <w:sz w:val="24"/>
          <w:szCs w:val="24"/>
        </w:rPr>
        <w:t>.</w:t>
      </w:r>
      <w:r>
        <w:rPr>
          <w:rFonts w:hint="eastAsia"/>
          <w:sz w:val="24"/>
          <w:szCs w:val="24"/>
        </w:rPr>
        <w:t xml:space="preserve"> </w:t>
      </w:r>
      <w:r>
        <w:rPr>
          <w:sz w:val="24"/>
          <w:szCs w:val="24"/>
        </w:rPr>
        <w:t xml:space="preserve">Demeter, F. </w:t>
      </w:r>
      <w:r>
        <w:rPr>
          <w:i/>
          <w:iCs/>
          <w:sz w:val="24"/>
          <w:szCs w:val="24"/>
        </w:rPr>
        <w:t>et al.</w:t>
      </w:r>
      <w:r>
        <w:rPr>
          <w:sz w:val="24"/>
          <w:szCs w:val="24"/>
        </w:rPr>
        <w:t xml:space="preserve"> A Middle Pleistocene Denisovan molar from the Annamite Chain of northern Laos. </w:t>
      </w:r>
      <w:r>
        <w:rPr>
          <w:i/>
          <w:iCs/>
          <w:sz w:val="24"/>
          <w:szCs w:val="24"/>
        </w:rPr>
        <w:t>Nat. Commun.</w:t>
      </w:r>
      <w:r>
        <w:rPr>
          <w:sz w:val="24"/>
          <w:szCs w:val="24"/>
        </w:rPr>
        <w:t xml:space="preserve"> </w:t>
      </w:r>
      <w:r>
        <w:rPr>
          <w:b/>
          <w:bCs/>
          <w:sz w:val="24"/>
          <w:szCs w:val="24"/>
        </w:rPr>
        <w:t>13</w:t>
      </w:r>
      <w:r>
        <w:rPr>
          <w:sz w:val="24"/>
          <w:szCs w:val="24"/>
        </w:rPr>
        <w:t>, 2557 (2022).</w:t>
      </w:r>
    </w:p>
    <w:p w14:paraId="6E61104D">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41</w:t>
      </w:r>
      <w:r>
        <w:rPr>
          <w:sz w:val="24"/>
          <w:szCs w:val="24"/>
        </w:rPr>
        <w:t>.</w:t>
      </w:r>
      <w:r>
        <w:rPr>
          <w:rFonts w:hint="eastAsia"/>
          <w:sz w:val="24"/>
          <w:szCs w:val="24"/>
        </w:rPr>
        <w:t xml:space="preserve"> </w:t>
      </w:r>
      <w:r>
        <w:rPr>
          <w:sz w:val="24"/>
          <w:szCs w:val="24"/>
        </w:rPr>
        <w:t xml:space="preserve">Xing, S. </w:t>
      </w:r>
      <w:r>
        <w:rPr>
          <w:i/>
          <w:iCs/>
          <w:sz w:val="24"/>
          <w:szCs w:val="24"/>
        </w:rPr>
        <w:t>et al.</w:t>
      </w:r>
      <w:r>
        <w:rPr>
          <w:sz w:val="24"/>
          <w:szCs w:val="24"/>
        </w:rPr>
        <w:t xml:space="preserve"> Hominin teeth from the Middle Pleistocene site of Yiyuan, Eastern China. </w:t>
      </w:r>
      <w:r>
        <w:rPr>
          <w:i/>
          <w:iCs/>
          <w:sz w:val="24"/>
          <w:szCs w:val="24"/>
        </w:rPr>
        <w:t>J. Hum. Evol.</w:t>
      </w:r>
      <w:r>
        <w:rPr>
          <w:sz w:val="24"/>
          <w:szCs w:val="24"/>
        </w:rPr>
        <w:t xml:space="preserve"> </w:t>
      </w:r>
      <w:r>
        <w:rPr>
          <w:b/>
          <w:bCs/>
          <w:sz w:val="24"/>
          <w:szCs w:val="24"/>
        </w:rPr>
        <w:t>95</w:t>
      </w:r>
      <w:r>
        <w:rPr>
          <w:sz w:val="24"/>
          <w:szCs w:val="24"/>
        </w:rPr>
        <w:t>, 33–54 (2016).</w:t>
      </w:r>
    </w:p>
    <w:p w14:paraId="6551BD7E">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42</w:t>
      </w:r>
      <w:r>
        <w:rPr>
          <w:sz w:val="24"/>
          <w:szCs w:val="24"/>
        </w:rPr>
        <w:t>.</w:t>
      </w:r>
      <w:r>
        <w:rPr>
          <w:rFonts w:hint="eastAsia"/>
          <w:sz w:val="24"/>
          <w:szCs w:val="24"/>
        </w:rPr>
        <w:t xml:space="preserve"> </w:t>
      </w:r>
      <w:r>
        <w:rPr>
          <w:sz w:val="24"/>
          <w:szCs w:val="24"/>
        </w:rPr>
        <w:t xml:space="preserve">Xing, S. </w:t>
      </w:r>
      <w:r>
        <w:rPr>
          <w:i/>
          <w:iCs/>
          <w:sz w:val="24"/>
          <w:szCs w:val="24"/>
        </w:rPr>
        <w:t>et al.</w:t>
      </w:r>
      <w:r>
        <w:rPr>
          <w:sz w:val="24"/>
          <w:szCs w:val="24"/>
        </w:rPr>
        <w:t xml:space="preserve"> Middle Pleistocene Hominin Teeth from Longtan Cave, Hexian, China. </w:t>
      </w:r>
      <w:r>
        <w:rPr>
          <w:i/>
          <w:iCs/>
          <w:sz w:val="24"/>
          <w:szCs w:val="24"/>
        </w:rPr>
        <w:t>PLoS ONE</w:t>
      </w:r>
      <w:r>
        <w:rPr>
          <w:sz w:val="24"/>
          <w:szCs w:val="24"/>
        </w:rPr>
        <w:t xml:space="preserve"> </w:t>
      </w:r>
      <w:r>
        <w:rPr>
          <w:b/>
          <w:bCs/>
          <w:sz w:val="24"/>
          <w:szCs w:val="24"/>
        </w:rPr>
        <w:t>9</w:t>
      </w:r>
      <w:r>
        <w:rPr>
          <w:sz w:val="24"/>
          <w:szCs w:val="24"/>
        </w:rPr>
        <w:t>, e114265 (2014).</w:t>
      </w:r>
    </w:p>
    <w:p w14:paraId="698978CE">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43</w:t>
      </w:r>
      <w:r>
        <w:rPr>
          <w:sz w:val="24"/>
          <w:szCs w:val="24"/>
        </w:rPr>
        <w:t>.</w:t>
      </w:r>
      <w:r>
        <w:rPr>
          <w:rFonts w:hint="eastAsia"/>
          <w:sz w:val="24"/>
          <w:szCs w:val="24"/>
        </w:rPr>
        <w:t xml:space="preserve"> </w:t>
      </w:r>
      <w:r>
        <w:rPr>
          <w:sz w:val="24"/>
          <w:szCs w:val="24"/>
        </w:rPr>
        <w:t xml:space="preserve">Kaifu, Y. </w:t>
      </w:r>
      <w:r>
        <w:rPr>
          <w:i/>
          <w:iCs/>
          <w:sz w:val="24"/>
          <w:szCs w:val="24"/>
        </w:rPr>
        <w:t>et al.</w:t>
      </w:r>
      <w:r>
        <w:rPr>
          <w:sz w:val="24"/>
          <w:szCs w:val="24"/>
        </w:rPr>
        <w:t xml:space="preserve"> Taxonomic affinities and evolutionary history of the early Pleistocene hominids of Java: Dentognathic evidence. </w:t>
      </w:r>
      <w:r>
        <w:rPr>
          <w:i/>
          <w:iCs/>
          <w:sz w:val="24"/>
          <w:szCs w:val="24"/>
        </w:rPr>
        <w:t>Am. J. Phys. Anthropol.</w:t>
      </w:r>
      <w:r>
        <w:rPr>
          <w:sz w:val="24"/>
          <w:szCs w:val="24"/>
        </w:rPr>
        <w:t xml:space="preserve"> </w:t>
      </w:r>
      <w:r>
        <w:rPr>
          <w:b/>
          <w:bCs/>
          <w:sz w:val="24"/>
          <w:szCs w:val="24"/>
        </w:rPr>
        <w:t>128</w:t>
      </w:r>
      <w:r>
        <w:rPr>
          <w:sz w:val="24"/>
          <w:szCs w:val="24"/>
        </w:rPr>
        <w:t>, 709–726 (2005).</w:t>
      </w:r>
    </w:p>
    <w:p w14:paraId="140A25FD">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44</w:t>
      </w:r>
      <w:r>
        <w:rPr>
          <w:sz w:val="24"/>
          <w:szCs w:val="24"/>
        </w:rPr>
        <w:t>.</w:t>
      </w:r>
      <w:r>
        <w:rPr>
          <w:rFonts w:hint="eastAsia"/>
          <w:sz w:val="24"/>
          <w:szCs w:val="24"/>
        </w:rPr>
        <w:t xml:space="preserve"> </w:t>
      </w:r>
      <w:r>
        <w:rPr>
          <w:sz w:val="24"/>
          <w:szCs w:val="24"/>
        </w:rPr>
        <w:t xml:space="preserve">Tsutaya, T. </w:t>
      </w:r>
      <w:r>
        <w:rPr>
          <w:i/>
          <w:iCs/>
          <w:sz w:val="24"/>
          <w:szCs w:val="24"/>
        </w:rPr>
        <w:t>et al.</w:t>
      </w:r>
      <w:r>
        <w:rPr>
          <w:sz w:val="24"/>
          <w:szCs w:val="24"/>
        </w:rPr>
        <w:t xml:space="preserve"> A male Denisovan mandible from Pleistocene Taiwan. </w:t>
      </w:r>
      <w:r>
        <w:rPr>
          <w:i/>
          <w:iCs/>
          <w:sz w:val="24"/>
          <w:szCs w:val="24"/>
        </w:rPr>
        <w:t>Science</w:t>
      </w:r>
      <w:r>
        <w:rPr>
          <w:sz w:val="24"/>
          <w:szCs w:val="24"/>
        </w:rPr>
        <w:t xml:space="preserve"> </w:t>
      </w:r>
      <w:r>
        <w:rPr>
          <w:b/>
          <w:bCs/>
          <w:sz w:val="24"/>
          <w:szCs w:val="24"/>
        </w:rPr>
        <w:t>388</w:t>
      </w:r>
      <w:r>
        <w:rPr>
          <w:sz w:val="24"/>
          <w:szCs w:val="24"/>
        </w:rPr>
        <w:t>, 176–180 (2025).</w:t>
      </w:r>
    </w:p>
    <w:p w14:paraId="0857612C">
      <w:pPr>
        <w:keepNext w:val="0"/>
        <w:keepLines w:val="0"/>
        <w:pageBreakBefore w:val="0"/>
        <w:widowControl/>
        <w:kinsoku/>
        <w:wordWrap/>
        <w:overflowPunct/>
        <w:topLinePunct w:val="0"/>
        <w:autoSpaceDE/>
        <w:autoSpaceDN/>
        <w:bidi w:val="0"/>
        <w:snapToGrid w:val="0"/>
        <w:spacing w:line="240" w:lineRule="auto"/>
        <w:ind w:left="240" w:hanging="240" w:hangingChars="100"/>
        <w:jc w:val="both"/>
        <w:textAlignment w:val="auto"/>
        <w:rPr>
          <w:rFonts w:hint="eastAsia"/>
          <w:sz w:val="24"/>
          <w:szCs w:val="24"/>
          <w:highlight w:val="none"/>
        </w:rPr>
      </w:pPr>
      <w:r>
        <w:rPr>
          <w:rFonts w:hint="eastAsia"/>
          <w:sz w:val="24"/>
          <w:szCs w:val="24"/>
          <w:highlight w:val="none"/>
          <w:lang w:val="en-US" w:eastAsia="zh-CN"/>
        </w:rPr>
        <w:t>45</w:t>
      </w:r>
      <w:r>
        <w:rPr>
          <w:sz w:val="24"/>
          <w:szCs w:val="24"/>
          <w:highlight w:val="none"/>
        </w:rPr>
        <w:t>.</w:t>
      </w:r>
      <w:r>
        <w:rPr>
          <w:rFonts w:hint="eastAsia"/>
          <w:sz w:val="24"/>
          <w:szCs w:val="24"/>
          <w:highlight w:val="none"/>
        </w:rPr>
        <w:t xml:space="preserve"> Acsádi, G., Nemeskéri, J. &amp; Balás, K. History of human life span and mortality. </w:t>
      </w:r>
      <w:r>
        <w:rPr>
          <w:rFonts w:hint="eastAsia"/>
          <w:i/>
          <w:iCs/>
          <w:sz w:val="24"/>
          <w:szCs w:val="24"/>
          <w:highlight w:val="none"/>
        </w:rPr>
        <w:t>Akademiai Kiado</w:t>
      </w:r>
      <w:r>
        <w:rPr>
          <w:rFonts w:hint="eastAsia"/>
          <w:sz w:val="24"/>
          <w:szCs w:val="24"/>
          <w:highlight w:val="none"/>
        </w:rPr>
        <w:t>. 113</w:t>
      </w:r>
      <w:r>
        <w:rPr>
          <w:sz w:val="24"/>
          <w:szCs w:val="24"/>
        </w:rPr>
        <w:t>–</w:t>
      </w:r>
      <w:r>
        <w:rPr>
          <w:rFonts w:hint="eastAsia"/>
          <w:sz w:val="24"/>
          <w:szCs w:val="24"/>
          <w:highlight w:val="none"/>
        </w:rPr>
        <w:t>135 (1970).</w:t>
      </w:r>
    </w:p>
    <w:p w14:paraId="62C36226">
      <w:pPr>
        <w:keepNext w:val="0"/>
        <w:keepLines w:val="0"/>
        <w:pageBreakBefore w:val="0"/>
        <w:widowControl/>
        <w:kinsoku/>
        <w:wordWrap/>
        <w:overflowPunct/>
        <w:topLinePunct w:val="0"/>
        <w:autoSpaceDE/>
        <w:autoSpaceDN/>
        <w:bidi w:val="0"/>
        <w:snapToGrid w:val="0"/>
        <w:spacing w:line="240" w:lineRule="auto"/>
        <w:ind w:left="240" w:hanging="240" w:hangingChars="100"/>
        <w:jc w:val="both"/>
        <w:textAlignment w:val="auto"/>
        <w:rPr>
          <w:sz w:val="24"/>
          <w:szCs w:val="24"/>
          <w:highlight w:val="none"/>
        </w:rPr>
      </w:pPr>
      <w:r>
        <w:rPr>
          <w:rFonts w:hint="eastAsia"/>
          <w:sz w:val="24"/>
          <w:szCs w:val="24"/>
          <w:highlight w:val="none"/>
          <w:lang w:val="en-US" w:eastAsia="zh-CN"/>
        </w:rPr>
        <w:t>46</w:t>
      </w:r>
      <w:r>
        <w:rPr>
          <w:sz w:val="24"/>
          <w:szCs w:val="24"/>
          <w:highlight w:val="none"/>
        </w:rPr>
        <w:t>.</w:t>
      </w:r>
      <w:r>
        <w:rPr>
          <w:rFonts w:hint="eastAsia"/>
          <w:sz w:val="24"/>
          <w:szCs w:val="24"/>
          <w:highlight w:val="none"/>
        </w:rPr>
        <w:t xml:space="preserve"> Todd, T. W. &amp; Lyon, D. W. Endocranial suture closure. Its progress and age relationship. Part I.—Adult males of white stock. </w:t>
      </w:r>
      <w:r>
        <w:rPr>
          <w:rFonts w:hint="eastAsia"/>
          <w:i/>
          <w:iCs/>
          <w:sz w:val="24"/>
          <w:szCs w:val="24"/>
          <w:highlight w:val="none"/>
        </w:rPr>
        <w:t>Am. J. Phys. Anthropol.</w:t>
      </w:r>
      <w:r>
        <w:rPr>
          <w:rFonts w:hint="eastAsia"/>
          <w:sz w:val="24"/>
          <w:szCs w:val="24"/>
          <w:highlight w:val="none"/>
        </w:rPr>
        <w:t xml:space="preserve"> </w:t>
      </w:r>
      <w:r>
        <w:rPr>
          <w:rFonts w:hint="eastAsia"/>
          <w:b/>
          <w:bCs/>
          <w:sz w:val="24"/>
          <w:szCs w:val="24"/>
          <w:highlight w:val="none"/>
        </w:rPr>
        <w:t>7</w:t>
      </w:r>
      <w:r>
        <w:rPr>
          <w:rFonts w:hint="eastAsia"/>
          <w:sz w:val="24"/>
          <w:szCs w:val="24"/>
          <w:highlight w:val="none"/>
        </w:rPr>
        <w:t>, 325</w:t>
      </w:r>
      <w:r>
        <w:rPr>
          <w:sz w:val="24"/>
          <w:szCs w:val="24"/>
        </w:rPr>
        <w:t>–</w:t>
      </w:r>
      <w:r>
        <w:rPr>
          <w:rFonts w:hint="eastAsia"/>
          <w:sz w:val="24"/>
          <w:szCs w:val="24"/>
          <w:highlight w:val="none"/>
        </w:rPr>
        <w:t>384 (1924).</w:t>
      </w:r>
    </w:p>
    <w:p w14:paraId="618CC6B3">
      <w:pPr>
        <w:keepNext w:val="0"/>
        <w:keepLines w:val="0"/>
        <w:pageBreakBefore w:val="0"/>
        <w:widowControl/>
        <w:kinsoku/>
        <w:wordWrap/>
        <w:overflowPunct/>
        <w:topLinePunct w:val="0"/>
        <w:autoSpaceDE/>
        <w:autoSpaceDN/>
        <w:bidi w:val="0"/>
        <w:snapToGrid w:val="0"/>
        <w:spacing w:line="240" w:lineRule="auto"/>
        <w:ind w:left="240" w:hanging="240" w:hangingChars="100"/>
        <w:jc w:val="both"/>
        <w:textAlignment w:val="auto"/>
        <w:rPr>
          <w:rFonts w:hint="default"/>
          <w:sz w:val="24"/>
          <w:szCs w:val="24"/>
          <w:highlight w:val="none"/>
        </w:rPr>
      </w:pPr>
      <w:r>
        <w:rPr>
          <w:rFonts w:hint="eastAsia"/>
          <w:sz w:val="24"/>
          <w:szCs w:val="24"/>
          <w:highlight w:val="none"/>
          <w:lang w:val="en-US" w:eastAsia="zh-CN"/>
        </w:rPr>
        <w:t>47</w:t>
      </w:r>
      <w:r>
        <w:rPr>
          <w:sz w:val="24"/>
          <w:szCs w:val="24"/>
          <w:highlight w:val="none"/>
        </w:rPr>
        <w:t>.</w:t>
      </w:r>
      <w:r>
        <w:rPr>
          <w:rFonts w:hint="eastAsia"/>
          <w:sz w:val="24"/>
          <w:szCs w:val="24"/>
          <w:highlight w:val="none"/>
        </w:rPr>
        <w:t xml:space="preserve"> </w:t>
      </w:r>
      <w:r>
        <w:rPr>
          <w:rFonts w:hint="default"/>
          <w:sz w:val="24"/>
          <w:szCs w:val="24"/>
          <w:highlight w:val="none"/>
        </w:rPr>
        <w:t>Li, H.</w:t>
      </w:r>
      <w:r>
        <w:rPr>
          <w:rFonts w:hint="eastAsia"/>
          <w:sz w:val="24"/>
          <w:szCs w:val="24"/>
          <w:highlight w:val="none"/>
          <w:lang w:val="en-US" w:eastAsia="zh-CN"/>
        </w:rPr>
        <w:t xml:space="preserve"> </w:t>
      </w:r>
      <w:r>
        <w:rPr>
          <w:rFonts w:hint="eastAsia"/>
          <w:i/>
          <w:iCs/>
          <w:sz w:val="24"/>
          <w:szCs w:val="24"/>
          <w:lang w:val="en-US" w:eastAsia="zh-CN"/>
        </w:rPr>
        <w:t>et al.</w:t>
      </w:r>
      <w:r>
        <w:rPr>
          <w:rFonts w:hint="default"/>
          <w:sz w:val="24"/>
          <w:szCs w:val="24"/>
          <w:highlight w:val="none"/>
        </w:rPr>
        <w:t xml:space="preserve"> Technological behavior of the early Late Pleistocene archaic humans at Lingjing (Xuchang, China). </w:t>
      </w:r>
      <w:r>
        <w:rPr>
          <w:rFonts w:hint="default"/>
          <w:i/>
          <w:iCs/>
          <w:sz w:val="24"/>
          <w:szCs w:val="24"/>
          <w:highlight w:val="none"/>
        </w:rPr>
        <w:t>Archaeol. Anthropol. Sci.</w:t>
      </w:r>
      <w:r>
        <w:rPr>
          <w:rFonts w:hint="default"/>
          <w:sz w:val="24"/>
          <w:szCs w:val="24"/>
          <w:highlight w:val="none"/>
        </w:rPr>
        <w:t xml:space="preserve"> </w:t>
      </w:r>
      <w:r>
        <w:rPr>
          <w:rFonts w:hint="default"/>
          <w:b/>
          <w:bCs/>
          <w:sz w:val="24"/>
          <w:szCs w:val="24"/>
          <w:highlight w:val="none"/>
        </w:rPr>
        <w:t>11</w:t>
      </w:r>
      <w:r>
        <w:rPr>
          <w:rFonts w:hint="default"/>
          <w:sz w:val="24"/>
          <w:szCs w:val="24"/>
          <w:highlight w:val="none"/>
        </w:rPr>
        <w:t>, 3477</w:t>
      </w:r>
      <w:r>
        <w:rPr>
          <w:sz w:val="24"/>
          <w:szCs w:val="24"/>
        </w:rPr>
        <w:t>–</w:t>
      </w:r>
      <w:r>
        <w:rPr>
          <w:rFonts w:hint="default"/>
          <w:sz w:val="24"/>
          <w:szCs w:val="24"/>
          <w:highlight w:val="none"/>
        </w:rPr>
        <w:t>3490 (2019).</w:t>
      </w:r>
    </w:p>
    <w:p w14:paraId="03245B8D">
      <w:pPr>
        <w:keepNext w:val="0"/>
        <w:keepLines w:val="0"/>
        <w:pageBreakBefore w:val="0"/>
        <w:widowControl/>
        <w:kinsoku/>
        <w:wordWrap/>
        <w:overflowPunct/>
        <w:topLinePunct w:val="0"/>
        <w:autoSpaceDE/>
        <w:autoSpaceDN/>
        <w:bidi w:val="0"/>
        <w:snapToGrid w:val="0"/>
        <w:spacing w:line="240" w:lineRule="auto"/>
        <w:ind w:left="240" w:hanging="240" w:hangingChars="100"/>
        <w:jc w:val="both"/>
        <w:textAlignment w:val="auto"/>
        <w:rPr>
          <w:rFonts w:hint="default"/>
          <w:sz w:val="24"/>
          <w:szCs w:val="24"/>
          <w:highlight w:val="none"/>
        </w:rPr>
      </w:pPr>
      <w:r>
        <w:rPr>
          <w:rFonts w:hint="eastAsia"/>
          <w:sz w:val="24"/>
          <w:szCs w:val="24"/>
          <w:highlight w:val="none"/>
          <w:lang w:val="en-US" w:eastAsia="zh-CN"/>
        </w:rPr>
        <w:t>48</w:t>
      </w:r>
      <w:r>
        <w:rPr>
          <w:sz w:val="24"/>
          <w:szCs w:val="24"/>
          <w:highlight w:val="none"/>
        </w:rPr>
        <w:t>.</w:t>
      </w:r>
      <w:r>
        <w:rPr>
          <w:rFonts w:hint="eastAsia"/>
          <w:sz w:val="24"/>
          <w:szCs w:val="24"/>
          <w:highlight w:val="none"/>
        </w:rPr>
        <w:t xml:space="preserve"> </w:t>
      </w:r>
      <w:r>
        <w:rPr>
          <w:rFonts w:hint="default"/>
          <w:sz w:val="24"/>
          <w:szCs w:val="24"/>
          <w:highlight w:val="none"/>
        </w:rPr>
        <w:t>Hu, Y.</w:t>
      </w:r>
      <w:r>
        <w:rPr>
          <w:rFonts w:hint="eastAsia"/>
          <w:sz w:val="24"/>
          <w:szCs w:val="24"/>
          <w:highlight w:val="none"/>
          <w:lang w:val="en-US" w:eastAsia="zh-CN"/>
        </w:rPr>
        <w:t xml:space="preserve"> </w:t>
      </w:r>
      <w:r>
        <w:rPr>
          <w:rFonts w:hint="eastAsia"/>
          <w:i/>
          <w:iCs/>
          <w:sz w:val="24"/>
          <w:szCs w:val="24"/>
          <w:lang w:val="en-US" w:eastAsia="zh-CN"/>
        </w:rPr>
        <w:t>et al.</w:t>
      </w:r>
      <w:r>
        <w:rPr>
          <w:rFonts w:hint="default"/>
          <w:sz w:val="24"/>
          <w:szCs w:val="24"/>
          <w:highlight w:val="none"/>
        </w:rPr>
        <w:t xml:space="preserve"> Late Middle Pleistocene Levallois stone-tool technology in southwest China. </w:t>
      </w:r>
      <w:r>
        <w:rPr>
          <w:rFonts w:hint="default"/>
          <w:i/>
          <w:iCs/>
          <w:sz w:val="24"/>
          <w:szCs w:val="24"/>
          <w:highlight w:val="none"/>
        </w:rPr>
        <w:t>Nature</w:t>
      </w:r>
      <w:r>
        <w:rPr>
          <w:rFonts w:hint="default"/>
          <w:sz w:val="24"/>
          <w:szCs w:val="24"/>
          <w:highlight w:val="none"/>
        </w:rPr>
        <w:t xml:space="preserve"> </w:t>
      </w:r>
      <w:r>
        <w:rPr>
          <w:rFonts w:hint="default"/>
          <w:b/>
          <w:bCs/>
          <w:sz w:val="24"/>
          <w:szCs w:val="24"/>
          <w:highlight w:val="none"/>
        </w:rPr>
        <w:t>565</w:t>
      </w:r>
      <w:r>
        <w:rPr>
          <w:rFonts w:hint="default"/>
          <w:sz w:val="24"/>
          <w:szCs w:val="24"/>
          <w:highlight w:val="none"/>
        </w:rPr>
        <w:t>, 82</w:t>
      </w:r>
      <w:r>
        <w:rPr>
          <w:sz w:val="24"/>
          <w:szCs w:val="24"/>
        </w:rPr>
        <w:t>–</w:t>
      </w:r>
      <w:r>
        <w:rPr>
          <w:rFonts w:hint="default"/>
          <w:sz w:val="24"/>
          <w:szCs w:val="24"/>
          <w:highlight w:val="none"/>
        </w:rPr>
        <w:t>85 (2019).</w:t>
      </w:r>
    </w:p>
    <w:p w14:paraId="0084A4C7">
      <w:pPr>
        <w:keepNext w:val="0"/>
        <w:keepLines w:val="0"/>
        <w:pageBreakBefore w:val="0"/>
        <w:widowControl/>
        <w:kinsoku/>
        <w:wordWrap/>
        <w:overflowPunct/>
        <w:topLinePunct w:val="0"/>
        <w:autoSpaceDE/>
        <w:autoSpaceDN/>
        <w:bidi w:val="0"/>
        <w:snapToGrid w:val="0"/>
        <w:spacing w:line="240" w:lineRule="auto"/>
        <w:ind w:left="240" w:hanging="240" w:hangingChars="100"/>
        <w:jc w:val="both"/>
        <w:textAlignment w:val="auto"/>
        <w:rPr>
          <w:rFonts w:hint="default"/>
          <w:sz w:val="24"/>
          <w:szCs w:val="24"/>
          <w:highlight w:val="none"/>
        </w:rPr>
      </w:pPr>
      <w:r>
        <w:rPr>
          <w:rFonts w:hint="eastAsia"/>
          <w:sz w:val="24"/>
          <w:szCs w:val="24"/>
          <w:highlight w:val="none"/>
          <w:lang w:val="en-US" w:eastAsia="zh-CN"/>
        </w:rPr>
        <w:t>49</w:t>
      </w:r>
      <w:r>
        <w:rPr>
          <w:sz w:val="24"/>
          <w:szCs w:val="24"/>
          <w:highlight w:val="none"/>
        </w:rPr>
        <w:t>.</w:t>
      </w:r>
      <w:r>
        <w:rPr>
          <w:rFonts w:hint="eastAsia"/>
          <w:sz w:val="24"/>
          <w:szCs w:val="24"/>
          <w:highlight w:val="none"/>
        </w:rPr>
        <w:t xml:space="preserve"> </w:t>
      </w:r>
      <w:r>
        <w:rPr>
          <w:rFonts w:hint="default"/>
          <w:sz w:val="24"/>
          <w:szCs w:val="24"/>
          <w:highlight w:val="none"/>
        </w:rPr>
        <w:t>Ruan, Q.</w:t>
      </w:r>
      <w:r>
        <w:rPr>
          <w:rFonts w:hint="eastAsia"/>
          <w:sz w:val="24"/>
          <w:szCs w:val="24"/>
          <w:highlight w:val="none"/>
          <w:lang w:val="en-US" w:eastAsia="zh-CN"/>
        </w:rPr>
        <w:t xml:space="preserve"> </w:t>
      </w:r>
      <w:r>
        <w:rPr>
          <w:rFonts w:hint="eastAsia"/>
          <w:i/>
          <w:iCs/>
          <w:sz w:val="24"/>
          <w:szCs w:val="24"/>
          <w:lang w:val="en-US" w:eastAsia="zh-CN"/>
        </w:rPr>
        <w:t>et al.</w:t>
      </w:r>
      <w:r>
        <w:rPr>
          <w:rFonts w:hint="default"/>
          <w:sz w:val="24"/>
          <w:szCs w:val="24"/>
          <w:highlight w:val="none"/>
        </w:rPr>
        <w:t xml:space="preserve"> Quina lithic technology indicates diverse Late Pleistocene human dynamics in East Asia. </w:t>
      </w:r>
      <w:r>
        <w:rPr>
          <w:rFonts w:hint="default"/>
          <w:i/>
          <w:iCs/>
          <w:sz w:val="24"/>
          <w:szCs w:val="24"/>
          <w:highlight w:val="none"/>
        </w:rPr>
        <w:t>Proc. Natl. Acad. Sci. U. S. A.</w:t>
      </w:r>
      <w:r>
        <w:rPr>
          <w:rFonts w:hint="default"/>
          <w:sz w:val="24"/>
          <w:szCs w:val="24"/>
          <w:highlight w:val="none"/>
        </w:rPr>
        <w:t xml:space="preserve"> </w:t>
      </w:r>
      <w:r>
        <w:rPr>
          <w:rFonts w:hint="default"/>
          <w:b/>
          <w:bCs/>
          <w:sz w:val="24"/>
          <w:szCs w:val="24"/>
          <w:highlight w:val="none"/>
        </w:rPr>
        <w:t>122</w:t>
      </w:r>
      <w:r>
        <w:rPr>
          <w:rFonts w:hint="default"/>
          <w:sz w:val="24"/>
          <w:szCs w:val="24"/>
          <w:highlight w:val="none"/>
        </w:rPr>
        <w:t>, e2418029122 (2025).</w:t>
      </w:r>
    </w:p>
    <w:p w14:paraId="26EE4AE6">
      <w:pPr>
        <w:keepNext w:val="0"/>
        <w:keepLines w:val="0"/>
        <w:pageBreakBefore w:val="0"/>
        <w:widowControl/>
        <w:kinsoku/>
        <w:wordWrap/>
        <w:overflowPunct/>
        <w:topLinePunct w:val="0"/>
        <w:autoSpaceDE/>
        <w:autoSpaceDN/>
        <w:bidi w:val="0"/>
        <w:snapToGrid w:val="0"/>
        <w:spacing w:line="240" w:lineRule="auto"/>
        <w:ind w:left="240" w:hanging="240" w:hangingChars="100"/>
        <w:jc w:val="both"/>
        <w:textAlignment w:val="auto"/>
        <w:rPr>
          <w:rFonts w:hint="eastAsia"/>
          <w:sz w:val="24"/>
          <w:szCs w:val="24"/>
          <w:highlight w:val="none"/>
        </w:rPr>
      </w:pPr>
      <w:r>
        <w:rPr>
          <w:rFonts w:hint="eastAsia"/>
          <w:sz w:val="24"/>
          <w:szCs w:val="24"/>
          <w:highlight w:val="none"/>
          <w:lang w:val="en-US" w:eastAsia="zh-CN"/>
        </w:rPr>
        <w:t>50</w:t>
      </w:r>
      <w:r>
        <w:rPr>
          <w:sz w:val="24"/>
          <w:szCs w:val="24"/>
          <w:highlight w:val="none"/>
        </w:rPr>
        <w:t>.</w:t>
      </w:r>
      <w:r>
        <w:rPr>
          <w:rFonts w:hint="eastAsia"/>
          <w:sz w:val="24"/>
          <w:szCs w:val="24"/>
          <w:highlight w:val="none"/>
        </w:rPr>
        <w:t xml:space="preserve"> Shunkov, M. V., Kozlikin, M. B. &amp; Derevianko, A. P. Dynamics of the Altai Paleolithic industries in the archaeological record of Denisova Cave. </w:t>
      </w:r>
      <w:r>
        <w:rPr>
          <w:rFonts w:hint="eastAsia"/>
          <w:i/>
          <w:iCs/>
          <w:sz w:val="24"/>
          <w:szCs w:val="24"/>
          <w:highlight w:val="none"/>
        </w:rPr>
        <w:t>Quat. Int.</w:t>
      </w:r>
      <w:r>
        <w:rPr>
          <w:rFonts w:hint="eastAsia"/>
          <w:sz w:val="24"/>
          <w:szCs w:val="24"/>
          <w:highlight w:val="none"/>
        </w:rPr>
        <w:t xml:space="preserve"> </w:t>
      </w:r>
      <w:r>
        <w:rPr>
          <w:rFonts w:hint="eastAsia"/>
          <w:b/>
          <w:bCs/>
          <w:sz w:val="24"/>
          <w:szCs w:val="24"/>
          <w:highlight w:val="none"/>
        </w:rPr>
        <w:t>559</w:t>
      </w:r>
      <w:r>
        <w:rPr>
          <w:rFonts w:hint="eastAsia"/>
          <w:sz w:val="24"/>
          <w:szCs w:val="24"/>
          <w:highlight w:val="none"/>
        </w:rPr>
        <w:t>, 34</w:t>
      </w:r>
      <w:r>
        <w:rPr>
          <w:sz w:val="24"/>
          <w:szCs w:val="24"/>
        </w:rPr>
        <w:t>–</w:t>
      </w:r>
      <w:r>
        <w:rPr>
          <w:rFonts w:hint="eastAsia"/>
          <w:sz w:val="24"/>
          <w:szCs w:val="24"/>
          <w:highlight w:val="none"/>
        </w:rPr>
        <w:t>46 (2020).</w:t>
      </w:r>
    </w:p>
    <w:p w14:paraId="46CE7423">
      <w:pPr>
        <w:keepNext w:val="0"/>
        <w:keepLines w:val="0"/>
        <w:pageBreakBefore w:val="0"/>
        <w:widowControl/>
        <w:kinsoku/>
        <w:wordWrap/>
        <w:overflowPunct/>
        <w:topLinePunct w:val="0"/>
        <w:autoSpaceDE/>
        <w:autoSpaceDN/>
        <w:bidi w:val="0"/>
        <w:snapToGrid w:val="0"/>
        <w:spacing w:line="240" w:lineRule="auto"/>
        <w:ind w:left="240" w:hanging="240" w:hangingChars="100"/>
        <w:jc w:val="both"/>
        <w:textAlignment w:val="auto"/>
        <w:rPr>
          <w:rFonts w:hint="eastAsia"/>
          <w:sz w:val="24"/>
          <w:szCs w:val="24"/>
          <w:highlight w:val="none"/>
        </w:rPr>
      </w:pPr>
      <w:r>
        <w:rPr>
          <w:rFonts w:hint="eastAsia"/>
          <w:sz w:val="24"/>
          <w:szCs w:val="24"/>
          <w:highlight w:val="none"/>
          <w:lang w:val="en-US" w:eastAsia="zh-CN"/>
        </w:rPr>
        <w:t>51</w:t>
      </w:r>
      <w:r>
        <w:rPr>
          <w:sz w:val="24"/>
          <w:szCs w:val="24"/>
          <w:highlight w:val="none"/>
        </w:rPr>
        <w:t>.</w:t>
      </w:r>
      <w:r>
        <w:rPr>
          <w:rFonts w:hint="eastAsia"/>
          <w:sz w:val="24"/>
          <w:szCs w:val="24"/>
          <w:highlight w:val="none"/>
        </w:rPr>
        <w:t xml:space="preserve"> Brown, S.</w:t>
      </w:r>
      <w:r>
        <w:rPr>
          <w:rFonts w:hint="eastAsia"/>
          <w:sz w:val="24"/>
          <w:szCs w:val="24"/>
          <w:highlight w:val="none"/>
          <w:lang w:val="en-US" w:eastAsia="zh-CN"/>
        </w:rPr>
        <w:t xml:space="preserve"> </w:t>
      </w:r>
      <w:r>
        <w:rPr>
          <w:rFonts w:hint="eastAsia"/>
          <w:i/>
          <w:iCs/>
          <w:sz w:val="24"/>
          <w:szCs w:val="24"/>
          <w:lang w:val="en-US" w:eastAsia="zh-CN"/>
        </w:rPr>
        <w:t>et al.</w:t>
      </w:r>
      <w:r>
        <w:rPr>
          <w:rFonts w:hint="eastAsia"/>
          <w:sz w:val="24"/>
          <w:szCs w:val="24"/>
          <w:highlight w:val="none"/>
        </w:rPr>
        <w:t xml:space="preserve"> The earliest Denisovans and their cultural adaptation. </w:t>
      </w:r>
      <w:r>
        <w:rPr>
          <w:rFonts w:hint="eastAsia"/>
          <w:i/>
          <w:iCs/>
          <w:sz w:val="24"/>
          <w:szCs w:val="24"/>
          <w:highlight w:val="none"/>
        </w:rPr>
        <w:t>Nat. Ecol. Evol.</w:t>
      </w:r>
      <w:r>
        <w:rPr>
          <w:rFonts w:hint="eastAsia"/>
          <w:sz w:val="24"/>
          <w:szCs w:val="24"/>
          <w:highlight w:val="none"/>
        </w:rPr>
        <w:t xml:space="preserve"> </w:t>
      </w:r>
      <w:r>
        <w:rPr>
          <w:rFonts w:hint="eastAsia"/>
          <w:b/>
          <w:bCs/>
          <w:sz w:val="24"/>
          <w:szCs w:val="24"/>
          <w:highlight w:val="none"/>
        </w:rPr>
        <w:t>6</w:t>
      </w:r>
      <w:r>
        <w:rPr>
          <w:rFonts w:hint="eastAsia"/>
          <w:sz w:val="24"/>
          <w:szCs w:val="24"/>
          <w:highlight w:val="none"/>
        </w:rPr>
        <w:t>, 28</w:t>
      </w:r>
      <w:r>
        <w:rPr>
          <w:sz w:val="24"/>
          <w:szCs w:val="24"/>
        </w:rPr>
        <w:t>–</w:t>
      </w:r>
      <w:r>
        <w:rPr>
          <w:rFonts w:hint="eastAsia"/>
          <w:sz w:val="24"/>
          <w:szCs w:val="24"/>
          <w:highlight w:val="none"/>
        </w:rPr>
        <w:t>35 (2022).</w:t>
      </w:r>
    </w:p>
    <w:p w14:paraId="4570230F">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52</w:t>
      </w:r>
      <w:r>
        <w:rPr>
          <w:sz w:val="24"/>
          <w:szCs w:val="24"/>
        </w:rPr>
        <w:t>.</w:t>
      </w:r>
      <w:r>
        <w:rPr>
          <w:rFonts w:hint="eastAsia"/>
          <w:sz w:val="24"/>
          <w:szCs w:val="24"/>
        </w:rPr>
        <w:t xml:space="preserve"> </w:t>
      </w:r>
      <w:r>
        <w:rPr>
          <w:sz w:val="24"/>
          <w:szCs w:val="24"/>
        </w:rPr>
        <w:t>Bunn, H. T.</w:t>
      </w:r>
      <w:r>
        <w:rPr>
          <w:i/>
          <w:iCs/>
          <w:sz w:val="24"/>
          <w:szCs w:val="24"/>
        </w:rPr>
        <w:t xml:space="preserve"> Meat-Eating and Human Evolution: Studies on the Diet and Subsistence Patterns of Plio-Pleistocene Hominids in East Africa</w:t>
      </w:r>
      <w:r>
        <w:rPr>
          <w:sz w:val="24"/>
          <w:szCs w:val="24"/>
        </w:rPr>
        <w:t>. (University of California, Berkeley, 1982).</w:t>
      </w:r>
    </w:p>
    <w:p w14:paraId="1BECF57A">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53</w:t>
      </w:r>
      <w:r>
        <w:rPr>
          <w:sz w:val="24"/>
          <w:szCs w:val="24"/>
        </w:rPr>
        <w:t>.</w:t>
      </w:r>
      <w:r>
        <w:rPr>
          <w:rFonts w:hint="eastAsia"/>
          <w:sz w:val="24"/>
          <w:szCs w:val="24"/>
        </w:rPr>
        <w:t xml:space="preserve"> </w:t>
      </w:r>
      <w:r>
        <w:rPr>
          <w:sz w:val="24"/>
          <w:szCs w:val="24"/>
        </w:rPr>
        <w:t>Doyon, L.</w:t>
      </w:r>
      <w:r>
        <w:rPr>
          <w:rFonts w:hint="eastAsia"/>
          <w:sz w:val="24"/>
          <w:szCs w:val="24"/>
          <w:lang w:val="en-US" w:eastAsia="zh-CN"/>
        </w:rPr>
        <w:t xml:space="preserve"> </w:t>
      </w:r>
      <w:r>
        <w:rPr>
          <w:rFonts w:hint="eastAsia"/>
          <w:i/>
          <w:iCs/>
          <w:sz w:val="24"/>
          <w:szCs w:val="24"/>
          <w:lang w:val="en-US" w:eastAsia="zh-CN"/>
        </w:rPr>
        <w:t>et al.</w:t>
      </w:r>
      <w:r>
        <w:rPr>
          <w:sz w:val="24"/>
          <w:szCs w:val="24"/>
        </w:rPr>
        <w:t xml:space="preserve"> A 115,000-year-old expedient bone technology at Lingjing, Henan, China. </w:t>
      </w:r>
      <w:r>
        <w:rPr>
          <w:i/>
          <w:iCs/>
          <w:sz w:val="24"/>
          <w:szCs w:val="24"/>
        </w:rPr>
        <w:t>PLOS ONE</w:t>
      </w:r>
      <w:r>
        <w:rPr>
          <w:sz w:val="24"/>
          <w:szCs w:val="24"/>
        </w:rPr>
        <w:t xml:space="preserve"> </w:t>
      </w:r>
      <w:r>
        <w:rPr>
          <w:b/>
          <w:bCs/>
          <w:sz w:val="24"/>
          <w:szCs w:val="24"/>
        </w:rPr>
        <w:t>16</w:t>
      </w:r>
      <w:r>
        <w:rPr>
          <w:sz w:val="24"/>
          <w:szCs w:val="24"/>
        </w:rPr>
        <w:t>, e0250156 (2021).</w:t>
      </w:r>
    </w:p>
    <w:p w14:paraId="270B27FD">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54</w:t>
      </w:r>
      <w:r>
        <w:rPr>
          <w:sz w:val="24"/>
          <w:szCs w:val="24"/>
        </w:rPr>
        <w:t>.</w:t>
      </w:r>
      <w:r>
        <w:rPr>
          <w:rFonts w:hint="eastAsia"/>
          <w:sz w:val="24"/>
          <w:szCs w:val="24"/>
        </w:rPr>
        <w:t xml:space="preserve"> </w:t>
      </w:r>
      <w:r>
        <w:rPr>
          <w:sz w:val="24"/>
          <w:szCs w:val="24"/>
        </w:rPr>
        <w:t xml:space="preserve">De La Torre, I. </w:t>
      </w:r>
      <w:r>
        <w:rPr>
          <w:i/>
          <w:iCs/>
          <w:sz w:val="24"/>
          <w:szCs w:val="24"/>
        </w:rPr>
        <w:t>et al.</w:t>
      </w:r>
      <w:r>
        <w:rPr>
          <w:sz w:val="24"/>
          <w:szCs w:val="24"/>
        </w:rPr>
        <w:t xml:space="preserve"> Systematic bone tool production at 1.5 million years ago. </w:t>
      </w:r>
      <w:r>
        <w:rPr>
          <w:i/>
          <w:iCs/>
          <w:sz w:val="24"/>
          <w:szCs w:val="24"/>
        </w:rPr>
        <w:t>Nature</w:t>
      </w:r>
      <w:r>
        <w:rPr>
          <w:sz w:val="24"/>
          <w:szCs w:val="24"/>
        </w:rPr>
        <w:t xml:space="preserve"> </w:t>
      </w:r>
      <w:r>
        <w:rPr>
          <w:b/>
          <w:bCs/>
          <w:sz w:val="24"/>
          <w:szCs w:val="24"/>
        </w:rPr>
        <w:t>640</w:t>
      </w:r>
      <w:r>
        <w:rPr>
          <w:sz w:val="24"/>
          <w:szCs w:val="24"/>
        </w:rPr>
        <w:t>, 130–134 (2025).</w:t>
      </w:r>
    </w:p>
    <w:p w14:paraId="40041998">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55</w:t>
      </w:r>
      <w:r>
        <w:rPr>
          <w:sz w:val="24"/>
          <w:szCs w:val="24"/>
        </w:rPr>
        <w:t>.</w:t>
      </w:r>
      <w:r>
        <w:rPr>
          <w:rFonts w:hint="eastAsia"/>
          <w:sz w:val="24"/>
          <w:szCs w:val="24"/>
        </w:rPr>
        <w:t xml:space="preserve"> </w:t>
      </w:r>
      <w:r>
        <w:rPr>
          <w:sz w:val="24"/>
          <w:szCs w:val="24"/>
        </w:rPr>
        <w:t xml:space="preserve">Mateo-Lomba, P., Ollé, A. &amp; Cáceres, I. Experimental bone toolmaking: A proposal of technological analytical principles to knapped bones. </w:t>
      </w:r>
      <w:r>
        <w:rPr>
          <w:i/>
          <w:iCs/>
          <w:sz w:val="24"/>
          <w:szCs w:val="24"/>
        </w:rPr>
        <w:t>J. Lithic Stud.</w:t>
      </w:r>
      <w:r>
        <w:rPr>
          <w:sz w:val="24"/>
          <w:szCs w:val="24"/>
        </w:rPr>
        <w:t xml:space="preserve"> </w:t>
      </w:r>
      <w:r>
        <w:rPr>
          <w:b/>
          <w:bCs/>
          <w:sz w:val="24"/>
          <w:szCs w:val="24"/>
        </w:rPr>
        <w:t>10</w:t>
      </w:r>
      <w:r>
        <w:rPr>
          <w:sz w:val="24"/>
          <w:szCs w:val="24"/>
        </w:rPr>
        <w:t>, (2023).</w:t>
      </w:r>
    </w:p>
    <w:p w14:paraId="76EBEB4A">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56</w:t>
      </w:r>
      <w:r>
        <w:rPr>
          <w:sz w:val="24"/>
          <w:szCs w:val="24"/>
        </w:rPr>
        <w:t>.</w:t>
      </w:r>
      <w:r>
        <w:rPr>
          <w:rFonts w:hint="eastAsia"/>
          <w:sz w:val="24"/>
          <w:szCs w:val="24"/>
        </w:rPr>
        <w:t xml:space="preserve"> </w:t>
      </w:r>
      <w:r>
        <w:rPr>
          <w:sz w:val="24"/>
          <w:szCs w:val="24"/>
        </w:rPr>
        <w:t xml:space="preserve">R. Backwell, L. &amp; d’Errico, F. The first use of bone tools: a reappraisal of the evidence from Olduvai Gorge, Tanzania. </w:t>
      </w:r>
      <w:r>
        <w:rPr>
          <w:i/>
          <w:iCs/>
          <w:sz w:val="24"/>
          <w:szCs w:val="24"/>
        </w:rPr>
        <w:t>Palaeontol. Afr.</w:t>
      </w:r>
      <w:r>
        <w:rPr>
          <w:sz w:val="24"/>
          <w:szCs w:val="24"/>
        </w:rPr>
        <w:t xml:space="preserve"> </w:t>
      </w:r>
      <w:r>
        <w:rPr>
          <w:b/>
          <w:bCs/>
          <w:sz w:val="24"/>
          <w:szCs w:val="24"/>
        </w:rPr>
        <w:t>40</w:t>
      </w:r>
      <w:r>
        <w:rPr>
          <w:sz w:val="24"/>
          <w:szCs w:val="24"/>
        </w:rPr>
        <w:t>, 95–158 (2005).</w:t>
      </w:r>
    </w:p>
    <w:p w14:paraId="12BA174B">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57</w:t>
      </w:r>
      <w:r>
        <w:rPr>
          <w:sz w:val="24"/>
          <w:szCs w:val="24"/>
        </w:rPr>
        <w:t>.</w:t>
      </w:r>
      <w:r>
        <w:rPr>
          <w:rFonts w:hint="eastAsia"/>
          <w:sz w:val="24"/>
          <w:szCs w:val="24"/>
        </w:rPr>
        <w:t xml:space="preserve"> </w:t>
      </w:r>
      <w:r>
        <w:rPr>
          <w:sz w:val="24"/>
          <w:szCs w:val="24"/>
        </w:rPr>
        <w:t xml:space="preserve">Vincent, A. </w:t>
      </w:r>
      <w:r>
        <w:rPr>
          <w:i/>
          <w:iCs/>
          <w:sz w:val="24"/>
          <w:szCs w:val="24"/>
        </w:rPr>
        <w:t>L’outillage Osseux Au Paléolithique Moyen: Une Nouvelle Approche.</w:t>
      </w:r>
      <w:r>
        <w:rPr>
          <w:sz w:val="24"/>
          <w:szCs w:val="24"/>
        </w:rPr>
        <w:t xml:space="preserve"> (Paris, 1993).</w:t>
      </w:r>
    </w:p>
    <w:p w14:paraId="51C332C3">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58</w:t>
      </w:r>
      <w:r>
        <w:rPr>
          <w:sz w:val="24"/>
          <w:szCs w:val="24"/>
        </w:rPr>
        <w:t>.</w:t>
      </w:r>
      <w:r>
        <w:rPr>
          <w:rFonts w:hint="eastAsia"/>
          <w:sz w:val="24"/>
          <w:szCs w:val="24"/>
        </w:rPr>
        <w:t xml:space="preserve"> </w:t>
      </w:r>
      <w:r>
        <w:rPr>
          <w:sz w:val="24"/>
          <w:szCs w:val="24"/>
        </w:rPr>
        <w:t xml:space="preserve">Tartar, E. The recognition of a new type of bone tools in Early Aurignacian assemblages: implications for understanding the appearance of osseous technology in Europe. </w:t>
      </w:r>
      <w:r>
        <w:rPr>
          <w:i/>
          <w:iCs/>
          <w:sz w:val="24"/>
          <w:szCs w:val="24"/>
        </w:rPr>
        <w:t>J. Archaeol. Sci.</w:t>
      </w:r>
      <w:r>
        <w:rPr>
          <w:sz w:val="24"/>
          <w:szCs w:val="24"/>
        </w:rPr>
        <w:t xml:space="preserve"> </w:t>
      </w:r>
      <w:r>
        <w:rPr>
          <w:b/>
          <w:bCs/>
          <w:sz w:val="24"/>
          <w:szCs w:val="24"/>
        </w:rPr>
        <w:t>39</w:t>
      </w:r>
      <w:r>
        <w:rPr>
          <w:sz w:val="24"/>
          <w:szCs w:val="24"/>
        </w:rPr>
        <w:t>, 2348–2360 (2012).</w:t>
      </w:r>
    </w:p>
    <w:p w14:paraId="70B207CF">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59</w:t>
      </w:r>
      <w:r>
        <w:rPr>
          <w:sz w:val="24"/>
          <w:szCs w:val="24"/>
        </w:rPr>
        <w:t>.</w:t>
      </w:r>
      <w:r>
        <w:rPr>
          <w:rFonts w:hint="eastAsia"/>
          <w:sz w:val="24"/>
          <w:szCs w:val="24"/>
        </w:rPr>
        <w:t xml:space="preserve"> </w:t>
      </w:r>
      <w:r>
        <w:rPr>
          <w:sz w:val="24"/>
          <w:szCs w:val="24"/>
        </w:rPr>
        <w:t xml:space="preserve">Burke, A. &amp; d’Errico, F. A Middle Palaeolithic bone tool from Crimea (Ukraine). </w:t>
      </w:r>
      <w:r>
        <w:rPr>
          <w:i/>
          <w:iCs/>
          <w:sz w:val="24"/>
          <w:szCs w:val="24"/>
        </w:rPr>
        <w:t>Antiquity</w:t>
      </w:r>
      <w:r>
        <w:rPr>
          <w:sz w:val="24"/>
          <w:szCs w:val="24"/>
        </w:rPr>
        <w:t xml:space="preserve"> </w:t>
      </w:r>
      <w:r>
        <w:rPr>
          <w:b/>
          <w:bCs/>
          <w:sz w:val="24"/>
          <w:szCs w:val="24"/>
        </w:rPr>
        <w:t>82</w:t>
      </w:r>
      <w:r>
        <w:rPr>
          <w:sz w:val="24"/>
          <w:szCs w:val="24"/>
        </w:rPr>
        <w:t>, 843–852 (2008).</w:t>
      </w:r>
    </w:p>
    <w:p w14:paraId="00C67C1A">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60</w:t>
      </w:r>
      <w:r>
        <w:rPr>
          <w:sz w:val="24"/>
          <w:szCs w:val="24"/>
        </w:rPr>
        <w:t>.</w:t>
      </w:r>
      <w:r>
        <w:rPr>
          <w:rFonts w:hint="eastAsia"/>
          <w:sz w:val="24"/>
          <w:szCs w:val="24"/>
        </w:rPr>
        <w:t xml:space="preserve"> </w:t>
      </w:r>
      <w:r>
        <w:rPr>
          <w:sz w:val="24"/>
          <w:szCs w:val="24"/>
        </w:rPr>
        <w:t xml:space="preserve">Doyon, L. </w:t>
      </w:r>
      <w:r>
        <w:rPr>
          <w:i/>
          <w:iCs/>
          <w:sz w:val="24"/>
          <w:szCs w:val="24"/>
        </w:rPr>
        <w:t>et al.</w:t>
      </w:r>
      <w:r>
        <w:rPr>
          <w:sz w:val="24"/>
          <w:szCs w:val="24"/>
        </w:rPr>
        <w:t xml:space="preserve"> A bone tool used by neanderthal for flaying carcasses at the Abri du Maras (France).</w:t>
      </w:r>
      <w:r>
        <w:rPr>
          <w:i/>
          <w:iCs/>
          <w:sz w:val="24"/>
          <w:szCs w:val="24"/>
        </w:rPr>
        <w:t>Sci. Rep.</w:t>
      </w:r>
      <w:r>
        <w:rPr>
          <w:sz w:val="24"/>
          <w:szCs w:val="24"/>
        </w:rPr>
        <w:t xml:space="preserve"> https://doi.org/10.1038/s41598-025-30264-2 (2025) </w:t>
      </w:r>
    </w:p>
    <w:p w14:paraId="05162457">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61</w:t>
      </w:r>
      <w:r>
        <w:rPr>
          <w:sz w:val="24"/>
          <w:szCs w:val="24"/>
        </w:rPr>
        <w:t>.</w:t>
      </w:r>
      <w:r>
        <w:rPr>
          <w:rFonts w:hint="eastAsia"/>
          <w:sz w:val="24"/>
          <w:szCs w:val="24"/>
        </w:rPr>
        <w:t xml:space="preserve"> </w:t>
      </w:r>
      <w:r>
        <w:rPr>
          <w:sz w:val="24"/>
          <w:szCs w:val="24"/>
        </w:rPr>
        <w:t>Ma, S.</w:t>
      </w:r>
      <w:r>
        <w:rPr>
          <w:rFonts w:hint="eastAsia"/>
          <w:sz w:val="24"/>
          <w:szCs w:val="24"/>
          <w:lang w:val="en-US" w:eastAsia="zh-CN"/>
        </w:rPr>
        <w:t xml:space="preserve"> </w:t>
      </w:r>
      <w:r>
        <w:rPr>
          <w:rFonts w:hint="eastAsia"/>
          <w:i/>
          <w:iCs/>
          <w:sz w:val="24"/>
          <w:szCs w:val="24"/>
          <w:lang w:val="en-US" w:eastAsia="zh-CN"/>
        </w:rPr>
        <w:t>et al.</w:t>
      </w:r>
      <w:r>
        <w:rPr>
          <w:sz w:val="24"/>
          <w:szCs w:val="24"/>
        </w:rPr>
        <w:t xml:space="preserve"> Disentangling carcass processing activities and the state of worked hide from use-wear patterns on expedient bone tools: A preliminary experiment. </w:t>
      </w:r>
      <w:r>
        <w:rPr>
          <w:i/>
          <w:iCs/>
          <w:sz w:val="24"/>
          <w:szCs w:val="24"/>
        </w:rPr>
        <w:t>J. Archaeol. Sci. Rep.</w:t>
      </w:r>
      <w:r>
        <w:rPr>
          <w:sz w:val="24"/>
          <w:szCs w:val="24"/>
        </w:rPr>
        <w:t xml:space="preserve"> </w:t>
      </w:r>
      <w:r>
        <w:rPr>
          <w:b/>
          <w:bCs/>
          <w:sz w:val="24"/>
          <w:szCs w:val="24"/>
        </w:rPr>
        <w:t>49</w:t>
      </w:r>
      <w:r>
        <w:rPr>
          <w:sz w:val="24"/>
          <w:szCs w:val="24"/>
        </w:rPr>
        <w:t>, 104027 (2023).</w:t>
      </w:r>
    </w:p>
    <w:p w14:paraId="438D47DD">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62</w:t>
      </w:r>
      <w:r>
        <w:rPr>
          <w:sz w:val="24"/>
          <w:szCs w:val="24"/>
        </w:rPr>
        <w:t>.</w:t>
      </w:r>
      <w:r>
        <w:rPr>
          <w:rFonts w:hint="eastAsia"/>
          <w:sz w:val="24"/>
          <w:szCs w:val="24"/>
        </w:rPr>
        <w:t xml:space="preserve"> </w:t>
      </w:r>
      <w:r>
        <w:rPr>
          <w:sz w:val="24"/>
          <w:szCs w:val="24"/>
        </w:rPr>
        <w:t xml:space="preserve">Ma, S. </w:t>
      </w:r>
      <w:r>
        <w:rPr>
          <w:i/>
          <w:iCs/>
          <w:sz w:val="24"/>
          <w:szCs w:val="24"/>
        </w:rPr>
        <w:t>et al.</w:t>
      </w:r>
      <w:r>
        <w:rPr>
          <w:sz w:val="24"/>
          <w:szCs w:val="24"/>
        </w:rPr>
        <w:t xml:space="preserve"> Beyond formal implements: How expedient bone tools shaped winter survival strategies at Shuidonggou Locality 12. </w:t>
      </w:r>
      <w:r>
        <w:rPr>
          <w:i/>
          <w:iCs/>
          <w:sz w:val="24"/>
          <w:szCs w:val="24"/>
        </w:rPr>
        <w:t>J. Archaeol. Sci.</w:t>
      </w:r>
      <w:r>
        <w:rPr>
          <w:sz w:val="24"/>
          <w:szCs w:val="24"/>
        </w:rPr>
        <w:t xml:space="preserve"> </w:t>
      </w:r>
      <w:r>
        <w:rPr>
          <w:b/>
          <w:bCs/>
          <w:sz w:val="24"/>
          <w:szCs w:val="24"/>
        </w:rPr>
        <w:t>185</w:t>
      </w:r>
      <w:r>
        <w:rPr>
          <w:sz w:val="24"/>
          <w:szCs w:val="24"/>
        </w:rPr>
        <w:t>, 106431 (2026).</w:t>
      </w:r>
    </w:p>
    <w:p w14:paraId="30BFE3C6">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63</w:t>
      </w:r>
      <w:r>
        <w:rPr>
          <w:sz w:val="24"/>
          <w:szCs w:val="24"/>
        </w:rPr>
        <w:t>.</w:t>
      </w:r>
      <w:r>
        <w:rPr>
          <w:rFonts w:hint="eastAsia"/>
          <w:sz w:val="24"/>
          <w:szCs w:val="24"/>
        </w:rPr>
        <w:t xml:space="preserve"> </w:t>
      </w:r>
      <w:r>
        <w:rPr>
          <w:sz w:val="24"/>
          <w:szCs w:val="24"/>
        </w:rPr>
        <w:t>Mateo-Lomba, P.</w:t>
      </w:r>
      <w:r>
        <w:rPr>
          <w:rFonts w:hint="eastAsia"/>
          <w:sz w:val="24"/>
          <w:szCs w:val="24"/>
          <w:lang w:val="en-US" w:eastAsia="zh-CN"/>
        </w:rPr>
        <w:t xml:space="preserve"> </w:t>
      </w:r>
      <w:r>
        <w:rPr>
          <w:rFonts w:hint="eastAsia"/>
          <w:i/>
          <w:iCs/>
          <w:sz w:val="24"/>
          <w:szCs w:val="24"/>
          <w:lang w:val="en-US" w:eastAsia="zh-CN"/>
        </w:rPr>
        <w:t>et al.</w:t>
      </w:r>
      <w:r>
        <w:rPr>
          <w:sz w:val="24"/>
          <w:szCs w:val="24"/>
        </w:rPr>
        <w:t xml:space="preserve"> Knapped bones used as tools: experimental approach on different activities. </w:t>
      </w:r>
      <w:r>
        <w:rPr>
          <w:i/>
          <w:iCs/>
          <w:sz w:val="24"/>
          <w:szCs w:val="24"/>
        </w:rPr>
        <w:t>Quat. Int.</w:t>
      </w:r>
      <w:r>
        <w:rPr>
          <w:sz w:val="24"/>
          <w:szCs w:val="24"/>
        </w:rPr>
        <w:t xml:space="preserve"> </w:t>
      </w:r>
      <w:r>
        <w:rPr>
          <w:b/>
          <w:bCs/>
          <w:sz w:val="24"/>
          <w:szCs w:val="24"/>
        </w:rPr>
        <w:t>569–570</w:t>
      </w:r>
      <w:r>
        <w:rPr>
          <w:sz w:val="24"/>
          <w:szCs w:val="24"/>
        </w:rPr>
        <w:t>, 51–65 (2020).</w:t>
      </w:r>
    </w:p>
    <w:p w14:paraId="5A1DB8C7">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64</w:t>
      </w:r>
      <w:r>
        <w:rPr>
          <w:sz w:val="24"/>
          <w:szCs w:val="24"/>
        </w:rPr>
        <w:t>.</w:t>
      </w:r>
      <w:r>
        <w:rPr>
          <w:rFonts w:hint="eastAsia"/>
          <w:sz w:val="24"/>
          <w:szCs w:val="24"/>
        </w:rPr>
        <w:t xml:space="preserve"> </w:t>
      </w:r>
      <w:r>
        <w:rPr>
          <w:sz w:val="24"/>
          <w:szCs w:val="24"/>
        </w:rPr>
        <w:t xml:space="preserve">Marinelli, F., Moncel, M.-H. &amp; Lemorini, C. The use of bones as tools in Late Lower Paleolithic of Central Italy. </w:t>
      </w:r>
      <w:r>
        <w:rPr>
          <w:i/>
          <w:iCs/>
          <w:sz w:val="24"/>
          <w:szCs w:val="24"/>
        </w:rPr>
        <w:t>Sci. Rep.</w:t>
      </w:r>
      <w:r>
        <w:rPr>
          <w:sz w:val="24"/>
          <w:szCs w:val="24"/>
        </w:rPr>
        <w:t xml:space="preserve"> </w:t>
      </w:r>
      <w:r>
        <w:rPr>
          <w:b/>
          <w:bCs/>
          <w:sz w:val="24"/>
          <w:szCs w:val="24"/>
        </w:rPr>
        <w:t>14</w:t>
      </w:r>
      <w:r>
        <w:rPr>
          <w:sz w:val="24"/>
          <w:szCs w:val="24"/>
        </w:rPr>
        <w:t>, 11666 (2024).</w:t>
      </w:r>
    </w:p>
    <w:p w14:paraId="5A59D604">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65</w:t>
      </w:r>
      <w:r>
        <w:rPr>
          <w:sz w:val="24"/>
          <w:szCs w:val="24"/>
        </w:rPr>
        <w:t>.</w:t>
      </w:r>
      <w:r>
        <w:rPr>
          <w:rFonts w:hint="eastAsia"/>
          <w:sz w:val="24"/>
          <w:szCs w:val="24"/>
        </w:rPr>
        <w:t xml:space="preserve"> </w:t>
      </w:r>
      <w:r>
        <w:rPr>
          <w:sz w:val="24"/>
          <w:szCs w:val="24"/>
        </w:rPr>
        <w:t>Kozlikin, M. B.</w:t>
      </w:r>
      <w:r>
        <w:rPr>
          <w:rFonts w:hint="eastAsia"/>
          <w:sz w:val="24"/>
          <w:szCs w:val="24"/>
          <w:lang w:val="en-US" w:eastAsia="zh-CN"/>
        </w:rPr>
        <w:t xml:space="preserve"> </w:t>
      </w:r>
      <w:r>
        <w:rPr>
          <w:rFonts w:hint="eastAsia"/>
          <w:i/>
          <w:iCs/>
          <w:sz w:val="24"/>
          <w:szCs w:val="24"/>
          <w:lang w:val="en-US" w:eastAsia="zh-CN"/>
        </w:rPr>
        <w:t>et al.</w:t>
      </w:r>
      <w:r>
        <w:rPr>
          <w:sz w:val="24"/>
          <w:szCs w:val="24"/>
        </w:rPr>
        <w:t xml:space="preserve"> Unshaped Bone Tools from Denisova Cave, Altai. </w:t>
      </w:r>
      <w:r>
        <w:rPr>
          <w:i/>
          <w:iCs/>
          <w:sz w:val="24"/>
          <w:szCs w:val="24"/>
        </w:rPr>
        <w:t>Archaeol. Ethnol. Anthropol. Eurasia</w:t>
      </w:r>
      <w:r>
        <w:rPr>
          <w:sz w:val="24"/>
          <w:szCs w:val="24"/>
        </w:rPr>
        <w:t xml:space="preserve"> </w:t>
      </w:r>
      <w:r>
        <w:rPr>
          <w:b/>
          <w:bCs/>
          <w:sz w:val="24"/>
          <w:szCs w:val="24"/>
        </w:rPr>
        <w:t>48</w:t>
      </w:r>
      <w:r>
        <w:rPr>
          <w:sz w:val="24"/>
          <w:szCs w:val="24"/>
        </w:rPr>
        <w:t>, 16–28 (2020).</w:t>
      </w:r>
    </w:p>
    <w:p w14:paraId="2C4041E3">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66</w:t>
      </w:r>
      <w:r>
        <w:rPr>
          <w:sz w:val="24"/>
          <w:szCs w:val="24"/>
        </w:rPr>
        <w:t>.</w:t>
      </w:r>
      <w:r>
        <w:rPr>
          <w:rFonts w:hint="eastAsia"/>
          <w:sz w:val="24"/>
          <w:szCs w:val="24"/>
        </w:rPr>
        <w:t xml:space="preserve"> </w:t>
      </w:r>
      <w:r>
        <w:rPr>
          <w:sz w:val="24"/>
          <w:szCs w:val="24"/>
        </w:rPr>
        <w:t xml:space="preserve">Daujeard, C. </w:t>
      </w:r>
      <w:r>
        <w:rPr>
          <w:i/>
          <w:iCs/>
          <w:sz w:val="24"/>
          <w:szCs w:val="24"/>
        </w:rPr>
        <w:t>et al.</w:t>
      </w:r>
      <w:r>
        <w:rPr>
          <w:sz w:val="24"/>
          <w:szCs w:val="24"/>
        </w:rPr>
        <w:t xml:space="preserve"> Middle Paleolithic bone retouchers in Southeastern France: Variability and functionality. </w:t>
      </w:r>
      <w:r>
        <w:rPr>
          <w:i/>
          <w:iCs/>
          <w:sz w:val="24"/>
          <w:szCs w:val="24"/>
        </w:rPr>
        <w:t>Quat. Int.</w:t>
      </w:r>
      <w:r>
        <w:rPr>
          <w:sz w:val="24"/>
          <w:szCs w:val="24"/>
        </w:rPr>
        <w:t xml:space="preserve"> </w:t>
      </w:r>
      <w:r>
        <w:rPr>
          <w:b/>
          <w:bCs/>
          <w:sz w:val="24"/>
          <w:szCs w:val="24"/>
        </w:rPr>
        <w:t>326–327</w:t>
      </w:r>
      <w:r>
        <w:rPr>
          <w:sz w:val="24"/>
          <w:szCs w:val="24"/>
        </w:rPr>
        <w:t>, 492–518 (2014).</w:t>
      </w:r>
    </w:p>
    <w:p w14:paraId="19ECA7CE">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67</w:t>
      </w:r>
      <w:r>
        <w:rPr>
          <w:sz w:val="24"/>
          <w:szCs w:val="24"/>
        </w:rPr>
        <w:t>.</w:t>
      </w:r>
      <w:r>
        <w:rPr>
          <w:rFonts w:hint="eastAsia"/>
          <w:sz w:val="24"/>
          <w:szCs w:val="24"/>
        </w:rPr>
        <w:t xml:space="preserve"> Daujeard, C. </w:t>
      </w:r>
      <w:r>
        <w:rPr>
          <w:rFonts w:hint="eastAsia"/>
          <w:i/>
          <w:iCs/>
          <w:sz w:val="24"/>
          <w:szCs w:val="24"/>
        </w:rPr>
        <w:t>et al</w:t>
      </w:r>
      <w:r>
        <w:rPr>
          <w:rFonts w:hint="eastAsia"/>
          <w:sz w:val="24"/>
          <w:szCs w:val="24"/>
        </w:rPr>
        <w:t>. A reappraisal of Lower to Middle Palaeolithic bone retouchers from Southeastern France (MIS 11 to 3). In The Origins of Bone Tool Technologies (Eds Hutson, J. M., Noack, E. S., Turner, E., Villaluenga, A. &amp; Gaudzinski-Windheuser, S.) 93</w:t>
      </w:r>
      <w:r>
        <w:rPr>
          <w:sz w:val="24"/>
          <w:szCs w:val="24"/>
        </w:rPr>
        <w:t>–</w:t>
      </w:r>
      <w:r>
        <w:rPr>
          <w:rFonts w:hint="eastAsia"/>
          <w:sz w:val="24"/>
          <w:szCs w:val="24"/>
        </w:rPr>
        <w:t>131 (RGZM, 2018).</w:t>
      </w:r>
    </w:p>
    <w:p w14:paraId="05A23E4D">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68</w:t>
      </w:r>
      <w:r>
        <w:rPr>
          <w:sz w:val="24"/>
          <w:szCs w:val="24"/>
        </w:rPr>
        <w:t>.</w:t>
      </w:r>
      <w:r>
        <w:rPr>
          <w:rFonts w:hint="eastAsia"/>
          <w:sz w:val="24"/>
          <w:szCs w:val="24"/>
        </w:rPr>
        <w:t xml:space="preserve"> </w:t>
      </w:r>
      <w:r>
        <w:rPr>
          <w:sz w:val="24"/>
          <w:szCs w:val="24"/>
        </w:rPr>
        <w:t xml:space="preserve">Gaudzinski, S. Middle Palaeolithic Bone Tools from the Open-Air Site Salzgitter-Lebenstedt (Germany). </w:t>
      </w:r>
      <w:r>
        <w:rPr>
          <w:i/>
          <w:iCs/>
          <w:sz w:val="24"/>
          <w:szCs w:val="24"/>
        </w:rPr>
        <w:t>J. Archaeol. Sci.</w:t>
      </w:r>
      <w:r>
        <w:rPr>
          <w:sz w:val="24"/>
          <w:szCs w:val="24"/>
        </w:rPr>
        <w:t xml:space="preserve"> </w:t>
      </w:r>
      <w:r>
        <w:rPr>
          <w:b/>
          <w:bCs/>
          <w:sz w:val="24"/>
          <w:szCs w:val="24"/>
        </w:rPr>
        <w:t>26</w:t>
      </w:r>
      <w:r>
        <w:rPr>
          <w:sz w:val="24"/>
          <w:szCs w:val="24"/>
        </w:rPr>
        <w:t>, 125–141 (1999).</w:t>
      </w:r>
    </w:p>
    <w:p w14:paraId="0F98EECF">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69</w:t>
      </w:r>
      <w:r>
        <w:rPr>
          <w:sz w:val="24"/>
          <w:szCs w:val="24"/>
        </w:rPr>
        <w:t>.</w:t>
      </w:r>
      <w:r>
        <w:rPr>
          <w:rFonts w:hint="eastAsia"/>
          <w:sz w:val="24"/>
          <w:szCs w:val="24"/>
        </w:rPr>
        <w:t xml:space="preserve"> </w:t>
      </w:r>
      <w:r>
        <w:rPr>
          <w:sz w:val="24"/>
          <w:szCs w:val="24"/>
        </w:rPr>
        <w:t xml:space="preserve">Jéquier, C. </w:t>
      </w:r>
      <w:r>
        <w:rPr>
          <w:i/>
          <w:iCs/>
          <w:sz w:val="24"/>
          <w:szCs w:val="24"/>
        </w:rPr>
        <w:t>et al.</w:t>
      </w:r>
      <w:r>
        <w:rPr>
          <w:sz w:val="24"/>
          <w:szCs w:val="24"/>
        </w:rPr>
        <w:t xml:space="preserve"> The De Nadale Cave, a single layered Quina Mousterian site in the North of Italy. </w:t>
      </w:r>
      <w:r>
        <w:rPr>
          <w:i/>
          <w:iCs/>
          <w:sz w:val="24"/>
          <w:szCs w:val="24"/>
        </w:rPr>
        <w:t>Quartär</w:t>
      </w:r>
      <w:r>
        <w:rPr>
          <w:rFonts w:hint="eastAsia"/>
          <w:i/>
          <w:iCs/>
          <w:sz w:val="24"/>
          <w:szCs w:val="24"/>
        </w:rPr>
        <w:t>-</w:t>
      </w:r>
      <w:r>
        <w:rPr>
          <w:i/>
          <w:iCs/>
          <w:sz w:val="24"/>
          <w:szCs w:val="24"/>
        </w:rPr>
        <w:t>Int.</w:t>
      </w:r>
      <w:r>
        <w:rPr>
          <w:rFonts w:hint="eastAsia"/>
          <w:i/>
          <w:iCs/>
          <w:sz w:val="24"/>
          <w:szCs w:val="24"/>
        </w:rPr>
        <w:t xml:space="preserve"> </w:t>
      </w:r>
      <w:r>
        <w:rPr>
          <w:i/>
          <w:iCs/>
          <w:sz w:val="24"/>
          <w:szCs w:val="24"/>
        </w:rPr>
        <w:t>Jahrb. Zur Erforsch. Eiszeitalt. Steinzeit</w:t>
      </w:r>
      <w:r>
        <w:rPr>
          <w:sz w:val="24"/>
          <w:szCs w:val="24"/>
        </w:rPr>
        <w:t xml:space="preserve"> 7-21 Seiten (2021) </w:t>
      </w:r>
    </w:p>
    <w:p w14:paraId="17043EED">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70</w:t>
      </w:r>
      <w:r>
        <w:rPr>
          <w:sz w:val="24"/>
          <w:szCs w:val="24"/>
        </w:rPr>
        <w:t>.</w:t>
      </w:r>
      <w:r>
        <w:rPr>
          <w:rFonts w:hint="eastAsia"/>
          <w:sz w:val="24"/>
          <w:szCs w:val="24"/>
        </w:rPr>
        <w:t xml:space="preserve"> </w:t>
      </w:r>
      <w:r>
        <w:rPr>
          <w:sz w:val="24"/>
          <w:szCs w:val="24"/>
        </w:rPr>
        <w:t xml:space="preserve">Baumann, M. </w:t>
      </w:r>
      <w:r>
        <w:rPr>
          <w:i/>
          <w:iCs/>
          <w:sz w:val="24"/>
          <w:szCs w:val="24"/>
        </w:rPr>
        <w:t>et al.</w:t>
      </w:r>
      <w:r>
        <w:rPr>
          <w:sz w:val="24"/>
          <w:szCs w:val="24"/>
        </w:rPr>
        <w:t xml:space="preserve"> Middle Paleolithic bone industry in Central Asia, first evidence from Obi-Rakhmat Grotto (Uzbekistan). </w:t>
      </w:r>
      <w:r>
        <w:rPr>
          <w:i/>
          <w:iCs/>
          <w:sz w:val="24"/>
          <w:szCs w:val="24"/>
        </w:rPr>
        <w:t>J. Archaeol. Sci. Rep.</w:t>
      </w:r>
      <w:r>
        <w:rPr>
          <w:sz w:val="24"/>
          <w:szCs w:val="24"/>
        </w:rPr>
        <w:t xml:space="preserve"> </w:t>
      </w:r>
      <w:r>
        <w:rPr>
          <w:b/>
          <w:bCs/>
          <w:sz w:val="24"/>
          <w:szCs w:val="24"/>
        </w:rPr>
        <w:t>61</w:t>
      </w:r>
      <w:r>
        <w:rPr>
          <w:sz w:val="24"/>
          <w:szCs w:val="24"/>
        </w:rPr>
        <w:t>, 104961 (2025).</w:t>
      </w:r>
    </w:p>
    <w:p w14:paraId="091DFA49">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71</w:t>
      </w:r>
      <w:r>
        <w:rPr>
          <w:sz w:val="24"/>
          <w:szCs w:val="24"/>
        </w:rPr>
        <w:t>.</w:t>
      </w:r>
      <w:r>
        <w:rPr>
          <w:rFonts w:hint="eastAsia"/>
          <w:sz w:val="24"/>
          <w:szCs w:val="24"/>
        </w:rPr>
        <w:t xml:space="preserve"> Baumann, M. </w:t>
      </w:r>
      <w:r>
        <w:rPr>
          <w:rFonts w:hint="eastAsia"/>
          <w:i/>
          <w:iCs/>
          <w:sz w:val="24"/>
          <w:szCs w:val="24"/>
        </w:rPr>
        <w:t>et al</w:t>
      </w:r>
      <w:r>
        <w:rPr>
          <w:rFonts w:hint="eastAsia"/>
          <w:sz w:val="24"/>
          <w:szCs w:val="24"/>
        </w:rPr>
        <w:t xml:space="preserve">. On the Quina side: A Neanderthal bone industry at Chez-Pinaud site, France. </w:t>
      </w:r>
      <w:r>
        <w:rPr>
          <w:rFonts w:hint="eastAsia"/>
          <w:i/>
          <w:iCs/>
          <w:sz w:val="24"/>
          <w:szCs w:val="24"/>
        </w:rPr>
        <w:t>PLOS ONE</w:t>
      </w:r>
      <w:r>
        <w:rPr>
          <w:rFonts w:hint="eastAsia"/>
          <w:sz w:val="24"/>
          <w:szCs w:val="24"/>
        </w:rPr>
        <w:t xml:space="preserve"> </w:t>
      </w:r>
      <w:r>
        <w:rPr>
          <w:rFonts w:hint="eastAsia"/>
          <w:b/>
          <w:bCs/>
          <w:sz w:val="24"/>
          <w:szCs w:val="24"/>
        </w:rPr>
        <w:t>18</w:t>
      </w:r>
      <w:r>
        <w:rPr>
          <w:rFonts w:hint="eastAsia"/>
          <w:sz w:val="24"/>
          <w:szCs w:val="24"/>
        </w:rPr>
        <w:t>, e0284081 (2023).</w:t>
      </w:r>
    </w:p>
    <w:p w14:paraId="5CC3FC4C">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72</w:t>
      </w:r>
      <w:r>
        <w:rPr>
          <w:sz w:val="24"/>
          <w:szCs w:val="24"/>
        </w:rPr>
        <w:t>.</w:t>
      </w:r>
      <w:r>
        <w:rPr>
          <w:rFonts w:hint="eastAsia"/>
          <w:sz w:val="24"/>
          <w:szCs w:val="24"/>
        </w:rPr>
        <w:t xml:space="preserve"> </w:t>
      </w:r>
      <w:r>
        <w:rPr>
          <w:sz w:val="24"/>
          <w:szCs w:val="24"/>
        </w:rPr>
        <w:t xml:space="preserve">Baumann, M. </w:t>
      </w:r>
      <w:r>
        <w:rPr>
          <w:i/>
          <w:iCs/>
          <w:sz w:val="24"/>
          <w:szCs w:val="24"/>
        </w:rPr>
        <w:t>et al.</w:t>
      </w:r>
      <w:r>
        <w:rPr>
          <w:sz w:val="24"/>
          <w:szCs w:val="24"/>
        </w:rPr>
        <w:t xml:space="preserve"> The Neandertal bone industry at Chagyrskaya cave, Altai Region, Russia. </w:t>
      </w:r>
      <w:r>
        <w:rPr>
          <w:i/>
          <w:iCs/>
          <w:sz w:val="24"/>
          <w:szCs w:val="24"/>
        </w:rPr>
        <w:t>Quat. Int.</w:t>
      </w:r>
      <w:r>
        <w:rPr>
          <w:sz w:val="24"/>
          <w:szCs w:val="24"/>
        </w:rPr>
        <w:t xml:space="preserve"> </w:t>
      </w:r>
      <w:r>
        <w:rPr>
          <w:b/>
          <w:bCs/>
          <w:sz w:val="24"/>
          <w:szCs w:val="24"/>
        </w:rPr>
        <w:t>559</w:t>
      </w:r>
      <w:r>
        <w:rPr>
          <w:sz w:val="24"/>
          <w:szCs w:val="24"/>
        </w:rPr>
        <w:t>, 68–88 (2020).</w:t>
      </w:r>
    </w:p>
    <w:p w14:paraId="75AF9802">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73</w:t>
      </w:r>
      <w:r>
        <w:rPr>
          <w:sz w:val="24"/>
          <w:szCs w:val="24"/>
        </w:rPr>
        <w:t>.</w:t>
      </w:r>
      <w:r>
        <w:rPr>
          <w:rFonts w:hint="eastAsia"/>
          <w:sz w:val="24"/>
          <w:szCs w:val="24"/>
        </w:rPr>
        <w:t xml:space="preserve"> </w:t>
      </w:r>
      <w:r>
        <w:rPr>
          <w:sz w:val="24"/>
          <w:szCs w:val="24"/>
        </w:rPr>
        <w:t xml:space="preserve">Baumann, M. </w:t>
      </w:r>
      <w:r>
        <w:rPr>
          <w:i/>
          <w:iCs/>
          <w:sz w:val="24"/>
          <w:szCs w:val="24"/>
        </w:rPr>
        <w:t>et al.</w:t>
      </w:r>
      <w:r>
        <w:rPr>
          <w:sz w:val="24"/>
          <w:szCs w:val="24"/>
        </w:rPr>
        <w:t xml:space="preserve"> Not so unusual Neanderthal bone tools: new examples from Abri Lartet, France. </w:t>
      </w:r>
      <w:r>
        <w:rPr>
          <w:i/>
          <w:iCs/>
          <w:sz w:val="24"/>
          <w:szCs w:val="24"/>
        </w:rPr>
        <w:t>Archaeol. Anthropol. Sci.</w:t>
      </w:r>
      <w:r>
        <w:rPr>
          <w:sz w:val="24"/>
          <w:szCs w:val="24"/>
        </w:rPr>
        <w:t xml:space="preserve"> </w:t>
      </w:r>
      <w:r>
        <w:rPr>
          <w:b/>
          <w:bCs/>
          <w:sz w:val="24"/>
          <w:szCs w:val="24"/>
        </w:rPr>
        <w:t>14</w:t>
      </w:r>
      <w:r>
        <w:rPr>
          <w:sz w:val="24"/>
          <w:szCs w:val="24"/>
        </w:rPr>
        <w:t>, 200 (2022).</w:t>
      </w:r>
    </w:p>
    <w:p w14:paraId="6212F657">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74</w:t>
      </w:r>
      <w:r>
        <w:rPr>
          <w:sz w:val="24"/>
          <w:szCs w:val="24"/>
        </w:rPr>
        <w:t>.</w:t>
      </w:r>
      <w:r>
        <w:rPr>
          <w:rFonts w:hint="eastAsia"/>
          <w:sz w:val="24"/>
          <w:szCs w:val="24"/>
        </w:rPr>
        <w:t xml:space="preserve"> </w:t>
      </w:r>
      <w:r>
        <w:rPr>
          <w:sz w:val="24"/>
          <w:szCs w:val="24"/>
        </w:rPr>
        <w:t>Doyon, L.</w:t>
      </w:r>
      <w:r>
        <w:rPr>
          <w:rFonts w:hint="eastAsia"/>
          <w:sz w:val="24"/>
          <w:szCs w:val="24"/>
          <w:lang w:val="en-US" w:eastAsia="zh-CN"/>
        </w:rPr>
        <w:t xml:space="preserve"> </w:t>
      </w:r>
      <w:r>
        <w:rPr>
          <w:rFonts w:hint="eastAsia"/>
          <w:i/>
          <w:iCs/>
          <w:sz w:val="24"/>
          <w:szCs w:val="24"/>
          <w:lang w:val="en-US" w:eastAsia="zh-CN"/>
        </w:rPr>
        <w:t>et al.</w:t>
      </w:r>
      <w:r>
        <w:rPr>
          <w:sz w:val="24"/>
          <w:szCs w:val="24"/>
        </w:rPr>
        <w:t xml:space="preserve"> Further </w:t>
      </w:r>
      <w:r>
        <w:rPr>
          <w:rFonts w:hint="eastAsia"/>
          <w:sz w:val="24"/>
          <w:szCs w:val="24"/>
          <w:lang w:val="en-US" w:eastAsia="zh-CN"/>
        </w:rPr>
        <w:t>e</w:t>
      </w:r>
      <w:r>
        <w:rPr>
          <w:sz w:val="24"/>
          <w:szCs w:val="24"/>
        </w:rPr>
        <w:t xml:space="preserve">vidence of </w:t>
      </w:r>
      <w:r>
        <w:rPr>
          <w:rFonts w:hint="eastAsia"/>
          <w:sz w:val="24"/>
          <w:szCs w:val="24"/>
          <w:lang w:val="en-US" w:eastAsia="zh-CN"/>
        </w:rPr>
        <w:t>o</w:t>
      </w:r>
      <w:r>
        <w:rPr>
          <w:sz w:val="24"/>
          <w:szCs w:val="24"/>
        </w:rPr>
        <w:t xml:space="preserve">rganic </w:t>
      </w:r>
      <w:r>
        <w:rPr>
          <w:rFonts w:hint="eastAsia"/>
          <w:sz w:val="24"/>
          <w:szCs w:val="24"/>
          <w:lang w:val="en-US" w:eastAsia="zh-CN"/>
        </w:rPr>
        <w:t>s</w:t>
      </w:r>
      <w:r>
        <w:rPr>
          <w:sz w:val="24"/>
          <w:szCs w:val="24"/>
        </w:rPr>
        <w:t xml:space="preserve">oft </w:t>
      </w:r>
      <w:r>
        <w:rPr>
          <w:rFonts w:hint="eastAsia"/>
          <w:sz w:val="24"/>
          <w:szCs w:val="24"/>
          <w:lang w:val="en-US" w:eastAsia="zh-CN"/>
        </w:rPr>
        <w:t>h</w:t>
      </w:r>
      <w:r>
        <w:rPr>
          <w:sz w:val="24"/>
          <w:szCs w:val="24"/>
        </w:rPr>
        <w:t xml:space="preserve">ammer </w:t>
      </w:r>
      <w:r>
        <w:rPr>
          <w:rFonts w:hint="eastAsia"/>
          <w:sz w:val="24"/>
          <w:szCs w:val="24"/>
          <w:lang w:val="en-US" w:eastAsia="zh-CN"/>
        </w:rPr>
        <w:t>p</w:t>
      </w:r>
      <w:r>
        <w:rPr>
          <w:sz w:val="24"/>
          <w:szCs w:val="24"/>
        </w:rPr>
        <w:t xml:space="preserve">ercussion and </w:t>
      </w:r>
      <w:r>
        <w:rPr>
          <w:rFonts w:hint="eastAsia"/>
          <w:sz w:val="24"/>
          <w:szCs w:val="24"/>
          <w:lang w:val="en-US" w:eastAsia="zh-CN"/>
        </w:rPr>
        <w:t>p</w:t>
      </w:r>
      <w:r>
        <w:rPr>
          <w:sz w:val="24"/>
          <w:szCs w:val="24"/>
        </w:rPr>
        <w:t xml:space="preserve">ressure </w:t>
      </w:r>
      <w:r>
        <w:rPr>
          <w:rFonts w:hint="eastAsia"/>
          <w:sz w:val="24"/>
          <w:szCs w:val="24"/>
          <w:lang w:val="en-US" w:eastAsia="zh-CN"/>
        </w:rPr>
        <w:t>r</w:t>
      </w:r>
      <w:r>
        <w:rPr>
          <w:sz w:val="24"/>
          <w:szCs w:val="24"/>
        </w:rPr>
        <w:t xml:space="preserve">etouch from Lingjing (Xuchang, Henan, China). </w:t>
      </w:r>
      <w:r>
        <w:rPr>
          <w:i/>
          <w:iCs/>
          <w:sz w:val="24"/>
          <w:szCs w:val="24"/>
        </w:rPr>
        <w:t>Lithic Technol.</w:t>
      </w:r>
      <w:r>
        <w:rPr>
          <w:sz w:val="24"/>
          <w:szCs w:val="24"/>
        </w:rPr>
        <w:t xml:space="preserve"> </w:t>
      </w:r>
      <w:r>
        <w:rPr>
          <w:b/>
          <w:bCs/>
          <w:sz w:val="24"/>
          <w:szCs w:val="24"/>
        </w:rPr>
        <w:t>44</w:t>
      </w:r>
      <w:r>
        <w:rPr>
          <w:sz w:val="24"/>
          <w:szCs w:val="24"/>
        </w:rPr>
        <w:t>, 100–117 (2019).</w:t>
      </w:r>
    </w:p>
    <w:p w14:paraId="1EB04FF6">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75</w:t>
      </w:r>
      <w:r>
        <w:rPr>
          <w:sz w:val="24"/>
          <w:szCs w:val="24"/>
        </w:rPr>
        <w:t>.</w:t>
      </w:r>
      <w:r>
        <w:rPr>
          <w:rFonts w:hint="eastAsia"/>
          <w:sz w:val="24"/>
          <w:szCs w:val="24"/>
        </w:rPr>
        <w:t xml:space="preserve"> </w:t>
      </w:r>
      <w:r>
        <w:rPr>
          <w:sz w:val="24"/>
          <w:szCs w:val="24"/>
        </w:rPr>
        <w:t>Doyon, L.</w:t>
      </w:r>
      <w:r>
        <w:rPr>
          <w:rFonts w:hint="eastAsia"/>
          <w:sz w:val="24"/>
          <w:szCs w:val="24"/>
          <w:lang w:val="en-US" w:eastAsia="zh-CN"/>
        </w:rPr>
        <w:t xml:space="preserve"> </w:t>
      </w:r>
      <w:r>
        <w:rPr>
          <w:rFonts w:hint="eastAsia"/>
          <w:i/>
          <w:iCs/>
          <w:sz w:val="24"/>
          <w:szCs w:val="24"/>
          <w:lang w:val="en-US" w:eastAsia="zh-CN"/>
        </w:rPr>
        <w:t>et al.</w:t>
      </w:r>
      <w:r>
        <w:rPr>
          <w:sz w:val="24"/>
          <w:szCs w:val="24"/>
        </w:rPr>
        <w:t xml:space="preserve"> Discovery of circa 115,000-year-old bone retouchers at Lingjing, Henan, China. </w:t>
      </w:r>
      <w:r>
        <w:rPr>
          <w:i/>
          <w:iCs/>
          <w:sz w:val="24"/>
          <w:szCs w:val="24"/>
        </w:rPr>
        <w:t>PLOS ONE</w:t>
      </w:r>
      <w:r>
        <w:rPr>
          <w:sz w:val="24"/>
          <w:szCs w:val="24"/>
        </w:rPr>
        <w:t xml:space="preserve"> </w:t>
      </w:r>
      <w:r>
        <w:rPr>
          <w:b/>
          <w:bCs/>
          <w:sz w:val="24"/>
          <w:szCs w:val="24"/>
        </w:rPr>
        <w:t>13</w:t>
      </w:r>
      <w:r>
        <w:rPr>
          <w:sz w:val="24"/>
          <w:szCs w:val="24"/>
        </w:rPr>
        <w:t>, e0194318 (2018).</w:t>
      </w:r>
    </w:p>
    <w:p w14:paraId="0834268B">
      <w:pPr>
        <w:keepNext w:val="0"/>
        <w:keepLines w:val="0"/>
        <w:pageBreakBefore w:val="0"/>
        <w:widowControl/>
        <w:kinsoku/>
        <w:wordWrap/>
        <w:overflowPunct/>
        <w:topLinePunct w:val="0"/>
        <w:autoSpaceDE/>
        <w:autoSpaceDN/>
        <w:bidi w:val="0"/>
        <w:adjustRightInd/>
        <w:snapToGrid w:val="0"/>
        <w:spacing w:after="60" w:line="240" w:lineRule="auto"/>
        <w:ind w:left="240" w:hanging="240" w:hangingChars="100"/>
        <w:jc w:val="both"/>
        <w:textAlignment w:val="auto"/>
        <w:rPr>
          <w:rFonts w:hint="eastAsia" w:ascii="Times New Roman" w:hAnsi="Times New Roman" w:eastAsia="宋体" w:cs="Times New Roman"/>
          <w:sz w:val="24"/>
          <w:szCs w:val="24"/>
          <w:highlight w:val="none"/>
          <w:lang w:val="en-US" w:eastAsia="zh-CN" w:bidi="ar-SA"/>
        </w:rPr>
      </w:pPr>
      <w:r>
        <w:rPr>
          <w:rFonts w:hint="eastAsia"/>
          <w:sz w:val="24"/>
          <w:szCs w:val="24"/>
          <w:highlight w:val="none"/>
          <w:lang w:val="en-US" w:eastAsia="zh-CN"/>
        </w:rPr>
        <w:t>76</w:t>
      </w:r>
      <w:r>
        <w:rPr>
          <w:sz w:val="24"/>
          <w:szCs w:val="24"/>
          <w:highlight w:val="none"/>
        </w:rPr>
        <w:t>.</w:t>
      </w:r>
      <w:r>
        <w:rPr>
          <w:rFonts w:hint="eastAsia"/>
          <w:sz w:val="24"/>
          <w:szCs w:val="24"/>
          <w:highlight w:val="none"/>
        </w:rPr>
        <w:t xml:space="preserve"> </w:t>
      </w:r>
      <w:r>
        <w:rPr>
          <w:rFonts w:hint="eastAsia" w:ascii="Times New Roman" w:hAnsi="Times New Roman" w:eastAsia="宋体" w:cs="Times New Roman"/>
          <w:sz w:val="24"/>
          <w:szCs w:val="24"/>
          <w:highlight w:val="none"/>
          <w:lang w:val="en-US" w:eastAsia="zh-CN" w:bidi="ar-SA"/>
        </w:rPr>
        <w:t>Abrams, G.</w:t>
      </w:r>
      <w:r>
        <w:rPr>
          <w:rFonts w:hint="eastAsia" w:cs="Times New Roman"/>
          <w:sz w:val="24"/>
          <w:szCs w:val="24"/>
          <w:highlight w:val="none"/>
          <w:lang w:val="en-US" w:eastAsia="zh-CN" w:bidi="ar-SA"/>
        </w:rPr>
        <w:t xml:space="preserve"> </w:t>
      </w:r>
      <w:r>
        <w:rPr>
          <w:rFonts w:hint="eastAsia"/>
          <w:i/>
          <w:iCs/>
          <w:sz w:val="24"/>
          <w:szCs w:val="24"/>
          <w:lang w:val="en-US" w:eastAsia="zh-CN"/>
        </w:rPr>
        <w:t>et al.</w:t>
      </w:r>
      <w:r>
        <w:rPr>
          <w:rFonts w:hint="eastAsia" w:ascii="Times New Roman" w:hAnsi="Times New Roman" w:eastAsia="宋体" w:cs="Times New Roman"/>
          <w:sz w:val="24"/>
          <w:szCs w:val="24"/>
          <w:highlight w:val="none"/>
          <w:lang w:val="en-US" w:eastAsia="zh-CN" w:bidi="ar-SA"/>
        </w:rPr>
        <w:t xml:space="preserve"> Earliest </w:t>
      </w:r>
      <w:r>
        <w:rPr>
          <w:rFonts w:hint="eastAsia" w:cs="Times New Roman"/>
          <w:sz w:val="24"/>
          <w:szCs w:val="24"/>
          <w:highlight w:val="none"/>
          <w:lang w:val="en-US" w:eastAsia="zh-CN" w:bidi="ar-SA"/>
        </w:rPr>
        <w:t>e</w:t>
      </w:r>
      <w:r>
        <w:rPr>
          <w:rFonts w:hint="eastAsia" w:ascii="Times New Roman" w:hAnsi="Times New Roman" w:eastAsia="宋体" w:cs="Times New Roman"/>
          <w:sz w:val="24"/>
          <w:szCs w:val="24"/>
          <w:highlight w:val="none"/>
          <w:lang w:val="en-US" w:eastAsia="zh-CN" w:bidi="ar-SA"/>
        </w:rPr>
        <w:t xml:space="preserve">vidence of Neanderthal </w:t>
      </w:r>
      <w:r>
        <w:rPr>
          <w:rFonts w:hint="eastAsia" w:cs="Times New Roman"/>
          <w:sz w:val="24"/>
          <w:szCs w:val="24"/>
          <w:highlight w:val="none"/>
          <w:lang w:val="en-US" w:eastAsia="zh-CN" w:bidi="ar-SA"/>
        </w:rPr>
        <w:t>m</w:t>
      </w:r>
      <w:r>
        <w:rPr>
          <w:rFonts w:hint="eastAsia" w:ascii="Times New Roman" w:hAnsi="Times New Roman" w:eastAsia="宋体" w:cs="Times New Roman"/>
          <w:sz w:val="24"/>
          <w:szCs w:val="24"/>
          <w:highlight w:val="none"/>
          <w:lang w:val="en-US" w:eastAsia="zh-CN" w:bidi="ar-SA"/>
        </w:rPr>
        <w:t xml:space="preserve">ultifunctional </w:t>
      </w:r>
      <w:r>
        <w:rPr>
          <w:rFonts w:hint="eastAsia" w:cs="Times New Roman"/>
          <w:sz w:val="24"/>
          <w:szCs w:val="24"/>
          <w:highlight w:val="none"/>
          <w:lang w:val="en-US" w:eastAsia="zh-CN" w:bidi="ar-SA"/>
        </w:rPr>
        <w:t>b</w:t>
      </w:r>
      <w:r>
        <w:rPr>
          <w:rFonts w:hint="eastAsia" w:ascii="Times New Roman" w:hAnsi="Times New Roman" w:eastAsia="宋体" w:cs="Times New Roman"/>
          <w:sz w:val="24"/>
          <w:szCs w:val="24"/>
          <w:highlight w:val="none"/>
          <w:lang w:val="en-US" w:eastAsia="zh-CN" w:bidi="ar-SA"/>
        </w:rPr>
        <w:t xml:space="preserve">one </w:t>
      </w:r>
      <w:r>
        <w:rPr>
          <w:rFonts w:hint="eastAsia" w:cs="Times New Roman"/>
          <w:sz w:val="24"/>
          <w:szCs w:val="24"/>
          <w:highlight w:val="none"/>
          <w:lang w:val="en-US" w:eastAsia="zh-CN" w:bidi="ar-SA"/>
        </w:rPr>
        <w:t>t</w:t>
      </w:r>
      <w:r>
        <w:rPr>
          <w:rFonts w:hint="eastAsia" w:ascii="Times New Roman" w:hAnsi="Times New Roman" w:eastAsia="宋体" w:cs="Times New Roman"/>
          <w:sz w:val="24"/>
          <w:szCs w:val="24"/>
          <w:highlight w:val="none"/>
          <w:lang w:val="en-US" w:eastAsia="zh-CN" w:bidi="ar-SA"/>
        </w:rPr>
        <w:t xml:space="preserve">ool </w:t>
      </w:r>
      <w:r>
        <w:rPr>
          <w:rFonts w:hint="eastAsia" w:cs="Times New Roman"/>
          <w:sz w:val="24"/>
          <w:szCs w:val="24"/>
          <w:highlight w:val="none"/>
          <w:lang w:val="en-US" w:eastAsia="zh-CN" w:bidi="ar-SA"/>
        </w:rPr>
        <w:t>p</w:t>
      </w:r>
      <w:r>
        <w:rPr>
          <w:rFonts w:hint="eastAsia" w:ascii="Times New Roman" w:hAnsi="Times New Roman" w:eastAsia="宋体" w:cs="Times New Roman"/>
          <w:sz w:val="24"/>
          <w:szCs w:val="24"/>
          <w:highlight w:val="none"/>
          <w:lang w:val="en-US" w:eastAsia="zh-CN" w:bidi="ar-SA"/>
        </w:rPr>
        <w:t xml:space="preserve">roduction from Cave Lion (Panthera spelaea) </w:t>
      </w:r>
      <w:r>
        <w:rPr>
          <w:rFonts w:hint="eastAsia" w:cs="Times New Roman"/>
          <w:sz w:val="24"/>
          <w:szCs w:val="24"/>
          <w:highlight w:val="none"/>
          <w:lang w:val="en-US" w:eastAsia="zh-CN" w:bidi="ar-SA"/>
        </w:rPr>
        <w:t>r</w:t>
      </w:r>
      <w:r>
        <w:rPr>
          <w:rFonts w:hint="eastAsia" w:ascii="Times New Roman" w:hAnsi="Times New Roman" w:eastAsia="宋体" w:cs="Times New Roman"/>
          <w:sz w:val="24"/>
          <w:szCs w:val="24"/>
          <w:highlight w:val="none"/>
          <w:lang w:val="en-US" w:eastAsia="zh-CN" w:bidi="ar-SA"/>
        </w:rPr>
        <w:t xml:space="preserve">emains. </w:t>
      </w:r>
      <w:r>
        <w:rPr>
          <w:rFonts w:hint="eastAsia" w:ascii="Times New Roman" w:hAnsi="Times New Roman" w:eastAsia="宋体" w:cs="Times New Roman"/>
          <w:i/>
          <w:iCs/>
          <w:sz w:val="24"/>
          <w:szCs w:val="24"/>
          <w:highlight w:val="none"/>
          <w:lang w:val="en-US" w:eastAsia="zh-CN" w:bidi="ar-SA"/>
        </w:rPr>
        <w:t>Sci. Rep</w:t>
      </w:r>
      <w:r>
        <w:rPr>
          <w:rFonts w:hint="eastAsia" w:ascii="Times New Roman" w:hAnsi="Times New Roman" w:eastAsia="宋体" w:cs="Times New Roman"/>
          <w:sz w:val="24"/>
          <w:szCs w:val="24"/>
          <w:highlight w:val="none"/>
          <w:lang w:val="en-US" w:eastAsia="zh-CN" w:bidi="ar-SA"/>
        </w:rPr>
        <w:t xml:space="preserve">. </w:t>
      </w:r>
      <w:r>
        <w:rPr>
          <w:rFonts w:hint="eastAsia" w:ascii="Times New Roman" w:hAnsi="Times New Roman" w:eastAsia="宋体" w:cs="Times New Roman"/>
          <w:b/>
          <w:bCs/>
          <w:sz w:val="24"/>
          <w:szCs w:val="24"/>
          <w:highlight w:val="none"/>
          <w:lang w:val="en-US" w:eastAsia="zh-CN" w:bidi="ar-SA"/>
        </w:rPr>
        <w:t>15</w:t>
      </w:r>
      <w:r>
        <w:rPr>
          <w:rFonts w:hint="eastAsia" w:ascii="Times New Roman" w:hAnsi="Times New Roman" w:eastAsia="宋体" w:cs="Times New Roman"/>
          <w:sz w:val="24"/>
          <w:szCs w:val="24"/>
          <w:highlight w:val="none"/>
          <w:lang w:val="en-US" w:eastAsia="zh-CN" w:bidi="ar-SA"/>
        </w:rPr>
        <w:t>, 24010 (2025).</w:t>
      </w:r>
    </w:p>
    <w:p w14:paraId="306296F9">
      <w:pPr>
        <w:keepNext w:val="0"/>
        <w:keepLines w:val="0"/>
        <w:pageBreakBefore w:val="0"/>
        <w:widowControl/>
        <w:kinsoku/>
        <w:wordWrap/>
        <w:overflowPunct/>
        <w:topLinePunct w:val="0"/>
        <w:autoSpaceDE/>
        <w:autoSpaceDN/>
        <w:bidi w:val="0"/>
        <w:adjustRightInd/>
        <w:snapToGrid w:val="0"/>
        <w:spacing w:after="60" w:line="240" w:lineRule="auto"/>
        <w:ind w:left="240" w:hanging="240" w:hangingChars="100"/>
        <w:jc w:val="both"/>
        <w:textAlignment w:val="auto"/>
        <w:rPr>
          <w:rFonts w:hint="eastAsia" w:ascii="Times New Roman" w:hAnsi="Times New Roman" w:eastAsia="宋体" w:cs="Times New Roman"/>
          <w:sz w:val="24"/>
          <w:szCs w:val="24"/>
          <w:highlight w:val="none"/>
          <w:lang w:val="en-US" w:eastAsia="zh-CN" w:bidi="ar-SA"/>
        </w:rPr>
      </w:pPr>
      <w:r>
        <w:rPr>
          <w:rFonts w:hint="eastAsia"/>
          <w:sz w:val="24"/>
          <w:szCs w:val="24"/>
          <w:highlight w:val="none"/>
          <w:lang w:val="en-US" w:eastAsia="zh-CN"/>
        </w:rPr>
        <w:t>77</w:t>
      </w:r>
      <w:r>
        <w:rPr>
          <w:sz w:val="24"/>
          <w:szCs w:val="24"/>
          <w:highlight w:val="none"/>
        </w:rPr>
        <w:t>.</w:t>
      </w:r>
      <w:r>
        <w:rPr>
          <w:rFonts w:hint="eastAsia"/>
          <w:sz w:val="24"/>
          <w:szCs w:val="24"/>
          <w:highlight w:val="none"/>
        </w:rPr>
        <w:t xml:space="preserve"> </w:t>
      </w:r>
      <w:r>
        <w:rPr>
          <w:rFonts w:hint="eastAsia" w:ascii="Times New Roman" w:hAnsi="Times New Roman" w:eastAsia="宋体" w:cs="Times New Roman"/>
          <w:sz w:val="24"/>
          <w:szCs w:val="24"/>
          <w:highlight w:val="none"/>
          <w:lang w:val="en-US" w:eastAsia="zh-CN" w:bidi="ar-SA"/>
        </w:rPr>
        <w:t>Chase, P. G. Tool-</w:t>
      </w:r>
      <w:r>
        <w:rPr>
          <w:rFonts w:hint="eastAsia" w:cs="Times New Roman"/>
          <w:sz w:val="24"/>
          <w:szCs w:val="24"/>
          <w:highlight w:val="none"/>
          <w:lang w:val="en-US" w:eastAsia="zh-CN" w:bidi="ar-SA"/>
        </w:rPr>
        <w:t>m</w:t>
      </w:r>
      <w:r>
        <w:rPr>
          <w:rFonts w:hint="eastAsia" w:ascii="Times New Roman" w:hAnsi="Times New Roman" w:eastAsia="宋体" w:cs="Times New Roman"/>
          <w:sz w:val="24"/>
          <w:szCs w:val="24"/>
          <w:highlight w:val="none"/>
          <w:lang w:val="en-US" w:eastAsia="zh-CN" w:bidi="ar-SA"/>
        </w:rPr>
        <w:t xml:space="preserve">aking </w:t>
      </w:r>
      <w:r>
        <w:rPr>
          <w:rFonts w:hint="eastAsia" w:cs="Times New Roman"/>
          <w:sz w:val="24"/>
          <w:szCs w:val="24"/>
          <w:highlight w:val="none"/>
          <w:lang w:val="en-US" w:eastAsia="zh-CN" w:bidi="ar-SA"/>
        </w:rPr>
        <w:t>t</w:t>
      </w:r>
      <w:r>
        <w:rPr>
          <w:rFonts w:hint="eastAsia" w:ascii="Times New Roman" w:hAnsi="Times New Roman" w:eastAsia="宋体" w:cs="Times New Roman"/>
          <w:sz w:val="24"/>
          <w:szCs w:val="24"/>
          <w:highlight w:val="none"/>
          <w:lang w:val="en-US" w:eastAsia="zh-CN" w:bidi="ar-SA"/>
        </w:rPr>
        <w:t xml:space="preserve">ools and Middle Paleolithic </w:t>
      </w:r>
      <w:r>
        <w:rPr>
          <w:rFonts w:hint="eastAsia" w:cs="Times New Roman"/>
          <w:sz w:val="24"/>
          <w:szCs w:val="24"/>
          <w:highlight w:val="none"/>
          <w:lang w:val="en-US" w:eastAsia="zh-CN" w:bidi="ar-SA"/>
        </w:rPr>
        <w:t>b</w:t>
      </w:r>
      <w:r>
        <w:rPr>
          <w:rFonts w:hint="eastAsia" w:ascii="Times New Roman" w:hAnsi="Times New Roman" w:eastAsia="宋体" w:cs="Times New Roman"/>
          <w:sz w:val="24"/>
          <w:szCs w:val="24"/>
          <w:highlight w:val="none"/>
          <w:lang w:val="en-US" w:eastAsia="zh-CN" w:bidi="ar-SA"/>
        </w:rPr>
        <w:t xml:space="preserve">ehavior. </w:t>
      </w:r>
      <w:r>
        <w:rPr>
          <w:rFonts w:hint="eastAsia" w:ascii="Times New Roman" w:hAnsi="Times New Roman" w:eastAsia="宋体" w:cs="Times New Roman"/>
          <w:i/>
          <w:iCs/>
          <w:sz w:val="24"/>
          <w:szCs w:val="24"/>
          <w:highlight w:val="none"/>
          <w:lang w:val="en-US" w:eastAsia="zh-CN" w:bidi="ar-SA"/>
        </w:rPr>
        <w:t>Curr. Anthropol</w:t>
      </w:r>
      <w:r>
        <w:rPr>
          <w:rFonts w:hint="eastAsia" w:ascii="Times New Roman" w:hAnsi="Times New Roman" w:eastAsia="宋体" w:cs="Times New Roman"/>
          <w:sz w:val="24"/>
          <w:szCs w:val="24"/>
          <w:highlight w:val="none"/>
          <w:lang w:val="en-US" w:eastAsia="zh-CN" w:bidi="ar-SA"/>
        </w:rPr>
        <w:t xml:space="preserve">. </w:t>
      </w:r>
      <w:r>
        <w:rPr>
          <w:rFonts w:hint="eastAsia" w:ascii="Times New Roman" w:hAnsi="Times New Roman" w:eastAsia="宋体" w:cs="Times New Roman"/>
          <w:b/>
          <w:bCs/>
          <w:sz w:val="24"/>
          <w:szCs w:val="24"/>
          <w:highlight w:val="none"/>
          <w:lang w:val="en-US" w:eastAsia="zh-CN" w:bidi="ar-SA"/>
        </w:rPr>
        <w:t>31</w:t>
      </w:r>
      <w:r>
        <w:rPr>
          <w:rFonts w:hint="eastAsia" w:ascii="Times New Roman" w:hAnsi="Times New Roman" w:eastAsia="宋体" w:cs="Times New Roman"/>
          <w:sz w:val="24"/>
          <w:szCs w:val="24"/>
          <w:highlight w:val="none"/>
          <w:lang w:val="en-US" w:eastAsia="zh-CN" w:bidi="ar-SA"/>
        </w:rPr>
        <w:t>, 443</w:t>
      </w:r>
      <w:r>
        <w:rPr>
          <w:sz w:val="24"/>
          <w:szCs w:val="24"/>
        </w:rPr>
        <w:t>–</w:t>
      </w:r>
      <w:r>
        <w:rPr>
          <w:rFonts w:hint="eastAsia" w:ascii="Times New Roman" w:hAnsi="Times New Roman" w:eastAsia="宋体" w:cs="Times New Roman"/>
          <w:sz w:val="24"/>
          <w:szCs w:val="24"/>
          <w:highlight w:val="none"/>
          <w:lang w:val="en-US" w:eastAsia="zh-CN" w:bidi="ar-SA"/>
        </w:rPr>
        <w:t>447 (1990).</w:t>
      </w:r>
    </w:p>
    <w:p w14:paraId="7188F90B">
      <w:pPr>
        <w:keepNext w:val="0"/>
        <w:keepLines w:val="0"/>
        <w:pageBreakBefore w:val="0"/>
        <w:widowControl/>
        <w:kinsoku/>
        <w:wordWrap/>
        <w:overflowPunct/>
        <w:topLinePunct w:val="0"/>
        <w:autoSpaceDE/>
        <w:autoSpaceDN/>
        <w:bidi w:val="0"/>
        <w:adjustRightInd/>
        <w:snapToGrid w:val="0"/>
        <w:spacing w:after="60" w:line="240" w:lineRule="auto"/>
        <w:ind w:left="240" w:hanging="240" w:hangingChars="100"/>
        <w:jc w:val="both"/>
        <w:textAlignment w:val="auto"/>
        <w:rPr>
          <w:rFonts w:hint="eastAsia" w:ascii="Times New Roman" w:hAnsi="Times New Roman" w:eastAsia="宋体" w:cs="Times New Roman"/>
          <w:sz w:val="24"/>
          <w:szCs w:val="24"/>
          <w:highlight w:val="none"/>
          <w:lang w:val="en-US" w:eastAsia="zh-CN" w:bidi="ar-SA"/>
        </w:rPr>
      </w:pPr>
      <w:r>
        <w:rPr>
          <w:rFonts w:hint="eastAsia"/>
          <w:sz w:val="24"/>
          <w:szCs w:val="24"/>
          <w:highlight w:val="none"/>
          <w:lang w:val="en-US" w:eastAsia="zh-CN"/>
        </w:rPr>
        <w:t>78</w:t>
      </w:r>
      <w:r>
        <w:rPr>
          <w:sz w:val="24"/>
          <w:szCs w:val="24"/>
          <w:highlight w:val="none"/>
        </w:rPr>
        <w:t>.</w:t>
      </w:r>
      <w:r>
        <w:rPr>
          <w:rFonts w:hint="eastAsia"/>
          <w:sz w:val="24"/>
          <w:szCs w:val="24"/>
          <w:highlight w:val="none"/>
        </w:rPr>
        <w:t xml:space="preserve"> </w:t>
      </w:r>
      <w:r>
        <w:rPr>
          <w:rFonts w:hint="eastAsia" w:ascii="Times New Roman" w:hAnsi="Times New Roman" w:eastAsia="宋体" w:cs="Times New Roman"/>
          <w:sz w:val="24"/>
          <w:szCs w:val="24"/>
          <w:highlight w:val="none"/>
          <w:lang w:val="en-US" w:eastAsia="zh-CN" w:bidi="ar-SA"/>
        </w:rPr>
        <w:t>Kolobova, K.</w:t>
      </w:r>
      <w:r>
        <w:rPr>
          <w:rFonts w:hint="eastAsia" w:cs="Times New Roman"/>
          <w:sz w:val="24"/>
          <w:szCs w:val="24"/>
          <w:highlight w:val="none"/>
          <w:lang w:val="en-US" w:eastAsia="zh-CN" w:bidi="ar-SA"/>
        </w:rPr>
        <w:t xml:space="preserve"> </w:t>
      </w:r>
      <w:r>
        <w:rPr>
          <w:rFonts w:hint="eastAsia"/>
          <w:i/>
          <w:iCs/>
          <w:sz w:val="24"/>
          <w:szCs w:val="24"/>
          <w:lang w:val="en-US" w:eastAsia="zh-CN"/>
        </w:rPr>
        <w:t>et al.</w:t>
      </w:r>
      <w:r>
        <w:rPr>
          <w:rFonts w:hint="eastAsia" w:ascii="Times New Roman" w:hAnsi="Times New Roman" w:eastAsia="宋体" w:cs="Times New Roman"/>
          <w:sz w:val="24"/>
          <w:szCs w:val="24"/>
          <w:highlight w:val="none"/>
          <w:lang w:val="en-US" w:eastAsia="zh-CN" w:bidi="ar-SA"/>
        </w:rPr>
        <w:t xml:space="preserve"> The </w:t>
      </w:r>
      <w:r>
        <w:rPr>
          <w:rFonts w:hint="eastAsia" w:cs="Times New Roman"/>
          <w:sz w:val="24"/>
          <w:szCs w:val="24"/>
          <w:highlight w:val="none"/>
          <w:lang w:val="en-US" w:eastAsia="zh-CN" w:bidi="ar-SA"/>
        </w:rPr>
        <w:t>a</w:t>
      </w:r>
      <w:r>
        <w:rPr>
          <w:rFonts w:hint="eastAsia" w:ascii="Times New Roman" w:hAnsi="Times New Roman" w:eastAsia="宋体" w:cs="Times New Roman"/>
          <w:sz w:val="24"/>
          <w:szCs w:val="24"/>
          <w:highlight w:val="none"/>
          <w:lang w:val="en-US" w:eastAsia="zh-CN" w:bidi="ar-SA"/>
        </w:rPr>
        <w:t xml:space="preserve">pplication of </w:t>
      </w:r>
      <w:r>
        <w:rPr>
          <w:rFonts w:hint="eastAsia" w:cs="Times New Roman"/>
          <w:sz w:val="24"/>
          <w:szCs w:val="24"/>
          <w:highlight w:val="none"/>
          <w:lang w:val="en-US" w:eastAsia="zh-CN" w:bidi="ar-SA"/>
        </w:rPr>
        <w:t>g</w:t>
      </w:r>
      <w:r>
        <w:rPr>
          <w:rFonts w:hint="eastAsia" w:ascii="Times New Roman" w:hAnsi="Times New Roman" w:eastAsia="宋体" w:cs="Times New Roman"/>
          <w:sz w:val="24"/>
          <w:szCs w:val="24"/>
          <w:highlight w:val="none"/>
          <w:lang w:val="en-US" w:eastAsia="zh-CN" w:bidi="ar-SA"/>
        </w:rPr>
        <w:t>eometric-</w:t>
      </w:r>
      <w:r>
        <w:rPr>
          <w:rFonts w:hint="eastAsia" w:cs="Times New Roman"/>
          <w:sz w:val="24"/>
          <w:szCs w:val="24"/>
          <w:highlight w:val="none"/>
          <w:lang w:val="en-US" w:eastAsia="zh-CN" w:bidi="ar-SA"/>
        </w:rPr>
        <w:t>m</w:t>
      </w:r>
      <w:r>
        <w:rPr>
          <w:rFonts w:hint="eastAsia" w:ascii="Times New Roman" w:hAnsi="Times New Roman" w:eastAsia="宋体" w:cs="Times New Roman"/>
          <w:sz w:val="24"/>
          <w:szCs w:val="24"/>
          <w:highlight w:val="none"/>
          <w:lang w:val="en-US" w:eastAsia="zh-CN" w:bidi="ar-SA"/>
        </w:rPr>
        <w:t xml:space="preserve">orphometric </w:t>
      </w:r>
      <w:r>
        <w:rPr>
          <w:rFonts w:hint="eastAsia" w:cs="Times New Roman"/>
          <w:sz w:val="24"/>
          <w:szCs w:val="24"/>
          <w:highlight w:val="none"/>
          <w:lang w:val="en-US" w:eastAsia="zh-CN" w:bidi="ar-SA"/>
        </w:rPr>
        <w:t>s</w:t>
      </w:r>
      <w:r>
        <w:rPr>
          <w:rFonts w:hint="eastAsia" w:ascii="Times New Roman" w:hAnsi="Times New Roman" w:eastAsia="宋体" w:cs="Times New Roman"/>
          <w:sz w:val="24"/>
          <w:szCs w:val="24"/>
          <w:highlight w:val="none"/>
          <w:lang w:val="en-US" w:eastAsia="zh-CN" w:bidi="ar-SA"/>
        </w:rPr>
        <w:t xml:space="preserve">hape </w:t>
      </w:r>
      <w:r>
        <w:rPr>
          <w:rFonts w:hint="eastAsia" w:cs="Times New Roman"/>
          <w:sz w:val="24"/>
          <w:szCs w:val="24"/>
          <w:highlight w:val="none"/>
          <w:lang w:val="en-US" w:eastAsia="zh-CN" w:bidi="ar-SA"/>
        </w:rPr>
        <w:t>a</w:t>
      </w:r>
      <w:r>
        <w:rPr>
          <w:rFonts w:hint="eastAsia" w:ascii="Times New Roman" w:hAnsi="Times New Roman" w:eastAsia="宋体" w:cs="Times New Roman"/>
          <w:sz w:val="24"/>
          <w:szCs w:val="24"/>
          <w:highlight w:val="none"/>
          <w:lang w:val="en-US" w:eastAsia="zh-CN" w:bidi="ar-SA"/>
        </w:rPr>
        <w:t xml:space="preserve">nalysis to Middle Paleolithic </w:t>
      </w:r>
      <w:r>
        <w:rPr>
          <w:rFonts w:hint="eastAsia" w:cs="Times New Roman"/>
          <w:sz w:val="24"/>
          <w:szCs w:val="24"/>
          <w:highlight w:val="none"/>
          <w:lang w:val="en-US" w:eastAsia="zh-CN" w:bidi="ar-SA"/>
        </w:rPr>
        <w:t>b</w:t>
      </w:r>
      <w:r>
        <w:rPr>
          <w:rFonts w:hint="eastAsia" w:ascii="Times New Roman" w:hAnsi="Times New Roman" w:eastAsia="宋体" w:cs="Times New Roman"/>
          <w:sz w:val="24"/>
          <w:szCs w:val="24"/>
          <w:highlight w:val="none"/>
          <w:lang w:val="en-US" w:eastAsia="zh-CN" w:bidi="ar-SA"/>
        </w:rPr>
        <w:t xml:space="preserve">one </w:t>
      </w:r>
      <w:r>
        <w:rPr>
          <w:rFonts w:hint="eastAsia" w:cs="Times New Roman"/>
          <w:sz w:val="24"/>
          <w:szCs w:val="24"/>
          <w:highlight w:val="none"/>
          <w:lang w:val="en-US" w:eastAsia="zh-CN" w:bidi="ar-SA"/>
        </w:rPr>
        <w:t>r</w:t>
      </w:r>
      <w:r>
        <w:rPr>
          <w:rFonts w:hint="eastAsia" w:ascii="Times New Roman" w:hAnsi="Times New Roman" w:eastAsia="宋体" w:cs="Times New Roman"/>
          <w:sz w:val="24"/>
          <w:szCs w:val="24"/>
          <w:highlight w:val="none"/>
          <w:lang w:val="en-US" w:eastAsia="zh-CN" w:bidi="ar-SA"/>
        </w:rPr>
        <w:t xml:space="preserve">etouchers from the Altai Mountains, Russia. </w:t>
      </w:r>
      <w:r>
        <w:rPr>
          <w:rFonts w:hint="eastAsia" w:ascii="Times New Roman" w:hAnsi="Times New Roman" w:eastAsia="宋体" w:cs="Times New Roman"/>
          <w:i/>
          <w:iCs/>
          <w:sz w:val="24"/>
          <w:szCs w:val="24"/>
          <w:highlight w:val="none"/>
          <w:lang w:val="en-US" w:eastAsia="zh-CN" w:bidi="ar-SA"/>
        </w:rPr>
        <w:t xml:space="preserve">Quat. Int. </w:t>
      </w:r>
      <w:r>
        <w:rPr>
          <w:rFonts w:hint="eastAsia" w:ascii="Times New Roman" w:hAnsi="Times New Roman" w:eastAsia="宋体" w:cs="Times New Roman"/>
          <w:b/>
          <w:bCs/>
          <w:sz w:val="24"/>
          <w:szCs w:val="24"/>
          <w:highlight w:val="none"/>
          <w:lang w:val="en-US" w:eastAsia="zh-CN" w:bidi="ar-SA"/>
        </w:rPr>
        <w:t>559</w:t>
      </w:r>
      <w:r>
        <w:rPr>
          <w:rFonts w:hint="eastAsia" w:ascii="Times New Roman" w:hAnsi="Times New Roman" w:eastAsia="宋体" w:cs="Times New Roman"/>
          <w:sz w:val="24"/>
          <w:szCs w:val="24"/>
          <w:highlight w:val="none"/>
          <w:lang w:val="en-US" w:eastAsia="zh-CN" w:bidi="ar-SA"/>
        </w:rPr>
        <w:t>, 89</w:t>
      </w:r>
      <w:r>
        <w:rPr>
          <w:sz w:val="24"/>
          <w:szCs w:val="24"/>
        </w:rPr>
        <w:t>–</w:t>
      </w:r>
      <w:r>
        <w:rPr>
          <w:rFonts w:hint="eastAsia" w:ascii="Times New Roman" w:hAnsi="Times New Roman" w:eastAsia="宋体" w:cs="Times New Roman"/>
          <w:sz w:val="24"/>
          <w:szCs w:val="24"/>
          <w:highlight w:val="none"/>
          <w:lang w:val="en-US" w:eastAsia="zh-CN" w:bidi="ar-SA"/>
        </w:rPr>
        <w:t>96 (2020).</w:t>
      </w:r>
    </w:p>
    <w:p w14:paraId="52FEBA11">
      <w:pPr>
        <w:keepNext w:val="0"/>
        <w:keepLines w:val="0"/>
        <w:pageBreakBefore w:val="0"/>
        <w:widowControl/>
        <w:kinsoku/>
        <w:wordWrap/>
        <w:overflowPunct/>
        <w:topLinePunct w:val="0"/>
        <w:autoSpaceDE/>
        <w:autoSpaceDN/>
        <w:bidi w:val="0"/>
        <w:adjustRightInd/>
        <w:snapToGrid w:val="0"/>
        <w:spacing w:after="60" w:line="240" w:lineRule="auto"/>
        <w:ind w:left="240" w:hanging="240" w:hangingChars="100"/>
        <w:jc w:val="both"/>
        <w:textAlignment w:val="auto"/>
        <w:rPr>
          <w:rFonts w:hint="eastAsia" w:ascii="Times New Roman" w:hAnsi="Times New Roman" w:eastAsia="宋体" w:cs="Times New Roman"/>
          <w:sz w:val="24"/>
          <w:szCs w:val="24"/>
          <w:highlight w:val="none"/>
          <w:lang w:val="en-US" w:eastAsia="zh-CN" w:bidi="ar-SA"/>
        </w:rPr>
      </w:pPr>
      <w:r>
        <w:rPr>
          <w:rFonts w:hint="eastAsia"/>
          <w:sz w:val="24"/>
          <w:szCs w:val="24"/>
          <w:highlight w:val="none"/>
          <w:lang w:val="en-US" w:eastAsia="zh-CN"/>
        </w:rPr>
        <w:t>79</w:t>
      </w:r>
      <w:r>
        <w:rPr>
          <w:sz w:val="24"/>
          <w:szCs w:val="24"/>
          <w:highlight w:val="none"/>
        </w:rPr>
        <w:t>.</w:t>
      </w:r>
      <w:r>
        <w:rPr>
          <w:rFonts w:hint="eastAsia"/>
          <w:sz w:val="24"/>
          <w:szCs w:val="24"/>
          <w:highlight w:val="none"/>
        </w:rPr>
        <w:t xml:space="preserve"> </w:t>
      </w:r>
      <w:r>
        <w:rPr>
          <w:rFonts w:hint="eastAsia" w:ascii="Times New Roman" w:hAnsi="Times New Roman" w:eastAsia="宋体" w:cs="Times New Roman"/>
          <w:sz w:val="24"/>
          <w:szCs w:val="24"/>
          <w:highlight w:val="none"/>
          <w:lang w:val="en-US" w:eastAsia="zh-CN" w:bidi="ar-SA"/>
        </w:rPr>
        <w:t xml:space="preserve">Ma, S. &amp; Doyon, L. Animals for </w:t>
      </w:r>
      <w:r>
        <w:rPr>
          <w:rFonts w:hint="eastAsia" w:cs="Times New Roman"/>
          <w:sz w:val="24"/>
          <w:szCs w:val="24"/>
          <w:highlight w:val="none"/>
          <w:lang w:val="en-US" w:eastAsia="zh-CN" w:bidi="ar-SA"/>
        </w:rPr>
        <w:t>t</w:t>
      </w:r>
      <w:r>
        <w:rPr>
          <w:rFonts w:hint="eastAsia" w:ascii="Times New Roman" w:hAnsi="Times New Roman" w:eastAsia="宋体" w:cs="Times New Roman"/>
          <w:sz w:val="24"/>
          <w:szCs w:val="24"/>
          <w:highlight w:val="none"/>
          <w:lang w:val="en-US" w:eastAsia="zh-CN" w:bidi="ar-SA"/>
        </w:rPr>
        <w:t xml:space="preserve">ools: The </w:t>
      </w:r>
      <w:r>
        <w:rPr>
          <w:rFonts w:hint="eastAsia" w:cs="Times New Roman"/>
          <w:sz w:val="24"/>
          <w:szCs w:val="24"/>
          <w:highlight w:val="none"/>
          <w:lang w:val="en-US" w:eastAsia="zh-CN" w:bidi="ar-SA"/>
        </w:rPr>
        <w:t>o</w:t>
      </w:r>
      <w:r>
        <w:rPr>
          <w:rFonts w:hint="eastAsia" w:ascii="Times New Roman" w:hAnsi="Times New Roman" w:eastAsia="宋体" w:cs="Times New Roman"/>
          <w:sz w:val="24"/>
          <w:szCs w:val="24"/>
          <w:highlight w:val="none"/>
          <w:lang w:val="en-US" w:eastAsia="zh-CN" w:bidi="ar-SA"/>
        </w:rPr>
        <w:t xml:space="preserve">rigin and </w:t>
      </w:r>
      <w:r>
        <w:rPr>
          <w:rFonts w:hint="eastAsia" w:cs="Times New Roman"/>
          <w:sz w:val="24"/>
          <w:szCs w:val="24"/>
          <w:highlight w:val="none"/>
          <w:lang w:val="en-US" w:eastAsia="zh-CN" w:bidi="ar-SA"/>
        </w:rPr>
        <w:t>d</w:t>
      </w:r>
      <w:r>
        <w:rPr>
          <w:rFonts w:hint="eastAsia" w:ascii="Times New Roman" w:hAnsi="Times New Roman" w:eastAsia="宋体" w:cs="Times New Roman"/>
          <w:sz w:val="24"/>
          <w:szCs w:val="24"/>
          <w:highlight w:val="none"/>
          <w:lang w:val="en-US" w:eastAsia="zh-CN" w:bidi="ar-SA"/>
        </w:rPr>
        <w:t xml:space="preserve">evelopment of </w:t>
      </w:r>
      <w:r>
        <w:rPr>
          <w:rFonts w:hint="eastAsia" w:cs="Times New Roman"/>
          <w:sz w:val="24"/>
          <w:szCs w:val="24"/>
          <w:highlight w:val="none"/>
          <w:lang w:val="en-US" w:eastAsia="zh-CN" w:bidi="ar-SA"/>
        </w:rPr>
        <w:t>b</w:t>
      </w:r>
      <w:r>
        <w:rPr>
          <w:rFonts w:hint="eastAsia" w:ascii="Times New Roman" w:hAnsi="Times New Roman" w:eastAsia="宋体" w:cs="Times New Roman"/>
          <w:sz w:val="24"/>
          <w:szCs w:val="24"/>
          <w:highlight w:val="none"/>
          <w:lang w:val="en-US" w:eastAsia="zh-CN" w:bidi="ar-SA"/>
        </w:rPr>
        <w:t xml:space="preserve">one </w:t>
      </w:r>
      <w:r>
        <w:rPr>
          <w:rFonts w:hint="eastAsia" w:cs="Times New Roman"/>
          <w:sz w:val="24"/>
          <w:szCs w:val="24"/>
          <w:highlight w:val="none"/>
          <w:lang w:val="en-US" w:eastAsia="zh-CN" w:bidi="ar-SA"/>
        </w:rPr>
        <w:t>t</w:t>
      </w:r>
      <w:r>
        <w:rPr>
          <w:rFonts w:hint="eastAsia" w:ascii="Times New Roman" w:hAnsi="Times New Roman" w:eastAsia="宋体" w:cs="Times New Roman"/>
          <w:sz w:val="24"/>
          <w:szCs w:val="24"/>
          <w:highlight w:val="none"/>
          <w:lang w:val="en-US" w:eastAsia="zh-CN" w:bidi="ar-SA"/>
        </w:rPr>
        <w:t xml:space="preserve">echnologies in China. </w:t>
      </w:r>
      <w:r>
        <w:rPr>
          <w:rFonts w:hint="eastAsia" w:ascii="Times New Roman" w:hAnsi="Times New Roman" w:eastAsia="宋体" w:cs="Times New Roman"/>
          <w:i/>
          <w:iCs/>
          <w:sz w:val="24"/>
          <w:szCs w:val="24"/>
          <w:highlight w:val="none"/>
          <w:lang w:val="en-US" w:eastAsia="zh-CN" w:bidi="ar-SA"/>
        </w:rPr>
        <w:t>Front. Earth Sci.</w:t>
      </w:r>
      <w:r>
        <w:rPr>
          <w:rFonts w:hint="eastAsia" w:ascii="Times New Roman" w:hAnsi="Times New Roman" w:eastAsia="宋体" w:cs="Times New Roman"/>
          <w:sz w:val="24"/>
          <w:szCs w:val="24"/>
          <w:highlight w:val="none"/>
          <w:lang w:val="en-US" w:eastAsia="zh-CN" w:bidi="ar-SA"/>
        </w:rPr>
        <w:t xml:space="preserve"> </w:t>
      </w:r>
      <w:r>
        <w:rPr>
          <w:rFonts w:hint="eastAsia" w:ascii="Times New Roman" w:hAnsi="Times New Roman" w:eastAsia="宋体" w:cs="Times New Roman"/>
          <w:b/>
          <w:bCs/>
          <w:sz w:val="24"/>
          <w:szCs w:val="24"/>
          <w:highlight w:val="none"/>
          <w:lang w:val="en-US" w:eastAsia="zh-CN" w:bidi="ar-SA"/>
        </w:rPr>
        <w:t>9</w:t>
      </w:r>
      <w:r>
        <w:rPr>
          <w:rFonts w:hint="eastAsia" w:ascii="Times New Roman" w:hAnsi="Times New Roman" w:eastAsia="宋体" w:cs="Times New Roman"/>
          <w:sz w:val="24"/>
          <w:szCs w:val="24"/>
          <w:highlight w:val="none"/>
          <w:lang w:val="en-US" w:eastAsia="zh-CN" w:bidi="ar-SA"/>
        </w:rPr>
        <w:t>, 1138 (2021).</w:t>
      </w:r>
    </w:p>
    <w:p w14:paraId="0C04AB0D">
      <w:pPr>
        <w:keepNext w:val="0"/>
        <w:keepLines w:val="0"/>
        <w:pageBreakBefore w:val="0"/>
        <w:widowControl/>
        <w:kinsoku/>
        <w:wordWrap/>
        <w:overflowPunct/>
        <w:topLinePunct w:val="0"/>
        <w:autoSpaceDE/>
        <w:autoSpaceDN/>
        <w:bidi w:val="0"/>
        <w:adjustRightInd/>
        <w:snapToGrid w:val="0"/>
        <w:spacing w:after="60" w:line="240" w:lineRule="auto"/>
        <w:ind w:left="240" w:hanging="240" w:hangingChars="100"/>
        <w:jc w:val="both"/>
        <w:textAlignment w:val="auto"/>
        <w:rPr>
          <w:rFonts w:hint="eastAsia" w:ascii="Times New Roman" w:hAnsi="Times New Roman" w:eastAsia="宋体" w:cs="Times New Roman"/>
          <w:sz w:val="24"/>
          <w:szCs w:val="24"/>
          <w:highlight w:val="none"/>
          <w:lang w:val="en-US" w:eastAsia="zh-CN" w:bidi="ar-SA"/>
        </w:rPr>
      </w:pPr>
      <w:r>
        <w:rPr>
          <w:rFonts w:hint="eastAsia"/>
          <w:sz w:val="24"/>
          <w:szCs w:val="24"/>
          <w:highlight w:val="none"/>
          <w:lang w:val="en-US" w:eastAsia="zh-CN"/>
        </w:rPr>
        <w:t>80</w:t>
      </w:r>
      <w:r>
        <w:rPr>
          <w:sz w:val="24"/>
          <w:szCs w:val="24"/>
          <w:highlight w:val="none"/>
        </w:rPr>
        <w:t>.</w:t>
      </w:r>
      <w:r>
        <w:rPr>
          <w:rFonts w:hint="eastAsia"/>
          <w:sz w:val="24"/>
          <w:szCs w:val="24"/>
          <w:highlight w:val="none"/>
        </w:rPr>
        <w:t xml:space="preserve"> </w:t>
      </w:r>
      <w:r>
        <w:rPr>
          <w:rFonts w:hint="eastAsia" w:ascii="Times New Roman" w:hAnsi="Times New Roman" w:eastAsia="宋体" w:cs="Times New Roman"/>
          <w:sz w:val="24"/>
          <w:szCs w:val="24"/>
          <w:highlight w:val="none"/>
          <w:lang w:val="en-US" w:eastAsia="zh-CN" w:bidi="ar-SA"/>
        </w:rPr>
        <w:t>Martellotta, E. F.</w:t>
      </w:r>
      <w:r>
        <w:rPr>
          <w:rFonts w:hint="eastAsia" w:cs="Times New Roman"/>
          <w:sz w:val="24"/>
          <w:szCs w:val="24"/>
          <w:highlight w:val="none"/>
          <w:lang w:val="en-US" w:eastAsia="zh-CN" w:bidi="ar-SA"/>
        </w:rPr>
        <w:t xml:space="preserve"> </w:t>
      </w:r>
      <w:r>
        <w:rPr>
          <w:rFonts w:hint="eastAsia"/>
          <w:i/>
          <w:iCs/>
          <w:sz w:val="24"/>
          <w:szCs w:val="24"/>
          <w:lang w:val="en-US" w:eastAsia="zh-CN"/>
        </w:rPr>
        <w:t>et al.</w:t>
      </w:r>
      <w:r>
        <w:rPr>
          <w:rFonts w:hint="eastAsia" w:ascii="Times New Roman" w:hAnsi="Times New Roman" w:eastAsia="宋体" w:cs="Times New Roman"/>
          <w:sz w:val="24"/>
          <w:szCs w:val="24"/>
          <w:highlight w:val="none"/>
          <w:lang w:val="en-US" w:eastAsia="zh-CN" w:bidi="ar-SA"/>
        </w:rPr>
        <w:t xml:space="preserve"> The </w:t>
      </w:r>
      <w:r>
        <w:rPr>
          <w:rFonts w:hint="eastAsia" w:cs="Times New Roman"/>
          <w:sz w:val="24"/>
          <w:szCs w:val="24"/>
          <w:highlight w:val="none"/>
          <w:lang w:val="en-US" w:eastAsia="zh-CN" w:bidi="ar-SA"/>
        </w:rPr>
        <w:t>u</w:t>
      </w:r>
      <w:r>
        <w:rPr>
          <w:rFonts w:hint="eastAsia" w:ascii="Times New Roman" w:hAnsi="Times New Roman" w:eastAsia="宋体" w:cs="Times New Roman"/>
          <w:sz w:val="24"/>
          <w:szCs w:val="24"/>
          <w:highlight w:val="none"/>
          <w:lang w:val="en-US" w:eastAsia="zh-CN" w:bidi="ar-SA"/>
        </w:rPr>
        <w:t xml:space="preserve">se of </w:t>
      </w:r>
      <w:r>
        <w:rPr>
          <w:rFonts w:hint="eastAsia" w:cs="Times New Roman"/>
          <w:sz w:val="24"/>
          <w:szCs w:val="24"/>
          <w:highlight w:val="none"/>
          <w:lang w:val="en-US" w:eastAsia="zh-CN" w:bidi="ar-SA"/>
        </w:rPr>
        <w:t>b</w:t>
      </w:r>
      <w:r>
        <w:rPr>
          <w:rFonts w:hint="eastAsia" w:ascii="Times New Roman" w:hAnsi="Times New Roman" w:eastAsia="宋体" w:cs="Times New Roman"/>
          <w:sz w:val="24"/>
          <w:szCs w:val="24"/>
          <w:highlight w:val="none"/>
          <w:lang w:val="en-US" w:eastAsia="zh-CN" w:bidi="ar-SA"/>
        </w:rPr>
        <w:t xml:space="preserve">one </w:t>
      </w:r>
      <w:r>
        <w:rPr>
          <w:rFonts w:hint="eastAsia" w:cs="Times New Roman"/>
          <w:sz w:val="24"/>
          <w:szCs w:val="24"/>
          <w:highlight w:val="none"/>
          <w:lang w:val="en-US" w:eastAsia="zh-CN" w:bidi="ar-SA"/>
        </w:rPr>
        <w:t>r</w:t>
      </w:r>
      <w:r>
        <w:rPr>
          <w:rFonts w:hint="eastAsia" w:ascii="Times New Roman" w:hAnsi="Times New Roman" w:eastAsia="宋体" w:cs="Times New Roman"/>
          <w:sz w:val="24"/>
          <w:szCs w:val="24"/>
          <w:highlight w:val="none"/>
          <w:lang w:val="en-US" w:eastAsia="zh-CN" w:bidi="ar-SA"/>
        </w:rPr>
        <w:t xml:space="preserve">etouchers in a Mousterian </w:t>
      </w:r>
      <w:r>
        <w:rPr>
          <w:rFonts w:hint="eastAsia" w:cs="Times New Roman"/>
          <w:sz w:val="24"/>
          <w:szCs w:val="24"/>
          <w:highlight w:val="none"/>
          <w:lang w:val="en-US" w:eastAsia="zh-CN" w:bidi="ar-SA"/>
        </w:rPr>
        <w:t>c</w:t>
      </w:r>
      <w:r>
        <w:rPr>
          <w:rFonts w:hint="eastAsia" w:ascii="Times New Roman" w:hAnsi="Times New Roman" w:eastAsia="宋体" w:cs="Times New Roman"/>
          <w:sz w:val="24"/>
          <w:szCs w:val="24"/>
          <w:highlight w:val="none"/>
          <w:lang w:val="en-US" w:eastAsia="zh-CN" w:bidi="ar-SA"/>
        </w:rPr>
        <w:t xml:space="preserve">ontext of </w:t>
      </w:r>
      <w:r>
        <w:rPr>
          <w:rFonts w:hint="eastAsia" w:cs="Times New Roman"/>
          <w:sz w:val="24"/>
          <w:szCs w:val="24"/>
          <w:highlight w:val="none"/>
          <w:lang w:val="en-US" w:eastAsia="zh-CN" w:bidi="ar-SA"/>
        </w:rPr>
        <w:t>d</w:t>
      </w:r>
      <w:r>
        <w:rPr>
          <w:rFonts w:hint="eastAsia" w:ascii="Times New Roman" w:hAnsi="Times New Roman" w:eastAsia="宋体" w:cs="Times New Roman"/>
          <w:sz w:val="24"/>
          <w:szCs w:val="24"/>
          <w:highlight w:val="none"/>
          <w:lang w:val="en-US" w:eastAsia="zh-CN" w:bidi="ar-SA"/>
        </w:rPr>
        <w:t xml:space="preserve">iscoid </w:t>
      </w:r>
      <w:r>
        <w:rPr>
          <w:rFonts w:hint="eastAsia" w:cs="Times New Roman"/>
          <w:sz w:val="24"/>
          <w:szCs w:val="24"/>
          <w:highlight w:val="none"/>
          <w:lang w:val="en-US" w:eastAsia="zh-CN" w:bidi="ar-SA"/>
        </w:rPr>
        <w:t>l</w:t>
      </w:r>
      <w:r>
        <w:rPr>
          <w:rFonts w:hint="eastAsia" w:ascii="Times New Roman" w:hAnsi="Times New Roman" w:eastAsia="宋体" w:cs="Times New Roman"/>
          <w:sz w:val="24"/>
          <w:szCs w:val="24"/>
          <w:highlight w:val="none"/>
          <w:lang w:val="en-US" w:eastAsia="zh-CN" w:bidi="ar-SA"/>
        </w:rPr>
        <w:t xml:space="preserve">ithic </w:t>
      </w:r>
      <w:r>
        <w:rPr>
          <w:rFonts w:hint="eastAsia" w:cs="Times New Roman"/>
          <w:sz w:val="24"/>
          <w:szCs w:val="24"/>
          <w:highlight w:val="none"/>
          <w:lang w:val="en-US" w:eastAsia="zh-CN" w:bidi="ar-SA"/>
        </w:rPr>
        <w:t>t</w:t>
      </w:r>
      <w:r>
        <w:rPr>
          <w:rFonts w:hint="eastAsia" w:ascii="Times New Roman" w:hAnsi="Times New Roman" w:eastAsia="宋体" w:cs="Times New Roman"/>
          <w:sz w:val="24"/>
          <w:szCs w:val="24"/>
          <w:highlight w:val="none"/>
          <w:lang w:val="en-US" w:eastAsia="zh-CN" w:bidi="ar-SA"/>
        </w:rPr>
        <w:t xml:space="preserve">echnology. </w:t>
      </w:r>
      <w:r>
        <w:rPr>
          <w:rFonts w:hint="eastAsia" w:ascii="Times New Roman" w:hAnsi="Times New Roman" w:eastAsia="宋体" w:cs="Times New Roman"/>
          <w:i/>
          <w:iCs/>
          <w:sz w:val="24"/>
          <w:szCs w:val="24"/>
          <w:highlight w:val="none"/>
          <w:lang w:val="en-US" w:eastAsia="zh-CN" w:bidi="ar-SA"/>
        </w:rPr>
        <w:t>Archaeol. Anthropol. Sci.</w:t>
      </w:r>
      <w:r>
        <w:rPr>
          <w:rFonts w:hint="eastAsia" w:ascii="Times New Roman" w:hAnsi="Times New Roman" w:eastAsia="宋体" w:cs="Times New Roman"/>
          <w:sz w:val="24"/>
          <w:szCs w:val="24"/>
          <w:highlight w:val="none"/>
          <w:lang w:val="en-US" w:eastAsia="zh-CN" w:bidi="ar-SA"/>
        </w:rPr>
        <w:t xml:space="preserve"> </w:t>
      </w:r>
      <w:r>
        <w:rPr>
          <w:rFonts w:hint="eastAsia" w:ascii="Times New Roman" w:hAnsi="Times New Roman" w:eastAsia="宋体" w:cs="Times New Roman"/>
          <w:b/>
          <w:bCs/>
          <w:sz w:val="24"/>
          <w:szCs w:val="24"/>
          <w:highlight w:val="none"/>
          <w:lang w:val="en-US" w:eastAsia="zh-CN" w:bidi="ar-SA"/>
        </w:rPr>
        <w:t>12</w:t>
      </w:r>
      <w:r>
        <w:rPr>
          <w:rFonts w:hint="eastAsia" w:ascii="Times New Roman" w:hAnsi="Times New Roman" w:eastAsia="宋体" w:cs="Times New Roman"/>
          <w:sz w:val="24"/>
          <w:szCs w:val="24"/>
          <w:highlight w:val="none"/>
          <w:lang w:val="en-US" w:eastAsia="zh-CN" w:bidi="ar-SA"/>
        </w:rPr>
        <w:t>, 228 (2020).</w:t>
      </w:r>
    </w:p>
    <w:p w14:paraId="6776BA64">
      <w:pPr>
        <w:keepNext w:val="0"/>
        <w:keepLines w:val="0"/>
        <w:pageBreakBefore w:val="0"/>
        <w:widowControl/>
        <w:kinsoku/>
        <w:wordWrap/>
        <w:overflowPunct/>
        <w:topLinePunct w:val="0"/>
        <w:autoSpaceDE/>
        <w:autoSpaceDN/>
        <w:bidi w:val="0"/>
        <w:adjustRightInd/>
        <w:snapToGrid w:val="0"/>
        <w:spacing w:after="60" w:line="240" w:lineRule="auto"/>
        <w:ind w:left="240" w:hanging="240" w:hangingChars="100"/>
        <w:jc w:val="both"/>
        <w:textAlignment w:val="auto"/>
        <w:rPr>
          <w:rFonts w:hint="eastAsia" w:ascii="Times New Roman" w:hAnsi="Times New Roman" w:eastAsia="宋体" w:cs="Times New Roman"/>
          <w:sz w:val="24"/>
          <w:szCs w:val="24"/>
          <w:highlight w:val="none"/>
          <w:lang w:val="en-US" w:eastAsia="zh-CN" w:bidi="ar-SA"/>
        </w:rPr>
      </w:pPr>
      <w:r>
        <w:rPr>
          <w:rFonts w:hint="eastAsia"/>
          <w:sz w:val="24"/>
          <w:szCs w:val="24"/>
          <w:highlight w:val="none"/>
          <w:lang w:val="en-US" w:eastAsia="zh-CN"/>
        </w:rPr>
        <w:t>81</w:t>
      </w:r>
      <w:r>
        <w:rPr>
          <w:sz w:val="24"/>
          <w:szCs w:val="24"/>
          <w:highlight w:val="none"/>
        </w:rPr>
        <w:t>.</w:t>
      </w:r>
      <w:r>
        <w:rPr>
          <w:rFonts w:hint="eastAsia"/>
          <w:sz w:val="24"/>
          <w:szCs w:val="24"/>
          <w:highlight w:val="none"/>
        </w:rPr>
        <w:t xml:space="preserve"> </w:t>
      </w:r>
      <w:r>
        <w:rPr>
          <w:rFonts w:hint="eastAsia" w:ascii="Times New Roman" w:hAnsi="Times New Roman" w:eastAsia="宋体" w:cs="Times New Roman"/>
          <w:sz w:val="24"/>
          <w:szCs w:val="24"/>
          <w:highlight w:val="none"/>
          <w:lang w:val="en-US" w:eastAsia="zh-CN" w:bidi="ar-SA"/>
        </w:rPr>
        <w:t xml:space="preserve">Moncel, M.-H., Moigne, A.-M. &amp; Combier, J. Towards the Middle Palaeolithic in Western Europe: The </w:t>
      </w:r>
      <w:r>
        <w:rPr>
          <w:rFonts w:hint="eastAsia" w:cs="Times New Roman"/>
          <w:sz w:val="24"/>
          <w:szCs w:val="24"/>
          <w:highlight w:val="none"/>
          <w:lang w:val="en-US" w:eastAsia="zh-CN" w:bidi="ar-SA"/>
        </w:rPr>
        <w:t>c</w:t>
      </w:r>
      <w:r>
        <w:rPr>
          <w:rFonts w:hint="eastAsia" w:ascii="Times New Roman" w:hAnsi="Times New Roman" w:eastAsia="宋体" w:cs="Times New Roman"/>
          <w:sz w:val="24"/>
          <w:szCs w:val="24"/>
          <w:highlight w:val="none"/>
          <w:lang w:val="en-US" w:eastAsia="zh-CN" w:bidi="ar-SA"/>
        </w:rPr>
        <w:t>ase of Orgnac 3 (</w:t>
      </w:r>
      <w:r>
        <w:rPr>
          <w:rFonts w:hint="eastAsia" w:cs="Times New Roman"/>
          <w:sz w:val="24"/>
          <w:szCs w:val="24"/>
          <w:highlight w:val="none"/>
          <w:lang w:val="en-US" w:eastAsia="zh-CN" w:bidi="ar-SA"/>
        </w:rPr>
        <w:t>s</w:t>
      </w:r>
      <w:r>
        <w:rPr>
          <w:rFonts w:hint="eastAsia" w:ascii="Times New Roman" w:hAnsi="Times New Roman" w:eastAsia="宋体" w:cs="Times New Roman"/>
          <w:sz w:val="24"/>
          <w:szCs w:val="24"/>
          <w:highlight w:val="none"/>
          <w:lang w:val="en-US" w:eastAsia="zh-CN" w:bidi="ar-SA"/>
        </w:rPr>
        <w:t>outheastern France).</w:t>
      </w:r>
      <w:r>
        <w:rPr>
          <w:rFonts w:hint="eastAsia" w:ascii="Times New Roman" w:hAnsi="Times New Roman" w:eastAsia="宋体" w:cs="Times New Roman"/>
          <w:i/>
          <w:iCs/>
          <w:sz w:val="24"/>
          <w:szCs w:val="24"/>
          <w:highlight w:val="none"/>
          <w:lang w:val="en-US" w:eastAsia="zh-CN" w:bidi="ar-SA"/>
        </w:rPr>
        <w:t xml:space="preserve"> J. Hum. Evol.</w:t>
      </w:r>
      <w:r>
        <w:rPr>
          <w:rFonts w:hint="eastAsia" w:ascii="Times New Roman" w:hAnsi="Times New Roman" w:eastAsia="宋体" w:cs="Times New Roman"/>
          <w:sz w:val="24"/>
          <w:szCs w:val="24"/>
          <w:highlight w:val="none"/>
          <w:lang w:val="en-US" w:eastAsia="zh-CN" w:bidi="ar-SA"/>
        </w:rPr>
        <w:t xml:space="preserve"> </w:t>
      </w:r>
      <w:r>
        <w:rPr>
          <w:rFonts w:hint="eastAsia" w:ascii="Times New Roman" w:hAnsi="Times New Roman" w:eastAsia="宋体" w:cs="Times New Roman"/>
          <w:b/>
          <w:bCs/>
          <w:sz w:val="24"/>
          <w:szCs w:val="24"/>
          <w:highlight w:val="none"/>
          <w:lang w:val="en-US" w:eastAsia="zh-CN" w:bidi="ar-SA"/>
        </w:rPr>
        <w:t>63</w:t>
      </w:r>
      <w:r>
        <w:rPr>
          <w:rFonts w:hint="eastAsia" w:ascii="Times New Roman" w:hAnsi="Times New Roman" w:eastAsia="宋体" w:cs="Times New Roman"/>
          <w:sz w:val="24"/>
          <w:szCs w:val="24"/>
          <w:highlight w:val="none"/>
          <w:lang w:val="en-US" w:eastAsia="zh-CN" w:bidi="ar-SA"/>
        </w:rPr>
        <w:t>, 653</w:t>
      </w:r>
      <w:r>
        <w:rPr>
          <w:sz w:val="24"/>
          <w:szCs w:val="24"/>
        </w:rPr>
        <w:t>–</w:t>
      </w:r>
      <w:r>
        <w:rPr>
          <w:rFonts w:hint="eastAsia" w:ascii="Times New Roman" w:hAnsi="Times New Roman" w:eastAsia="宋体" w:cs="Times New Roman"/>
          <w:sz w:val="24"/>
          <w:szCs w:val="24"/>
          <w:highlight w:val="none"/>
          <w:lang w:val="en-US" w:eastAsia="zh-CN" w:bidi="ar-SA"/>
        </w:rPr>
        <w:t>666 (2012).</w:t>
      </w:r>
    </w:p>
    <w:p w14:paraId="64F8F97F">
      <w:pPr>
        <w:keepNext w:val="0"/>
        <w:keepLines w:val="0"/>
        <w:pageBreakBefore w:val="0"/>
        <w:widowControl/>
        <w:kinsoku/>
        <w:wordWrap/>
        <w:overflowPunct/>
        <w:topLinePunct w:val="0"/>
        <w:autoSpaceDE/>
        <w:autoSpaceDN/>
        <w:bidi w:val="0"/>
        <w:adjustRightInd/>
        <w:snapToGrid w:val="0"/>
        <w:spacing w:after="60" w:line="240" w:lineRule="auto"/>
        <w:ind w:left="240" w:hanging="240" w:hangingChars="100"/>
        <w:jc w:val="both"/>
        <w:textAlignment w:val="auto"/>
        <w:rPr>
          <w:rFonts w:hint="eastAsia" w:ascii="Times New Roman" w:hAnsi="Times New Roman" w:eastAsia="宋体" w:cs="Times New Roman"/>
          <w:sz w:val="24"/>
          <w:szCs w:val="24"/>
          <w:highlight w:val="none"/>
          <w:lang w:val="en-US" w:eastAsia="zh-CN" w:bidi="ar-SA"/>
        </w:rPr>
      </w:pPr>
      <w:r>
        <w:rPr>
          <w:rFonts w:hint="eastAsia"/>
          <w:sz w:val="24"/>
          <w:szCs w:val="24"/>
          <w:highlight w:val="none"/>
          <w:lang w:val="en-US" w:eastAsia="zh-CN"/>
        </w:rPr>
        <w:t>82</w:t>
      </w:r>
      <w:r>
        <w:rPr>
          <w:sz w:val="24"/>
          <w:szCs w:val="24"/>
          <w:highlight w:val="none"/>
        </w:rPr>
        <w:t>.</w:t>
      </w:r>
      <w:r>
        <w:rPr>
          <w:rFonts w:hint="eastAsia"/>
          <w:sz w:val="24"/>
          <w:szCs w:val="24"/>
          <w:highlight w:val="none"/>
        </w:rPr>
        <w:t xml:space="preserve"> </w:t>
      </w:r>
      <w:r>
        <w:rPr>
          <w:rFonts w:hint="eastAsia" w:ascii="Times New Roman" w:hAnsi="Times New Roman" w:eastAsia="宋体" w:cs="Times New Roman"/>
          <w:sz w:val="24"/>
          <w:szCs w:val="24"/>
          <w:highlight w:val="none"/>
          <w:lang w:val="en-US" w:eastAsia="zh-CN" w:bidi="ar-SA"/>
        </w:rPr>
        <w:t xml:space="preserve">Romandini, M., Cristiani, E. &amp; Peresani, M. A </w:t>
      </w:r>
      <w:r>
        <w:rPr>
          <w:rFonts w:hint="eastAsia" w:cs="Times New Roman"/>
          <w:sz w:val="24"/>
          <w:szCs w:val="24"/>
          <w:highlight w:val="none"/>
          <w:lang w:val="en-US" w:eastAsia="zh-CN" w:bidi="ar-SA"/>
        </w:rPr>
        <w:t>r</w:t>
      </w:r>
      <w:r>
        <w:rPr>
          <w:rFonts w:hint="eastAsia" w:ascii="Times New Roman" w:hAnsi="Times New Roman" w:eastAsia="宋体" w:cs="Times New Roman"/>
          <w:sz w:val="24"/>
          <w:szCs w:val="24"/>
          <w:highlight w:val="none"/>
          <w:lang w:val="en-US" w:eastAsia="zh-CN" w:bidi="ar-SA"/>
        </w:rPr>
        <w:t xml:space="preserve">etouched </w:t>
      </w:r>
      <w:r>
        <w:rPr>
          <w:rFonts w:hint="eastAsia" w:cs="Times New Roman"/>
          <w:sz w:val="24"/>
          <w:szCs w:val="24"/>
          <w:highlight w:val="none"/>
          <w:lang w:val="en-US" w:eastAsia="zh-CN" w:bidi="ar-SA"/>
        </w:rPr>
        <w:t>b</w:t>
      </w:r>
      <w:r>
        <w:rPr>
          <w:rFonts w:hint="eastAsia" w:ascii="Times New Roman" w:hAnsi="Times New Roman" w:eastAsia="宋体" w:cs="Times New Roman"/>
          <w:sz w:val="24"/>
          <w:szCs w:val="24"/>
          <w:highlight w:val="none"/>
          <w:lang w:val="en-US" w:eastAsia="zh-CN" w:bidi="ar-SA"/>
        </w:rPr>
        <w:t xml:space="preserve">one </w:t>
      </w:r>
      <w:r>
        <w:rPr>
          <w:rFonts w:hint="eastAsia" w:cs="Times New Roman"/>
          <w:sz w:val="24"/>
          <w:szCs w:val="24"/>
          <w:highlight w:val="none"/>
          <w:lang w:val="en-US" w:eastAsia="zh-CN" w:bidi="ar-SA"/>
        </w:rPr>
        <w:t>s</w:t>
      </w:r>
      <w:r>
        <w:rPr>
          <w:rFonts w:hint="eastAsia" w:ascii="Times New Roman" w:hAnsi="Times New Roman" w:eastAsia="宋体" w:cs="Times New Roman"/>
          <w:sz w:val="24"/>
          <w:szCs w:val="24"/>
          <w:highlight w:val="none"/>
          <w:lang w:val="en-US" w:eastAsia="zh-CN" w:bidi="ar-SA"/>
        </w:rPr>
        <w:t xml:space="preserve">haft from the </w:t>
      </w:r>
      <w:r>
        <w:rPr>
          <w:rFonts w:hint="eastAsia" w:cs="Times New Roman"/>
          <w:sz w:val="24"/>
          <w:szCs w:val="24"/>
          <w:highlight w:val="none"/>
          <w:lang w:val="en-US" w:eastAsia="zh-CN" w:bidi="ar-SA"/>
        </w:rPr>
        <w:t>l</w:t>
      </w:r>
      <w:r>
        <w:rPr>
          <w:rFonts w:hint="eastAsia" w:ascii="Times New Roman" w:hAnsi="Times New Roman" w:eastAsia="宋体" w:cs="Times New Roman"/>
          <w:sz w:val="24"/>
          <w:szCs w:val="24"/>
          <w:highlight w:val="none"/>
          <w:lang w:val="en-US" w:eastAsia="zh-CN" w:bidi="ar-SA"/>
        </w:rPr>
        <w:t xml:space="preserve">ate Mousterian at Fumane Cave (Italy). Technological, </w:t>
      </w:r>
      <w:r>
        <w:rPr>
          <w:rFonts w:hint="eastAsia" w:cs="Times New Roman"/>
          <w:sz w:val="24"/>
          <w:szCs w:val="24"/>
          <w:highlight w:val="none"/>
          <w:lang w:val="en-US" w:eastAsia="zh-CN" w:bidi="ar-SA"/>
        </w:rPr>
        <w:t>e</w:t>
      </w:r>
      <w:r>
        <w:rPr>
          <w:rFonts w:hint="eastAsia" w:ascii="Times New Roman" w:hAnsi="Times New Roman" w:eastAsia="宋体" w:cs="Times New Roman"/>
          <w:sz w:val="24"/>
          <w:szCs w:val="24"/>
          <w:highlight w:val="none"/>
          <w:lang w:val="en-US" w:eastAsia="zh-CN" w:bidi="ar-SA"/>
        </w:rPr>
        <w:t xml:space="preserve">xperimental and </w:t>
      </w:r>
      <w:r>
        <w:rPr>
          <w:rFonts w:hint="eastAsia" w:cs="Times New Roman"/>
          <w:sz w:val="24"/>
          <w:szCs w:val="24"/>
          <w:highlight w:val="none"/>
          <w:lang w:val="en-US" w:eastAsia="zh-CN" w:bidi="ar-SA"/>
        </w:rPr>
        <w:t>m</w:t>
      </w:r>
      <w:r>
        <w:rPr>
          <w:rFonts w:hint="eastAsia" w:ascii="Times New Roman" w:hAnsi="Times New Roman" w:eastAsia="宋体" w:cs="Times New Roman"/>
          <w:sz w:val="24"/>
          <w:szCs w:val="24"/>
          <w:highlight w:val="none"/>
          <w:lang w:val="en-US" w:eastAsia="zh-CN" w:bidi="ar-SA"/>
        </w:rPr>
        <w:t>icro-</w:t>
      </w:r>
      <w:r>
        <w:rPr>
          <w:rFonts w:hint="eastAsia" w:cs="Times New Roman"/>
          <w:sz w:val="24"/>
          <w:szCs w:val="24"/>
          <w:highlight w:val="none"/>
          <w:lang w:val="en-US" w:eastAsia="zh-CN" w:bidi="ar-SA"/>
        </w:rPr>
        <w:t>w</w:t>
      </w:r>
      <w:r>
        <w:rPr>
          <w:rFonts w:hint="eastAsia" w:ascii="Times New Roman" w:hAnsi="Times New Roman" w:eastAsia="宋体" w:cs="Times New Roman"/>
          <w:sz w:val="24"/>
          <w:szCs w:val="24"/>
          <w:highlight w:val="none"/>
          <w:lang w:val="en-US" w:eastAsia="zh-CN" w:bidi="ar-SA"/>
        </w:rPr>
        <w:t xml:space="preserve">ear </w:t>
      </w:r>
      <w:r>
        <w:rPr>
          <w:rFonts w:hint="eastAsia" w:cs="Times New Roman"/>
          <w:sz w:val="24"/>
          <w:szCs w:val="24"/>
          <w:highlight w:val="none"/>
          <w:lang w:val="en-US" w:eastAsia="zh-CN" w:bidi="ar-SA"/>
        </w:rPr>
        <w:t>a</w:t>
      </w:r>
      <w:r>
        <w:rPr>
          <w:rFonts w:hint="eastAsia" w:ascii="Times New Roman" w:hAnsi="Times New Roman" w:eastAsia="宋体" w:cs="Times New Roman"/>
          <w:sz w:val="24"/>
          <w:szCs w:val="24"/>
          <w:highlight w:val="none"/>
          <w:lang w:val="en-US" w:eastAsia="zh-CN" w:bidi="ar-SA"/>
        </w:rPr>
        <w:t xml:space="preserve">nalysis. </w:t>
      </w:r>
      <w:r>
        <w:rPr>
          <w:rFonts w:hint="eastAsia" w:ascii="Times New Roman" w:hAnsi="Times New Roman" w:eastAsia="宋体" w:cs="Times New Roman"/>
          <w:i/>
          <w:iCs/>
          <w:sz w:val="24"/>
          <w:szCs w:val="24"/>
          <w:highlight w:val="none"/>
          <w:lang w:val="en-US" w:eastAsia="zh-CN" w:bidi="ar-SA"/>
        </w:rPr>
        <w:t>C. R. Palevol</w:t>
      </w:r>
      <w:r>
        <w:rPr>
          <w:rFonts w:hint="eastAsia" w:ascii="Times New Roman" w:hAnsi="Times New Roman" w:eastAsia="宋体" w:cs="Times New Roman"/>
          <w:sz w:val="24"/>
          <w:szCs w:val="24"/>
          <w:highlight w:val="none"/>
          <w:lang w:val="en-US" w:eastAsia="zh-CN" w:bidi="ar-SA"/>
        </w:rPr>
        <w:t xml:space="preserve"> </w:t>
      </w:r>
      <w:r>
        <w:rPr>
          <w:rFonts w:hint="eastAsia" w:ascii="Times New Roman" w:hAnsi="Times New Roman" w:eastAsia="宋体" w:cs="Times New Roman"/>
          <w:b/>
          <w:bCs/>
          <w:sz w:val="24"/>
          <w:szCs w:val="24"/>
          <w:highlight w:val="none"/>
          <w:lang w:val="en-US" w:eastAsia="zh-CN" w:bidi="ar-SA"/>
        </w:rPr>
        <w:t>14</w:t>
      </w:r>
      <w:r>
        <w:rPr>
          <w:rFonts w:hint="eastAsia" w:ascii="Times New Roman" w:hAnsi="Times New Roman" w:eastAsia="宋体" w:cs="Times New Roman"/>
          <w:sz w:val="24"/>
          <w:szCs w:val="24"/>
          <w:highlight w:val="none"/>
          <w:lang w:val="en-US" w:eastAsia="zh-CN" w:bidi="ar-SA"/>
        </w:rPr>
        <w:t>, 63</w:t>
      </w:r>
      <w:r>
        <w:rPr>
          <w:sz w:val="24"/>
          <w:szCs w:val="24"/>
        </w:rPr>
        <w:t>–</w:t>
      </w:r>
      <w:r>
        <w:rPr>
          <w:rFonts w:hint="eastAsia" w:ascii="Times New Roman" w:hAnsi="Times New Roman" w:eastAsia="宋体" w:cs="Times New Roman"/>
          <w:sz w:val="24"/>
          <w:szCs w:val="24"/>
          <w:highlight w:val="none"/>
          <w:lang w:val="en-US" w:eastAsia="zh-CN" w:bidi="ar-SA"/>
        </w:rPr>
        <w:t>72 (2015).</w:t>
      </w:r>
    </w:p>
    <w:p w14:paraId="2C28AD22">
      <w:pPr>
        <w:keepNext w:val="0"/>
        <w:keepLines w:val="0"/>
        <w:pageBreakBefore w:val="0"/>
        <w:widowControl/>
        <w:kinsoku/>
        <w:wordWrap/>
        <w:overflowPunct/>
        <w:topLinePunct w:val="0"/>
        <w:autoSpaceDE/>
        <w:autoSpaceDN/>
        <w:bidi w:val="0"/>
        <w:adjustRightInd/>
        <w:snapToGrid w:val="0"/>
        <w:spacing w:after="60" w:line="240" w:lineRule="auto"/>
        <w:ind w:left="240" w:hanging="240" w:hangingChars="100"/>
        <w:jc w:val="both"/>
        <w:textAlignment w:val="auto"/>
        <w:rPr>
          <w:rFonts w:hint="eastAsia" w:ascii="Times New Roman" w:hAnsi="Times New Roman" w:eastAsia="宋体" w:cs="Times New Roman"/>
          <w:sz w:val="24"/>
          <w:szCs w:val="24"/>
          <w:highlight w:val="none"/>
          <w:lang w:val="en-US" w:eastAsia="zh-CN" w:bidi="ar-SA"/>
        </w:rPr>
      </w:pPr>
      <w:r>
        <w:rPr>
          <w:rFonts w:hint="eastAsia"/>
          <w:sz w:val="24"/>
          <w:szCs w:val="24"/>
          <w:highlight w:val="none"/>
          <w:lang w:val="en-US" w:eastAsia="zh-CN"/>
        </w:rPr>
        <w:t>83</w:t>
      </w:r>
      <w:r>
        <w:rPr>
          <w:sz w:val="24"/>
          <w:szCs w:val="24"/>
          <w:highlight w:val="none"/>
        </w:rPr>
        <w:t>.</w:t>
      </w:r>
      <w:r>
        <w:rPr>
          <w:rFonts w:hint="eastAsia"/>
          <w:sz w:val="24"/>
          <w:szCs w:val="24"/>
          <w:highlight w:val="none"/>
        </w:rPr>
        <w:t xml:space="preserve"> </w:t>
      </w:r>
      <w:r>
        <w:rPr>
          <w:rFonts w:hint="eastAsia" w:ascii="Times New Roman" w:hAnsi="Times New Roman" w:eastAsia="宋体" w:cs="Times New Roman"/>
          <w:sz w:val="24"/>
          <w:szCs w:val="24"/>
          <w:highlight w:val="none"/>
          <w:lang w:val="en-US" w:eastAsia="zh-CN" w:bidi="ar-SA"/>
        </w:rPr>
        <w:t>Romero, A. J.</w:t>
      </w:r>
      <w:r>
        <w:rPr>
          <w:rFonts w:hint="eastAsia" w:cs="Times New Roman"/>
          <w:sz w:val="24"/>
          <w:szCs w:val="24"/>
          <w:highlight w:val="none"/>
          <w:lang w:val="en-US" w:eastAsia="zh-CN" w:bidi="ar-SA"/>
        </w:rPr>
        <w:t xml:space="preserve"> </w:t>
      </w:r>
      <w:r>
        <w:rPr>
          <w:rFonts w:hint="eastAsia"/>
          <w:i/>
          <w:iCs/>
          <w:sz w:val="24"/>
          <w:szCs w:val="24"/>
          <w:lang w:val="en-US" w:eastAsia="zh-CN"/>
        </w:rPr>
        <w:t>et al.</w:t>
      </w:r>
      <w:r>
        <w:rPr>
          <w:rFonts w:hint="eastAsia" w:ascii="Times New Roman" w:hAnsi="Times New Roman" w:eastAsia="宋体" w:cs="Times New Roman"/>
          <w:sz w:val="24"/>
          <w:szCs w:val="24"/>
          <w:highlight w:val="none"/>
          <w:lang w:val="en-US" w:eastAsia="zh-CN" w:bidi="ar-SA"/>
        </w:rPr>
        <w:t xml:space="preserve"> Neanderthal </w:t>
      </w:r>
      <w:r>
        <w:rPr>
          <w:rFonts w:hint="eastAsia" w:cs="Times New Roman"/>
          <w:sz w:val="24"/>
          <w:szCs w:val="24"/>
          <w:highlight w:val="none"/>
          <w:lang w:val="en-US" w:eastAsia="zh-CN" w:bidi="ar-SA"/>
        </w:rPr>
        <w:t>u</w:t>
      </w:r>
      <w:r>
        <w:rPr>
          <w:rFonts w:hint="eastAsia" w:ascii="Times New Roman" w:hAnsi="Times New Roman" w:eastAsia="宋体" w:cs="Times New Roman"/>
          <w:sz w:val="24"/>
          <w:szCs w:val="24"/>
          <w:highlight w:val="none"/>
          <w:lang w:val="en-US" w:eastAsia="zh-CN" w:bidi="ar-SA"/>
        </w:rPr>
        <w:t xml:space="preserve">se of </w:t>
      </w:r>
      <w:r>
        <w:rPr>
          <w:rFonts w:hint="eastAsia" w:cs="Times New Roman"/>
          <w:sz w:val="24"/>
          <w:szCs w:val="24"/>
          <w:highlight w:val="none"/>
          <w:lang w:val="en-US" w:eastAsia="zh-CN" w:bidi="ar-SA"/>
        </w:rPr>
        <w:t>a</w:t>
      </w:r>
      <w:r>
        <w:rPr>
          <w:rFonts w:hint="eastAsia" w:ascii="Times New Roman" w:hAnsi="Times New Roman" w:eastAsia="宋体" w:cs="Times New Roman"/>
          <w:sz w:val="24"/>
          <w:szCs w:val="24"/>
          <w:highlight w:val="none"/>
          <w:lang w:val="en-US" w:eastAsia="zh-CN" w:bidi="ar-SA"/>
        </w:rPr>
        <w:t xml:space="preserve">nimal </w:t>
      </w:r>
      <w:r>
        <w:rPr>
          <w:rFonts w:hint="eastAsia" w:cs="Times New Roman"/>
          <w:sz w:val="24"/>
          <w:szCs w:val="24"/>
          <w:highlight w:val="none"/>
          <w:lang w:val="en-US" w:eastAsia="zh-CN" w:bidi="ar-SA"/>
        </w:rPr>
        <w:t>b</w:t>
      </w:r>
      <w:r>
        <w:rPr>
          <w:rFonts w:hint="eastAsia" w:ascii="Times New Roman" w:hAnsi="Times New Roman" w:eastAsia="宋体" w:cs="Times New Roman"/>
          <w:sz w:val="24"/>
          <w:szCs w:val="24"/>
          <w:highlight w:val="none"/>
          <w:lang w:val="en-US" w:eastAsia="zh-CN" w:bidi="ar-SA"/>
        </w:rPr>
        <w:t xml:space="preserve">ones as </w:t>
      </w:r>
      <w:r>
        <w:rPr>
          <w:rFonts w:hint="eastAsia" w:cs="Times New Roman"/>
          <w:sz w:val="24"/>
          <w:szCs w:val="24"/>
          <w:highlight w:val="none"/>
          <w:lang w:val="en-US" w:eastAsia="zh-CN" w:bidi="ar-SA"/>
        </w:rPr>
        <w:t>r</w:t>
      </w:r>
      <w:r>
        <w:rPr>
          <w:rFonts w:hint="eastAsia" w:ascii="Times New Roman" w:hAnsi="Times New Roman" w:eastAsia="宋体" w:cs="Times New Roman"/>
          <w:sz w:val="24"/>
          <w:szCs w:val="24"/>
          <w:highlight w:val="none"/>
          <w:lang w:val="en-US" w:eastAsia="zh-CN" w:bidi="ar-SA"/>
        </w:rPr>
        <w:t xml:space="preserve">etouchers at the </w:t>
      </w:r>
      <w:r>
        <w:rPr>
          <w:rFonts w:hint="eastAsia" w:cs="Times New Roman"/>
          <w:sz w:val="24"/>
          <w:szCs w:val="24"/>
          <w:highlight w:val="none"/>
          <w:lang w:val="en-US" w:eastAsia="zh-CN" w:bidi="ar-SA"/>
        </w:rPr>
        <w:t>l</w:t>
      </w:r>
      <w:r>
        <w:rPr>
          <w:rFonts w:hint="eastAsia" w:ascii="Times New Roman" w:hAnsi="Times New Roman" w:eastAsia="宋体" w:cs="Times New Roman"/>
          <w:sz w:val="24"/>
          <w:szCs w:val="24"/>
          <w:highlight w:val="none"/>
          <w:lang w:val="en-US" w:eastAsia="zh-CN" w:bidi="ar-SA"/>
        </w:rPr>
        <w:t xml:space="preserve">evel XV of the Sopeña Rock Shelter (Asturias, Northern Spain). </w:t>
      </w:r>
      <w:r>
        <w:rPr>
          <w:rFonts w:hint="eastAsia" w:ascii="Times New Roman" w:hAnsi="Times New Roman" w:eastAsia="宋体" w:cs="Times New Roman"/>
          <w:i/>
          <w:iCs/>
          <w:sz w:val="24"/>
          <w:szCs w:val="24"/>
          <w:highlight w:val="none"/>
          <w:lang w:val="en-US" w:eastAsia="zh-CN" w:bidi="ar-SA"/>
        </w:rPr>
        <w:t>Int. J. Osteoarchaeol.</w:t>
      </w:r>
      <w:r>
        <w:rPr>
          <w:rFonts w:hint="eastAsia" w:ascii="Times New Roman" w:hAnsi="Times New Roman" w:eastAsia="宋体" w:cs="Times New Roman"/>
          <w:sz w:val="24"/>
          <w:szCs w:val="24"/>
          <w:highlight w:val="none"/>
          <w:lang w:val="en-US" w:eastAsia="zh-CN" w:bidi="ar-SA"/>
        </w:rPr>
        <w:t xml:space="preserve"> </w:t>
      </w:r>
      <w:r>
        <w:rPr>
          <w:rFonts w:hint="eastAsia" w:ascii="Times New Roman" w:hAnsi="Times New Roman" w:eastAsia="宋体" w:cs="Times New Roman"/>
          <w:b/>
          <w:bCs/>
          <w:sz w:val="24"/>
          <w:szCs w:val="24"/>
          <w:highlight w:val="none"/>
          <w:lang w:val="en-US" w:eastAsia="zh-CN" w:bidi="ar-SA"/>
        </w:rPr>
        <w:t>33</w:t>
      </w:r>
      <w:r>
        <w:rPr>
          <w:rFonts w:hint="eastAsia" w:ascii="Times New Roman" w:hAnsi="Times New Roman" w:eastAsia="宋体" w:cs="Times New Roman"/>
          <w:sz w:val="24"/>
          <w:szCs w:val="24"/>
          <w:highlight w:val="none"/>
          <w:lang w:val="en-US" w:eastAsia="zh-CN" w:bidi="ar-SA"/>
        </w:rPr>
        <w:t>, 1064</w:t>
      </w:r>
      <w:r>
        <w:rPr>
          <w:sz w:val="24"/>
          <w:szCs w:val="24"/>
        </w:rPr>
        <w:t>–</w:t>
      </w:r>
      <w:r>
        <w:rPr>
          <w:rFonts w:hint="eastAsia" w:ascii="Times New Roman" w:hAnsi="Times New Roman" w:eastAsia="宋体" w:cs="Times New Roman"/>
          <w:sz w:val="24"/>
          <w:szCs w:val="24"/>
          <w:highlight w:val="none"/>
          <w:lang w:val="en-US" w:eastAsia="zh-CN" w:bidi="ar-SA"/>
        </w:rPr>
        <w:t>1079 (2023).</w:t>
      </w:r>
    </w:p>
    <w:p w14:paraId="343DB846">
      <w:pPr>
        <w:keepNext w:val="0"/>
        <w:keepLines w:val="0"/>
        <w:pageBreakBefore w:val="0"/>
        <w:widowControl/>
        <w:kinsoku/>
        <w:wordWrap/>
        <w:overflowPunct/>
        <w:topLinePunct w:val="0"/>
        <w:autoSpaceDE/>
        <w:autoSpaceDN/>
        <w:bidi w:val="0"/>
        <w:adjustRightInd/>
        <w:snapToGrid w:val="0"/>
        <w:spacing w:after="60" w:line="240" w:lineRule="auto"/>
        <w:ind w:left="240" w:hanging="240" w:hangingChars="100"/>
        <w:jc w:val="both"/>
        <w:textAlignment w:val="auto"/>
        <w:rPr>
          <w:rFonts w:hint="eastAsia" w:ascii="Times New Roman" w:hAnsi="Times New Roman" w:eastAsia="宋体" w:cs="Times New Roman"/>
          <w:sz w:val="24"/>
          <w:szCs w:val="24"/>
          <w:highlight w:val="none"/>
          <w:lang w:val="en-US" w:eastAsia="zh-CN" w:bidi="ar-SA"/>
        </w:rPr>
      </w:pPr>
      <w:r>
        <w:rPr>
          <w:rFonts w:hint="eastAsia"/>
          <w:sz w:val="24"/>
          <w:szCs w:val="24"/>
          <w:highlight w:val="none"/>
          <w:lang w:val="en-US" w:eastAsia="zh-CN"/>
        </w:rPr>
        <w:t>84</w:t>
      </w:r>
      <w:r>
        <w:rPr>
          <w:sz w:val="24"/>
          <w:szCs w:val="24"/>
          <w:highlight w:val="none"/>
        </w:rPr>
        <w:t>.</w:t>
      </w:r>
      <w:r>
        <w:rPr>
          <w:rFonts w:hint="eastAsia"/>
          <w:sz w:val="24"/>
          <w:szCs w:val="24"/>
          <w:highlight w:val="none"/>
        </w:rPr>
        <w:t xml:space="preserve"> </w:t>
      </w:r>
      <w:r>
        <w:rPr>
          <w:rFonts w:hint="eastAsia" w:ascii="Times New Roman" w:hAnsi="Times New Roman" w:eastAsia="宋体" w:cs="Times New Roman"/>
          <w:sz w:val="24"/>
          <w:szCs w:val="24"/>
          <w:highlight w:val="none"/>
          <w:lang w:val="en-US" w:eastAsia="zh-CN" w:bidi="ar-SA"/>
        </w:rPr>
        <w:t>Téllez, E.</w:t>
      </w:r>
      <w:r>
        <w:rPr>
          <w:rFonts w:hint="eastAsia" w:cs="Times New Roman"/>
          <w:sz w:val="24"/>
          <w:szCs w:val="24"/>
          <w:highlight w:val="none"/>
          <w:lang w:val="en-US" w:eastAsia="zh-CN" w:bidi="ar-SA"/>
        </w:rPr>
        <w:t xml:space="preserve"> </w:t>
      </w:r>
      <w:r>
        <w:rPr>
          <w:rFonts w:hint="eastAsia"/>
          <w:i/>
          <w:iCs/>
          <w:sz w:val="24"/>
          <w:szCs w:val="24"/>
          <w:lang w:val="en-US" w:eastAsia="zh-CN"/>
        </w:rPr>
        <w:t>et al.</w:t>
      </w:r>
      <w:r>
        <w:rPr>
          <w:rFonts w:hint="eastAsia" w:ascii="Times New Roman" w:hAnsi="Times New Roman" w:eastAsia="宋体" w:cs="Times New Roman"/>
          <w:sz w:val="24"/>
          <w:szCs w:val="24"/>
          <w:highlight w:val="none"/>
          <w:lang w:val="en-US" w:eastAsia="zh-CN" w:bidi="ar-SA"/>
        </w:rPr>
        <w:t xml:space="preserve"> Middle Paleolithic </w:t>
      </w:r>
      <w:r>
        <w:rPr>
          <w:rFonts w:hint="eastAsia" w:cs="Times New Roman"/>
          <w:sz w:val="24"/>
          <w:szCs w:val="24"/>
          <w:highlight w:val="none"/>
          <w:lang w:val="en-US" w:eastAsia="zh-CN" w:bidi="ar-SA"/>
        </w:rPr>
        <w:t>b</w:t>
      </w:r>
      <w:r>
        <w:rPr>
          <w:rFonts w:hint="eastAsia" w:ascii="Times New Roman" w:hAnsi="Times New Roman" w:eastAsia="宋体" w:cs="Times New Roman"/>
          <w:sz w:val="24"/>
          <w:szCs w:val="24"/>
          <w:highlight w:val="none"/>
          <w:lang w:val="en-US" w:eastAsia="zh-CN" w:bidi="ar-SA"/>
        </w:rPr>
        <w:t xml:space="preserve">one </w:t>
      </w:r>
      <w:r>
        <w:rPr>
          <w:rFonts w:hint="eastAsia" w:cs="Times New Roman"/>
          <w:sz w:val="24"/>
          <w:szCs w:val="24"/>
          <w:highlight w:val="none"/>
          <w:lang w:val="en-US" w:eastAsia="zh-CN" w:bidi="ar-SA"/>
        </w:rPr>
        <w:t>t</w:t>
      </w:r>
      <w:r>
        <w:rPr>
          <w:rFonts w:hint="eastAsia" w:ascii="Times New Roman" w:hAnsi="Times New Roman" w:eastAsia="宋体" w:cs="Times New Roman"/>
          <w:sz w:val="24"/>
          <w:szCs w:val="24"/>
          <w:highlight w:val="none"/>
          <w:lang w:val="en-US" w:eastAsia="zh-CN" w:bidi="ar-SA"/>
        </w:rPr>
        <w:t xml:space="preserve">echnology at the Abri Suard </w:t>
      </w:r>
      <w:r>
        <w:rPr>
          <w:rFonts w:hint="eastAsia" w:cs="Times New Roman"/>
          <w:sz w:val="24"/>
          <w:szCs w:val="24"/>
          <w:highlight w:val="none"/>
          <w:lang w:val="en-US" w:eastAsia="zh-CN" w:bidi="ar-SA"/>
        </w:rPr>
        <w:t>s</w:t>
      </w:r>
      <w:r>
        <w:rPr>
          <w:rFonts w:hint="eastAsia" w:ascii="Times New Roman" w:hAnsi="Times New Roman" w:eastAsia="宋体" w:cs="Times New Roman"/>
          <w:sz w:val="24"/>
          <w:szCs w:val="24"/>
          <w:highlight w:val="none"/>
          <w:lang w:val="en-US" w:eastAsia="zh-CN" w:bidi="ar-SA"/>
        </w:rPr>
        <w:t xml:space="preserve">ite (Charente, France). </w:t>
      </w:r>
      <w:r>
        <w:rPr>
          <w:rFonts w:hint="eastAsia" w:ascii="Times New Roman" w:hAnsi="Times New Roman" w:eastAsia="宋体" w:cs="Times New Roman"/>
          <w:i/>
          <w:iCs/>
          <w:sz w:val="24"/>
          <w:szCs w:val="24"/>
          <w:highlight w:val="none"/>
          <w:lang w:val="en-US" w:eastAsia="zh-CN" w:bidi="ar-SA"/>
        </w:rPr>
        <w:t>J. Paleolith. Archaeol.</w:t>
      </w:r>
      <w:r>
        <w:rPr>
          <w:rFonts w:hint="eastAsia" w:ascii="Times New Roman" w:hAnsi="Times New Roman" w:eastAsia="宋体" w:cs="Times New Roman"/>
          <w:sz w:val="24"/>
          <w:szCs w:val="24"/>
          <w:highlight w:val="none"/>
          <w:lang w:val="en-US" w:eastAsia="zh-CN" w:bidi="ar-SA"/>
        </w:rPr>
        <w:t xml:space="preserve"> </w:t>
      </w:r>
      <w:r>
        <w:rPr>
          <w:rFonts w:hint="eastAsia" w:ascii="Times New Roman" w:hAnsi="Times New Roman" w:eastAsia="宋体" w:cs="Times New Roman"/>
          <w:b/>
          <w:bCs/>
          <w:sz w:val="24"/>
          <w:szCs w:val="24"/>
          <w:highlight w:val="none"/>
          <w:lang w:val="en-US" w:eastAsia="zh-CN" w:bidi="ar-SA"/>
        </w:rPr>
        <w:t>9</w:t>
      </w:r>
      <w:r>
        <w:rPr>
          <w:rFonts w:hint="eastAsia" w:ascii="Times New Roman" w:hAnsi="Times New Roman" w:eastAsia="宋体" w:cs="Times New Roman"/>
          <w:sz w:val="24"/>
          <w:szCs w:val="24"/>
          <w:highlight w:val="none"/>
          <w:lang w:val="en-US" w:eastAsia="zh-CN" w:bidi="ar-SA"/>
        </w:rPr>
        <w:t>, 17 (2026).</w:t>
      </w:r>
    </w:p>
    <w:p w14:paraId="0DF59A45">
      <w:pPr>
        <w:pStyle w:val="63"/>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sz w:val="24"/>
          <w:szCs w:val="24"/>
        </w:rPr>
      </w:pPr>
      <w:r>
        <w:rPr>
          <w:rFonts w:hint="eastAsia"/>
          <w:sz w:val="24"/>
          <w:szCs w:val="24"/>
          <w:lang w:val="en-US" w:eastAsia="zh-CN"/>
        </w:rPr>
        <w:t>85</w:t>
      </w:r>
      <w:r>
        <w:rPr>
          <w:sz w:val="24"/>
          <w:szCs w:val="24"/>
        </w:rPr>
        <w:t>.</w:t>
      </w:r>
      <w:r>
        <w:rPr>
          <w:rFonts w:hint="eastAsia"/>
          <w:sz w:val="24"/>
          <w:szCs w:val="24"/>
        </w:rPr>
        <w:t xml:space="preserve"> </w:t>
      </w:r>
      <w:r>
        <w:rPr>
          <w:sz w:val="24"/>
          <w:szCs w:val="24"/>
        </w:rPr>
        <w:t xml:space="preserve">Mateo Lomba, P. Huesos tallados del Pleistoceno medio y superior en Europa. Estudio interdisciplinar de la cadena operativa en Galería y Gran Dolina-TD10.1 (Atapuerca), Castel di Guido (Lazio) y Abric Romaní (Barcelona). </w:t>
      </w:r>
      <w:r>
        <w:rPr>
          <w:i/>
          <w:iCs/>
          <w:sz w:val="24"/>
          <w:szCs w:val="24"/>
        </w:rPr>
        <w:t>TDX (Tesis Doctorals en Xarxa)</w:t>
      </w:r>
      <w:r>
        <w:rPr>
          <w:sz w:val="24"/>
          <w:szCs w:val="24"/>
        </w:rPr>
        <w:t xml:space="preserve"> (Universitat Rovira i Virgili, 2024).</w:t>
      </w:r>
    </w:p>
    <w:p w14:paraId="025ECA60">
      <w:pPr>
        <w:keepNext w:val="0"/>
        <w:keepLines w:val="0"/>
        <w:pageBreakBefore w:val="0"/>
        <w:widowControl/>
        <w:kinsoku/>
        <w:wordWrap/>
        <w:overflowPunct/>
        <w:topLinePunct w:val="0"/>
        <w:autoSpaceDE/>
        <w:autoSpaceDN/>
        <w:bidi w:val="0"/>
        <w:adjustRightInd w:val="0"/>
        <w:snapToGrid w:val="0"/>
        <w:spacing w:after="60" w:line="240" w:lineRule="auto"/>
        <w:ind w:left="240" w:hanging="240" w:hangingChars="100"/>
        <w:jc w:val="both"/>
        <w:textAlignment w:val="auto"/>
        <w:rPr>
          <w:rFonts w:hint="eastAsia" w:ascii="Times New Roman" w:hAnsi="Times New Roman" w:eastAsia="宋体" w:cs="Times New Roman"/>
          <w:kern w:val="0"/>
          <w:sz w:val="24"/>
          <w:szCs w:val="24"/>
          <w:highlight w:val="none"/>
          <w:lang w:val="en-US" w:eastAsia="zh-CN" w:bidi="ar-SA"/>
        </w:rPr>
      </w:pPr>
      <w:r>
        <w:rPr>
          <w:rFonts w:hint="eastAsia" w:ascii="Times New Roman" w:hAnsi="Times New Roman" w:eastAsia="宋体" w:cs="Times New Roman"/>
          <w:kern w:val="0"/>
          <w:sz w:val="24"/>
          <w:szCs w:val="24"/>
          <w:highlight w:val="none"/>
          <w:lang w:eastAsia="zh-CN"/>
        </w:rPr>
        <w:t>8</w:t>
      </w:r>
      <w:r>
        <w:rPr>
          <w:rFonts w:hint="eastAsia" w:cs="Times New Roman"/>
          <w:kern w:val="0"/>
          <w:sz w:val="24"/>
          <w:szCs w:val="24"/>
          <w:highlight w:val="none"/>
          <w:lang w:val="en-US" w:eastAsia="zh-CN"/>
        </w:rPr>
        <w:t>6</w:t>
      </w:r>
      <w:r>
        <w:rPr>
          <w:rFonts w:ascii="Times New Roman" w:hAnsi="Times New Roman" w:eastAsia="宋体" w:cs="Times New Roman"/>
          <w:kern w:val="0"/>
          <w:sz w:val="24"/>
          <w:szCs w:val="24"/>
          <w:highlight w:val="none"/>
        </w:rPr>
        <w:t>.</w:t>
      </w:r>
      <w:r>
        <w:rPr>
          <w:rFonts w:hint="eastAsia" w:ascii="Times New Roman" w:hAnsi="Times New Roman" w:eastAsia="宋体" w:cs="Times New Roman"/>
          <w:kern w:val="0"/>
          <w:sz w:val="24"/>
          <w:szCs w:val="24"/>
          <w:highlight w:val="none"/>
        </w:rPr>
        <w:t xml:space="preserve"> </w:t>
      </w:r>
      <w:r>
        <w:rPr>
          <w:rFonts w:hint="eastAsia" w:ascii="Times New Roman" w:hAnsi="Times New Roman" w:eastAsia="宋体" w:cs="Times New Roman"/>
          <w:kern w:val="0"/>
          <w:sz w:val="24"/>
          <w:szCs w:val="24"/>
          <w:highlight w:val="none"/>
          <w:lang w:val="en-US" w:eastAsia="zh-CN" w:bidi="ar-SA"/>
        </w:rPr>
        <w:t xml:space="preserve">Marean, C. W. &amp; Kim, S. Y. Mousterian </w:t>
      </w:r>
      <w:r>
        <w:rPr>
          <w:rFonts w:hint="eastAsia" w:cs="Times New Roman"/>
          <w:kern w:val="0"/>
          <w:sz w:val="24"/>
          <w:szCs w:val="24"/>
          <w:highlight w:val="none"/>
          <w:lang w:val="en-US" w:eastAsia="zh-CN" w:bidi="ar-SA"/>
        </w:rPr>
        <w:t>l</w:t>
      </w:r>
      <w:r>
        <w:rPr>
          <w:rFonts w:hint="eastAsia" w:ascii="Times New Roman" w:hAnsi="Times New Roman" w:eastAsia="宋体" w:cs="Times New Roman"/>
          <w:kern w:val="0"/>
          <w:sz w:val="24"/>
          <w:szCs w:val="24"/>
          <w:highlight w:val="none"/>
          <w:lang w:val="en-US" w:eastAsia="zh-CN" w:bidi="ar-SA"/>
        </w:rPr>
        <w:t>arge-</w:t>
      </w:r>
      <w:r>
        <w:rPr>
          <w:rFonts w:hint="eastAsia" w:cs="Times New Roman"/>
          <w:kern w:val="0"/>
          <w:sz w:val="24"/>
          <w:szCs w:val="24"/>
          <w:highlight w:val="none"/>
          <w:lang w:val="en-US" w:eastAsia="zh-CN" w:bidi="ar-SA"/>
        </w:rPr>
        <w:t>m</w:t>
      </w:r>
      <w:r>
        <w:rPr>
          <w:rFonts w:hint="eastAsia" w:ascii="Times New Roman" w:hAnsi="Times New Roman" w:eastAsia="宋体" w:cs="Times New Roman"/>
          <w:kern w:val="0"/>
          <w:sz w:val="24"/>
          <w:szCs w:val="24"/>
          <w:highlight w:val="none"/>
          <w:lang w:val="en-US" w:eastAsia="zh-CN" w:bidi="ar-SA"/>
        </w:rPr>
        <w:t xml:space="preserve">ammal </w:t>
      </w:r>
      <w:r>
        <w:rPr>
          <w:rFonts w:hint="eastAsia" w:cs="Times New Roman"/>
          <w:kern w:val="0"/>
          <w:sz w:val="24"/>
          <w:szCs w:val="24"/>
          <w:highlight w:val="none"/>
          <w:lang w:val="en-US" w:eastAsia="zh-CN" w:bidi="ar-SA"/>
        </w:rPr>
        <w:t>r</w:t>
      </w:r>
      <w:r>
        <w:rPr>
          <w:rFonts w:hint="eastAsia" w:ascii="Times New Roman" w:hAnsi="Times New Roman" w:eastAsia="宋体" w:cs="Times New Roman"/>
          <w:kern w:val="0"/>
          <w:sz w:val="24"/>
          <w:szCs w:val="24"/>
          <w:highlight w:val="none"/>
          <w:lang w:val="en-US" w:eastAsia="zh-CN" w:bidi="ar-SA"/>
        </w:rPr>
        <w:t xml:space="preserve">emains from Kobeh Cave </w:t>
      </w:r>
      <w:r>
        <w:rPr>
          <w:rFonts w:hint="eastAsia" w:cs="Times New Roman"/>
          <w:kern w:val="0"/>
          <w:sz w:val="24"/>
          <w:szCs w:val="24"/>
          <w:highlight w:val="none"/>
          <w:lang w:val="en-US" w:eastAsia="zh-CN" w:bidi="ar-SA"/>
        </w:rPr>
        <w:t>b</w:t>
      </w:r>
      <w:r>
        <w:rPr>
          <w:rFonts w:hint="eastAsia" w:ascii="Times New Roman" w:hAnsi="Times New Roman" w:eastAsia="宋体" w:cs="Times New Roman"/>
          <w:kern w:val="0"/>
          <w:sz w:val="24"/>
          <w:szCs w:val="24"/>
          <w:highlight w:val="none"/>
          <w:lang w:val="en-US" w:eastAsia="zh-CN" w:bidi="ar-SA"/>
        </w:rPr>
        <w:t xml:space="preserve">ehavioral </w:t>
      </w:r>
      <w:r>
        <w:rPr>
          <w:rFonts w:hint="eastAsia" w:cs="Times New Roman"/>
          <w:kern w:val="0"/>
          <w:sz w:val="24"/>
          <w:szCs w:val="24"/>
          <w:highlight w:val="none"/>
          <w:lang w:val="en-US" w:eastAsia="zh-CN" w:bidi="ar-SA"/>
        </w:rPr>
        <w:t>i</w:t>
      </w:r>
      <w:r>
        <w:rPr>
          <w:rFonts w:hint="eastAsia" w:ascii="Times New Roman" w:hAnsi="Times New Roman" w:eastAsia="宋体" w:cs="Times New Roman"/>
          <w:kern w:val="0"/>
          <w:sz w:val="24"/>
          <w:szCs w:val="24"/>
          <w:highlight w:val="none"/>
          <w:lang w:val="en-US" w:eastAsia="zh-CN" w:bidi="ar-SA"/>
        </w:rPr>
        <w:t xml:space="preserve">mplications for Neanderthals and </w:t>
      </w:r>
      <w:r>
        <w:rPr>
          <w:rFonts w:hint="eastAsia" w:cs="Times New Roman"/>
          <w:kern w:val="0"/>
          <w:sz w:val="24"/>
          <w:szCs w:val="24"/>
          <w:highlight w:val="none"/>
          <w:lang w:val="en-US" w:eastAsia="zh-CN" w:bidi="ar-SA"/>
        </w:rPr>
        <w:t>e</w:t>
      </w:r>
      <w:r>
        <w:rPr>
          <w:rFonts w:hint="eastAsia" w:ascii="Times New Roman" w:hAnsi="Times New Roman" w:eastAsia="宋体" w:cs="Times New Roman"/>
          <w:kern w:val="0"/>
          <w:sz w:val="24"/>
          <w:szCs w:val="24"/>
          <w:highlight w:val="none"/>
          <w:lang w:val="en-US" w:eastAsia="zh-CN" w:bidi="ar-SA"/>
        </w:rPr>
        <w:t xml:space="preserve">arly </w:t>
      </w:r>
      <w:r>
        <w:rPr>
          <w:rFonts w:hint="eastAsia" w:cs="Times New Roman"/>
          <w:kern w:val="0"/>
          <w:sz w:val="24"/>
          <w:szCs w:val="24"/>
          <w:highlight w:val="none"/>
          <w:lang w:val="en-US" w:eastAsia="zh-CN" w:bidi="ar-SA"/>
        </w:rPr>
        <w:t>m</w:t>
      </w:r>
      <w:r>
        <w:rPr>
          <w:rFonts w:hint="eastAsia" w:ascii="Times New Roman" w:hAnsi="Times New Roman" w:eastAsia="宋体" w:cs="Times New Roman"/>
          <w:kern w:val="0"/>
          <w:sz w:val="24"/>
          <w:szCs w:val="24"/>
          <w:highlight w:val="none"/>
          <w:lang w:val="en-US" w:eastAsia="zh-CN" w:bidi="ar-SA"/>
        </w:rPr>
        <w:t xml:space="preserve">odern </w:t>
      </w:r>
      <w:r>
        <w:rPr>
          <w:rFonts w:hint="eastAsia" w:cs="Times New Roman"/>
          <w:kern w:val="0"/>
          <w:sz w:val="24"/>
          <w:szCs w:val="24"/>
          <w:highlight w:val="none"/>
          <w:lang w:val="en-US" w:eastAsia="zh-CN" w:bidi="ar-SA"/>
        </w:rPr>
        <w:t>h</w:t>
      </w:r>
      <w:r>
        <w:rPr>
          <w:rFonts w:hint="eastAsia" w:ascii="Times New Roman" w:hAnsi="Times New Roman" w:eastAsia="宋体" w:cs="Times New Roman"/>
          <w:kern w:val="0"/>
          <w:sz w:val="24"/>
          <w:szCs w:val="24"/>
          <w:highlight w:val="none"/>
          <w:lang w:val="en-US" w:eastAsia="zh-CN" w:bidi="ar-SA"/>
        </w:rPr>
        <w:t xml:space="preserve">umans. </w:t>
      </w:r>
      <w:r>
        <w:rPr>
          <w:rFonts w:hint="eastAsia" w:ascii="Times New Roman" w:hAnsi="Times New Roman" w:eastAsia="宋体" w:cs="Times New Roman"/>
          <w:i/>
          <w:iCs/>
          <w:kern w:val="0"/>
          <w:sz w:val="24"/>
          <w:szCs w:val="24"/>
          <w:highlight w:val="none"/>
          <w:lang w:val="en-US" w:eastAsia="zh-CN" w:bidi="ar-SA"/>
        </w:rPr>
        <w:t>Curr. Anthropol.</w:t>
      </w:r>
      <w:r>
        <w:rPr>
          <w:rFonts w:hint="eastAsia" w:ascii="Times New Roman" w:hAnsi="Times New Roman" w:eastAsia="宋体" w:cs="Times New Roman"/>
          <w:kern w:val="0"/>
          <w:sz w:val="24"/>
          <w:szCs w:val="24"/>
          <w:highlight w:val="none"/>
          <w:lang w:val="en-US" w:eastAsia="zh-CN" w:bidi="ar-SA"/>
        </w:rPr>
        <w:t xml:space="preserve"> </w:t>
      </w:r>
      <w:r>
        <w:rPr>
          <w:rFonts w:hint="eastAsia" w:ascii="Times New Roman" w:hAnsi="Times New Roman" w:eastAsia="宋体" w:cs="Times New Roman"/>
          <w:b/>
          <w:bCs/>
          <w:kern w:val="0"/>
          <w:sz w:val="24"/>
          <w:szCs w:val="24"/>
          <w:highlight w:val="none"/>
          <w:lang w:val="en-US" w:eastAsia="zh-CN" w:bidi="ar-SA"/>
        </w:rPr>
        <w:t>39</w:t>
      </w:r>
      <w:r>
        <w:rPr>
          <w:rFonts w:hint="eastAsia" w:ascii="Times New Roman" w:hAnsi="Times New Roman" w:eastAsia="宋体" w:cs="Times New Roman"/>
          <w:kern w:val="0"/>
          <w:sz w:val="24"/>
          <w:szCs w:val="24"/>
          <w:highlight w:val="none"/>
          <w:lang w:val="en-US" w:eastAsia="zh-CN" w:bidi="ar-SA"/>
        </w:rPr>
        <w:t>, S79</w:t>
      </w:r>
      <w:r>
        <w:rPr>
          <w:sz w:val="24"/>
          <w:szCs w:val="24"/>
        </w:rPr>
        <w:t>–</w:t>
      </w:r>
      <w:r>
        <w:rPr>
          <w:rFonts w:hint="eastAsia" w:ascii="Times New Roman" w:hAnsi="Times New Roman" w:eastAsia="宋体" w:cs="Times New Roman"/>
          <w:kern w:val="0"/>
          <w:sz w:val="24"/>
          <w:szCs w:val="24"/>
          <w:highlight w:val="none"/>
          <w:lang w:val="en-US" w:eastAsia="zh-CN" w:bidi="ar-SA"/>
        </w:rPr>
        <w:t>S114 (1998).</w:t>
      </w:r>
    </w:p>
    <w:p w14:paraId="4CB54DA4">
      <w:pPr>
        <w:keepNext w:val="0"/>
        <w:keepLines w:val="0"/>
        <w:pageBreakBefore w:val="0"/>
        <w:widowControl/>
        <w:kinsoku/>
        <w:wordWrap/>
        <w:overflowPunct/>
        <w:topLinePunct w:val="0"/>
        <w:autoSpaceDE/>
        <w:autoSpaceDN/>
        <w:bidi w:val="0"/>
        <w:adjustRightInd w:val="0"/>
        <w:snapToGrid w:val="0"/>
        <w:spacing w:after="60" w:line="240" w:lineRule="auto"/>
        <w:ind w:left="240" w:hanging="240" w:hangingChars="100"/>
        <w:jc w:val="both"/>
        <w:textAlignment w:val="auto"/>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lang w:eastAsia="zh-CN"/>
        </w:rPr>
        <w:t>8</w:t>
      </w:r>
      <w:r>
        <w:rPr>
          <w:rFonts w:hint="eastAsia" w:cs="Times New Roman"/>
          <w:kern w:val="0"/>
          <w:sz w:val="24"/>
          <w:szCs w:val="24"/>
          <w:highlight w:val="none"/>
          <w:lang w:val="en-US" w:eastAsia="zh-CN"/>
        </w:rPr>
        <w:t>7</w:t>
      </w:r>
      <w:r>
        <w:rPr>
          <w:rFonts w:ascii="Times New Roman" w:hAnsi="Times New Roman" w:eastAsia="宋体" w:cs="Times New Roman"/>
          <w:kern w:val="0"/>
          <w:sz w:val="24"/>
          <w:szCs w:val="24"/>
          <w:highlight w:val="none"/>
        </w:rPr>
        <w:t>.</w:t>
      </w:r>
      <w:r>
        <w:rPr>
          <w:rFonts w:hint="eastAsia" w:ascii="Times New Roman" w:hAnsi="Times New Roman" w:eastAsia="宋体" w:cs="Times New Roman"/>
          <w:kern w:val="0"/>
          <w:sz w:val="24"/>
          <w:szCs w:val="24"/>
          <w:highlight w:val="none"/>
        </w:rPr>
        <w:t xml:space="preserve"> Zhang, S.</w:t>
      </w:r>
      <w:r>
        <w:rPr>
          <w:rFonts w:hint="eastAsia" w:cs="Times New Roman"/>
          <w:kern w:val="0"/>
          <w:sz w:val="24"/>
          <w:szCs w:val="24"/>
          <w:highlight w:val="none"/>
          <w:lang w:val="en-US" w:eastAsia="zh-CN"/>
        </w:rPr>
        <w:t xml:space="preserve"> </w:t>
      </w:r>
      <w:r>
        <w:rPr>
          <w:rFonts w:hint="eastAsia"/>
          <w:i/>
          <w:iCs/>
          <w:sz w:val="24"/>
          <w:szCs w:val="24"/>
          <w:lang w:val="en-US" w:eastAsia="zh-CN"/>
        </w:rPr>
        <w:t>et al.</w:t>
      </w:r>
      <w:r>
        <w:rPr>
          <w:rFonts w:hint="eastAsia" w:ascii="Times New Roman" w:hAnsi="Times New Roman" w:eastAsia="宋体" w:cs="Times New Roman"/>
          <w:kern w:val="0"/>
          <w:sz w:val="24"/>
          <w:szCs w:val="24"/>
          <w:highlight w:val="none"/>
        </w:rPr>
        <w:t xml:space="preserve"> Ma'anshan cave and the origin of bone tool technology in China. </w:t>
      </w:r>
      <w:r>
        <w:rPr>
          <w:rFonts w:hint="eastAsia" w:ascii="Times New Roman" w:hAnsi="Times New Roman" w:eastAsia="宋体" w:cs="Times New Roman"/>
          <w:i/>
          <w:iCs/>
          <w:kern w:val="0"/>
          <w:sz w:val="24"/>
          <w:szCs w:val="24"/>
          <w:highlight w:val="none"/>
        </w:rPr>
        <w:t xml:space="preserve">J. Archaeol. Sci. </w:t>
      </w:r>
      <w:r>
        <w:rPr>
          <w:rFonts w:hint="eastAsia" w:ascii="Times New Roman" w:hAnsi="Times New Roman" w:eastAsia="宋体" w:cs="Times New Roman"/>
          <w:b/>
          <w:bCs/>
          <w:kern w:val="0"/>
          <w:sz w:val="24"/>
          <w:szCs w:val="24"/>
          <w:highlight w:val="none"/>
        </w:rPr>
        <w:t>65</w:t>
      </w:r>
      <w:r>
        <w:rPr>
          <w:rFonts w:hint="eastAsia" w:ascii="Times New Roman" w:hAnsi="Times New Roman" w:eastAsia="宋体" w:cs="Times New Roman"/>
          <w:kern w:val="0"/>
          <w:sz w:val="24"/>
          <w:szCs w:val="24"/>
          <w:highlight w:val="none"/>
        </w:rPr>
        <w:t>, 57</w:t>
      </w:r>
      <w:r>
        <w:rPr>
          <w:sz w:val="24"/>
          <w:szCs w:val="24"/>
        </w:rPr>
        <w:t>–</w:t>
      </w:r>
      <w:r>
        <w:rPr>
          <w:rFonts w:hint="eastAsia" w:ascii="Times New Roman" w:hAnsi="Times New Roman" w:eastAsia="宋体" w:cs="Times New Roman"/>
          <w:kern w:val="0"/>
          <w:sz w:val="24"/>
          <w:szCs w:val="24"/>
          <w:highlight w:val="none"/>
        </w:rPr>
        <w:t>69 (2016).</w:t>
      </w:r>
    </w:p>
    <w:p w14:paraId="1BDF44E4">
      <w:pPr>
        <w:keepNext w:val="0"/>
        <w:keepLines w:val="0"/>
        <w:pageBreakBefore w:val="0"/>
        <w:widowControl/>
        <w:kinsoku/>
        <w:wordWrap/>
        <w:overflowPunct/>
        <w:topLinePunct w:val="0"/>
        <w:autoSpaceDE/>
        <w:autoSpaceDN/>
        <w:bidi w:val="0"/>
        <w:adjustRightInd w:val="0"/>
        <w:snapToGrid w:val="0"/>
        <w:spacing w:after="60" w:line="240" w:lineRule="auto"/>
        <w:ind w:left="240" w:hanging="240" w:hangingChars="100"/>
        <w:jc w:val="both"/>
        <w:textAlignment w:val="auto"/>
        <w:rPr>
          <w:rFonts w:hint="eastAsia" w:ascii="Times New Roman" w:hAnsi="Times New Roman" w:eastAsia="宋体" w:cs="Times New Roman"/>
          <w:kern w:val="0"/>
          <w:sz w:val="24"/>
          <w:szCs w:val="24"/>
          <w:highlight w:val="none"/>
          <w:lang w:val="en-US" w:eastAsia="zh-CN" w:bidi="ar-SA"/>
        </w:rPr>
      </w:pPr>
      <w:r>
        <w:rPr>
          <w:rFonts w:hint="eastAsia" w:ascii="Times New Roman" w:hAnsi="Times New Roman" w:eastAsia="宋体" w:cs="Times New Roman"/>
          <w:kern w:val="0"/>
          <w:sz w:val="24"/>
          <w:szCs w:val="24"/>
          <w:highlight w:val="none"/>
          <w:lang w:eastAsia="zh-CN"/>
        </w:rPr>
        <w:t>8</w:t>
      </w:r>
      <w:r>
        <w:rPr>
          <w:rFonts w:hint="eastAsia" w:cs="Times New Roman"/>
          <w:kern w:val="0"/>
          <w:sz w:val="24"/>
          <w:szCs w:val="24"/>
          <w:highlight w:val="none"/>
          <w:lang w:val="en-US" w:eastAsia="zh-CN"/>
        </w:rPr>
        <w:t>8</w:t>
      </w:r>
      <w:r>
        <w:rPr>
          <w:rFonts w:ascii="Times New Roman" w:hAnsi="Times New Roman" w:eastAsia="宋体" w:cs="Times New Roman"/>
          <w:kern w:val="0"/>
          <w:sz w:val="24"/>
          <w:szCs w:val="24"/>
          <w:highlight w:val="none"/>
        </w:rPr>
        <w:t>.</w:t>
      </w:r>
      <w:r>
        <w:rPr>
          <w:rFonts w:hint="eastAsia" w:ascii="Times New Roman" w:hAnsi="Times New Roman" w:eastAsia="宋体" w:cs="Times New Roman"/>
          <w:kern w:val="0"/>
          <w:sz w:val="24"/>
          <w:szCs w:val="24"/>
          <w:highlight w:val="none"/>
        </w:rPr>
        <w:t xml:space="preserve"> Schepartz, L. A. &amp; Miller-Antonio, S. Taphonomy, life history, and human exploitation of Rhinoceros sinensis at the Middle Pleistocene site of Panxian Dadong, Guizhou, China. </w:t>
      </w:r>
      <w:r>
        <w:rPr>
          <w:rFonts w:hint="eastAsia" w:ascii="Times New Roman" w:hAnsi="Times New Roman" w:eastAsia="宋体" w:cs="Times New Roman"/>
          <w:i/>
          <w:iCs/>
          <w:kern w:val="0"/>
          <w:sz w:val="24"/>
          <w:szCs w:val="24"/>
          <w:highlight w:val="none"/>
        </w:rPr>
        <w:t>Int. J. Osteoarchaeol.</w:t>
      </w:r>
      <w:r>
        <w:rPr>
          <w:rFonts w:hint="eastAsia" w:ascii="Times New Roman" w:hAnsi="Times New Roman" w:eastAsia="宋体" w:cs="Times New Roman"/>
          <w:kern w:val="0"/>
          <w:sz w:val="24"/>
          <w:szCs w:val="24"/>
          <w:highlight w:val="none"/>
        </w:rPr>
        <w:t xml:space="preserve"> </w:t>
      </w:r>
      <w:r>
        <w:rPr>
          <w:rFonts w:hint="eastAsia" w:ascii="Times New Roman" w:hAnsi="Times New Roman" w:eastAsia="宋体" w:cs="Times New Roman"/>
          <w:b/>
          <w:bCs/>
          <w:kern w:val="0"/>
          <w:sz w:val="24"/>
          <w:szCs w:val="24"/>
          <w:highlight w:val="none"/>
        </w:rPr>
        <w:t>20</w:t>
      </w:r>
      <w:r>
        <w:rPr>
          <w:rFonts w:hint="eastAsia" w:ascii="Times New Roman" w:hAnsi="Times New Roman" w:eastAsia="宋体" w:cs="Times New Roman"/>
          <w:kern w:val="0"/>
          <w:sz w:val="24"/>
          <w:szCs w:val="24"/>
          <w:highlight w:val="none"/>
        </w:rPr>
        <w:t>, 253</w:t>
      </w:r>
      <w:r>
        <w:rPr>
          <w:sz w:val="24"/>
          <w:szCs w:val="24"/>
        </w:rPr>
        <w:t>–</w:t>
      </w:r>
      <w:r>
        <w:rPr>
          <w:rFonts w:hint="eastAsia" w:ascii="Times New Roman" w:hAnsi="Times New Roman" w:eastAsia="宋体" w:cs="Times New Roman"/>
          <w:kern w:val="0"/>
          <w:sz w:val="24"/>
          <w:szCs w:val="24"/>
          <w:highlight w:val="none"/>
        </w:rPr>
        <w:t>268 (2010).</w:t>
      </w:r>
    </w:p>
    <w:p w14:paraId="2F9510FD">
      <w:pPr>
        <w:keepNext w:val="0"/>
        <w:keepLines w:val="0"/>
        <w:pageBreakBefore w:val="0"/>
        <w:widowControl/>
        <w:kinsoku/>
        <w:wordWrap/>
        <w:overflowPunct/>
        <w:topLinePunct w:val="0"/>
        <w:autoSpaceDE/>
        <w:autoSpaceDN/>
        <w:bidi w:val="0"/>
        <w:adjustRightInd w:val="0"/>
        <w:snapToGrid w:val="0"/>
        <w:spacing w:after="60" w:line="240" w:lineRule="auto"/>
        <w:ind w:left="240" w:hanging="240" w:hangingChars="100"/>
        <w:jc w:val="both"/>
        <w:textAlignment w:val="auto"/>
        <w:rPr>
          <w:rFonts w:hint="eastAsia" w:ascii="Times New Roman" w:hAnsi="Times New Roman" w:eastAsia="宋体" w:cs="Times New Roman"/>
          <w:kern w:val="0"/>
          <w:sz w:val="24"/>
          <w:szCs w:val="24"/>
          <w:highlight w:val="none"/>
          <w:lang w:val="en-US" w:eastAsia="zh-CN" w:bidi="ar-SA"/>
        </w:rPr>
      </w:pPr>
      <w:r>
        <w:rPr>
          <w:rFonts w:hint="eastAsia" w:cs="Times New Roman"/>
          <w:kern w:val="0"/>
          <w:sz w:val="24"/>
          <w:szCs w:val="24"/>
          <w:highlight w:val="none"/>
          <w:lang w:val="en-US" w:eastAsia="zh-CN"/>
        </w:rPr>
        <w:t>89</w:t>
      </w:r>
      <w:r>
        <w:rPr>
          <w:rFonts w:ascii="Times New Roman" w:hAnsi="Times New Roman" w:eastAsia="宋体" w:cs="Times New Roman"/>
          <w:kern w:val="0"/>
          <w:sz w:val="24"/>
          <w:szCs w:val="24"/>
          <w:highlight w:val="none"/>
        </w:rPr>
        <w:t>.</w:t>
      </w:r>
      <w:r>
        <w:rPr>
          <w:rFonts w:hint="eastAsia" w:ascii="Times New Roman" w:hAnsi="Times New Roman" w:eastAsia="宋体" w:cs="Times New Roman"/>
          <w:kern w:val="0"/>
          <w:sz w:val="24"/>
          <w:szCs w:val="24"/>
          <w:highlight w:val="none"/>
        </w:rPr>
        <w:t xml:space="preserve"> </w:t>
      </w:r>
      <w:r>
        <w:rPr>
          <w:rFonts w:hint="eastAsia" w:ascii="Times New Roman" w:hAnsi="Times New Roman" w:eastAsia="宋体" w:cs="Times New Roman"/>
          <w:kern w:val="0"/>
          <w:sz w:val="24"/>
          <w:szCs w:val="24"/>
          <w:highlight w:val="none"/>
          <w:lang w:val="en-US" w:eastAsia="zh-CN" w:bidi="ar-SA"/>
        </w:rPr>
        <w:t xml:space="preserve">Pales, L., Lambert, C. &amp; Garcia, M.-A. </w:t>
      </w:r>
      <w:r>
        <w:rPr>
          <w:rFonts w:hint="eastAsia" w:ascii="Times New Roman" w:hAnsi="Times New Roman" w:eastAsia="宋体" w:cs="Times New Roman"/>
          <w:i/>
          <w:iCs/>
          <w:kern w:val="0"/>
          <w:sz w:val="24"/>
          <w:szCs w:val="24"/>
          <w:highlight w:val="none"/>
          <w:lang w:val="en-US" w:eastAsia="zh-CN" w:bidi="ar-SA"/>
        </w:rPr>
        <w:t>Atlas ostéologique pour servir à l'identification des mammifères du Quaternaire</w:t>
      </w:r>
      <w:r>
        <w:rPr>
          <w:rFonts w:hint="eastAsia" w:ascii="Times New Roman" w:hAnsi="Times New Roman" w:eastAsia="宋体" w:cs="Times New Roman"/>
          <w:kern w:val="0"/>
          <w:sz w:val="24"/>
          <w:szCs w:val="24"/>
          <w:highlight w:val="none"/>
          <w:lang w:val="en-US" w:eastAsia="zh-CN" w:bidi="ar-SA"/>
        </w:rPr>
        <w:t>. Editions du Centre national de la recherche scientifique, Paris (1971).</w:t>
      </w:r>
    </w:p>
    <w:p w14:paraId="2743D8C9">
      <w:pPr>
        <w:keepNext w:val="0"/>
        <w:keepLines w:val="0"/>
        <w:pageBreakBefore w:val="0"/>
        <w:widowControl/>
        <w:kinsoku/>
        <w:wordWrap/>
        <w:overflowPunct/>
        <w:topLinePunct w:val="0"/>
        <w:autoSpaceDE/>
        <w:autoSpaceDN/>
        <w:bidi w:val="0"/>
        <w:adjustRightInd w:val="0"/>
        <w:snapToGrid w:val="0"/>
        <w:spacing w:after="60" w:line="240" w:lineRule="auto"/>
        <w:ind w:left="240" w:hanging="240" w:hangingChars="100"/>
        <w:jc w:val="both"/>
        <w:textAlignment w:val="auto"/>
        <w:rPr>
          <w:rFonts w:hint="eastAsia" w:ascii="Times New Roman" w:hAnsi="Times New Roman" w:eastAsia="宋体" w:cs="Times New Roman"/>
          <w:kern w:val="0"/>
          <w:sz w:val="24"/>
          <w:szCs w:val="24"/>
          <w:highlight w:val="none"/>
          <w:lang w:val="en-US" w:eastAsia="zh-CN" w:bidi="ar-SA"/>
        </w:rPr>
      </w:pPr>
      <w:r>
        <w:rPr>
          <w:rFonts w:hint="eastAsia" w:cs="Times New Roman"/>
          <w:kern w:val="0"/>
          <w:sz w:val="24"/>
          <w:szCs w:val="24"/>
          <w:highlight w:val="none"/>
          <w:lang w:val="en-US" w:eastAsia="zh-CN"/>
        </w:rPr>
        <w:t>90</w:t>
      </w:r>
      <w:r>
        <w:rPr>
          <w:rFonts w:ascii="Times New Roman" w:hAnsi="Times New Roman" w:eastAsia="宋体" w:cs="Times New Roman"/>
          <w:kern w:val="0"/>
          <w:sz w:val="24"/>
          <w:szCs w:val="24"/>
          <w:highlight w:val="none"/>
        </w:rPr>
        <w:t>.</w:t>
      </w:r>
      <w:r>
        <w:rPr>
          <w:rFonts w:hint="eastAsia" w:ascii="Times New Roman" w:hAnsi="Times New Roman" w:eastAsia="宋体" w:cs="Times New Roman"/>
          <w:kern w:val="0"/>
          <w:sz w:val="24"/>
          <w:szCs w:val="24"/>
          <w:highlight w:val="none"/>
        </w:rPr>
        <w:t xml:space="preserve"> </w:t>
      </w:r>
      <w:r>
        <w:rPr>
          <w:rFonts w:hint="eastAsia" w:ascii="Times New Roman" w:hAnsi="Times New Roman" w:eastAsia="宋体" w:cs="Times New Roman"/>
          <w:kern w:val="0"/>
          <w:sz w:val="24"/>
          <w:szCs w:val="24"/>
          <w:highlight w:val="none"/>
          <w:lang w:val="en-US" w:eastAsia="zh-CN" w:bidi="ar-SA"/>
        </w:rPr>
        <w:t xml:space="preserve">O'Connor, T. </w:t>
      </w:r>
      <w:r>
        <w:rPr>
          <w:rFonts w:hint="eastAsia" w:ascii="Times New Roman" w:hAnsi="Times New Roman" w:eastAsia="宋体" w:cs="Times New Roman"/>
          <w:i/>
          <w:iCs/>
          <w:kern w:val="0"/>
          <w:sz w:val="24"/>
          <w:szCs w:val="24"/>
          <w:highlight w:val="none"/>
          <w:lang w:val="en-US" w:eastAsia="zh-CN" w:bidi="ar-SA"/>
        </w:rPr>
        <w:t>The archaeology of animal bones</w:t>
      </w:r>
      <w:r>
        <w:rPr>
          <w:rFonts w:hint="eastAsia" w:ascii="Times New Roman" w:hAnsi="Times New Roman" w:eastAsia="宋体" w:cs="Times New Roman"/>
          <w:kern w:val="0"/>
          <w:sz w:val="24"/>
          <w:szCs w:val="24"/>
          <w:highlight w:val="none"/>
          <w:lang w:val="en-US" w:eastAsia="zh-CN" w:bidi="ar-SA"/>
        </w:rPr>
        <w:t>. Texas A&amp;M University Press, College Station (2000).</w:t>
      </w:r>
    </w:p>
    <w:p w14:paraId="70607213">
      <w:pPr>
        <w:keepNext w:val="0"/>
        <w:keepLines w:val="0"/>
        <w:pageBreakBefore w:val="0"/>
        <w:widowControl/>
        <w:kinsoku/>
        <w:wordWrap/>
        <w:overflowPunct/>
        <w:topLinePunct w:val="0"/>
        <w:autoSpaceDE/>
        <w:autoSpaceDN/>
        <w:bidi w:val="0"/>
        <w:adjustRightInd w:val="0"/>
        <w:snapToGrid w:val="0"/>
        <w:spacing w:after="60" w:line="240" w:lineRule="auto"/>
        <w:ind w:left="240" w:hanging="240" w:hangingChars="100"/>
        <w:jc w:val="both"/>
        <w:textAlignment w:val="auto"/>
        <w:rPr>
          <w:rFonts w:hint="eastAsia" w:ascii="Times New Roman" w:hAnsi="Times New Roman" w:eastAsia="宋体" w:cs="Times New Roman"/>
          <w:kern w:val="0"/>
          <w:sz w:val="24"/>
          <w:szCs w:val="24"/>
          <w:highlight w:val="none"/>
          <w:lang w:val="en-US" w:eastAsia="zh-CN" w:bidi="ar-SA"/>
        </w:rPr>
      </w:pPr>
      <w:r>
        <w:rPr>
          <w:rFonts w:hint="eastAsia" w:cs="Times New Roman"/>
          <w:kern w:val="0"/>
          <w:sz w:val="24"/>
          <w:szCs w:val="24"/>
          <w:highlight w:val="none"/>
          <w:lang w:val="en-US" w:eastAsia="zh-CN"/>
        </w:rPr>
        <w:t>91</w:t>
      </w:r>
      <w:r>
        <w:rPr>
          <w:rFonts w:ascii="Times New Roman" w:hAnsi="Times New Roman" w:eastAsia="宋体" w:cs="Times New Roman"/>
          <w:kern w:val="0"/>
          <w:sz w:val="24"/>
          <w:szCs w:val="24"/>
          <w:highlight w:val="none"/>
        </w:rPr>
        <w:t>.</w:t>
      </w:r>
      <w:r>
        <w:rPr>
          <w:rFonts w:hint="eastAsia" w:ascii="Times New Roman" w:hAnsi="Times New Roman" w:eastAsia="宋体" w:cs="Times New Roman"/>
          <w:kern w:val="0"/>
          <w:sz w:val="24"/>
          <w:szCs w:val="24"/>
          <w:highlight w:val="none"/>
        </w:rPr>
        <w:t xml:space="preserve"> </w:t>
      </w:r>
      <w:r>
        <w:rPr>
          <w:rFonts w:hint="eastAsia" w:ascii="Times New Roman" w:hAnsi="Times New Roman" w:eastAsia="宋体" w:cs="Times New Roman"/>
          <w:kern w:val="0"/>
          <w:sz w:val="24"/>
          <w:szCs w:val="24"/>
          <w:highlight w:val="none"/>
          <w:lang w:val="en-US" w:eastAsia="zh-CN" w:bidi="ar-SA"/>
        </w:rPr>
        <w:t xml:space="preserve">Reitz, E. J. &amp; Wing, E. S. </w:t>
      </w:r>
      <w:r>
        <w:rPr>
          <w:rFonts w:hint="eastAsia" w:ascii="Times New Roman" w:hAnsi="Times New Roman" w:eastAsia="宋体" w:cs="Times New Roman"/>
          <w:i/>
          <w:iCs/>
          <w:kern w:val="0"/>
          <w:sz w:val="24"/>
          <w:szCs w:val="24"/>
          <w:highlight w:val="none"/>
          <w:lang w:val="en-US" w:eastAsia="zh-CN" w:bidi="ar-SA"/>
        </w:rPr>
        <w:t>Zooarchaeology. 2nd ed</w:t>
      </w:r>
      <w:r>
        <w:rPr>
          <w:rFonts w:hint="eastAsia" w:ascii="Times New Roman" w:hAnsi="Times New Roman" w:eastAsia="宋体" w:cs="Times New Roman"/>
          <w:kern w:val="0"/>
          <w:sz w:val="24"/>
          <w:szCs w:val="24"/>
          <w:highlight w:val="none"/>
          <w:lang w:val="en-US" w:eastAsia="zh-CN" w:bidi="ar-SA"/>
        </w:rPr>
        <w:t>. Cambridge University Press, Cambridge (2008).</w:t>
      </w:r>
    </w:p>
    <w:p w14:paraId="573B262B">
      <w:pPr>
        <w:keepNext w:val="0"/>
        <w:keepLines w:val="0"/>
        <w:pageBreakBefore w:val="0"/>
        <w:widowControl/>
        <w:kinsoku/>
        <w:wordWrap/>
        <w:overflowPunct/>
        <w:topLinePunct w:val="0"/>
        <w:autoSpaceDE/>
        <w:autoSpaceDN/>
        <w:bidi w:val="0"/>
        <w:adjustRightInd w:val="0"/>
        <w:snapToGrid w:val="0"/>
        <w:spacing w:after="60" w:line="240" w:lineRule="auto"/>
        <w:ind w:left="240" w:hanging="240" w:hangingChars="100"/>
        <w:jc w:val="both"/>
        <w:textAlignment w:val="auto"/>
        <w:rPr>
          <w:rFonts w:hint="eastAsia" w:ascii="Times New Roman" w:hAnsi="Times New Roman" w:eastAsia="宋体" w:cs="Times New Roman"/>
          <w:kern w:val="0"/>
          <w:sz w:val="24"/>
          <w:szCs w:val="24"/>
          <w:highlight w:val="none"/>
          <w:lang w:val="en-US" w:eastAsia="zh-CN" w:bidi="ar-SA"/>
        </w:rPr>
      </w:pPr>
      <w:r>
        <w:rPr>
          <w:rFonts w:hint="eastAsia" w:cs="Times New Roman"/>
          <w:kern w:val="0"/>
          <w:sz w:val="24"/>
          <w:szCs w:val="24"/>
          <w:highlight w:val="none"/>
          <w:lang w:val="en-US" w:eastAsia="zh-CN"/>
        </w:rPr>
        <w:t>92</w:t>
      </w:r>
      <w:r>
        <w:rPr>
          <w:rFonts w:ascii="Times New Roman" w:hAnsi="Times New Roman" w:eastAsia="宋体" w:cs="Times New Roman"/>
          <w:kern w:val="0"/>
          <w:sz w:val="24"/>
          <w:szCs w:val="24"/>
          <w:highlight w:val="none"/>
        </w:rPr>
        <w:t>.</w:t>
      </w:r>
      <w:r>
        <w:rPr>
          <w:rFonts w:hint="eastAsia" w:ascii="Times New Roman" w:hAnsi="Times New Roman" w:eastAsia="宋体" w:cs="Times New Roman"/>
          <w:kern w:val="0"/>
          <w:sz w:val="24"/>
          <w:szCs w:val="24"/>
          <w:highlight w:val="none"/>
        </w:rPr>
        <w:t xml:space="preserve"> </w:t>
      </w:r>
      <w:r>
        <w:rPr>
          <w:rFonts w:hint="eastAsia" w:ascii="Times New Roman" w:hAnsi="Times New Roman" w:eastAsia="宋体" w:cs="Times New Roman"/>
          <w:kern w:val="0"/>
          <w:sz w:val="24"/>
          <w:szCs w:val="24"/>
          <w:highlight w:val="none"/>
          <w:lang w:val="en-US" w:eastAsia="zh-CN" w:bidi="ar-SA"/>
        </w:rPr>
        <w:t xml:space="preserve">France, D. L. </w:t>
      </w:r>
      <w:r>
        <w:rPr>
          <w:rFonts w:hint="eastAsia" w:ascii="Times New Roman" w:hAnsi="Times New Roman" w:eastAsia="宋体" w:cs="Times New Roman"/>
          <w:i/>
          <w:iCs/>
          <w:kern w:val="0"/>
          <w:sz w:val="24"/>
          <w:szCs w:val="24"/>
          <w:highlight w:val="none"/>
          <w:lang w:val="en-US" w:eastAsia="zh-CN" w:bidi="ar-SA"/>
        </w:rPr>
        <w:t>Comparative bone identification: Human subadult to nonhuman</w:t>
      </w:r>
      <w:r>
        <w:rPr>
          <w:rFonts w:hint="eastAsia" w:ascii="Times New Roman" w:hAnsi="Times New Roman" w:eastAsia="宋体" w:cs="Times New Roman"/>
          <w:kern w:val="0"/>
          <w:sz w:val="24"/>
          <w:szCs w:val="24"/>
          <w:highlight w:val="none"/>
          <w:lang w:val="en-US" w:eastAsia="zh-CN" w:bidi="ar-SA"/>
        </w:rPr>
        <w:t>. CRC Press, Boca Raton (2017).</w:t>
      </w:r>
    </w:p>
    <w:p w14:paraId="1DA2958D">
      <w:pPr>
        <w:keepNext w:val="0"/>
        <w:keepLines w:val="0"/>
        <w:pageBreakBefore w:val="0"/>
        <w:widowControl/>
        <w:kinsoku/>
        <w:wordWrap/>
        <w:overflowPunct/>
        <w:topLinePunct w:val="0"/>
        <w:autoSpaceDE/>
        <w:autoSpaceDN/>
        <w:bidi w:val="0"/>
        <w:adjustRightInd w:val="0"/>
        <w:snapToGrid w:val="0"/>
        <w:spacing w:after="60" w:line="240" w:lineRule="auto"/>
        <w:ind w:left="240" w:hanging="240" w:hangingChars="100"/>
        <w:jc w:val="both"/>
        <w:textAlignment w:val="auto"/>
        <w:rPr>
          <w:rFonts w:hint="eastAsia" w:ascii="Times New Roman" w:hAnsi="Times New Roman" w:eastAsia="宋体" w:cs="Times New Roman"/>
          <w:kern w:val="0"/>
          <w:sz w:val="24"/>
          <w:szCs w:val="24"/>
          <w:highlight w:val="none"/>
          <w:lang w:val="en-US" w:eastAsia="zh-CN" w:bidi="ar-SA"/>
        </w:rPr>
      </w:pPr>
      <w:r>
        <w:rPr>
          <w:rFonts w:hint="eastAsia" w:ascii="Times New Roman" w:hAnsi="Times New Roman" w:eastAsia="宋体" w:cs="Times New Roman"/>
          <w:kern w:val="0"/>
          <w:sz w:val="24"/>
          <w:szCs w:val="24"/>
          <w:highlight w:val="none"/>
          <w:lang w:val="en-US" w:eastAsia="zh-CN"/>
        </w:rPr>
        <w:t>9</w:t>
      </w:r>
      <w:r>
        <w:rPr>
          <w:rFonts w:hint="eastAsia" w:cs="Times New Roman"/>
          <w:kern w:val="0"/>
          <w:sz w:val="24"/>
          <w:szCs w:val="24"/>
          <w:highlight w:val="none"/>
          <w:lang w:val="en-US" w:eastAsia="zh-CN"/>
        </w:rPr>
        <w:t>3</w:t>
      </w:r>
      <w:r>
        <w:rPr>
          <w:rFonts w:ascii="Times New Roman" w:hAnsi="Times New Roman" w:eastAsia="宋体" w:cs="Times New Roman"/>
          <w:kern w:val="0"/>
          <w:sz w:val="24"/>
          <w:szCs w:val="24"/>
          <w:highlight w:val="none"/>
        </w:rPr>
        <w:t>.</w:t>
      </w:r>
      <w:r>
        <w:rPr>
          <w:rFonts w:hint="eastAsia" w:ascii="Times New Roman" w:hAnsi="Times New Roman" w:eastAsia="宋体" w:cs="Times New Roman"/>
          <w:kern w:val="0"/>
          <w:sz w:val="24"/>
          <w:szCs w:val="24"/>
          <w:highlight w:val="none"/>
        </w:rPr>
        <w:t xml:space="preserve"> </w:t>
      </w:r>
      <w:r>
        <w:rPr>
          <w:rFonts w:hint="eastAsia" w:ascii="Times New Roman" w:hAnsi="Times New Roman" w:eastAsia="宋体" w:cs="Times New Roman"/>
          <w:kern w:val="0"/>
          <w:sz w:val="24"/>
          <w:szCs w:val="24"/>
          <w:highlight w:val="none"/>
          <w:lang w:val="en-US" w:eastAsia="zh-CN" w:bidi="ar-SA"/>
        </w:rPr>
        <w:t>Morin, E.</w:t>
      </w:r>
      <w:r>
        <w:rPr>
          <w:rFonts w:hint="eastAsia" w:cs="Times New Roman"/>
          <w:kern w:val="0"/>
          <w:sz w:val="24"/>
          <w:szCs w:val="24"/>
          <w:highlight w:val="none"/>
          <w:lang w:val="en-US" w:eastAsia="zh-CN" w:bidi="ar-SA"/>
        </w:rPr>
        <w:t xml:space="preserve"> </w:t>
      </w:r>
      <w:r>
        <w:rPr>
          <w:rFonts w:hint="eastAsia"/>
          <w:i/>
          <w:iCs/>
          <w:sz w:val="24"/>
          <w:szCs w:val="24"/>
          <w:lang w:val="en-US" w:eastAsia="zh-CN"/>
        </w:rPr>
        <w:t>et al.</w:t>
      </w:r>
      <w:r>
        <w:rPr>
          <w:rFonts w:hint="eastAsia" w:ascii="Times New Roman" w:hAnsi="Times New Roman" w:eastAsia="宋体" w:cs="Times New Roman"/>
          <w:kern w:val="0"/>
          <w:sz w:val="24"/>
          <w:szCs w:val="24"/>
          <w:highlight w:val="none"/>
          <w:lang w:val="en-US" w:eastAsia="zh-CN" w:bidi="ar-SA"/>
        </w:rPr>
        <w:t xml:space="preserve"> The </w:t>
      </w:r>
      <w:r>
        <w:rPr>
          <w:rFonts w:hint="eastAsia" w:cs="Times New Roman"/>
          <w:kern w:val="0"/>
          <w:sz w:val="24"/>
          <w:szCs w:val="24"/>
          <w:highlight w:val="none"/>
          <w:lang w:val="en-US" w:eastAsia="zh-CN" w:bidi="ar-SA"/>
        </w:rPr>
        <w:t>n</w:t>
      </w:r>
      <w:r>
        <w:rPr>
          <w:rFonts w:hint="eastAsia" w:ascii="Times New Roman" w:hAnsi="Times New Roman" w:eastAsia="宋体" w:cs="Times New Roman"/>
          <w:kern w:val="0"/>
          <w:sz w:val="24"/>
          <w:szCs w:val="24"/>
          <w:highlight w:val="none"/>
          <w:lang w:val="en-US" w:eastAsia="zh-CN" w:bidi="ar-SA"/>
        </w:rPr>
        <w:t xml:space="preserve">umber of </w:t>
      </w:r>
      <w:r>
        <w:rPr>
          <w:rFonts w:hint="eastAsia" w:cs="Times New Roman"/>
          <w:kern w:val="0"/>
          <w:sz w:val="24"/>
          <w:szCs w:val="24"/>
          <w:highlight w:val="none"/>
          <w:lang w:val="en-US" w:eastAsia="zh-CN" w:bidi="ar-SA"/>
        </w:rPr>
        <w:t>d</w:t>
      </w:r>
      <w:r>
        <w:rPr>
          <w:rFonts w:hint="eastAsia" w:ascii="Times New Roman" w:hAnsi="Times New Roman" w:eastAsia="宋体" w:cs="Times New Roman"/>
          <w:kern w:val="0"/>
          <w:sz w:val="24"/>
          <w:szCs w:val="24"/>
          <w:highlight w:val="none"/>
          <w:lang w:val="en-US" w:eastAsia="zh-CN" w:bidi="ar-SA"/>
        </w:rPr>
        <w:t xml:space="preserve">istinct </w:t>
      </w:r>
      <w:r>
        <w:rPr>
          <w:rFonts w:hint="eastAsia" w:cs="Times New Roman"/>
          <w:kern w:val="0"/>
          <w:sz w:val="24"/>
          <w:szCs w:val="24"/>
          <w:highlight w:val="none"/>
          <w:lang w:val="en-US" w:eastAsia="zh-CN" w:bidi="ar-SA"/>
        </w:rPr>
        <w:t>e</w:t>
      </w:r>
      <w:r>
        <w:rPr>
          <w:rFonts w:hint="eastAsia" w:ascii="Times New Roman" w:hAnsi="Times New Roman" w:eastAsia="宋体" w:cs="Times New Roman"/>
          <w:kern w:val="0"/>
          <w:sz w:val="24"/>
          <w:szCs w:val="24"/>
          <w:highlight w:val="none"/>
          <w:lang w:val="en-US" w:eastAsia="zh-CN" w:bidi="ar-SA"/>
        </w:rPr>
        <w:t xml:space="preserve">lements: Extending a landmark-based counting unit to other taxa. </w:t>
      </w:r>
      <w:r>
        <w:rPr>
          <w:rFonts w:hint="eastAsia" w:ascii="Times New Roman" w:hAnsi="Times New Roman" w:eastAsia="宋体" w:cs="Times New Roman"/>
          <w:i/>
          <w:iCs/>
          <w:kern w:val="0"/>
          <w:sz w:val="24"/>
          <w:szCs w:val="24"/>
          <w:highlight w:val="none"/>
          <w:lang w:val="en-US" w:eastAsia="zh-CN" w:bidi="ar-SA"/>
        </w:rPr>
        <w:t>J. Archaeol. Sci. Rep.</w:t>
      </w:r>
      <w:r>
        <w:rPr>
          <w:rFonts w:hint="eastAsia" w:ascii="Times New Roman" w:hAnsi="Times New Roman" w:eastAsia="宋体" w:cs="Times New Roman"/>
          <w:kern w:val="0"/>
          <w:sz w:val="24"/>
          <w:szCs w:val="24"/>
          <w:highlight w:val="none"/>
          <w:lang w:val="en-US" w:eastAsia="zh-CN" w:bidi="ar-SA"/>
        </w:rPr>
        <w:t xml:space="preserve"> </w:t>
      </w:r>
      <w:r>
        <w:rPr>
          <w:rFonts w:hint="eastAsia" w:ascii="Times New Roman" w:hAnsi="Times New Roman" w:eastAsia="宋体" w:cs="Times New Roman"/>
          <w:b/>
          <w:bCs/>
          <w:kern w:val="0"/>
          <w:sz w:val="24"/>
          <w:szCs w:val="24"/>
          <w:highlight w:val="none"/>
          <w:lang w:val="en-US" w:eastAsia="zh-CN" w:bidi="ar-SA"/>
        </w:rPr>
        <w:t>24</w:t>
      </w:r>
      <w:r>
        <w:rPr>
          <w:rFonts w:hint="eastAsia" w:ascii="Times New Roman" w:hAnsi="Times New Roman" w:eastAsia="宋体" w:cs="Times New Roman"/>
          <w:kern w:val="0"/>
          <w:sz w:val="24"/>
          <w:szCs w:val="24"/>
          <w:highlight w:val="none"/>
          <w:lang w:val="en-US" w:eastAsia="zh-CN" w:bidi="ar-SA"/>
        </w:rPr>
        <w:t>, 773</w:t>
      </w:r>
      <w:r>
        <w:rPr>
          <w:sz w:val="24"/>
          <w:szCs w:val="24"/>
        </w:rPr>
        <w:t>–</w:t>
      </w:r>
      <w:r>
        <w:rPr>
          <w:rFonts w:hint="eastAsia" w:ascii="Times New Roman" w:hAnsi="Times New Roman" w:eastAsia="宋体" w:cs="Times New Roman"/>
          <w:kern w:val="0"/>
          <w:sz w:val="24"/>
          <w:szCs w:val="24"/>
          <w:highlight w:val="none"/>
          <w:lang w:val="en-US" w:eastAsia="zh-CN" w:bidi="ar-SA"/>
        </w:rPr>
        <w:t>784 (2019).</w:t>
      </w:r>
    </w:p>
    <w:p w14:paraId="6E20E0B9">
      <w:pPr>
        <w:keepNext w:val="0"/>
        <w:keepLines w:val="0"/>
        <w:pageBreakBefore w:val="0"/>
        <w:widowControl/>
        <w:kinsoku/>
        <w:wordWrap/>
        <w:overflowPunct/>
        <w:topLinePunct w:val="0"/>
        <w:autoSpaceDE/>
        <w:autoSpaceDN/>
        <w:bidi w:val="0"/>
        <w:adjustRightInd w:val="0"/>
        <w:snapToGrid w:val="0"/>
        <w:spacing w:after="60" w:line="240" w:lineRule="auto"/>
        <w:ind w:left="240" w:hanging="240" w:hangingChars="100"/>
        <w:jc w:val="both"/>
        <w:textAlignment w:val="auto"/>
        <w:rPr>
          <w:rFonts w:hint="eastAsia" w:ascii="Times New Roman" w:hAnsi="Times New Roman" w:eastAsia="宋体" w:cs="Times New Roman"/>
          <w:kern w:val="0"/>
          <w:sz w:val="24"/>
          <w:szCs w:val="24"/>
          <w:highlight w:val="none"/>
          <w:lang w:val="en-US" w:eastAsia="zh-CN" w:bidi="ar-SA"/>
        </w:rPr>
      </w:pPr>
      <w:r>
        <w:rPr>
          <w:rFonts w:hint="eastAsia" w:ascii="Times New Roman" w:hAnsi="Times New Roman" w:eastAsia="宋体" w:cs="Times New Roman"/>
          <w:kern w:val="0"/>
          <w:sz w:val="24"/>
          <w:szCs w:val="24"/>
          <w:highlight w:val="none"/>
          <w:lang w:val="en-US" w:eastAsia="zh-CN"/>
        </w:rPr>
        <w:t>9</w:t>
      </w:r>
      <w:r>
        <w:rPr>
          <w:rFonts w:hint="eastAsia" w:cs="Times New Roman"/>
          <w:kern w:val="0"/>
          <w:sz w:val="24"/>
          <w:szCs w:val="24"/>
          <w:highlight w:val="none"/>
          <w:lang w:val="en-US" w:eastAsia="zh-CN"/>
        </w:rPr>
        <w:t>4</w:t>
      </w:r>
      <w:r>
        <w:rPr>
          <w:rFonts w:ascii="Times New Roman" w:hAnsi="Times New Roman" w:eastAsia="宋体" w:cs="Times New Roman"/>
          <w:kern w:val="0"/>
          <w:sz w:val="24"/>
          <w:szCs w:val="24"/>
          <w:highlight w:val="none"/>
        </w:rPr>
        <w:t>.</w:t>
      </w:r>
      <w:r>
        <w:rPr>
          <w:rFonts w:hint="eastAsia" w:ascii="Times New Roman" w:hAnsi="Times New Roman" w:eastAsia="宋体" w:cs="Times New Roman"/>
          <w:kern w:val="0"/>
          <w:sz w:val="24"/>
          <w:szCs w:val="24"/>
          <w:highlight w:val="none"/>
        </w:rPr>
        <w:t xml:space="preserve"> </w:t>
      </w:r>
      <w:r>
        <w:rPr>
          <w:rFonts w:hint="eastAsia" w:ascii="Times New Roman" w:hAnsi="Times New Roman" w:eastAsia="宋体" w:cs="Times New Roman"/>
          <w:kern w:val="0"/>
          <w:sz w:val="24"/>
          <w:szCs w:val="24"/>
          <w:highlight w:val="none"/>
          <w:lang w:val="en-US" w:eastAsia="zh-CN" w:bidi="ar-SA"/>
        </w:rPr>
        <w:t xml:space="preserve">Brain, C. K. </w:t>
      </w:r>
      <w:r>
        <w:rPr>
          <w:rFonts w:hint="eastAsia" w:ascii="Times New Roman" w:hAnsi="Times New Roman" w:eastAsia="宋体" w:cs="Times New Roman"/>
          <w:i/>
          <w:iCs/>
          <w:kern w:val="0"/>
          <w:sz w:val="24"/>
          <w:szCs w:val="24"/>
          <w:highlight w:val="none"/>
          <w:lang w:val="en-US" w:eastAsia="zh-CN" w:bidi="ar-SA"/>
        </w:rPr>
        <w:t>The hunters or the hunted? An introduction to African cave taphonomy</w:t>
      </w:r>
      <w:r>
        <w:rPr>
          <w:rFonts w:hint="eastAsia" w:ascii="Times New Roman" w:hAnsi="Times New Roman" w:eastAsia="宋体" w:cs="Times New Roman"/>
          <w:kern w:val="0"/>
          <w:sz w:val="24"/>
          <w:szCs w:val="24"/>
          <w:highlight w:val="none"/>
          <w:lang w:val="en-US" w:eastAsia="zh-CN" w:bidi="ar-SA"/>
        </w:rPr>
        <w:t>. University of Chicago Press, Chicago (1981).</w:t>
      </w:r>
    </w:p>
    <w:p w14:paraId="267E74FB">
      <w:pPr>
        <w:keepNext w:val="0"/>
        <w:keepLines w:val="0"/>
        <w:pageBreakBefore w:val="0"/>
        <w:widowControl/>
        <w:kinsoku/>
        <w:wordWrap/>
        <w:overflowPunct/>
        <w:topLinePunct w:val="0"/>
        <w:autoSpaceDE/>
        <w:autoSpaceDN/>
        <w:bidi w:val="0"/>
        <w:adjustRightInd w:val="0"/>
        <w:snapToGrid w:val="0"/>
        <w:spacing w:after="60" w:line="240" w:lineRule="auto"/>
        <w:ind w:left="240" w:hanging="240" w:hangingChars="100"/>
        <w:jc w:val="both"/>
        <w:textAlignment w:val="auto"/>
        <w:rPr>
          <w:rFonts w:hint="default" w:ascii="Times New Roman" w:hAnsi="Times New Roman" w:eastAsia="宋体" w:cs="Times New Roman"/>
          <w:kern w:val="0"/>
          <w:sz w:val="24"/>
          <w:szCs w:val="24"/>
          <w:highlight w:val="none"/>
          <w:lang w:val="en-US"/>
        </w:rPr>
      </w:pPr>
      <w:r>
        <w:rPr>
          <w:rFonts w:hint="eastAsia" w:ascii="Times New Roman" w:hAnsi="Times New Roman" w:eastAsia="宋体" w:cs="Times New Roman"/>
          <w:kern w:val="0"/>
          <w:sz w:val="24"/>
          <w:szCs w:val="24"/>
          <w:highlight w:val="none"/>
          <w:lang w:val="en-US" w:eastAsia="zh-CN"/>
        </w:rPr>
        <w:t>9</w:t>
      </w:r>
      <w:r>
        <w:rPr>
          <w:rFonts w:hint="eastAsia" w:cs="Times New Roman"/>
          <w:kern w:val="0"/>
          <w:sz w:val="24"/>
          <w:szCs w:val="24"/>
          <w:highlight w:val="none"/>
          <w:lang w:val="en-US" w:eastAsia="zh-CN"/>
        </w:rPr>
        <w:t>5</w:t>
      </w:r>
      <w:r>
        <w:rPr>
          <w:rFonts w:ascii="Times New Roman" w:hAnsi="Times New Roman" w:eastAsia="宋体" w:cs="Times New Roman"/>
          <w:kern w:val="0"/>
          <w:sz w:val="24"/>
          <w:szCs w:val="24"/>
          <w:highlight w:val="none"/>
        </w:rPr>
        <w:t>.</w:t>
      </w:r>
      <w:r>
        <w:rPr>
          <w:rFonts w:hint="eastAsia" w:ascii="Times New Roman" w:hAnsi="Times New Roman" w:eastAsia="宋体" w:cs="Times New Roman"/>
          <w:kern w:val="0"/>
          <w:sz w:val="24"/>
          <w:szCs w:val="24"/>
          <w:highlight w:val="none"/>
        </w:rPr>
        <w:t xml:space="preserve"> </w:t>
      </w:r>
      <w:r>
        <w:rPr>
          <w:rFonts w:hint="eastAsia" w:ascii="Times New Roman" w:hAnsi="Times New Roman" w:eastAsia="宋体" w:cs="Times New Roman"/>
          <w:kern w:val="0"/>
          <w:sz w:val="24"/>
          <w:szCs w:val="24"/>
          <w:highlight w:val="none"/>
          <w:lang w:val="en-US" w:eastAsia="zh-CN" w:bidi="ar-SA"/>
        </w:rPr>
        <w:t xml:space="preserve">Klein, R. G </w:t>
      </w:r>
      <w:r>
        <w:rPr>
          <w:rFonts w:hint="eastAsia" w:cs="Times New Roman"/>
          <w:kern w:val="0"/>
          <w:sz w:val="24"/>
          <w:szCs w:val="24"/>
          <w:highlight w:val="none"/>
          <w:lang w:val="en-US" w:eastAsia="zh-CN" w:bidi="ar-SA"/>
        </w:rPr>
        <w:t xml:space="preserve">&amp; </w:t>
      </w:r>
      <w:r>
        <w:rPr>
          <w:rFonts w:hint="eastAsia" w:ascii="Times New Roman" w:hAnsi="Times New Roman" w:eastAsia="宋体" w:cs="Times New Roman"/>
          <w:kern w:val="0"/>
          <w:sz w:val="24"/>
          <w:szCs w:val="24"/>
          <w:highlight w:val="none"/>
          <w:lang w:val="en-US" w:eastAsia="zh-CN" w:bidi="ar-SA"/>
        </w:rPr>
        <w:t xml:space="preserve">Cruz-Uribe, K. The computation of ungulate age (mortality) profiles from dental crown heights. </w:t>
      </w:r>
      <w:r>
        <w:rPr>
          <w:rFonts w:hint="eastAsia" w:ascii="Times New Roman" w:hAnsi="Times New Roman" w:eastAsia="宋体" w:cs="Times New Roman"/>
          <w:i/>
          <w:iCs/>
          <w:kern w:val="0"/>
          <w:sz w:val="24"/>
          <w:szCs w:val="24"/>
          <w:highlight w:val="none"/>
          <w:lang w:val="en-US" w:eastAsia="zh-CN" w:bidi="ar-SA"/>
        </w:rPr>
        <w:t>Paleobiology</w:t>
      </w:r>
      <w:r>
        <w:rPr>
          <w:rFonts w:hint="eastAsia" w:ascii="Times New Roman" w:hAnsi="Times New Roman" w:eastAsia="宋体" w:cs="Times New Roman"/>
          <w:kern w:val="0"/>
          <w:sz w:val="24"/>
          <w:szCs w:val="24"/>
          <w:highlight w:val="none"/>
          <w:lang w:val="en-US" w:eastAsia="zh-CN" w:bidi="ar-SA"/>
        </w:rPr>
        <w:t xml:space="preserve">, </w:t>
      </w:r>
      <w:r>
        <w:rPr>
          <w:rFonts w:hint="eastAsia" w:ascii="Times New Roman" w:hAnsi="Times New Roman" w:eastAsia="宋体" w:cs="Times New Roman"/>
          <w:b/>
          <w:bCs/>
          <w:kern w:val="0"/>
          <w:sz w:val="24"/>
          <w:szCs w:val="24"/>
          <w:highlight w:val="none"/>
          <w:lang w:val="en-US" w:eastAsia="zh-CN" w:bidi="ar-SA"/>
        </w:rPr>
        <w:t>9</w:t>
      </w:r>
      <w:r>
        <w:rPr>
          <w:rFonts w:hint="eastAsia" w:cs="Times New Roman"/>
          <w:kern w:val="0"/>
          <w:sz w:val="24"/>
          <w:szCs w:val="24"/>
          <w:highlight w:val="none"/>
          <w:lang w:val="en-US" w:eastAsia="zh-CN" w:bidi="ar-SA"/>
        </w:rPr>
        <w:t>,</w:t>
      </w:r>
      <w:r>
        <w:rPr>
          <w:rFonts w:hint="eastAsia" w:ascii="Times New Roman" w:hAnsi="Times New Roman" w:eastAsia="宋体" w:cs="Times New Roman"/>
          <w:kern w:val="0"/>
          <w:sz w:val="24"/>
          <w:szCs w:val="24"/>
          <w:highlight w:val="none"/>
          <w:lang w:val="en-US" w:eastAsia="zh-CN" w:bidi="ar-SA"/>
        </w:rPr>
        <w:t xml:space="preserve"> 70</w:t>
      </w:r>
      <w:r>
        <w:rPr>
          <w:sz w:val="24"/>
          <w:szCs w:val="24"/>
        </w:rPr>
        <w:t>–</w:t>
      </w:r>
      <w:r>
        <w:rPr>
          <w:rFonts w:hint="eastAsia" w:ascii="Times New Roman" w:hAnsi="Times New Roman" w:eastAsia="宋体" w:cs="Times New Roman"/>
          <w:kern w:val="0"/>
          <w:sz w:val="24"/>
          <w:szCs w:val="24"/>
          <w:highlight w:val="none"/>
          <w:lang w:val="en-US" w:eastAsia="zh-CN" w:bidi="ar-SA"/>
        </w:rPr>
        <w:t>78 (1983)</w:t>
      </w:r>
      <w:r>
        <w:rPr>
          <w:rFonts w:hint="eastAsia" w:cs="Times New Roman"/>
          <w:kern w:val="0"/>
          <w:sz w:val="24"/>
          <w:szCs w:val="24"/>
          <w:highlight w:val="none"/>
          <w:lang w:val="en-US" w:eastAsia="zh-CN" w:bidi="ar-SA"/>
        </w:rPr>
        <w:t>.</w:t>
      </w:r>
    </w:p>
    <w:p w14:paraId="08086B4A">
      <w:pPr>
        <w:keepNext w:val="0"/>
        <w:keepLines w:val="0"/>
        <w:pageBreakBefore w:val="0"/>
        <w:widowControl/>
        <w:kinsoku/>
        <w:wordWrap/>
        <w:overflowPunct/>
        <w:topLinePunct w:val="0"/>
        <w:autoSpaceDE/>
        <w:autoSpaceDN/>
        <w:bidi w:val="0"/>
        <w:adjustRightInd w:val="0"/>
        <w:snapToGrid w:val="0"/>
        <w:spacing w:after="60" w:line="240" w:lineRule="auto"/>
        <w:ind w:left="240" w:hanging="240" w:hangingChars="100"/>
        <w:jc w:val="both"/>
        <w:textAlignment w:val="auto"/>
        <w:rPr>
          <w:rFonts w:hint="eastAsia" w:ascii="Times New Roman" w:hAnsi="Times New Roman" w:eastAsia="宋体" w:cs="Times New Roman"/>
          <w:kern w:val="0"/>
          <w:sz w:val="24"/>
          <w:szCs w:val="24"/>
          <w:highlight w:val="none"/>
          <w:lang w:val="en-US" w:eastAsia="zh-CN" w:bidi="ar-SA"/>
        </w:rPr>
      </w:pPr>
      <w:r>
        <w:rPr>
          <w:rFonts w:hint="eastAsia" w:ascii="Times New Roman" w:hAnsi="Times New Roman" w:eastAsia="宋体" w:cs="Times New Roman"/>
          <w:kern w:val="0"/>
          <w:sz w:val="24"/>
          <w:szCs w:val="24"/>
          <w:highlight w:val="none"/>
          <w:lang w:val="en-US" w:eastAsia="zh-CN"/>
        </w:rPr>
        <w:t>9</w:t>
      </w:r>
      <w:r>
        <w:rPr>
          <w:rFonts w:hint="eastAsia" w:cs="Times New Roman"/>
          <w:kern w:val="0"/>
          <w:sz w:val="24"/>
          <w:szCs w:val="24"/>
          <w:highlight w:val="none"/>
          <w:lang w:val="en-US" w:eastAsia="zh-CN"/>
        </w:rPr>
        <w:t>6</w:t>
      </w:r>
      <w:r>
        <w:rPr>
          <w:rFonts w:ascii="Times New Roman" w:hAnsi="Times New Roman" w:eastAsia="宋体" w:cs="Times New Roman"/>
          <w:kern w:val="0"/>
          <w:sz w:val="24"/>
          <w:szCs w:val="24"/>
          <w:highlight w:val="none"/>
        </w:rPr>
        <w:t>.</w:t>
      </w:r>
      <w:r>
        <w:rPr>
          <w:rFonts w:hint="eastAsia" w:ascii="Times New Roman" w:hAnsi="Times New Roman" w:eastAsia="宋体" w:cs="Times New Roman"/>
          <w:kern w:val="0"/>
          <w:sz w:val="24"/>
          <w:szCs w:val="24"/>
          <w:highlight w:val="none"/>
          <w:lang w:val="en-US" w:eastAsia="zh-CN"/>
        </w:rPr>
        <w:t xml:space="preserve"> </w:t>
      </w:r>
      <w:r>
        <w:rPr>
          <w:rFonts w:hint="eastAsia" w:ascii="Times New Roman" w:hAnsi="Times New Roman" w:eastAsia="宋体" w:cs="Times New Roman"/>
          <w:kern w:val="0"/>
          <w:sz w:val="24"/>
          <w:szCs w:val="24"/>
          <w:highlight w:val="none"/>
          <w:lang w:val="en-US" w:eastAsia="zh-CN" w:bidi="ar-SA"/>
        </w:rPr>
        <w:t>Klein, R. G.</w:t>
      </w:r>
      <w:r>
        <w:rPr>
          <w:rFonts w:hint="eastAsia" w:cs="Times New Roman"/>
          <w:kern w:val="0"/>
          <w:sz w:val="24"/>
          <w:szCs w:val="24"/>
          <w:highlight w:val="none"/>
          <w:lang w:val="en-US" w:eastAsia="zh-CN" w:bidi="ar-SA"/>
        </w:rPr>
        <w:t xml:space="preserve"> </w:t>
      </w:r>
      <w:r>
        <w:rPr>
          <w:rFonts w:hint="eastAsia"/>
          <w:i/>
          <w:iCs/>
          <w:sz w:val="24"/>
          <w:szCs w:val="24"/>
          <w:lang w:val="en-US" w:eastAsia="zh-CN"/>
        </w:rPr>
        <w:t>et al.</w:t>
      </w:r>
      <w:r>
        <w:rPr>
          <w:rFonts w:hint="eastAsia" w:ascii="Times New Roman" w:hAnsi="Times New Roman" w:eastAsia="宋体" w:cs="Times New Roman"/>
          <w:kern w:val="0"/>
          <w:sz w:val="24"/>
          <w:szCs w:val="24"/>
          <w:highlight w:val="none"/>
          <w:lang w:val="en-US" w:eastAsia="zh-CN" w:bidi="ar-SA"/>
        </w:rPr>
        <w:t xml:space="preserve"> The use of dental crown heights for constructing age profiles of red deer and similar species in archaeological samples. </w:t>
      </w:r>
      <w:r>
        <w:rPr>
          <w:rFonts w:hint="eastAsia" w:ascii="Times New Roman" w:hAnsi="Times New Roman" w:eastAsia="宋体" w:cs="Times New Roman"/>
          <w:i/>
          <w:iCs/>
          <w:kern w:val="0"/>
          <w:sz w:val="24"/>
          <w:szCs w:val="24"/>
          <w:highlight w:val="none"/>
          <w:lang w:val="en-US" w:eastAsia="zh-CN" w:bidi="ar-SA"/>
        </w:rPr>
        <w:t>J. Archaeol. Sci.</w:t>
      </w:r>
      <w:r>
        <w:rPr>
          <w:rFonts w:hint="eastAsia" w:ascii="Times New Roman" w:hAnsi="Times New Roman" w:eastAsia="宋体" w:cs="Times New Roman"/>
          <w:kern w:val="0"/>
          <w:sz w:val="24"/>
          <w:szCs w:val="24"/>
          <w:highlight w:val="none"/>
          <w:lang w:val="en-US" w:eastAsia="zh-CN" w:bidi="ar-SA"/>
        </w:rPr>
        <w:t xml:space="preserve"> </w:t>
      </w:r>
      <w:r>
        <w:rPr>
          <w:rFonts w:hint="eastAsia" w:ascii="Times New Roman" w:hAnsi="Times New Roman" w:eastAsia="宋体" w:cs="Times New Roman"/>
          <w:b/>
          <w:bCs/>
          <w:kern w:val="0"/>
          <w:sz w:val="24"/>
          <w:szCs w:val="24"/>
          <w:highlight w:val="none"/>
          <w:lang w:val="en-US" w:eastAsia="zh-CN" w:bidi="ar-SA"/>
        </w:rPr>
        <w:t>8</w:t>
      </w:r>
      <w:r>
        <w:rPr>
          <w:rFonts w:hint="eastAsia" w:ascii="Times New Roman" w:hAnsi="Times New Roman" w:eastAsia="宋体" w:cs="Times New Roman"/>
          <w:kern w:val="0"/>
          <w:sz w:val="24"/>
          <w:szCs w:val="24"/>
          <w:highlight w:val="none"/>
          <w:lang w:val="en-US" w:eastAsia="zh-CN" w:bidi="ar-SA"/>
        </w:rPr>
        <w:t>, 1</w:t>
      </w:r>
      <w:r>
        <w:rPr>
          <w:sz w:val="24"/>
          <w:szCs w:val="24"/>
        </w:rPr>
        <w:t>–</w:t>
      </w:r>
      <w:r>
        <w:rPr>
          <w:rFonts w:hint="eastAsia" w:ascii="Times New Roman" w:hAnsi="Times New Roman" w:eastAsia="宋体" w:cs="Times New Roman"/>
          <w:kern w:val="0"/>
          <w:sz w:val="24"/>
          <w:szCs w:val="24"/>
          <w:highlight w:val="none"/>
          <w:lang w:val="en-US" w:eastAsia="zh-CN" w:bidi="ar-SA"/>
        </w:rPr>
        <w:t>31 (1981).</w:t>
      </w:r>
    </w:p>
    <w:p w14:paraId="17D6358D">
      <w:pPr>
        <w:keepNext w:val="0"/>
        <w:keepLines w:val="0"/>
        <w:pageBreakBefore w:val="0"/>
        <w:widowControl/>
        <w:kinsoku/>
        <w:wordWrap/>
        <w:overflowPunct/>
        <w:topLinePunct w:val="0"/>
        <w:autoSpaceDE/>
        <w:autoSpaceDN/>
        <w:bidi w:val="0"/>
        <w:adjustRightInd w:val="0"/>
        <w:snapToGrid w:val="0"/>
        <w:spacing w:after="60" w:line="240" w:lineRule="auto"/>
        <w:ind w:left="240" w:hanging="240" w:hangingChars="100"/>
        <w:jc w:val="both"/>
        <w:textAlignment w:val="auto"/>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lang w:val="en-US" w:eastAsia="zh-CN"/>
        </w:rPr>
        <w:t>9</w:t>
      </w:r>
      <w:r>
        <w:rPr>
          <w:rFonts w:hint="eastAsia" w:cs="Times New Roman"/>
          <w:kern w:val="0"/>
          <w:sz w:val="24"/>
          <w:szCs w:val="24"/>
          <w:highlight w:val="none"/>
          <w:lang w:val="en-US" w:eastAsia="zh-CN"/>
        </w:rPr>
        <w:t>7</w:t>
      </w:r>
      <w:r>
        <w:rPr>
          <w:rFonts w:ascii="Times New Roman" w:hAnsi="Times New Roman" w:eastAsia="宋体" w:cs="Times New Roman"/>
          <w:kern w:val="0"/>
          <w:sz w:val="24"/>
          <w:szCs w:val="24"/>
          <w:highlight w:val="none"/>
        </w:rPr>
        <w:t>.</w:t>
      </w:r>
      <w:r>
        <w:rPr>
          <w:rFonts w:hint="eastAsia" w:ascii="Times New Roman" w:hAnsi="Times New Roman" w:eastAsia="宋体" w:cs="Times New Roman"/>
          <w:kern w:val="0"/>
          <w:sz w:val="24"/>
          <w:szCs w:val="24"/>
          <w:highlight w:val="none"/>
        </w:rPr>
        <w:t xml:space="preserve"> </w:t>
      </w:r>
      <w:r>
        <w:rPr>
          <w:rFonts w:hint="eastAsia" w:ascii="Times New Roman" w:hAnsi="Times New Roman" w:eastAsia="宋体" w:cs="Times New Roman"/>
          <w:kern w:val="0"/>
          <w:sz w:val="24"/>
          <w:szCs w:val="24"/>
          <w:highlight w:val="none"/>
          <w:lang w:val="en-US" w:eastAsia="zh-CN" w:bidi="ar-SA"/>
        </w:rPr>
        <w:t>Liu, B.</w:t>
      </w:r>
      <w:r>
        <w:rPr>
          <w:rFonts w:hint="eastAsia" w:cs="Times New Roman"/>
          <w:kern w:val="0"/>
          <w:sz w:val="24"/>
          <w:szCs w:val="24"/>
          <w:highlight w:val="none"/>
          <w:lang w:val="en-US" w:eastAsia="zh-CN" w:bidi="ar-SA"/>
        </w:rPr>
        <w:t xml:space="preserve"> </w:t>
      </w:r>
      <w:r>
        <w:rPr>
          <w:rFonts w:hint="eastAsia"/>
          <w:i/>
          <w:iCs/>
          <w:sz w:val="24"/>
          <w:szCs w:val="24"/>
          <w:lang w:val="en-US" w:eastAsia="zh-CN"/>
        </w:rPr>
        <w:t>et al.</w:t>
      </w:r>
      <w:r>
        <w:rPr>
          <w:rFonts w:hint="eastAsia" w:ascii="Times New Roman" w:hAnsi="Times New Roman" w:eastAsia="宋体" w:cs="Times New Roman"/>
          <w:kern w:val="0"/>
          <w:sz w:val="24"/>
          <w:szCs w:val="24"/>
          <w:highlight w:val="none"/>
          <w:lang w:val="en-US" w:eastAsia="zh-CN" w:bidi="ar-SA"/>
        </w:rPr>
        <w:t xml:space="preserve"> Hunting behavior of Hualongdong </w:t>
      </w:r>
      <w:r>
        <w:rPr>
          <w:rFonts w:hint="eastAsia" w:cs="Times New Roman"/>
          <w:kern w:val="0"/>
          <w:sz w:val="24"/>
          <w:szCs w:val="24"/>
          <w:highlight w:val="none"/>
          <w:lang w:val="en-US" w:eastAsia="zh-CN" w:bidi="ar-SA"/>
        </w:rPr>
        <w:t>h</w:t>
      </w:r>
      <w:r>
        <w:rPr>
          <w:rFonts w:hint="eastAsia" w:ascii="Times New Roman" w:hAnsi="Times New Roman" w:eastAsia="宋体" w:cs="Times New Roman"/>
          <w:kern w:val="0"/>
          <w:sz w:val="24"/>
          <w:szCs w:val="24"/>
          <w:highlight w:val="none"/>
          <w:lang w:val="en-US" w:eastAsia="zh-CN" w:bidi="ar-SA"/>
        </w:rPr>
        <w:t xml:space="preserve">ominid based on the teeth of gaur. </w:t>
      </w:r>
      <w:r>
        <w:rPr>
          <w:rFonts w:hint="eastAsia" w:ascii="Times New Roman" w:hAnsi="Times New Roman" w:eastAsia="宋体" w:cs="Times New Roman"/>
          <w:i/>
          <w:iCs/>
          <w:kern w:val="0"/>
          <w:sz w:val="24"/>
          <w:szCs w:val="24"/>
          <w:highlight w:val="none"/>
          <w:lang w:val="en-US" w:eastAsia="zh-CN" w:bidi="ar-SA"/>
        </w:rPr>
        <w:t>Acta Anthropol. Sin.</w:t>
      </w:r>
      <w:r>
        <w:rPr>
          <w:rFonts w:hint="eastAsia" w:ascii="Times New Roman" w:hAnsi="Times New Roman" w:eastAsia="宋体" w:cs="Times New Roman"/>
          <w:kern w:val="0"/>
          <w:sz w:val="24"/>
          <w:szCs w:val="24"/>
          <w:highlight w:val="none"/>
          <w:lang w:val="en-US" w:eastAsia="zh-CN" w:bidi="ar-SA"/>
        </w:rPr>
        <w:t xml:space="preserve"> </w:t>
      </w:r>
      <w:r>
        <w:rPr>
          <w:rFonts w:hint="eastAsia" w:ascii="Times New Roman" w:hAnsi="Times New Roman" w:eastAsia="宋体" w:cs="Times New Roman"/>
          <w:b/>
          <w:bCs/>
          <w:kern w:val="0"/>
          <w:sz w:val="24"/>
          <w:szCs w:val="24"/>
          <w:highlight w:val="none"/>
          <w:lang w:val="en-US" w:eastAsia="zh-CN" w:bidi="ar-SA"/>
        </w:rPr>
        <w:t>44</w:t>
      </w:r>
      <w:r>
        <w:rPr>
          <w:rFonts w:hint="eastAsia" w:ascii="Times New Roman" w:hAnsi="Times New Roman" w:eastAsia="宋体" w:cs="Times New Roman"/>
          <w:kern w:val="0"/>
          <w:sz w:val="24"/>
          <w:szCs w:val="24"/>
          <w:highlight w:val="none"/>
          <w:lang w:val="en-US" w:eastAsia="zh-CN" w:bidi="ar-SA"/>
        </w:rPr>
        <w:t>, 862</w:t>
      </w:r>
      <w:r>
        <w:rPr>
          <w:sz w:val="24"/>
          <w:szCs w:val="24"/>
        </w:rPr>
        <w:t>–</w:t>
      </w:r>
      <w:r>
        <w:rPr>
          <w:rFonts w:hint="eastAsia" w:ascii="Times New Roman" w:hAnsi="Times New Roman" w:eastAsia="宋体" w:cs="Times New Roman"/>
          <w:kern w:val="0"/>
          <w:sz w:val="24"/>
          <w:szCs w:val="24"/>
          <w:highlight w:val="none"/>
          <w:lang w:val="en-US" w:eastAsia="zh-CN" w:bidi="ar-SA"/>
        </w:rPr>
        <w:t>873 (2025).</w:t>
      </w:r>
    </w:p>
    <w:p w14:paraId="168445B1">
      <w:pPr>
        <w:keepNext w:val="0"/>
        <w:keepLines w:val="0"/>
        <w:pageBreakBefore w:val="0"/>
        <w:widowControl/>
        <w:kinsoku/>
        <w:wordWrap/>
        <w:overflowPunct/>
        <w:topLinePunct w:val="0"/>
        <w:autoSpaceDE/>
        <w:autoSpaceDN/>
        <w:bidi w:val="0"/>
        <w:adjustRightInd w:val="0"/>
        <w:snapToGrid w:val="0"/>
        <w:spacing w:after="60" w:line="240" w:lineRule="auto"/>
        <w:ind w:left="240" w:hanging="240" w:hangingChars="100"/>
        <w:jc w:val="both"/>
        <w:textAlignment w:val="auto"/>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lang w:val="en-US" w:eastAsia="zh-CN"/>
        </w:rPr>
        <w:t>9</w:t>
      </w:r>
      <w:r>
        <w:rPr>
          <w:rFonts w:hint="eastAsia" w:cs="Times New Roman"/>
          <w:kern w:val="0"/>
          <w:sz w:val="24"/>
          <w:szCs w:val="24"/>
          <w:highlight w:val="none"/>
          <w:lang w:val="en-US" w:eastAsia="zh-CN"/>
        </w:rPr>
        <w:t>8</w:t>
      </w:r>
      <w:r>
        <w:rPr>
          <w:rFonts w:ascii="Times New Roman" w:hAnsi="Times New Roman" w:eastAsia="宋体" w:cs="Times New Roman"/>
          <w:kern w:val="0"/>
          <w:sz w:val="24"/>
          <w:szCs w:val="24"/>
          <w:highlight w:val="none"/>
        </w:rPr>
        <w:t>.</w:t>
      </w:r>
      <w:r>
        <w:rPr>
          <w:rFonts w:hint="eastAsia" w:ascii="Times New Roman" w:hAnsi="Times New Roman" w:eastAsia="宋体" w:cs="Times New Roman"/>
          <w:kern w:val="0"/>
          <w:sz w:val="24"/>
          <w:szCs w:val="24"/>
          <w:highlight w:val="none"/>
        </w:rPr>
        <w:t xml:space="preserve"> Jones, G. G. &amp; Sadler, P. A review of published sources for age at death in cattle. </w:t>
      </w:r>
      <w:r>
        <w:rPr>
          <w:rFonts w:hint="eastAsia" w:ascii="Times New Roman" w:hAnsi="Times New Roman" w:eastAsia="宋体" w:cs="Times New Roman"/>
          <w:i/>
          <w:iCs/>
          <w:kern w:val="0"/>
          <w:sz w:val="24"/>
          <w:szCs w:val="24"/>
          <w:highlight w:val="none"/>
        </w:rPr>
        <w:t>Environ. Archaeol.</w:t>
      </w:r>
      <w:r>
        <w:rPr>
          <w:rFonts w:hint="eastAsia" w:ascii="Times New Roman" w:hAnsi="Times New Roman" w:eastAsia="宋体" w:cs="Times New Roman"/>
          <w:kern w:val="0"/>
          <w:sz w:val="24"/>
          <w:szCs w:val="24"/>
          <w:highlight w:val="none"/>
        </w:rPr>
        <w:t xml:space="preserve"> </w:t>
      </w:r>
      <w:r>
        <w:rPr>
          <w:rFonts w:hint="eastAsia" w:ascii="Times New Roman" w:hAnsi="Times New Roman" w:eastAsia="宋体" w:cs="Times New Roman"/>
          <w:b/>
          <w:bCs/>
          <w:kern w:val="0"/>
          <w:sz w:val="24"/>
          <w:szCs w:val="24"/>
          <w:highlight w:val="none"/>
        </w:rPr>
        <w:t>17</w:t>
      </w:r>
      <w:r>
        <w:rPr>
          <w:rFonts w:hint="eastAsia" w:ascii="Times New Roman" w:hAnsi="Times New Roman" w:eastAsia="宋体" w:cs="Times New Roman"/>
          <w:kern w:val="0"/>
          <w:sz w:val="24"/>
          <w:szCs w:val="24"/>
          <w:highlight w:val="none"/>
        </w:rPr>
        <w:t>, 1</w:t>
      </w:r>
      <w:r>
        <w:rPr>
          <w:sz w:val="24"/>
          <w:szCs w:val="24"/>
        </w:rPr>
        <w:t>–</w:t>
      </w:r>
      <w:r>
        <w:rPr>
          <w:rFonts w:hint="eastAsia" w:ascii="Times New Roman" w:hAnsi="Times New Roman" w:eastAsia="宋体" w:cs="Times New Roman"/>
          <w:kern w:val="0"/>
          <w:sz w:val="24"/>
          <w:szCs w:val="24"/>
          <w:highlight w:val="none"/>
        </w:rPr>
        <w:t>10 (2012).</w:t>
      </w:r>
    </w:p>
    <w:p w14:paraId="13EAB97E">
      <w:pPr>
        <w:keepNext w:val="0"/>
        <w:keepLines w:val="0"/>
        <w:pageBreakBefore w:val="0"/>
        <w:widowControl/>
        <w:kinsoku/>
        <w:wordWrap/>
        <w:overflowPunct/>
        <w:topLinePunct w:val="0"/>
        <w:autoSpaceDE/>
        <w:autoSpaceDN/>
        <w:bidi w:val="0"/>
        <w:adjustRightInd w:val="0"/>
        <w:snapToGrid w:val="0"/>
        <w:spacing w:after="60" w:line="240" w:lineRule="auto"/>
        <w:ind w:left="240" w:hanging="240" w:hangingChars="100"/>
        <w:jc w:val="both"/>
        <w:textAlignment w:val="auto"/>
        <w:rPr>
          <w:rFonts w:hint="eastAsia" w:ascii="Times New Roman" w:hAnsi="Times New Roman" w:eastAsia="宋体" w:cs="Times New Roman"/>
          <w:kern w:val="0"/>
          <w:sz w:val="24"/>
          <w:szCs w:val="24"/>
          <w:highlight w:val="none"/>
          <w:lang w:val="en-US" w:eastAsia="zh-CN" w:bidi="ar-SA"/>
        </w:rPr>
      </w:pPr>
      <w:r>
        <w:rPr>
          <w:rFonts w:hint="eastAsia" w:cs="Times New Roman"/>
          <w:kern w:val="0"/>
          <w:sz w:val="24"/>
          <w:szCs w:val="24"/>
          <w:highlight w:val="none"/>
          <w:lang w:val="en-US" w:eastAsia="zh-CN"/>
        </w:rPr>
        <w:t>99</w:t>
      </w:r>
      <w:r>
        <w:rPr>
          <w:rFonts w:ascii="Times New Roman" w:hAnsi="Times New Roman" w:eastAsia="宋体" w:cs="Times New Roman"/>
          <w:kern w:val="0"/>
          <w:sz w:val="24"/>
          <w:szCs w:val="24"/>
          <w:highlight w:val="none"/>
        </w:rPr>
        <w:t>.</w:t>
      </w:r>
      <w:r>
        <w:rPr>
          <w:rFonts w:hint="eastAsia" w:ascii="Times New Roman" w:hAnsi="Times New Roman" w:eastAsia="宋体" w:cs="Times New Roman"/>
          <w:kern w:val="0"/>
          <w:sz w:val="24"/>
          <w:szCs w:val="24"/>
          <w:highlight w:val="none"/>
        </w:rPr>
        <w:t xml:space="preserve"> </w:t>
      </w:r>
      <w:r>
        <w:rPr>
          <w:rFonts w:hint="eastAsia" w:ascii="Times New Roman" w:hAnsi="Times New Roman" w:eastAsia="宋体" w:cs="Times New Roman"/>
          <w:kern w:val="0"/>
          <w:sz w:val="24"/>
          <w:szCs w:val="24"/>
          <w:highlight w:val="none"/>
          <w:lang w:val="en-US" w:eastAsia="zh-CN" w:bidi="ar-SA"/>
        </w:rPr>
        <w:t xml:space="preserve">Wang, X. Assessing the age at death of large Bovine from archaeological sites using isolated teeth. In </w:t>
      </w:r>
      <w:r>
        <w:rPr>
          <w:rFonts w:hint="eastAsia" w:ascii="Times New Roman" w:hAnsi="Times New Roman" w:eastAsia="宋体" w:cs="Times New Roman"/>
          <w:i/>
          <w:iCs/>
          <w:kern w:val="0"/>
          <w:sz w:val="24"/>
          <w:szCs w:val="24"/>
          <w:highlight w:val="none"/>
          <w:lang w:val="en-US" w:eastAsia="zh-CN" w:bidi="ar-SA"/>
        </w:rPr>
        <w:t>Proceedings of the Seventeenth Annual Meeting of the Chinese Society of Vertebrate Paleontology</w:t>
      </w:r>
      <w:r>
        <w:rPr>
          <w:rFonts w:hint="eastAsia" w:ascii="Times New Roman" w:hAnsi="Times New Roman" w:eastAsia="宋体" w:cs="Times New Roman"/>
          <w:kern w:val="0"/>
          <w:sz w:val="24"/>
          <w:szCs w:val="24"/>
          <w:highlight w:val="none"/>
          <w:lang w:val="en-US" w:eastAsia="zh-CN" w:bidi="ar-SA"/>
        </w:rPr>
        <w:t xml:space="preserve"> (eds Dong, W. &amp; Zhang, Y.) 113</w:t>
      </w:r>
      <w:r>
        <w:rPr>
          <w:sz w:val="24"/>
          <w:szCs w:val="24"/>
        </w:rPr>
        <w:t>–</w:t>
      </w:r>
      <w:r>
        <w:rPr>
          <w:rFonts w:hint="eastAsia" w:ascii="Times New Roman" w:hAnsi="Times New Roman" w:eastAsia="宋体" w:cs="Times New Roman"/>
          <w:kern w:val="0"/>
          <w:sz w:val="24"/>
          <w:szCs w:val="24"/>
          <w:highlight w:val="none"/>
          <w:lang w:val="en-US" w:eastAsia="zh-CN" w:bidi="ar-SA"/>
        </w:rPr>
        <w:t>130 (China Ocean Press, Beijing, 2021).</w:t>
      </w:r>
    </w:p>
    <w:p w14:paraId="2EA80689">
      <w:pPr>
        <w:keepNext w:val="0"/>
        <w:keepLines w:val="0"/>
        <w:pageBreakBefore w:val="0"/>
        <w:widowControl/>
        <w:kinsoku/>
        <w:wordWrap/>
        <w:overflowPunct/>
        <w:topLinePunct w:val="0"/>
        <w:autoSpaceDE/>
        <w:autoSpaceDN/>
        <w:bidi w:val="0"/>
        <w:adjustRightInd w:val="0"/>
        <w:snapToGrid w:val="0"/>
        <w:spacing w:after="60" w:line="240" w:lineRule="auto"/>
        <w:ind w:left="240" w:hanging="240" w:hangingChars="100"/>
        <w:jc w:val="both"/>
        <w:textAlignment w:val="auto"/>
        <w:rPr>
          <w:rFonts w:hint="eastAsia" w:ascii="Times New Roman" w:hAnsi="Times New Roman" w:eastAsia="宋体" w:cs="Times New Roman"/>
          <w:kern w:val="0"/>
          <w:sz w:val="24"/>
          <w:szCs w:val="24"/>
          <w:highlight w:val="none"/>
          <w:lang w:val="en-US" w:eastAsia="zh-CN" w:bidi="ar-SA"/>
        </w:rPr>
      </w:pPr>
      <w:r>
        <w:rPr>
          <w:rFonts w:hint="eastAsia" w:cs="Times New Roman"/>
          <w:kern w:val="0"/>
          <w:sz w:val="24"/>
          <w:szCs w:val="24"/>
          <w:highlight w:val="none"/>
          <w:lang w:val="en-US" w:eastAsia="zh-CN"/>
        </w:rPr>
        <w:t>100</w:t>
      </w:r>
      <w:r>
        <w:rPr>
          <w:rFonts w:ascii="Times New Roman" w:hAnsi="Times New Roman" w:eastAsia="宋体" w:cs="Times New Roman"/>
          <w:kern w:val="0"/>
          <w:sz w:val="24"/>
          <w:szCs w:val="24"/>
          <w:highlight w:val="none"/>
        </w:rPr>
        <w:t>.</w:t>
      </w:r>
      <w:r>
        <w:rPr>
          <w:rFonts w:hint="eastAsia" w:ascii="Times New Roman" w:hAnsi="Times New Roman" w:eastAsia="宋体" w:cs="Times New Roman"/>
          <w:kern w:val="0"/>
          <w:sz w:val="24"/>
          <w:szCs w:val="24"/>
          <w:highlight w:val="none"/>
        </w:rPr>
        <w:t xml:space="preserve"> </w:t>
      </w:r>
      <w:r>
        <w:rPr>
          <w:rFonts w:hint="eastAsia" w:ascii="Times New Roman" w:hAnsi="Times New Roman" w:eastAsia="宋体" w:cs="Times New Roman"/>
          <w:kern w:val="0"/>
          <w:sz w:val="24"/>
          <w:szCs w:val="24"/>
          <w:highlight w:val="none"/>
          <w:lang w:val="en-US" w:eastAsia="zh-CN" w:bidi="ar-SA"/>
        </w:rPr>
        <w:t>Azorit, C.</w:t>
      </w:r>
      <w:r>
        <w:rPr>
          <w:rFonts w:hint="eastAsia" w:cs="Times New Roman"/>
          <w:kern w:val="0"/>
          <w:sz w:val="24"/>
          <w:szCs w:val="24"/>
          <w:highlight w:val="none"/>
          <w:lang w:val="en-US" w:eastAsia="zh-CN" w:bidi="ar-SA"/>
        </w:rPr>
        <w:t xml:space="preserve"> </w:t>
      </w:r>
      <w:r>
        <w:rPr>
          <w:rFonts w:hint="eastAsia"/>
          <w:i/>
          <w:iCs/>
          <w:sz w:val="24"/>
          <w:szCs w:val="24"/>
          <w:lang w:val="en-US" w:eastAsia="zh-CN"/>
        </w:rPr>
        <w:t>et al.</w:t>
      </w:r>
      <w:r>
        <w:rPr>
          <w:rFonts w:hint="eastAsia" w:ascii="Times New Roman" w:hAnsi="Times New Roman" w:eastAsia="宋体" w:cs="Times New Roman"/>
          <w:kern w:val="0"/>
          <w:sz w:val="24"/>
          <w:szCs w:val="24"/>
          <w:highlight w:val="none"/>
          <w:lang w:val="en-US" w:eastAsia="zh-CN" w:bidi="ar-SA"/>
        </w:rPr>
        <w:t xml:space="preserve"> Teeth eruption pattern in red deer (Cervus elaphus hispanicus) in southern Spain. </w:t>
      </w:r>
      <w:r>
        <w:rPr>
          <w:rFonts w:hint="eastAsia" w:ascii="Times New Roman" w:hAnsi="Times New Roman" w:eastAsia="宋体" w:cs="Times New Roman"/>
          <w:i/>
          <w:iCs/>
          <w:kern w:val="0"/>
          <w:sz w:val="24"/>
          <w:szCs w:val="24"/>
          <w:highlight w:val="none"/>
          <w:lang w:val="en-US" w:eastAsia="zh-CN" w:bidi="ar-SA"/>
        </w:rPr>
        <w:t xml:space="preserve">Anales de Biología </w:t>
      </w:r>
      <w:r>
        <w:rPr>
          <w:rFonts w:hint="eastAsia" w:ascii="Times New Roman" w:hAnsi="Times New Roman" w:eastAsia="宋体" w:cs="Times New Roman"/>
          <w:b/>
          <w:bCs/>
          <w:kern w:val="0"/>
          <w:sz w:val="24"/>
          <w:szCs w:val="24"/>
          <w:highlight w:val="none"/>
          <w:lang w:val="en-US" w:eastAsia="zh-CN" w:bidi="ar-SA"/>
        </w:rPr>
        <w:t>24</w:t>
      </w:r>
      <w:r>
        <w:rPr>
          <w:rFonts w:hint="eastAsia" w:ascii="Times New Roman" w:hAnsi="Times New Roman" w:eastAsia="宋体" w:cs="Times New Roman"/>
          <w:kern w:val="0"/>
          <w:sz w:val="24"/>
          <w:szCs w:val="24"/>
          <w:highlight w:val="none"/>
          <w:lang w:val="en-US" w:eastAsia="zh-CN" w:bidi="ar-SA"/>
        </w:rPr>
        <w:t>, 107</w:t>
      </w:r>
      <w:r>
        <w:rPr>
          <w:sz w:val="24"/>
          <w:szCs w:val="24"/>
        </w:rPr>
        <w:t>–</w:t>
      </w:r>
      <w:r>
        <w:rPr>
          <w:rFonts w:hint="eastAsia" w:ascii="Times New Roman" w:hAnsi="Times New Roman" w:eastAsia="宋体" w:cs="Times New Roman"/>
          <w:kern w:val="0"/>
          <w:sz w:val="24"/>
          <w:szCs w:val="24"/>
          <w:highlight w:val="none"/>
          <w:lang w:val="en-US" w:eastAsia="zh-CN" w:bidi="ar-SA"/>
        </w:rPr>
        <w:t>114 (2002).</w:t>
      </w:r>
    </w:p>
    <w:p w14:paraId="722A7DC0">
      <w:pPr>
        <w:keepNext w:val="0"/>
        <w:keepLines w:val="0"/>
        <w:pageBreakBefore w:val="0"/>
        <w:widowControl/>
        <w:kinsoku/>
        <w:wordWrap/>
        <w:overflowPunct/>
        <w:topLinePunct w:val="0"/>
        <w:autoSpaceDE/>
        <w:autoSpaceDN/>
        <w:bidi w:val="0"/>
        <w:adjustRightInd w:val="0"/>
        <w:snapToGrid w:val="0"/>
        <w:spacing w:after="60" w:line="240" w:lineRule="auto"/>
        <w:ind w:left="240" w:hanging="240" w:hangingChars="100"/>
        <w:jc w:val="both"/>
        <w:textAlignment w:val="auto"/>
        <w:rPr>
          <w:rFonts w:hint="eastAsia" w:ascii="Times New Roman" w:hAnsi="Times New Roman" w:eastAsia="宋体" w:cs="Times New Roman"/>
          <w:kern w:val="0"/>
          <w:sz w:val="24"/>
          <w:szCs w:val="24"/>
          <w:highlight w:val="none"/>
          <w:lang w:val="en-US" w:eastAsia="zh-CN" w:bidi="ar-SA"/>
        </w:rPr>
      </w:pPr>
      <w:r>
        <w:rPr>
          <w:rFonts w:hint="eastAsia" w:cs="Times New Roman"/>
          <w:kern w:val="0"/>
          <w:sz w:val="24"/>
          <w:szCs w:val="24"/>
          <w:highlight w:val="none"/>
          <w:lang w:val="en-US" w:eastAsia="zh-CN"/>
        </w:rPr>
        <w:t>101</w:t>
      </w:r>
      <w:r>
        <w:rPr>
          <w:rFonts w:ascii="Times New Roman" w:hAnsi="Times New Roman" w:eastAsia="宋体" w:cs="Times New Roman"/>
          <w:kern w:val="0"/>
          <w:sz w:val="24"/>
          <w:szCs w:val="24"/>
          <w:highlight w:val="none"/>
        </w:rPr>
        <w:t>.</w:t>
      </w:r>
      <w:r>
        <w:rPr>
          <w:rFonts w:hint="eastAsia" w:ascii="Times New Roman" w:hAnsi="Times New Roman" w:eastAsia="宋体" w:cs="Times New Roman"/>
          <w:kern w:val="0"/>
          <w:sz w:val="24"/>
          <w:szCs w:val="24"/>
          <w:highlight w:val="none"/>
        </w:rPr>
        <w:t xml:space="preserve"> </w:t>
      </w:r>
      <w:r>
        <w:rPr>
          <w:rFonts w:hint="eastAsia" w:ascii="Times New Roman" w:hAnsi="Times New Roman" w:eastAsia="宋体" w:cs="Times New Roman"/>
          <w:kern w:val="0"/>
          <w:sz w:val="24"/>
          <w:szCs w:val="24"/>
          <w:highlight w:val="none"/>
          <w:lang w:val="en-US" w:eastAsia="zh-CN" w:bidi="ar-SA"/>
        </w:rPr>
        <w:t>Guo, Y.</w:t>
      </w:r>
      <w:r>
        <w:rPr>
          <w:rFonts w:hint="eastAsia" w:cs="Times New Roman"/>
          <w:kern w:val="0"/>
          <w:sz w:val="24"/>
          <w:szCs w:val="24"/>
          <w:highlight w:val="none"/>
          <w:lang w:val="en-US" w:eastAsia="zh-CN" w:bidi="ar-SA"/>
        </w:rPr>
        <w:t xml:space="preserve"> </w:t>
      </w:r>
      <w:r>
        <w:rPr>
          <w:rFonts w:hint="eastAsia"/>
          <w:i/>
          <w:iCs/>
          <w:sz w:val="24"/>
          <w:szCs w:val="24"/>
          <w:lang w:val="en-US" w:eastAsia="zh-CN"/>
        </w:rPr>
        <w:t>et al.</w:t>
      </w:r>
      <w:r>
        <w:rPr>
          <w:rFonts w:hint="eastAsia" w:ascii="Times New Roman" w:hAnsi="Times New Roman" w:eastAsia="宋体" w:cs="Times New Roman"/>
          <w:kern w:val="0"/>
          <w:sz w:val="24"/>
          <w:szCs w:val="24"/>
          <w:highlight w:val="none"/>
          <w:lang w:val="en-US" w:eastAsia="zh-CN" w:bidi="ar-SA"/>
        </w:rPr>
        <w:t xml:space="preserve"> Death age of large cervidae from the Weijiadong site in Guizhou Province. </w:t>
      </w:r>
      <w:r>
        <w:rPr>
          <w:rFonts w:hint="eastAsia" w:ascii="Times New Roman" w:hAnsi="Times New Roman" w:eastAsia="宋体" w:cs="Times New Roman"/>
          <w:i/>
          <w:iCs/>
          <w:kern w:val="0"/>
          <w:sz w:val="24"/>
          <w:szCs w:val="24"/>
          <w:highlight w:val="none"/>
          <w:lang w:val="en-US" w:eastAsia="zh-CN" w:bidi="ar-SA"/>
        </w:rPr>
        <w:t>J. Archaeol. Sci.</w:t>
      </w:r>
      <w:r>
        <w:rPr>
          <w:rFonts w:hint="eastAsia" w:ascii="Times New Roman" w:hAnsi="Times New Roman" w:eastAsia="宋体" w:cs="Times New Roman"/>
          <w:kern w:val="0"/>
          <w:sz w:val="24"/>
          <w:szCs w:val="24"/>
          <w:highlight w:val="none"/>
          <w:lang w:val="en-US" w:eastAsia="zh-CN" w:bidi="ar-SA"/>
        </w:rPr>
        <w:t xml:space="preserve"> </w:t>
      </w:r>
      <w:r>
        <w:rPr>
          <w:rFonts w:hint="eastAsia" w:ascii="Times New Roman" w:hAnsi="Times New Roman" w:eastAsia="宋体" w:cs="Times New Roman"/>
          <w:b/>
          <w:bCs/>
          <w:kern w:val="0"/>
          <w:sz w:val="24"/>
          <w:szCs w:val="24"/>
          <w:highlight w:val="none"/>
          <w:lang w:val="en-US" w:eastAsia="zh-CN" w:bidi="ar-SA"/>
        </w:rPr>
        <w:t>44</w:t>
      </w:r>
      <w:r>
        <w:rPr>
          <w:rFonts w:hint="eastAsia" w:ascii="Times New Roman" w:hAnsi="Times New Roman" w:eastAsia="宋体" w:cs="Times New Roman"/>
          <w:kern w:val="0"/>
          <w:sz w:val="24"/>
          <w:szCs w:val="24"/>
          <w:highlight w:val="none"/>
          <w:lang w:val="en-US" w:eastAsia="zh-CN" w:bidi="ar-SA"/>
        </w:rPr>
        <w:t>, 674</w:t>
      </w:r>
      <w:r>
        <w:rPr>
          <w:sz w:val="24"/>
          <w:szCs w:val="24"/>
        </w:rPr>
        <w:t>–</w:t>
      </w:r>
      <w:r>
        <w:rPr>
          <w:rFonts w:hint="eastAsia" w:ascii="Times New Roman" w:hAnsi="Times New Roman" w:eastAsia="宋体" w:cs="Times New Roman"/>
          <w:kern w:val="0"/>
          <w:sz w:val="24"/>
          <w:szCs w:val="24"/>
          <w:highlight w:val="none"/>
          <w:lang w:val="en-US" w:eastAsia="zh-CN" w:bidi="ar-SA"/>
        </w:rPr>
        <w:t>687 (2025).</w:t>
      </w:r>
    </w:p>
    <w:p w14:paraId="50042800">
      <w:pPr>
        <w:keepNext w:val="0"/>
        <w:keepLines w:val="0"/>
        <w:pageBreakBefore w:val="0"/>
        <w:widowControl/>
        <w:kinsoku/>
        <w:wordWrap/>
        <w:overflowPunct/>
        <w:topLinePunct w:val="0"/>
        <w:autoSpaceDE/>
        <w:autoSpaceDN/>
        <w:bidi w:val="0"/>
        <w:adjustRightInd w:val="0"/>
        <w:snapToGrid w:val="0"/>
        <w:spacing w:after="60" w:line="240" w:lineRule="auto"/>
        <w:ind w:left="240" w:hanging="240" w:hangingChars="100"/>
        <w:jc w:val="both"/>
        <w:textAlignment w:val="auto"/>
        <w:rPr>
          <w:rFonts w:hint="eastAsia" w:ascii="Times New Roman" w:hAnsi="Times New Roman" w:eastAsia="宋体" w:cs="Times New Roman"/>
          <w:kern w:val="0"/>
          <w:sz w:val="24"/>
          <w:szCs w:val="24"/>
          <w:highlight w:val="none"/>
          <w:lang w:val="en-US" w:eastAsia="zh-CN" w:bidi="ar-SA"/>
        </w:rPr>
      </w:pPr>
      <w:r>
        <w:rPr>
          <w:rFonts w:hint="eastAsia" w:cs="Times New Roman"/>
          <w:kern w:val="0"/>
          <w:sz w:val="24"/>
          <w:szCs w:val="24"/>
          <w:highlight w:val="none"/>
          <w:lang w:val="en-US" w:eastAsia="zh-CN"/>
        </w:rPr>
        <w:t>102</w:t>
      </w:r>
      <w:r>
        <w:rPr>
          <w:rFonts w:ascii="Times New Roman" w:hAnsi="Times New Roman" w:eastAsia="宋体" w:cs="Times New Roman"/>
          <w:kern w:val="0"/>
          <w:sz w:val="24"/>
          <w:szCs w:val="24"/>
          <w:highlight w:val="none"/>
        </w:rPr>
        <w:t>.</w:t>
      </w:r>
      <w:r>
        <w:rPr>
          <w:rFonts w:hint="eastAsia" w:ascii="Times New Roman" w:hAnsi="Times New Roman" w:eastAsia="宋体" w:cs="Times New Roman"/>
          <w:kern w:val="0"/>
          <w:sz w:val="24"/>
          <w:szCs w:val="24"/>
          <w:highlight w:val="none"/>
        </w:rPr>
        <w:t xml:space="preserve"> </w:t>
      </w:r>
      <w:r>
        <w:rPr>
          <w:rFonts w:hint="eastAsia" w:ascii="Times New Roman" w:hAnsi="Times New Roman" w:eastAsia="宋体" w:cs="Times New Roman"/>
          <w:kern w:val="0"/>
          <w:sz w:val="24"/>
          <w:szCs w:val="24"/>
          <w:highlight w:val="none"/>
          <w:lang w:val="en-US" w:eastAsia="zh-CN" w:bidi="ar-SA"/>
        </w:rPr>
        <w:t>Bowen, F.</w:t>
      </w:r>
      <w:r>
        <w:rPr>
          <w:rFonts w:hint="eastAsia" w:cs="Times New Roman"/>
          <w:kern w:val="0"/>
          <w:sz w:val="24"/>
          <w:szCs w:val="24"/>
          <w:highlight w:val="none"/>
          <w:lang w:val="en-US" w:eastAsia="zh-CN" w:bidi="ar-SA"/>
        </w:rPr>
        <w:t xml:space="preserve"> </w:t>
      </w:r>
      <w:r>
        <w:rPr>
          <w:rFonts w:hint="eastAsia"/>
          <w:i/>
          <w:iCs/>
          <w:sz w:val="24"/>
          <w:szCs w:val="24"/>
          <w:lang w:val="en-US" w:eastAsia="zh-CN"/>
        </w:rPr>
        <w:t>et al.</w:t>
      </w:r>
      <w:r>
        <w:rPr>
          <w:rFonts w:hint="eastAsia" w:ascii="Times New Roman" w:hAnsi="Times New Roman" w:eastAsia="宋体" w:cs="Times New Roman"/>
          <w:kern w:val="0"/>
          <w:sz w:val="24"/>
          <w:szCs w:val="24"/>
          <w:highlight w:val="none"/>
          <w:lang w:val="en-US" w:eastAsia="zh-CN" w:bidi="ar-SA"/>
        </w:rPr>
        <w:t xml:space="preserve"> Dama </w:t>
      </w:r>
      <w:r>
        <w:rPr>
          <w:rFonts w:hint="eastAsia" w:cs="Times New Roman"/>
          <w:kern w:val="0"/>
          <w:sz w:val="24"/>
          <w:szCs w:val="24"/>
          <w:highlight w:val="none"/>
          <w:lang w:val="en-US" w:eastAsia="zh-CN" w:bidi="ar-SA"/>
        </w:rPr>
        <w:t>d</w:t>
      </w:r>
      <w:r>
        <w:rPr>
          <w:rFonts w:hint="eastAsia" w:ascii="Times New Roman" w:hAnsi="Times New Roman" w:eastAsia="宋体" w:cs="Times New Roman"/>
          <w:kern w:val="0"/>
          <w:sz w:val="24"/>
          <w:szCs w:val="24"/>
          <w:highlight w:val="none"/>
          <w:lang w:val="en-US" w:eastAsia="zh-CN" w:bidi="ar-SA"/>
        </w:rPr>
        <w:t xml:space="preserve">entition: A </w:t>
      </w:r>
      <w:r>
        <w:rPr>
          <w:rFonts w:hint="eastAsia" w:cs="Times New Roman"/>
          <w:kern w:val="0"/>
          <w:sz w:val="24"/>
          <w:szCs w:val="24"/>
          <w:highlight w:val="none"/>
          <w:lang w:val="en-US" w:eastAsia="zh-CN" w:bidi="ar-SA"/>
        </w:rPr>
        <w:t>n</w:t>
      </w:r>
      <w:r>
        <w:rPr>
          <w:rFonts w:hint="eastAsia" w:ascii="Times New Roman" w:hAnsi="Times New Roman" w:eastAsia="宋体" w:cs="Times New Roman"/>
          <w:kern w:val="0"/>
          <w:sz w:val="24"/>
          <w:szCs w:val="24"/>
          <w:highlight w:val="none"/>
          <w:lang w:val="en-US" w:eastAsia="zh-CN" w:bidi="ar-SA"/>
        </w:rPr>
        <w:t xml:space="preserve">ew </w:t>
      </w:r>
      <w:r>
        <w:rPr>
          <w:rFonts w:hint="eastAsia" w:cs="Times New Roman"/>
          <w:kern w:val="0"/>
          <w:sz w:val="24"/>
          <w:szCs w:val="24"/>
          <w:highlight w:val="none"/>
          <w:lang w:val="en-US" w:eastAsia="zh-CN" w:bidi="ar-SA"/>
        </w:rPr>
        <w:t>t</w:t>
      </w:r>
      <w:r>
        <w:rPr>
          <w:rFonts w:hint="eastAsia" w:ascii="Times New Roman" w:hAnsi="Times New Roman" w:eastAsia="宋体" w:cs="Times New Roman"/>
          <w:kern w:val="0"/>
          <w:sz w:val="24"/>
          <w:szCs w:val="24"/>
          <w:highlight w:val="none"/>
          <w:lang w:val="en-US" w:eastAsia="zh-CN" w:bidi="ar-SA"/>
        </w:rPr>
        <w:t xml:space="preserve">ooth </w:t>
      </w:r>
      <w:r>
        <w:rPr>
          <w:rFonts w:hint="eastAsia" w:cs="Times New Roman"/>
          <w:kern w:val="0"/>
          <w:sz w:val="24"/>
          <w:szCs w:val="24"/>
          <w:highlight w:val="none"/>
          <w:lang w:val="en-US" w:eastAsia="zh-CN" w:bidi="ar-SA"/>
        </w:rPr>
        <w:t>e</w:t>
      </w:r>
      <w:r>
        <w:rPr>
          <w:rFonts w:hint="eastAsia" w:ascii="Times New Roman" w:hAnsi="Times New Roman" w:eastAsia="宋体" w:cs="Times New Roman"/>
          <w:kern w:val="0"/>
          <w:sz w:val="24"/>
          <w:szCs w:val="24"/>
          <w:highlight w:val="none"/>
          <w:lang w:val="en-US" w:eastAsia="zh-CN" w:bidi="ar-SA"/>
        </w:rPr>
        <w:t xml:space="preserve">ruption and </w:t>
      </w:r>
      <w:r>
        <w:rPr>
          <w:rFonts w:hint="eastAsia" w:cs="Times New Roman"/>
          <w:kern w:val="0"/>
          <w:sz w:val="24"/>
          <w:szCs w:val="24"/>
          <w:highlight w:val="none"/>
          <w:lang w:val="en-US" w:eastAsia="zh-CN" w:bidi="ar-SA"/>
        </w:rPr>
        <w:t>w</w:t>
      </w:r>
      <w:r>
        <w:rPr>
          <w:rFonts w:hint="eastAsia" w:ascii="Times New Roman" w:hAnsi="Times New Roman" w:eastAsia="宋体" w:cs="Times New Roman"/>
          <w:kern w:val="0"/>
          <w:sz w:val="24"/>
          <w:szCs w:val="24"/>
          <w:highlight w:val="none"/>
          <w:lang w:val="en-US" w:eastAsia="zh-CN" w:bidi="ar-SA"/>
        </w:rPr>
        <w:t xml:space="preserve">ear </w:t>
      </w:r>
      <w:r>
        <w:rPr>
          <w:rFonts w:hint="eastAsia" w:cs="Times New Roman"/>
          <w:kern w:val="0"/>
          <w:sz w:val="24"/>
          <w:szCs w:val="24"/>
          <w:highlight w:val="none"/>
          <w:lang w:val="en-US" w:eastAsia="zh-CN" w:bidi="ar-SA"/>
        </w:rPr>
        <w:t>m</w:t>
      </w:r>
      <w:r>
        <w:rPr>
          <w:rFonts w:hint="eastAsia" w:ascii="Times New Roman" w:hAnsi="Times New Roman" w:eastAsia="宋体" w:cs="Times New Roman"/>
          <w:kern w:val="0"/>
          <w:sz w:val="24"/>
          <w:szCs w:val="24"/>
          <w:highlight w:val="none"/>
          <w:lang w:val="en-US" w:eastAsia="zh-CN" w:bidi="ar-SA"/>
        </w:rPr>
        <w:t xml:space="preserve">ethod for </w:t>
      </w:r>
      <w:r>
        <w:rPr>
          <w:rFonts w:hint="eastAsia" w:cs="Times New Roman"/>
          <w:kern w:val="0"/>
          <w:sz w:val="24"/>
          <w:szCs w:val="24"/>
          <w:highlight w:val="none"/>
          <w:lang w:val="en-US" w:eastAsia="zh-CN" w:bidi="ar-SA"/>
        </w:rPr>
        <w:t>a</w:t>
      </w:r>
      <w:r>
        <w:rPr>
          <w:rFonts w:hint="eastAsia" w:ascii="Times New Roman" w:hAnsi="Times New Roman" w:eastAsia="宋体" w:cs="Times New Roman"/>
          <w:kern w:val="0"/>
          <w:sz w:val="24"/>
          <w:szCs w:val="24"/>
          <w:highlight w:val="none"/>
          <w:lang w:val="en-US" w:eastAsia="zh-CN" w:bidi="ar-SA"/>
        </w:rPr>
        <w:t xml:space="preserve">ssessing the </w:t>
      </w:r>
      <w:r>
        <w:rPr>
          <w:rFonts w:hint="eastAsia" w:cs="Times New Roman"/>
          <w:kern w:val="0"/>
          <w:sz w:val="24"/>
          <w:szCs w:val="24"/>
          <w:highlight w:val="none"/>
          <w:lang w:val="en-US" w:eastAsia="zh-CN" w:bidi="ar-SA"/>
        </w:rPr>
        <w:t>a</w:t>
      </w:r>
      <w:r>
        <w:rPr>
          <w:rFonts w:hint="eastAsia" w:ascii="Times New Roman" w:hAnsi="Times New Roman" w:eastAsia="宋体" w:cs="Times New Roman"/>
          <w:kern w:val="0"/>
          <w:sz w:val="24"/>
          <w:szCs w:val="24"/>
          <w:highlight w:val="none"/>
          <w:lang w:val="en-US" w:eastAsia="zh-CN" w:bidi="ar-SA"/>
        </w:rPr>
        <w:t xml:space="preserve">ge of Fallow Deer (Dama dama). </w:t>
      </w:r>
      <w:r>
        <w:rPr>
          <w:rFonts w:hint="eastAsia" w:ascii="Times New Roman" w:hAnsi="Times New Roman" w:eastAsia="宋体" w:cs="Times New Roman"/>
          <w:i/>
          <w:iCs/>
          <w:kern w:val="0"/>
          <w:sz w:val="24"/>
          <w:szCs w:val="24"/>
          <w:highlight w:val="none"/>
          <w:lang w:val="en-US" w:eastAsia="zh-CN" w:bidi="ar-SA"/>
        </w:rPr>
        <w:t>Int. J. Osteoarchaeol.</w:t>
      </w:r>
      <w:r>
        <w:rPr>
          <w:rFonts w:hint="eastAsia" w:ascii="Times New Roman" w:hAnsi="Times New Roman" w:eastAsia="宋体" w:cs="Times New Roman"/>
          <w:kern w:val="0"/>
          <w:sz w:val="24"/>
          <w:szCs w:val="24"/>
          <w:highlight w:val="none"/>
          <w:lang w:val="en-US" w:eastAsia="zh-CN" w:bidi="ar-SA"/>
        </w:rPr>
        <w:t xml:space="preserve"> </w:t>
      </w:r>
      <w:r>
        <w:rPr>
          <w:rFonts w:hint="eastAsia" w:ascii="Times New Roman" w:hAnsi="Times New Roman" w:eastAsia="宋体" w:cs="Times New Roman"/>
          <w:b/>
          <w:bCs/>
          <w:kern w:val="0"/>
          <w:sz w:val="24"/>
          <w:szCs w:val="24"/>
          <w:highlight w:val="none"/>
          <w:lang w:val="en-US" w:eastAsia="zh-CN" w:bidi="ar-SA"/>
        </w:rPr>
        <w:t>26</w:t>
      </w:r>
      <w:r>
        <w:rPr>
          <w:rFonts w:hint="eastAsia" w:ascii="Times New Roman" w:hAnsi="Times New Roman" w:eastAsia="宋体" w:cs="Times New Roman"/>
          <w:kern w:val="0"/>
          <w:sz w:val="24"/>
          <w:szCs w:val="24"/>
          <w:highlight w:val="none"/>
          <w:lang w:val="en-US" w:eastAsia="zh-CN" w:bidi="ar-SA"/>
        </w:rPr>
        <w:t>, 1</w:t>
      </w:r>
      <w:r>
        <w:rPr>
          <w:sz w:val="24"/>
          <w:szCs w:val="24"/>
        </w:rPr>
        <w:t>–</w:t>
      </w:r>
      <w:r>
        <w:rPr>
          <w:rFonts w:hint="eastAsia" w:ascii="Times New Roman" w:hAnsi="Times New Roman" w:eastAsia="宋体" w:cs="Times New Roman"/>
          <w:kern w:val="0"/>
          <w:sz w:val="24"/>
          <w:szCs w:val="24"/>
          <w:highlight w:val="none"/>
          <w:lang w:val="en-US" w:eastAsia="zh-CN" w:bidi="ar-SA"/>
        </w:rPr>
        <w:t>10 (2016).</w:t>
      </w:r>
    </w:p>
    <w:p w14:paraId="58FF07AF">
      <w:pPr>
        <w:keepNext w:val="0"/>
        <w:keepLines w:val="0"/>
        <w:pageBreakBefore w:val="0"/>
        <w:widowControl/>
        <w:kinsoku/>
        <w:wordWrap/>
        <w:overflowPunct/>
        <w:topLinePunct w:val="0"/>
        <w:autoSpaceDE/>
        <w:autoSpaceDN/>
        <w:bidi w:val="0"/>
        <w:adjustRightInd w:val="0"/>
        <w:snapToGrid w:val="0"/>
        <w:spacing w:after="60" w:line="240" w:lineRule="auto"/>
        <w:ind w:left="240" w:hanging="240" w:hangingChars="100"/>
        <w:jc w:val="both"/>
        <w:textAlignment w:val="auto"/>
        <w:rPr>
          <w:rFonts w:hint="eastAsia" w:ascii="Times New Roman" w:hAnsi="Times New Roman" w:eastAsia="宋体" w:cs="Times New Roman"/>
          <w:kern w:val="0"/>
          <w:sz w:val="24"/>
          <w:szCs w:val="24"/>
          <w:highlight w:val="none"/>
          <w:lang w:val="en-US" w:eastAsia="zh-CN" w:bidi="ar-SA"/>
        </w:rPr>
      </w:pPr>
      <w:r>
        <w:rPr>
          <w:rFonts w:hint="eastAsia" w:ascii="Times New Roman" w:hAnsi="Times New Roman" w:eastAsia="宋体" w:cs="Times New Roman"/>
          <w:kern w:val="0"/>
          <w:sz w:val="24"/>
          <w:szCs w:val="24"/>
          <w:highlight w:val="none"/>
          <w:lang w:val="en-US" w:eastAsia="zh-CN"/>
        </w:rPr>
        <w:t>10</w:t>
      </w:r>
      <w:r>
        <w:rPr>
          <w:rFonts w:hint="eastAsia" w:cs="Times New Roman"/>
          <w:kern w:val="0"/>
          <w:sz w:val="24"/>
          <w:szCs w:val="24"/>
          <w:highlight w:val="none"/>
          <w:lang w:val="en-US" w:eastAsia="zh-CN"/>
        </w:rPr>
        <w:t>3</w:t>
      </w:r>
      <w:r>
        <w:rPr>
          <w:rFonts w:ascii="Times New Roman" w:hAnsi="Times New Roman" w:eastAsia="宋体" w:cs="Times New Roman"/>
          <w:kern w:val="0"/>
          <w:sz w:val="24"/>
          <w:szCs w:val="24"/>
          <w:highlight w:val="none"/>
        </w:rPr>
        <w:t>.</w:t>
      </w:r>
      <w:r>
        <w:rPr>
          <w:rFonts w:hint="eastAsia" w:ascii="Times New Roman" w:hAnsi="Times New Roman" w:eastAsia="宋体" w:cs="Times New Roman"/>
          <w:kern w:val="0"/>
          <w:sz w:val="24"/>
          <w:szCs w:val="24"/>
          <w:highlight w:val="none"/>
        </w:rPr>
        <w:t xml:space="preserve"> </w:t>
      </w:r>
      <w:r>
        <w:rPr>
          <w:rFonts w:hint="eastAsia" w:ascii="Times New Roman" w:hAnsi="Times New Roman" w:eastAsia="宋体" w:cs="Times New Roman"/>
          <w:kern w:val="0"/>
          <w:sz w:val="24"/>
          <w:szCs w:val="24"/>
          <w:highlight w:val="none"/>
          <w:lang w:val="en-US" w:eastAsia="zh-CN" w:bidi="ar-SA"/>
        </w:rPr>
        <w:t xml:space="preserve">Discamps, E. &amp; Costamagno, S. Improving </w:t>
      </w:r>
      <w:r>
        <w:rPr>
          <w:rFonts w:hint="eastAsia" w:cs="Times New Roman"/>
          <w:kern w:val="0"/>
          <w:sz w:val="24"/>
          <w:szCs w:val="24"/>
          <w:highlight w:val="none"/>
          <w:lang w:val="en-US" w:eastAsia="zh-CN" w:bidi="ar-SA"/>
        </w:rPr>
        <w:t>m</w:t>
      </w:r>
      <w:r>
        <w:rPr>
          <w:rFonts w:hint="eastAsia" w:ascii="Times New Roman" w:hAnsi="Times New Roman" w:eastAsia="宋体" w:cs="Times New Roman"/>
          <w:kern w:val="0"/>
          <w:sz w:val="24"/>
          <w:szCs w:val="24"/>
          <w:highlight w:val="none"/>
          <w:lang w:val="en-US" w:eastAsia="zh-CN" w:bidi="ar-SA"/>
        </w:rPr>
        <w:t xml:space="preserve">ortality </w:t>
      </w:r>
      <w:r>
        <w:rPr>
          <w:rFonts w:hint="eastAsia" w:cs="Times New Roman"/>
          <w:kern w:val="0"/>
          <w:sz w:val="24"/>
          <w:szCs w:val="24"/>
          <w:highlight w:val="none"/>
          <w:lang w:val="en-US" w:eastAsia="zh-CN" w:bidi="ar-SA"/>
        </w:rPr>
        <w:t>p</w:t>
      </w:r>
      <w:r>
        <w:rPr>
          <w:rFonts w:hint="eastAsia" w:ascii="Times New Roman" w:hAnsi="Times New Roman" w:eastAsia="宋体" w:cs="Times New Roman"/>
          <w:kern w:val="0"/>
          <w:sz w:val="24"/>
          <w:szCs w:val="24"/>
          <w:highlight w:val="none"/>
          <w:lang w:val="en-US" w:eastAsia="zh-CN" w:bidi="ar-SA"/>
        </w:rPr>
        <w:t xml:space="preserve">rofile </w:t>
      </w:r>
      <w:r>
        <w:rPr>
          <w:rFonts w:hint="eastAsia" w:cs="Times New Roman"/>
          <w:kern w:val="0"/>
          <w:sz w:val="24"/>
          <w:szCs w:val="24"/>
          <w:highlight w:val="none"/>
          <w:lang w:val="en-US" w:eastAsia="zh-CN" w:bidi="ar-SA"/>
        </w:rPr>
        <w:t>a</w:t>
      </w:r>
      <w:r>
        <w:rPr>
          <w:rFonts w:hint="eastAsia" w:ascii="Times New Roman" w:hAnsi="Times New Roman" w:eastAsia="宋体" w:cs="Times New Roman"/>
          <w:kern w:val="0"/>
          <w:sz w:val="24"/>
          <w:szCs w:val="24"/>
          <w:highlight w:val="none"/>
          <w:lang w:val="en-US" w:eastAsia="zh-CN" w:bidi="ar-SA"/>
        </w:rPr>
        <w:t xml:space="preserve">nalysis in </w:t>
      </w:r>
      <w:r>
        <w:rPr>
          <w:rFonts w:hint="eastAsia" w:cs="Times New Roman"/>
          <w:kern w:val="0"/>
          <w:sz w:val="24"/>
          <w:szCs w:val="24"/>
          <w:highlight w:val="none"/>
          <w:lang w:val="en-US" w:eastAsia="zh-CN" w:bidi="ar-SA"/>
        </w:rPr>
        <w:t>z</w:t>
      </w:r>
      <w:r>
        <w:rPr>
          <w:rFonts w:hint="eastAsia" w:ascii="Times New Roman" w:hAnsi="Times New Roman" w:eastAsia="宋体" w:cs="Times New Roman"/>
          <w:kern w:val="0"/>
          <w:sz w:val="24"/>
          <w:szCs w:val="24"/>
          <w:highlight w:val="none"/>
          <w:lang w:val="en-US" w:eastAsia="zh-CN" w:bidi="ar-SA"/>
        </w:rPr>
        <w:t xml:space="preserve">ooarchaeology: A </w:t>
      </w:r>
      <w:r>
        <w:rPr>
          <w:rFonts w:hint="eastAsia" w:cs="Times New Roman"/>
          <w:kern w:val="0"/>
          <w:sz w:val="24"/>
          <w:szCs w:val="24"/>
          <w:highlight w:val="none"/>
          <w:lang w:val="en-US" w:eastAsia="zh-CN" w:bidi="ar-SA"/>
        </w:rPr>
        <w:t>r</w:t>
      </w:r>
      <w:r>
        <w:rPr>
          <w:rFonts w:hint="eastAsia" w:ascii="Times New Roman" w:hAnsi="Times New Roman" w:eastAsia="宋体" w:cs="Times New Roman"/>
          <w:kern w:val="0"/>
          <w:sz w:val="24"/>
          <w:szCs w:val="24"/>
          <w:highlight w:val="none"/>
          <w:lang w:val="en-US" w:eastAsia="zh-CN" w:bidi="ar-SA"/>
        </w:rPr>
        <w:t xml:space="preserve">evised </w:t>
      </w:r>
      <w:r>
        <w:rPr>
          <w:rFonts w:hint="eastAsia" w:cs="Times New Roman"/>
          <w:kern w:val="0"/>
          <w:sz w:val="24"/>
          <w:szCs w:val="24"/>
          <w:highlight w:val="none"/>
          <w:lang w:val="en-US" w:eastAsia="zh-CN" w:bidi="ar-SA"/>
        </w:rPr>
        <w:t>z</w:t>
      </w:r>
      <w:r>
        <w:rPr>
          <w:rFonts w:hint="eastAsia" w:ascii="Times New Roman" w:hAnsi="Times New Roman" w:eastAsia="宋体" w:cs="Times New Roman"/>
          <w:kern w:val="0"/>
          <w:sz w:val="24"/>
          <w:szCs w:val="24"/>
          <w:highlight w:val="none"/>
          <w:lang w:val="en-US" w:eastAsia="zh-CN" w:bidi="ar-SA"/>
        </w:rPr>
        <w:t xml:space="preserve">oning for </w:t>
      </w:r>
      <w:r>
        <w:rPr>
          <w:rFonts w:hint="eastAsia" w:cs="Times New Roman"/>
          <w:kern w:val="0"/>
          <w:sz w:val="24"/>
          <w:szCs w:val="24"/>
          <w:highlight w:val="none"/>
          <w:lang w:val="en-US" w:eastAsia="zh-CN" w:bidi="ar-SA"/>
        </w:rPr>
        <w:t>t</w:t>
      </w:r>
      <w:r>
        <w:rPr>
          <w:rFonts w:hint="eastAsia" w:ascii="Times New Roman" w:hAnsi="Times New Roman" w:eastAsia="宋体" w:cs="Times New Roman"/>
          <w:kern w:val="0"/>
          <w:sz w:val="24"/>
          <w:szCs w:val="24"/>
          <w:highlight w:val="none"/>
          <w:lang w:val="en-US" w:eastAsia="zh-CN" w:bidi="ar-SA"/>
        </w:rPr>
        <w:t xml:space="preserve">ernary </w:t>
      </w:r>
      <w:r>
        <w:rPr>
          <w:rFonts w:hint="eastAsia" w:cs="Times New Roman"/>
          <w:kern w:val="0"/>
          <w:sz w:val="24"/>
          <w:szCs w:val="24"/>
          <w:highlight w:val="none"/>
          <w:lang w:val="en-US" w:eastAsia="zh-CN" w:bidi="ar-SA"/>
        </w:rPr>
        <w:t>d</w:t>
      </w:r>
      <w:r>
        <w:rPr>
          <w:rFonts w:hint="eastAsia" w:ascii="Times New Roman" w:hAnsi="Times New Roman" w:eastAsia="宋体" w:cs="Times New Roman"/>
          <w:kern w:val="0"/>
          <w:sz w:val="24"/>
          <w:szCs w:val="24"/>
          <w:highlight w:val="none"/>
          <w:lang w:val="en-US" w:eastAsia="zh-CN" w:bidi="ar-SA"/>
        </w:rPr>
        <w:t xml:space="preserve">iagrams. </w:t>
      </w:r>
      <w:r>
        <w:rPr>
          <w:rFonts w:hint="eastAsia" w:ascii="Times New Roman" w:hAnsi="Times New Roman" w:eastAsia="宋体" w:cs="Times New Roman"/>
          <w:i/>
          <w:iCs/>
          <w:kern w:val="0"/>
          <w:sz w:val="24"/>
          <w:szCs w:val="24"/>
          <w:highlight w:val="none"/>
          <w:lang w:val="en-US" w:eastAsia="zh-CN" w:bidi="ar-SA"/>
        </w:rPr>
        <w:t>J. Archaeol. Sci.</w:t>
      </w:r>
      <w:r>
        <w:rPr>
          <w:rFonts w:hint="eastAsia" w:ascii="Times New Roman" w:hAnsi="Times New Roman" w:eastAsia="宋体" w:cs="Times New Roman"/>
          <w:kern w:val="0"/>
          <w:sz w:val="24"/>
          <w:szCs w:val="24"/>
          <w:highlight w:val="none"/>
          <w:lang w:val="en-US" w:eastAsia="zh-CN" w:bidi="ar-SA"/>
        </w:rPr>
        <w:t xml:space="preserve"> </w:t>
      </w:r>
      <w:r>
        <w:rPr>
          <w:rFonts w:hint="eastAsia" w:ascii="Times New Roman" w:hAnsi="Times New Roman" w:eastAsia="宋体" w:cs="Times New Roman"/>
          <w:b/>
          <w:bCs/>
          <w:kern w:val="0"/>
          <w:sz w:val="24"/>
          <w:szCs w:val="24"/>
          <w:highlight w:val="none"/>
          <w:lang w:val="en-US" w:eastAsia="zh-CN" w:bidi="ar-SA"/>
        </w:rPr>
        <w:t>58</w:t>
      </w:r>
      <w:r>
        <w:rPr>
          <w:rFonts w:hint="eastAsia" w:ascii="Times New Roman" w:hAnsi="Times New Roman" w:eastAsia="宋体" w:cs="Times New Roman"/>
          <w:kern w:val="0"/>
          <w:sz w:val="24"/>
          <w:szCs w:val="24"/>
          <w:highlight w:val="none"/>
          <w:lang w:val="en-US" w:eastAsia="zh-CN" w:bidi="ar-SA"/>
        </w:rPr>
        <w:t>, 62</w:t>
      </w:r>
      <w:r>
        <w:rPr>
          <w:sz w:val="24"/>
          <w:szCs w:val="24"/>
        </w:rPr>
        <w:t>–</w:t>
      </w:r>
      <w:r>
        <w:rPr>
          <w:rFonts w:hint="eastAsia" w:ascii="Times New Roman" w:hAnsi="Times New Roman" w:eastAsia="宋体" w:cs="Times New Roman"/>
          <w:kern w:val="0"/>
          <w:sz w:val="24"/>
          <w:szCs w:val="24"/>
          <w:highlight w:val="none"/>
          <w:lang w:val="en-US" w:eastAsia="zh-CN" w:bidi="ar-SA"/>
        </w:rPr>
        <w:t>76 (2015).</w:t>
      </w:r>
    </w:p>
    <w:p w14:paraId="361BECE3">
      <w:pPr>
        <w:keepNext w:val="0"/>
        <w:keepLines w:val="0"/>
        <w:pageBreakBefore w:val="0"/>
        <w:widowControl/>
        <w:kinsoku/>
        <w:wordWrap/>
        <w:overflowPunct/>
        <w:topLinePunct w:val="0"/>
        <w:autoSpaceDE/>
        <w:autoSpaceDN/>
        <w:bidi w:val="0"/>
        <w:adjustRightInd w:val="0"/>
        <w:snapToGrid w:val="0"/>
        <w:spacing w:after="60" w:line="240" w:lineRule="auto"/>
        <w:ind w:left="240" w:hanging="240" w:hangingChars="100"/>
        <w:jc w:val="both"/>
        <w:textAlignment w:val="auto"/>
        <w:rPr>
          <w:rFonts w:hint="eastAsia" w:ascii="Times New Roman" w:hAnsi="Times New Roman" w:eastAsia="宋体" w:cs="Times New Roman"/>
          <w:kern w:val="0"/>
          <w:sz w:val="24"/>
          <w:szCs w:val="24"/>
          <w:highlight w:val="none"/>
          <w:lang w:val="en-US" w:eastAsia="zh-CN" w:bidi="ar-SA"/>
        </w:rPr>
      </w:pPr>
      <w:r>
        <w:rPr>
          <w:rFonts w:hint="eastAsia" w:ascii="Times New Roman" w:hAnsi="Times New Roman" w:eastAsia="宋体" w:cs="Times New Roman"/>
          <w:kern w:val="0"/>
          <w:sz w:val="24"/>
          <w:szCs w:val="24"/>
          <w:highlight w:val="none"/>
          <w:lang w:val="en-US" w:eastAsia="zh-CN"/>
        </w:rPr>
        <w:t>10</w:t>
      </w:r>
      <w:r>
        <w:rPr>
          <w:rFonts w:hint="eastAsia" w:cs="Times New Roman"/>
          <w:kern w:val="0"/>
          <w:sz w:val="24"/>
          <w:szCs w:val="24"/>
          <w:highlight w:val="none"/>
          <w:lang w:val="en-US" w:eastAsia="zh-CN"/>
        </w:rPr>
        <w:t>4</w:t>
      </w:r>
      <w:r>
        <w:rPr>
          <w:rFonts w:ascii="Times New Roman" w:hAnsi="Times New Roman" w:eastAsia="宋体" w:cs="Times New Roman"/>
          <w:kern w:val="0"/>
          <w:sz w:val="24"/>
          <w:szCs w:val="24"/>
          <w:highlight w:val="none"/>
        </w:rPr>
        <w:t>.</w:t>
      </w:r>
      <w:r>
        <w:rPr>
          <w:rFonts w:hint="eastAsia" w:ascii="Times New Roman" w:hAnsi="Times New Roman" w:eastAsia="宋体" w:cs="Times New Roman"/>
          <w:kern w:val="0"/>
          <w:sz w:val="24"/>
          <w:szCs w:val="24"/>
          <w:highlight w:val="none"/>
        </w:rPr>
        <w:t xml:space="preserve"> </w:t>
      </w:r>
      <w:r>
        <w:rPr>
          <w:rFonts w:hint="eastAsia" w:ascii="Times New Roman" w:hAnsi="Times New Roman" w:eastAsia="宋体" w:cs="Times New Roman"/>
          <w:kern w:val="0"/>
          <w:sz w:val="24"/>
          <w:szCs w:val="24"/>
          <w:highlight w:val="none"/>
          <w:lang w:val="en-US" w:eastAsia="zh-CN" w:bidi="ar-SA"/>
        </w:rPr>
        <w:t xml:space="preserve">Villa, P. &amp; Mahieu, E. Breakage patterns of human long bones. </w:t>
      </w:r>
      <w:r>
        <w:rPr>
          <w:rFonts w:hint="eastAsia" w:ascii="Times New Roman" w:hAnsi="Times New Roman" w:eastAsia="宋体" w:cs="Times New Roman"/>
          <w:i/>
          <w:iCs/>
          <w:kern w:val="0"/>
          <w:sz w:val="24"/>
          <w:szCs w:val="24"/>
          <w:highlight w:val="none"/>
          <w:lang w:val="en-US" w:eastAsia="zh-CN" w:bidi="ar-SA"/>
        </w:rPr>
        <w:t>J. Hum. Evol.</w:t>
      </w:r>
      <w:r>
        <w:rPr>
          <w:rFonts w:hint="eastAsia" w:ascii="Times New Roman" w:hAnsi="Times New Roman" w:eastAsia="宋体" w:cs="Times New Roman"/>
          <w:kern w:val="0"/>
          <w:sz w:val="24"/>
          <w:szCs w:val="24"/>
          <w:highlight w:val="none"/>
          <w:lang w:val="en-US" w:eastAsia="zh-CN" w:bidi="ar-SA"/>
        </w:rPr>
        <w:t xml:space="preserve"> </w:t>
      </w:r>
      <w:r>
        <w:rPr>
          <w:rFonts w:hint="eastAsia" w:ascii="Times New Roman" w:hAnsi="Times New Roman" w:eastAsia="宋体" w:cs="Times New Roman"/>
          <w:b/>
          <w:bCs/>
          <w:kern w:val="0"/>
          <w:sz w:val="24"/>
          <w:szCs w:val="24"/>
          <w:highlight w:val="none"/>
          <w:lang w:val="en-US" w:eastAsia="zh-CN" w:bidi="ar-SA"/>
        </w:rPr>
        <w:t>21</w:t>
      </w:r>
      <w:r>
        <w:rPr>
          <w:rFonts w:hint="eastAsia" w:ascii="Times New Roman" w:hAnsi="Times New Roman" w:eastAsia="宋体" w:cs="Times New Roman"/>
          <w:kern w:val="0"/>
          <w:sz w:val="24"/>
          <w:szCs w:val="24"/>
          <w:highlight w:val="none"/>
          <w:lang w:val="en-US" w:eastAsia="zh-CN" w:bidi="ar-SA"/>
        </w:rPr>
        <w:t>, 27</w:t>
      </w:r>
      <w:r>
        <w:rPr>
          <w:sz w:val="24"/>
          <w:szCs w:val="24"/>
        </w:rPr>
        <w:t>–</w:t>
      </w:r>
      <w:r>
        <w:rPr>
          <w:rFonts w:hint="eastAsia" w:ascii="Times New Roman" w:hAnsi="Times New Roman" w:eastAsia="宋体" w:cs="Times New Roman"/>
          <w:kern w:val="0"/>
          <w:sz w:val="24"/>
          <w:szCs w:val="24"/>
          <w:highlight w:val="none"/>
          <w:lang w:val="en-US" w:eastAsia="zh-CN" w:bidi="ar-SA"/>
        </w:rPr>
        <w:t>48 (1991).</w:t>
      </w:r>
    </w:p>
    <w:p w14:paraId="2E4EFD95">
      <w:pPr>
        <w:keepNext w:val="0"/>
        <w:keepLines w:val="0"/>
        <w:pageBreakBefore w:val="0"/>
        <w:widowControl/>
        <w:kinsoku/>
        <w:wordWrap/>
        <w:overflowPunct/>
        <w:topLinePunct w:val="0"/>
        <w:autoSpaceDE/>
        <w:autoSpaceDN/>
        <w:bidi w:val="0"/>
        <w:adjustRightInd w:val="0"/>
        <w:snapToGrid w:val="0"/>
        <w:spacing w:after="60" w:line="240" w:lineRule="auto"/>
        <w:ind w:left="240" w:hanging="240" w:hangingChars="100"/>
        <w:jc w:val="both"/>
        <w:textAlignment w:val="auto"/>
        <w:rPr>
          <w:rFonts w:hint="eastAsia" w:ascii="Times New Roman" w:hAnsi="Times New Roman" w:eastAsia="宋体" w:cs="Times New Roman"/>
          <w:kern w:val="0"/>
          <w:sz w:val="24"/>
          <w:szCs w:val="24"/>
          <w:highlight w:val="none"/>
          <w:lang w:val="en-US" w:eastAsia="zh-CN" w:bidi="ar-SA"/>
        </w:rPr>
      </w:pPr>
      <w:r>
        <w:rPr>
          <w:rFonts w:hint="eastAsia" w:ascii="Times New Roman" w:hAnsi="Times New Roman" w:eastAsia="宋体" w:cs="Times New Roman"/>
          <w:kern w:val="0"/>
          <w:sz w:val="24"/>
          <w:szCs w:val="24"/>
          <w:highlight w:val="none"/>
          <w:lang w:val="en-US" w:eastAsia="zh-CN"/>
        </w:rPr>
        <w:t>10</w:t>
      </w:r>
      <w:r>
        <w:rPr>
          <w:rFonts w:hint="eastAsia" w:cs="Times New Roman"/>
          <w:kern w:val="0"/>
          <w:sz w:val="24"/>
          <w:szCs w:val="24"/>
          <w:highlight w:val="none"/>
          <w:lang w:val="en-US" w:eastAsia="zh-CN"/>
        </w:rPr>
        <w:t>5</w:t>
      </w:r>
      <w:r>
        <w:rPr>
          <w:rFonts w:ascii="Times New Roman" w:hAnsi="Times New Roman" w:eastAsia="宋体" w:cs="Times New Roman"/>
          <w:kern w:val="0"/>
          <w:sz w:val="24"/>
          <w:szCs w:val="24"/>
          <w:highlight w:val="none"/>
        </w:rPr>
        <w:t>.</w:t>
      </w:r>
      <w:r>
        <w:rPr>
          <w:rFonts w:hint="eastAsia" w:ascii="Times New Roman" w:hAnsi="Times New Roman" w:eastAsia="宋体" w:cs="Times New Roman"/>
          <w:kern w:val="0"/>
          <w:sz w:val="24"/>
          <w:szCs w:val="24"/>
          <w:highlight w:val="none"/>
        </w:rPr>
        <w:t xml:space="preserve"> </w:t>
      </w:r>
      <w:r>
        <w:rPr>
          <w:rFonts w:hint="eastAsia" w:ascii="Times New Roman" w:hAnsi="Times New Roman" w:eastAsia="宋体" w:cs="Times New Roman"/>
          <w:kern w:val="0"/>
          <w:sz w:val="24"/>
          <w:szCs w:val="24"/>
          <w:highlight w:val="none"/>
          <w:lang w:val="en-US" w:eastAsia="zh-CN" w:bidi="ar-SA"/>
        </w:rPr>
        <w:t>Vettese, D.</w:t>
      </w:r>
      <w:r>
        <w:rPr>
          <w:rFonts w:hint="eastAsia" w:cs="Times New Roman"/>
          <w:kern w:val="0"/>
          <w:sz w:val="24"/>
          <w:szCs w:val="24"/>
          <w:highlight w:val="none"/>
          <w:lang w:val="en-US" w:eastAsia="zh-CN" w:bidi="ar-SA"/>
        </w:rPr>
        <w:t xml:space="preserve"> </w:t>
      </w:r>
      <w:r>
        <w:rPr>
          <w:rFonts w:hint="eastAsia"/>
          <w:i/>
          <w:iCs/>
          <w:sz w:val="24"/>
          <w:szCs w:val="24"/>
          <w:lang w:val="en-US" w:eastAsia="zh-CN"/>
        </w:rPr>
        <w:t>et al.</w:t>
      </w:r>
      <w:r>
        <w:rPr>
          <w:rFonts w:hint="eastAsia" w:ascii="Times New Roman" w:hAnsi="Times New Roman" w:eastAsia="宋体" w:cs="Times New Roman"/>
          <w:kern w:val="0"/>
          <w:sz w:val="24"/>
          <w:szCs w:val="24"/>
          <w:highlight w:val="none"/>
          <w:lang w:val="en-US" w:eastAsia="zh-CN" w:bidi="ar-SA"/>
        </w:rPr>
        <w:t xml:space="preserve"> A way to break bones? The weight of intuitiveness. </w:t>
      </w:r>
      <w:r>
        <w:rPr>
          <w:rFonts w:hint="eastAsia" w:ascii="Times New Roman" w:hAnsi="Times New Roman" w:eastAsia="宋体" w:cs="Times New Roman"/>
          <w:i/>
          <w:iCs/>
          <w:kern w:val="0"/>
          <w:sz w:val="24"/>
          <w:szCs w:val="24"/>
          <w:highlight w:val="none"/>
          <w:lang w:val="en-US" w:eastAsia="zh-CN" w:bidi="ar-SA"/>
        </w:rPr>
        <w:t>PLoS ONE</w:t>
      </w:r>
      <w:r>
        <w:rPr>
          <w:rFonts w:hint="eastAsia" w:ascii="Times New Roman" w:hAnsi="Times New Roman" w:eastAsia="宋体" w:cs="Times New Roman"/>
          <w:kern w:val="0"/>
          <w:sz w:val="24"/>
          <w:szCs w:val="24"/>
          <w:highlight w:val="none"/>
          <w:lang w:val="en-US" w:eastAsia="zh-CN" w:bidi="ar-SA"/>
        </w:rPr>
        <w:t xml:space="preserve"> </w:t>
      </w:r>
      <w:r>
        <w:rPr>
          <w:rFonts w:hint="eastAsia" w:ascii="Times New Roman" w:hAnsi="Times New Roman" w:eastAsia="宋体" w:cs="Times New Roman"/>
          <w:b/>
          <w:bCs/>
          <w:kern w:val="0"/>
          <w:sz w:val="24"/>
          <w:szCs w:val="24"/>
          <w:highlight w:val="none"/>
          <w:lang w:val="en-US" w:eastAsia="zh-CN" w:bidi="ar-SA"/>
        </w:rPr>
        <w:t>16</w:t>
      </w:r>
      <w:r>
        <w:rPr>
          <w:rFonts w:hint="eastAsia" w:ascii="Times New Roman" w:hAnsi="Times New Roman" w:eastAsia="宋体" w:cs="Times New Roman"/>
          <w:kern w:val="0"/>
          <w:sz w:val="24"/>
          <w:szCs w:val="24"/>
          <w:highlight w:val="none"/>
          <w:lang w:val="en-US" w:eastAsia="zh-CN" w:bidi="ar-SA"/>
        </w:rPr>
        <w:t>, e0259136 (2021).</w:t>
      </w:r>
    </w:p>
    <w:p w14:paraId="0CE53B8A">
      <w:pPr>
        <w:keepNext w:val="0"/>
        <w:keepLines w:val="0"/>
        <w:pageBreakBefore w:val="0"/>
        <w:widowControl/>
        <w:kinsoku/>
        <w:wordWrap/>
        <w:overflowPunct/>
        <w:topLinePunct w:val="0"/>
        <w:autoSpaceDE/>
        <w:autoSpaceDN/>
        <w:bidi w:val="0"/>
        <w:adjustRightInd w:val="0"/>
        <w:snapToGrid w:val="0"/>
        <w:spacing w:after="60" w:line="240" w:lineRule="auto"/>
        <w:ind w:left="240" w:hanging="240" w:hangingChars="100"/>
        <w:jc w:val="both"/>
        <w:textAlignment w:val="auto"/>
        <w:rPr>
          <w:rFonts w:hint="eastAsia" w:ascii="Times New Roman" w:hAnsi="Times New Roman" w:eastAsia="宋体" w:cs="Times New Roman"/>
          <w:kern w:val="0"/>
          <w:sz w:val="24"/>
          <w:szCs w:val="24"/>
          <w:highlight w:val="none"/>
          <w:lang w:val="en-US" w:eastAsia="zh-CN" w:bidi="ar-SA"/>
        </w:rPr>
      </w:pPr>
      <w:r>
        <w:rPr>
          <w:rFonts w:hint="eastAsia" w:ascii="Times New Roman" w:hAnsi="Times New Roman" w:eastAsia="宋体" w:cs="Times New Roman"/>
          <w:kern w:val="0"/>
          <w:sz w:val="24"/>
          <w:szCs w:val="24"/>
          <w:highlight w:val="none"/>
          <w:lang w:val="en-US" w:eastAsia="zh-CN"/>
        </w:rPr>
        <w:t>10</w:t>
      </w:r>
      <w:r>
        <w:rPr>
          <w:rFonts w:hint="eastAsia" w:cs="Times New Roman"/>
          <w:kern w:val="0"/>
          <w:sz w:val="24"/>
          <w:szCs w:val="24"/>
          <w:highlight w:val="none"/>
          <w:lang w:val="en-US" w:eastAsia="zh-CN"/>
        </w:rPr>
        <w:t>6</w:t>
      </w:r>
      <w:r>
        <w:rPr>
          <w:rFonts w:ascii="Times New Roman" w:hAnsi="Times New Roman" w:eastAsia="宋体" w:cs="Times New Roman"/>
          <w:kern w:val="0"/>
          <w:sz w:val="24"/>
          <w:szCs w:val="24"/>
          <w:highlight w:val="none"/>
        </w:rPr>
        <w:t>.</w:t>
      </w:r>
      <w:r>
        <w:rPr>
          <w:rFonts w:hint="eastAsia" w:ascii="Times New Roman" w:hAnsi="Times New Roman" w:eastAsia="宋体" w:cs="Times New Roman"/>
          <w:kern w:val="0"/>
          <w:sz w:val="24"/>
          <w:szCs w:val="24"/>
          <w:highlight w:val="none"/>
        </w:rPr>
        <w:t xml:space="preserve"> </w:t>
      </w:r>
      <w:r>
        <w:rPr>
          <w:rFonts w:hint="eastAsia" w:ascii="Times New Roman" w:hAnsi="Times New Roman" w:eastAsia="宋体" w:cs="Times New Roman"/>
          <w:kern w:val="0"/>
          <w:sz w:val="24"/>
          <w:szCs w:val="24"/>
          <w:highlight w:val="none"/>
          <w:lang w:val="en-US" w:eastAsia="zh-CN" w:bidi="ar-SA"/>
        </w:rPr>
        <w:t xml:space="preserve">Behrensmeyer, A. K. Taphonomic and ecologic information from bone weathering. </w:t>
      </w:r>
      <w:r>
        <w:rPr>
          <w:rFonts w:hint="eastAsia" w:ascii="Times New Roman" w:hAnsi="Times New Roman" w:eastAsia="宋体" w:cs="Times New Roman"/>
          <w:i/>
          <w:iCs/>
          <w:kern w:val="0"/>
          <w:sz w:val="24"/>
          <w:szCs w:val="24"/>
          <w:highlight w:val="none"/>
          <w:lang w:val="en-US" w:eastAsia="zh-CN" w:bidi="ar-SA"/>
        </w:rPr>
        <w:t xml:space="preserve">Paleobiology </w:t>
      </w:r>
      <w:r>
        <w:rPr>
          <w:rFonts w:hint="eastAsia" w:ascii="Times New Roman" w:hAnsi="Times New Roman" w:eastAsia="宋体" w:cs="Times New Roman"/>
          <w:b/>
          <w:bCs/>
          <w:kern w:val="0"/>
          <w:sz w:val="24"/>
          <w:szCs w:val="24"/>
          <w:highlight w:val="none"/>
          <w:lang w:val="en-US" w:eastAsia="zh-CN" w:bidi="ar-SA"/>
        </w:rPr>
        <w:t>4</w:t>
      </w:r>
      <w:r>
        <w:rPr>
          <w:rFonts w:hint="eastAsia" w:ascii="Times New Roman" w:hAnsi="Times New Roman" w:eastAsia="宋体" w:cs="Times New Roman"/>
          <w:kern w:val="0"/>
          <w:sz w:val="24"/>
          <w:szCs w:val="24"/>
          <w:highlight w:val="none"/>
          <w:lang w:val="en-US" w:eastAsia="zh-CN" w:bidi="ar-SA"/>
        </w:rPr>
        <w:t>, 150</w:t>
      </w:r>
      <w:r>
        <w:rPr>
          <w:sz w:val="24"/>
          <w:szCs w:val="24"/>
        </w:rPr>
        <w:t>–</w:t>
      </w:r>
      <w:r>
        <w:rPr>
          <w:rFonts w:hint="eastAsia" w:ascii="Times New Roman" w:hAnsi="Times New Roman" w:eastAsia="宋体" w:cs="Times New Roman"/>
          <w:kern w:val="0"/>
          <w:sz w:val="24"/>
          <w:szCs w:val="24"/>
          <w:highlight w:val="none"/>
          <w:lang w:val="en-US" w:eastAsia="zh-CN" w:bidi="ar-SA"/>
        </w:rPr>
        <w:t>162 (1978).</w:t>
      </w:r>
    </w:p>
    <w:p w14:paraId="30F8C4E4">
      <w:pPr>
        <w:keepNext w:val="0"/>
        <w:keepLines w:val="0"/>
        <w:pageBreakBefore w:val="0"/>
        <w:widowControl/>
        <w:kinsoku/>
        <w:wordWrap/>
        <w:overflowPunct/>
        <w:topLinePunct w:val="0"/>
        <w:autoSpaceDE/>
        <w:autoSpaceDN/>
        <w:bidi w:val="0"/>
        <w:adjustRightInd w:val="0"/>
        <w:snapToGrid w:val="0"/>
        <w:spacing w:after="60" w:line="240" w:lineRule="auto"/>
        <w:ind w:left="240" w:hanging="240" w:hangingChars="100"/>
        <w:jc w:val="both"/>
        <w:textAlignment w:val="auto"/>
        <w:rPr>
          <w:rFonts w:hint="eastAsia" w:ascii="Times New Roman" w:hAnsi="Times New Roman" w:eastAsia="宋体" w:cs="Times New Roman"/>
          <w:kern w:val="0"/>
          <w:sz w:val="24"/>
          <w:szCs w:val="24"/>
          <w:highlight w:val="none"/>
          <w:lang w:val="en-US" w:eastAsia="zh-CN" w:bidi="ar-SA"/>
        </w:rPr>
      </w:pPr>
      <w:r>
        <w:rPr>
          <w:rFonts w:hint="eastAsia" w:ascii="Times New Roman" w:hAnsi="Times New Roman" w:eastAsia="宋体" w:cs="Times New Roman"/>
          <w:kern w:val="0"/>
          <w:sz w:val="24"/>
          <w:szCs w:val="24"/>
          <w:highlight w:val="none"/>
          <w:lang w:val="en-US" w:eastAsia="zh-CN"/>
        </w:rPr>
        <w:t>10</w:t>
      </w:r>
      <w:r>
        <w:rPr>
          <w:rFonts w:hint="eastAsia" w:cs="Times New Roman"/>
          <w:kern w:val="0"/>
          <w:sz w:val="24"/>
          <w:szCs w:val="24"/>
          <w:highlight w:val="none"/>
          <w:lang w:val="en-US" w:eastAsia="zh-CN"/>
        </w:rPr>
        <w:t>7</w:t>
      </w:r>
      <w:r>
        <w:rPr>
          <w:rFonts w:ascii="Times New Roman" w:hAnsi="Times New Roman" w:eastAsia="宋体" w:cs="Times New Roman"/>
          <w:kern w:val="0"/>
          <w:sz w:val="24"/>
          <w:szCs w:val="24"/>
          <w:highlight w:val="none"/>
        </w:rPr>
        <w:t>.</w:t>
      </w:r>
      <w:r>
        <w:rPr>
          <w:rFonts w:hint="eastAsia" w:ascii="Times New Roman" w:hAnsi="Times New Roman" w:eastAsia="宋体" w:cs="Times New Roman"/>
          <w:kern w:val="0"/>
          <w:sz w:val="24"/>
          <w:szCs w:val="24"/>
          <w:highlight w:val="none"/>
        </w:rPr>
        <w:t xml:space="preserve"> </w:t>
      </w:r>
      <w:r>
        <w:rPr>
          <w:rFonts w:hint="eastAsia" w:ascii="Times New Roman" w:hAnsi="Times New Roman" w:eastAsia="宋体" w:cs="Times New Roman"/>
          <w:kern w:val="0"/>
          <w:sz w:val="24"/>
          <w:szCs w:val="24"/>
          <w:highlight w:val="none"/>
          <w:lang w:val="en-US" w:eastAsia="zh-CN" w:bidi="ar-SA"/>
        </w:rPr>
        <w:t xml:space="preserve">Cáceres, I. </w:t>
      </w:r>
      <w:r>
        <w:rPr>
          <w:rFonts w:hint="eastAsia" w:ascii="Times New Roman" w:hAnsi="Times New Roman" w:eastAsia="宋体" w:cs="Times New Roman"/>
          <w:i/>
          <w:iCs/>
          <w:kern w:val="0"/>
          <w:sz w:val="24"/>
          <w:szCs w:val="24"/>
          <w:highlight w:val="none"/>
          <w:lang w:val="en-US" w:eastAsia="zh-CN" w:bidi="ar-SA"/>
        </w:rPr>
        <w:t>Tafonomía de yacimientos antrópicos en karst. Complejo Galería (Sierra de Atapuerca, Burgos), Vanguard cave (Gibraltar y Abric Romani (Capellades, Barcelona).</w:t>
      </w:r>
      <w:r>
        <w:rPr>
          <w:rFonts w:hint="eastAsia" w:ascii="Times New Roman" w:hAnsi="Times New Roman" w:eastAsia="宋体" w:cs="Times New Roman"/>
          <w:kern w:val="0"/>
          <w:sz w:val="24"/>
          <w:szCs w:val="24"/>
          <w:highlight w:val="none"/>
          <w:lang w:val="en-US" w:eastAsia="zh-CN" w:bidi="ar-SA"/>
        </w:rPr>
        <w:t xml:space="preserve"> PhD dissertation, Universitat Rovira i Virgili, Tarragona (2002).</w:t>
      </w:r>
    </w:p>
    <w:p w14:paraId="0242002B">
      <w:pPr>
        <w:keepNext w:val="0"/>
        <w:keepLines w:val="0"/>
        <w:pageBreakBefore w:val="0"/>
        <w:widowControl/>
        <w:kinsoku/>
        <w:wordWrap/>
        <w:overflowPunct/>
        <w:topLinePunct w:val="0"/>
        <w:autoSpaceDE/>
        <w:autoSpaceDN/>
        <w:bidi w:val="0"/>
        <w:adjustRightInd w:val="0"/>
        <w:snapToGrid w:val="0"/>
        <w:spacing w:after="60" w:line="240" w:lineRule="auto"/>
        <w:ind w:left="240" w:hanging="240" w:hangingChars="100"/>
        <w:jc w:val="both"/>
        <w:textAlignment w:val="auto"/>
        <w:rPr>
          <w:rFonts w:hint="eastAsia" w:ascii="Times New Roman" w:hAnsi="Times New Roman" w:eastAsia="宋体" w:cs="Times New Roman"/>
          <w:kern w:val="0"/>
          <w:sz w:val="24"/>
          <w:szCs w:val="24"/>
          <w:highlight w:val="none"/>
          <w:lang w:val="en-US" w:eastAsia="zh-CN" w:bidi="ar-SA"/>
        </w:rPr>
      </w:pPr>
      <w:r>
        <w:rPr>
          <w:rFonts w:hint="eastAsia" w:ascii="Times New Roman" w:hAnsi="Times New Roman" w:eastAsia="宋体" w:cs="Times New Roman"/>
          <w:kern w:val="0"/>
          <w:sz w:val="24"/>
          <w:szCs w:val="24"/>
          <w:highlight w:val="none"/>
          <w:lang w:val="en-US" w:eastAsia="zh-CN"/>
        </w:rPr>
        <w:t>10</w:t>
      </w:r>
      <w:r>
        <w:rPr>
          <w:rFonts w:hint="eastAsia" w:cs="Times New Roman"/>
          <w:kern w:val="0"/>
          <w:sz w:val="24"/>
          <w:szCs w:val="24"/>
          <w:highlight w:val="none"/>
          <w:lang w:val="en-US" w:eastAsia="zh-CN"/>
        </w:rPr>
        <w:t>8</w:t>
      </w:r>
      <w:r>
        <w:rPr>
          <w:rFonts w:ascii="Times New Roman" w:hAnsi="Times New Roman" w:eastAsia="宋体" w:cs="Times New Roman"/>
          <w:kern w:val="0"/>
          <w:sz w:val="24"/>
          <w:szCs w:val="24"/>
          <w:highlight w:val="none"/>
        </w:rPr>
        <w:t>.</w:t>
      </w:r>
      <w:r>
        <w:rPr>
          <w:rFonts w:hint="eastAsia" w:ascii="Times New Roman" w:hAnsi="Times New Roman" w:eastAsia="宋体" w:cs="Times New Roman"/>
          <w:kern w:val="0"/>
          <w:sz w:val="24"/>
          <w:szCs w:val="24"/>
          <w:highlight w:val="none"/>
        </w:rPr>
        <w:t xml:space="preserve"> </w:t>
      </w:r>
      <w:r>
        <w:rPr>
          <w:rFonts w:hint="eastAsia" w:ascii="Times New Roman" w:hAnsi="Times New Roman" w:eastAsia="宋体" w:cs="Times New Roman"/>
          <w:kern w:val="0"/>
          <w:sz w:val="24"/>
          <w:szCs w:val="24"/>
          <w:highlight w:val="none"/>
          <w:lang w:val="en-US" w:eastAsia="zh-CN" w:bidi="ar-SA"/>
        </w:rPr>
        <w:t xml:space="preserve">Lyman, R. L. </w:t>
      </w:r>
      <w:r>
        <w:rPr>
          <w:rFonts w:hint="eastAsia" w:ascii="Times New Roman" w:hAnsi="Times New Roman" w:eastAsia="宋体" w:cs="Times New Roman"/>
          <w:i/>
          <w:iCs/>
          <w:kern w:val="0"/>
          <w:sz w:val="24"/>
          <w:szCs w:val="24"/>
          <w:highlight w:val="none"/>
          <w:lang w:val="en-US" w:eastAsia="zh-CN" w:bidi="ar-SA"/>
        </w:rPr>
        <w:t>Vertebrate taphonomy</w:t>
      </w:r>
      <w:r>
        <w:rPr>
          <w:rFonts w:hint="eastAsia" w:ascii="Times New Roman" w:hAnsi="Times New Roman" w:eastAsia="宋体" w:cs="Times New Roman"/>
          <w:kern w:val="0"/>
          <w:sz w:val="24"/>
          <w:szCs w:val="24"/>
          <w:highlight w:val="none"/>
          <w:lang w:val="en-US" w:eastAsia="zh-CN" w:bidi="ar-SA"/>
        </w:rPr>
        <w:t>. Cambridge University Press (1994).</w:t>
      </w:r>
    </w:p>
    <w:p w14:paraId="258114ED">
      <w:pPr>
        <w:keepNext w:val="0"/>
        <w:keepLines w:val="0"/>
        <w:pageBreakBefore w:val="0"/>
        <w:widowControl/>
        <w:kinsoku/>
        <w:wordWrap/>
        <w:overflowPunct/>
        <w:topLinePunct w:val="0"/>
        <w:autoSpaceDE/>
        <w:autoSpaceDN/>
        <w:bidi w:val="0"/>
        <w:adjustRightInd w:val="0"/>
        <w:snapToGrid w:val="0"/>
        <w:spacing w:after="60" w:line="240" w:lineRule="auto"/>
        <w:ind w:left="240" w:hanging="240" w:hangingChars="100"/>
        <w:jc w:val="both"/>
        <w:textAlignment w:val="auto"/>
        <w:rPr>
          <w:rFonts w:hint="eastAsia" w:ascii="Times New Roman" w:hAnsi="Times New Roman" w:eastAsia="宋体" w:cs="Times New Roman"/>
          <w:kern w:val="0"/>
          <w:sz w:val="24"/>
          <w:szCs w:val="24"/>
          <w:highlight w:val="none"/>
          <w:lang w:val="en-US" w:eastAsia="zh-CN" w:bidi="ar-SA"/>
        </w:rPr>
      </w:pPr>
      <w:r>
        <w:rPr>
          <w:rFonts w:hint="eastAsia" w:ascii="Times New Roman" w:hAnsi="Times New Roman" w:eastAsia="宋体" w:cs="Times New Roman"/>
          <w:kern w:val="0"/>
          <w:sz w:val="24"/>
          <w:szCs w:val="24"/>
          <w:highlight w:val="none"/>
          <w:lang w:val="en-US" w:eastAsia="zh-CN"/>
        </w:rPr>
        <w:t>1</w:t>
      </w:r>
      <w:r>
        <w:rPr>
          <w:rFonts w:hint="eastAsia" w:cs="Times New Roman"/>
          <w:kern w:val="0"/>
          <w:sz w:val="24"/>
          <w:szCs w:val="24"/>
          <w:highlight w:val="none"/>
          <w:lang w:val="en-US" w:eastAsia="zh-CN"/>
        </w:rPr>
        <w:t>09</w:t>
      </w:r>
      <w:r>
        <w:rPr>
          <w:rFonts w:ascii="Times New Roman" w:hAnsi="Times New Roman" w:eastAsia="宋体" w:cs="Times New Roman"/>
          <w:kern w:val="0"/>
          <w:sz w:val="24"/>
          <w:szCs w:val="24"/>
          <w:highlight w:val="none"/>
        </w:rPr>
        <w:t>.</w:t>
      </w:r>
      <w:r>
        <w:rPr>
          <w:rFonts w:hint="eastAsia" w:ascii="Times New Roman" w:hAnsi="Times New Roman" w:eastAsia="宋体" w:cs="Times New Roman"/>
          <w:kern w:val="0"/>
          <w:sz w:val="24"/>
          <w:szCs w:val="24"/>
          <w:highlight w:val="none"/>
        </w:rPr>
        <w:t xml:space="preserve"> </w:t>
      </w:r>
      <w:r>
        <w:rPr>
          <w:rFonts w:hint="eastAsia" w:ascii="Times New Roman" w:hAnsi="Times New Roman" w:eastAsia="宋体" w:cs="Times New Roman"/>
          <w:kern w:val="0"/>
          <w:sz w:val="24"/>
          <w:szCs w:val="24"/>
          <w:highlight w:val="none"/>
          <w:lang w:val="en-US" w:eastAsia="zh-CN" w:bidi="ar-SA"/>
        </w:rPr>
        <w:t xml:space="preserve">Fernández-Jalvo, Y. &amp; Andrews, P. </w:t>
      </w:r>
      <w:r>
        <w:rPr>
          <w:rFonts w:hint="eastAsia" w:ascii="Times New Roman" w:hAnsi="Times New Roman" w:eastAsia="宋体" w:cs="Times New Roman"/>
          <w:i/>
          <w:iCs/>
          <w:kern w:val="0"/>
          <w:sz w:val="24"/>
          <w:szCs w:val="24"/>
          <w:highlight w:val="none"/>
          <w:lang w:val="en-US" w:eastAsia="zh-CN" w:bidi="ar-SA"/>
        </w:rPr>
        <w:t>Atlas of taphonomic identifications</w:t>
      </w:r>
      <w:r>
        <w:rPr>
          <w:rFonts w:hint="eastAsia" w:ascii="Times New Roman" w:hAnsi="Times New Roman" w:eastAsia="宋体" w:cs="Times New Roman"/>
          <w:kern w:val="0"/>
          <w:sz w:val="24"/>
          <w:szCs w:val="24"/>
          <w:highlight w:val="none"/>
          <w:lang w:val="en-US" w:eastAsia="zh-CN" w:bidi="ar-SA"/>
        </w:rPr>
        <w:t>. Springer (2016).</w:t>
      </w:r>
    </w:p>
    <w:p w14:paraId="1618B71A">
      <w:pPr>
        <w:keepNext w:val="0"/>
        <w:keepLines w:val="0"/>
        <w:pageBreakBefore w:val="0"/>
        <w:widowControl/>
        <w:kinsoku/>
        <w:wordWrap/>
        <w:overflowPunct/>
        <w:topLinePunct w:val="0"/>
        <w:autoSpaceDE/>
        <w:autoSpaceDN/>
        <w:bidi w:val="0"/>
        <w:adjustRightInd w:val="0"/>
        <w:snapToGrid w:val="0"/>
        <w:spacing w:after="60" w:line="240" w:lineRule="auto"/>
        <w:ind w:left="240" w:hanging="240" w:hangingChars="100"/>
        <w:jc w:val="both"/>
        <w:textAlignment w:val="auto"/>
        <w:rPr>
          <w:rFonts w:hint="eastAsia" w:ascii="Times New Roman" w:hAnsi="Times New Roman" w:eastAsia="宋体" w:cs="Times New Roman"/>
          <w:kern w:val="0"/>
          <w:sz w:val="24"/>
          <w:szCs w:val="24"/>
          <w:highlight w:val="none"/>
          <w:lang w:val="en-US" w:eastAsia="zh-CN" w:bidi="ar-SA"/>
        </w:rPr>
      </w:pPr>
      <w:r>
        <w:rPr>
          <w:rFonts w:hint="eastAsia" w:ascii="Times New Roman" w:hAnsi="Times New Roman" w:eastAsia="宋体" w:cs="Times New Roman"/>
          <w:kern w:val="0"/>
          <w:sz w:val="24"/>
          <w:szCs w:val="24"/>
          <w:highlight w:val="none"/>
          <w:lang w:val="en-US" w:eastAsia="zh-CN"/>
        </w:rPr>
        <w:t>1</w:t>
      </w:r>
      <w:r>
        <w:rPr>
          <w:rFonts w:hint="eastAsia" w:cs="Times New Roman"/>
          <w:kern w:val="0"/>
          <w:sz w:val="24"/>
          <w:szCs w:val="24"/>
          <w:highlight w:val="none"/>
          <w:lang w:val="en-US" w:eastAsia="zh-CN"/>
        </w:rPr>
        <w:t>10</w:t>
      </w:r>
      <w:r>
        <w:rPr>
          <w:rFonts w:ascii="Times New Roman" w:hAnsi="Times New Roman" w:eastAsia="宋体" w:cs="Times New Roman"/>
          <w:kern w:val="0"/>
          <w:sz w:val="24"/>
          <w:szCs w:val="24"/>
          <w:highlight w:val="none"/>
        </w:rPr>
        <w:t>.</w:t>
      </w:r>
      <w:r>
        <w:rPr>
          <w:rFonts w:hint="eastAsia" w:ascii="Times New Roman" w:hAnsi="Times New Roman" w:eastAsia="宋体" w:cs="Times New Roman"/>
          <w:kern w:val="0"/>
          <w:sz w:val="24"/>
          <w:szCs w:val="24"/>
          <w:highlight w:val="none"/>
        </w:rPr>
        <w:t xml:space="preserve"> </w:t>
      </w:r>
      <w:r>
        <w:rPr>
          <w:rFonts w:hint="eastAsia" w:ascii="Times New Roman" w:hAnsi="Times New Roman" w:eastAsia="宋体" w:cs="Times New Roman"/>
          <w:kern w:val="0"/>
          <w:sz w:val="24"/>
          <w:szCs w:val="24"/>
          <w:highlight w:val="none"/>
          <w:lang w:val="en-US" w:eastAsia="zh-CN" w:bidi="ar-SA"/>
        </w:rPr>
        <w:t xml:space="preserve">Selvaggio, M. M. &amp; Wilder, J. Identifying the involvement of multiple carnivore taxa with archaeological bone assecmblages. </w:t>
      </w:r>
      <w:r>
        <w:rPr>
          <w:rFonts w:hint="eastAsia" w:ascii="Times New Roman" w:hAnsi="Times New Roman" w:eastAsia="宋体" w:cs="Times New Roman"/>
          <w:i/>
          <w:iCs/>
          <w:kern w:val="0"/>
          <w:sz w:val="24"/>
          <w:szCs w:val="24"/>
          <w:highlight w:val="none"/>
          <w:lang w:val="en-US" w:eastAsia="zh-CN" w:bidi="ar-SA"/>
        </w:rPr>
        <w:t>J. Archaeol. Sci.</w:t>
      </w:r>
      <w:r>
        <w:rPr>
          <w:rFonts w:hint="eastAsia" w:ascii="Times New Roman" w:hAnsi="Times New Roman" w:eastAsia="宋体" w:cs="Times New Roman"/>
          <w:kern w:val="0"/>
          <w:sz w:val="24"/>
          <w:szCs w:val="24"/>
          <w:highlight w:val="none"/>
          <w:lang w:val="en-US" w:eastAsia="zh-CN" w:bidi="ar-SA"/>
        </w:rPr>
        <w:t xml:space="preserve"> </w:t>
      </w:r>
      <w:r>
        <w:rPr>
          <w:rFonts w:hint="eastAsia" w:ascii="Times New Roman" w:hAnsi="Times New Roman" w:eastAsia="宋体" w:cs="Times New Roman"/>
          <w:b/>
          <w:bCs/>
          <w:kern w:val="0"/>
          <w:sz w:val="24"/>
          <w:szCs w:val="24"/>
          <w:highlight w:val="none"/>
          <w:lang w:val="en-US" w:eastAsia="zh-CN" w:bidi="ar-SA"/>
        </w:rPr>
        <w:t>28</w:t>
      </w:r>
      <w:r>
        <w:rPr>
          <w:rFonts w:hint="eastAsia" w:ascii="Times New Roman" w:hAnsi="Times New Roman" w:eastAsia="宋体" w:cs="Times New Roman"/>
          <w:kern w:val="0"/>
          <w:sz w:val="24"/>
          <w:szCs w:val="24"/>
          <w:highlight w:val="none"/>
          <w:lang w:val="en-US" w:eastAsia="zh-CN" w:bidi="ar-SA"/>
        </w:rPr>
        <w:t>, 465</w:t>
      </w:r>
      <w:r>
        <w:rPr>
          <w:sz w:val="24"/>
          <w:szCs w:val="24"/>
        </w:rPr>
        <w:t>–</w:t>
      </w:r>
      <w:r>
        <w:rPr>
          <w:rFonts w:hint="eastAsia" w:ascii="Times New Roman" w:hAnsi="Times New Roman" w:eastAsia="宋体" w:cs="Times New Roman"/>
          <w:kern w:val="0"/>
          <w:sz w:val="24"/>
          <w:szCs w:val="24"/>
          <w:highlight w:val="none"/>
          <w:lang w:val="en-US" w:eastAsia="zh-CN" w:bidi="ar-SA"/>
        </w:rPr>
        <w:t>470 (2001).</w:t>
      </w:r>
    </w:p>
    <w:p w14:paraId="606509AC">
      <w:pPr>
        <w:keepNext w:val="0"/>
        <w:keepLines w:val="0"/>
        <w:pageBreakBefore w:val="0"/>
        <w:widowControl/>
        <w:kinsoku/>
        <w:wordWrap/>
        <w:overflowPunct/>
        <w:topLinePunct w:val="0"/>
        <w:autoSpaceDE/>
        <w:autoSpaceDN/>
        <w:bidi w:val="0"/>
        <w:adjustRightInd w:val="0"/>
        <w:snapToGrid w:val="0"/>
        <w:spacing w:after="60" w:line="240" w:lineRule="auto"/>
        <w:ind w:left="240" w:hanging="240" w:hangingChars="100"/>
        <w:jc w:val="both"/>
        <w:textAlignment w:val="auto"/>
        <w:rPr>
          <w:rFonts w:hint="eastAsia" w:ascii="Times New Roman" w:hAnsi="Times New Roman" w:eastAsia="宋体" w:cs="Times New Roman"/>
          <w:kern w:val="0"/>
          <w:sz w:val="24"/>
          <w:szCs w:val="24"/>
          <w:highlight w:val="none"/>
          <w:lang w:val="en-US" w:eastAsia="zh-CN" w:bidi="ar-SA"/>
        </w:rPr>
      </w:pPr>
      <w:r>
        <w:rPr>
          <w:rFonts w:hint="eastAsia" w:ascii="Times New Roman" w:hAnsi="Times New Roman" w:eastAsia="宋体" w:cs="Times New Roman"/>
          <w:kern w:val="0"/>
          <w:sz w:val="24"/>
          <w:szCs w:val="24"/>
          <w:highlight w:val="none"/>
          <w:lang w:val="en-US" w:eastAsia="zh-CN"/>
        </w:rPr>
        <w:t>1</w:t>
      </w:r>
      <w:r>
        <w:rPr>
          <w:rFonts w:hint="eastAsia" w:cs="Times New Roman"/>
          <w:kern w:val="0"/>
          <w:sz w:val="24"/>
          <w:szCs w:val="24"/>
          <w:highlight w:val="none"/>
          <w:lang w:val="en-US" w:eastAsia="zh-CN"/>
        </w:rPr>
        <w:t>11</w:t>
      </w:r>
      <w:r>
        <w:rPr>
          <w:rFonts w:ascii="Times New Roman" w:hAnsi="Times New Roman" w:eastAsia="宋体" w:cs="Times New Roman"/>
          <w:kern w:val="0"/>
          <w:sz w:val="24"/>
          <w:szCs w:val="24"/>
          <w:highlight w:val="none"/>
        </w:rPr>
        <w:t>.</w:t>
      </w:r>
      <w:r>
        <w:rPr>
          <w:rFonts w:hint="eastAsia" w:ascii="Times New Roman" w:hAnsi="Times New Roman" w:eastAsia="宋体" w:cs="Times New Roman"/>
          <w:kern w:val="0"/>
          <w:sz w:val="24"/>
          <w:szCs w:val="24"/>
          <w:highlight w:val="none"/>
        </w:rPr>
        <w:t xml:space="preserve"> </w:t>
      </w:r>
      <w:r>
        <w:rPr>
          <w:rFonts w:hint="eastAsia" w:ascii="Times New Roman" w:hAnsi="Times New Roman" w:eastAsia="宋体" w:cs="Times New Roman"/>
          <w:kern w:val="0"/>
          <w:sz w:val="24"/>
          <w:szCs w:val="24"/>
          <w:highlight w:val="none"/>
          <w:lang w:val="en-US" w:eastAsia="zh-CN" w:bidi="ar-SA"/>
        </w:rPr>
        <w:t xml:space="preserve">Pobiner, B. Paleoecological information in predator tooth marks. </w:t>
      </w:r>
      <w:r>
        <w:rPr>
          <w:rFonts w:hint="eastAsia" w:ascii="Times New Roman" w:hAnsi="Times New Roman" w:eastAsia="宋体" w:cs="Times New Roman"/>
          <w:i/>
          <w:iCs/>
          <w:kern w:val="0"/>
          <w:sz w:val="24"/>
          <w:szCs w:val="24"/>
          <w:highlight w:val="none"/>
          <w:lang w:val="en-US" w:eastAsia="zh-CN" w:bidi="ar-SA"/>
        </w:rPr>
        <w:t>J. Taphonomy</w:t>
      </w:r>
      <w:r>
        <w:rPr>
          <w:rFonts w:hint="eastAsia" w:ascii="Times New Roman" w:hAnsi="Times New Roman" w:eastAsia="宋体" w:cs="Times New Roman"/>
          <w:kern w:val="0"/>
          <w:sz w:val="24"/>
          <w:szCs w:val="24"/>
          <w:highlight w:val="none"/>
          <w:lang w:val="en-US" w:eastAsia="zh-CN" w:bidi="ar-SA"/>
        </w:rPr>
        <w:t xml:space="preserve"> </w:t>
      </w:r>
      <w:r>
        <w:rPr>
          <w:rFonts w:hint="eastAsia" w:ascii="Times New Roman" w:hAnsi="Times New Roman" w:eastAsia="宋体" w:cs="Times New Roman"/>
          <w:b/>
          <w:bCs/>
          <w:kern w:val="0"/>
          <w:sz w:val="24"/>
          <w:szCs w:val="24"/>
          <w:highlight w:val="none"/>
          <w:lang w:val="en-US" w:eastAsia="zh-CN" w:bidi="ar-SA"/>
        </w:rPr>
        <w:t>6</w:t>
      </w:r>
      <w:r>
        <w:rPr>
          <w:rFonts w:hint="eastAsia" w:ascii="Times New Roman" w:hAnsi="Times New Roman" w:eastAsia="宋体" w:cs="Times New Roman"/>
          <w:kern w:val="0"/>
          <w:sz w:val="24"/>
          <w:szCs w:val="24"/>
          <w:highlight w:val="none"/>
          <w:lang w:val="en-US" w:eastAsia="zh-CN" w:bidi="ar-SA"/>
        </w:rPr>
        <w:t>, 373</w:t>
      </w:r>
      <w:r>
        <w:rPr>
          <w:sz w:val="24"/>
          <w:szCs w:val="24"/>
        </w:rPr>
        <w:t>–</w:t>
      </w:r>
      <w:r>
        <w:rPr>
          <w:rFonts w:hint="eastAsia" w:ascii="Times New Roman" w:hAnsi="Times New Roman" w:eastAsia="宋体" w:cs="Times New Roman"/>
          <w:kern w:val="0"/>
          <w:sz w:val="24"/>
          <w:szCs w:val="24"/>
          <w:highlight w:val="none"/>
          <w:lang w:val="en-US" w:eastAsia="zh-CN" w:bidi="ar-SA"/>
        </w:rPr>
        <w:t>397 (2008).</w:t>
      </w:r>
    </w:p>
    <w:p w14:paraId="3CE5BE33">
      <w:pPr>
        <w:keepNext w:val="0"/>
        <w:keepLines w:val="0"/>
        <w:pageBreakBefore w:val="0"/>
        <w:widowControl/>
        <w:kinsoku/>
        <w:wordWrap/>
        <w:overflowPunct/>
        <w:topLinePunct w:val="0"/>
        <w:autoSpaceDE/>
        <w:autoSpaceDN/>
        <w:bidi w:val="0"/>
        <w:adjustRightInd w:val="0"/>
        <w:snapToGrid w:val="0"/>
        <w:spacing w:after="60" w:line="240" w:lineRule="auto"/>
        <w:ind w:left="240" w:hanging="240" w:hangingChars="100"/>
        <w:jc w:val="both"/>
        <w:textAlignment w:val="auto"/>
        <w:rPr>
          <w:rFonts w:hint="eastAsia" w:ascii="Times New Roman" w:hAnsi="Times New Roman" w:eastAsia="宋体" w:cs="Times New Roman"/>
          <w:kern w:val="0"/>
          <w:sz w:val="24"/>
          <w:szCs w:val="24"/>
          <w:highlight w:val="none"/>
          <w:lang w:val="en-US" w:eastAsia="zh-CN" w:bidi="ar-SA"/>
        </w:rPr>
      </w:pPr>
      <w:r>
        <w:rPr>
          <w:rFonts w:hint="eastAsia" w:ascii="Times New Roman" w:hAnsi="Times New Roman" w:eastAsia="宋体" w:cs="Times New Roman"/>
          <w:kern w:val="0"/>
          <w:sz w:val="24"/>
          <w:szCs w:val="24"/>
          <w:highlight w:val="none"/>
          <w:lang w:val="en-US" w:eastAsia="zh-CN"/>
        </w:rPr>
        <w:t>1</w:t>
      </w:r>
      <w:r>
        <w:rPr>
          <w:rFonts w:hint="eastAsia" w:cs="Times New Roman"/>
          <w:kern w:val="0"/>
          <w:sz w:val="24"/>
          <w:szCs w:val="24"/>
          <w:highlight w:val="none"/>
          <w:lang w:val="en-US" w:eastAsia="zh-CN"/>
        </w:rPr>
        <w:t>12</w:t>
      </w:r>
      <w:r>
        <w:rPr>
          <w:rFonts w:ascii="Times New Roman" w:hAnsi="Times New Roman" w:eastAsia="宋体" w:cs="Times New Roman"/>
          <w:kern w:val="0"/>
          <w:sz w:val="24"/>
          <w:szCs w:val="24"/>
          <w:highlight w:val="none"/>
        </w:rPr>
        <w:t>.</w:t>
      </w:r>
      <w:r>
        <w:rPr>
          <w:rFonts w:hint="eastAsia" w:ascii="Times New Roman" w:hAnsi="Times New Roman" w:eastAsia="宋体" w:cs="Times New Roman"/>
          <w:kern w:val="0"/>
          <w:sz w:val="24"/>
          <w:szCs w:val="24"/>
          <w:highlight w:val="none"/>
        </w:rPr>
        <w:t xml:space="preserve"> </w:t>
      </w:r>
      <w:r>
        <w:rPr>
          <w:rFonts w:hint="eastAsia" w:ascii="Times New Roman" w:hAnsi="Times New Roman" w:eastAsia="宋体" w:cs="Times New Roman"/>
          <w:kern w:val="0"/>
          <w:sz w:val="24"/>
          <w:szCs w:val="24"/>
          <w:highlight w:val="none"/>
          <w:lang w:val="en-US" w:eastAsia="zh-CN" w:bidi="ar-SA"/>
        </w:rPr>
        <w:t>Andrés, M.</w:t>
      </w:r>
      <w:r>
        <w:rPr>
          <w:rFonts w:hint="eastAsia" w:cs="Times New Roman"/>
          <w:kern w:val="0"/>
          <w:sz w:val="24"/>
          <w:szCs w:val="24"/>
          <w:highlight w:val="none"/>
          <w:lang w:val="en-US" w:eastAsia="zh-CN" w:bidi="ar-SA"/>
        </w:rPr>
        <w:t xml:space="preserve"> </w:t>
      </w:r>
      <w:r>
        <w:rPr>
          <w:rFonts w:hint="eastAsia"/>
          <w:i/>
          <w:iCs/>
          <w:sz w:val="24"/>
          <w:szCs w:val="24"/>
          <w:lang w:val="en-US" w:eastAsia="zh-CN"/>
        </w:rPr>
        <w:t>et al.</w:t>
      </w:r>
      <w:r>
        <w:rPr>
          <w:rFonts w:hint="eastAsia" w:ascii="Times New Roman" w:hAnsi="Times New Roman" w:eastAsia="宋体" w:cs="Times New Roman"/>
          <w:kern w:val="0"/>
          <w:sz w:val="24"/>
          <w:szCs w:val="24"/>
          <w:highlight w:val="none"/>
          <w:lang w:val="en-US" w:eastAsia="zh-CN" w:bidi="ar-SA"/>
        </w:rPr>
        <w:t xml:space="preserve"> A study of dimensional differences of tooth marks (pits and scores) on bones modified by small and large carnivores. </w:t>
      </w:r>
      <w:r>
        <w:rPr>
          <w:rFonts w:hint="eastAsia" w:ascii="Times New Roman" w:hAnsi="Times New Roman" w:eastAsia="宋体" w:cs="Times New Roman"/>
          <w:i/>
          <w:iCs/>
          <w:kern w:val="0"/>
          <w:sz w:val="24"/>
          <w:szCs w:val="24"/>
          <w:highlight w:val="none"/>
          <w:lang w:val="en-US" w:eastAsia="zh-CN" w:bidi="ar-SA"/>
        </w:rPr>
        <w:t>Archaeol. Anthropol. Sci.</w:t>
      </w:r>
      <w:r>
        <w:rPr>
          <w:rFonts w:hint="eastAsia" w:ascii="Times New Roman" w:hAnsi="Times New Roman" w:eastAsia="宋体" w:cs="Times New Roman"/>
          <w:kern w:val="0"/>
          <w:sz w:val="24"/>
          <w:szCs w:val="24"/>
          <w:highlight w:val="none"/>
          <w:lang w:val="en-US" w:eastAsia="zh-CN" w:bidi="ar-SA"/>
        </w:rPr>
        <w:t xml:space="preserve"> </w:t>
      </w:r>
      <w:r>
        <w:rPr>
          <w:rFonts w:hint="eastAsia" w:ascii="Times New Roman" w:hAnsi="Times New Roman" w:eastAsia="宋体" w:cs="Times New Roman"/>
          <w:b/>
          <w:bCs/>
          <w:kern w:val="0"/>
          <w:sz w:val="24"/>
          <w:szCs w:val="24"/>
          <w:highlight w:val="none"/>
          <w:lang w:val="en-US" w:eastAsia="zh-CN" w:bidi="ar-SA"/>
        </w:rPr>
        <w:t>4</w:t>
      </w:r>
      <w:r>
        <w:rPr>
          <w:rFonts w:hint="eastAsia" w:ascii="Times New Roman" w:hAnsi="Times New Roman" w:eastAsia="宋体" w:cs="Times New Roman"/>
          <w:kern w:val="0"/>
          <w:sz w:val="24"/>
          <w:szCs w:val="24"/>
          <w:highlight w:val="none"/>
          <w:lang w:val="en-US" w:eastAsia="zh-CN" w:bidi="ar-SA"/>
        </w:rPr>
        <w:t>, 209</w:t>
      </w:r>
      <w:r>
        <w:rPr>
          <w:sz w:val="24"/>
          <w:szCs w:val="24"/>
        </w:rPr>
        <w:t>–</w:t>
      </w:r>
      <w:r>
        <w:rPr>
          <w:rFonts w:hint="eastAsia" w:ascii="Times New Roman" w:hAnsi="Times New Roman" w:eastAsia="宋体" w:cs="Times New Roman"/>
          <w:kern w:val="0"/>
          <w:sz w:val="24"/>
          <w:szCs w:val="24"/>
          <w:highlight w:val="none"/>
          <w:lang w:val="en-US" w:eastAsia="zh-CN" w:bidi="ar-SA"/>
        </w:rPr>
        <w:t>219 (2012).</w:t>
      </w:r>
    </w:p>
    <w:p w14:paraId="0337E9D3">
      <w:pPr>
        <w:keepNext w:val="0"/>
        <w:keepLines w:val="0"/>
        <w:pageBreakBefore w:val="0"/>
        <w:widowControl/>
        <w:kinsoku/>
        <w:wordWrap/>
        <w:overflowPunct/>
        <w:topLinePunct w:val="0"/>
        <w:autoSpaceDE/>
        <w:autoSpaceDN/>
        <w:bidi w:val="0"/>
        <w:adjustRightInd w:val="0"/>
        <w:snapToGrid w:val="0"/>
        <w:spacing w:after="60" w:line="240" w:lineRule="auto"/>
        <w:ind w:left="240" w:hanging="240" w:hangingChars="100"/>
        <w:jc w:val="both"/>
        <w:textAlignment w:val="auto"/>
        <w:rPr>
          <w:rFonts w:hint="eastAsia" w:ascii="Times New Roman" w:hAnsi="Times New Roman" w:eastAsia="宋体" w:cs="Times New Roman"/>
          <w:kern w:val="0"/>
          <w:sz w:val="24"/>
          <w:szCs w:val="24"/>
          <w:highlight w:val="none"/>
          <w:lang w:val="en-US" w:eastAsia="zh-CN" w:bidi="ar-SA"/>
        </w:rPr>
      </w:pPr>
      <w:r>
        <w:rPr>
          <w:rFonts w:hint="eastAsia" w:ascii="Times New Roman" w:hAnsi="Times New Roman" w:eastAsia="宋体" w:cs="Times New Roman"/>
          <w:kern w:val="0"/>
          <w:sz w:val="24"/>
          <w:szCs w:val="24"/>
          <w:highlight w:val="none"/>
          <w:lang w:val="en-US" w:eastAsia="zh-CN"/>
        </w:rPr>
        <w:t>11</w:t>
      </w:r>
      <w:r>
        <w:rPr>
          <w:rFonts w:hint="eastAsia" w:cs="Times New Roman"/>
          <w:kern w:val="0"/>
          <w:sz w:val="24"/>
          <w:szCs w:val="24"/>
          <w:highlight w:val="none"/>
          <w:lang w:val="en-US" w:eastAsia="zh-CN"/>
        </w:rPr>
        <w:t>3</w:t>
      </w:r>
      <w:r>
        <w:rPr>
          <w:rFonts w:ascii="Times New Roman" w:hAnsi="Times New Roman" w:eastAsia="宋体" w:cs="Times New Roman"/>
          <w:kern w:val="0"/>
          <w:sz w:val="24"/>
          <w:szCs w:val="24"/>
          <w:highlight w:val="none"/>
        </w:rPr>
        <w:t>.</w:t>
      </w:r>
      <w:r>
        <w:rPr>
          <w:rFonts w:hint="eastAsia" w:ascii="Times New Roman" w:hAnsi="Times New Roman" w:eastAsia="宋体" w:cs="Times New Roman"/>
          <w:kern w:val="0"/>
          <w:sz w:val="24"/>
          <w:szCs w:val="24"/>
          <w:highlight w:val="none"/>
        </w:rPr>
        <w:t xml:space="preserve"> </w:t>
      </w:r>
      <w:r>
        <w:rPr>
          <w:rFonts w:hint="eastAsia" w:ascii="Times New Roman" w:hAnsi="Times New Roman" w:eastAsia="宋体" w:cs="Times New Roman"/>
          <w:kern w:val="0"/>
          <w:sz w:val="24"/>
          <w:szCs w:val="24"/>
          <w:highlight w:val="none"/>
          <w:lang w:val="en-US" w:eastAsia="zh-CN" w:bidi="ar-SA"/>
        </w:rPr>
        <w:t xml:space="preserve">Pei, W.C. The Upper Cave fauna of Choukoutien. </w:t>
      </w:r>
      <w:r>
        <w:rPr>
          <w:rFonts w:hint="eastAsia" w:ascii="Times New Roman" w:hAnsi="Times New Roman" w:eastAsia="宋体" w:cs="Times New Roman"/>
          <w:i/>
          <w:iCs/>
          <w:kern w:val="0"/>
          <w:sz w:val="24"/>
          <w:szCs w:val="24"/>
          <w:highlight w:val="none"/>
          <w:lang w:val="en-US" w:eastAsia="zh-CN" w:bidi="ar-SA"/>
        </w:rPr>
        <w:t>Palaeontol. Sin. Ser. C</w:t>
      </w:r>
      <w:r>
        <w:rPr>
          <w:rFonts w:hint="eastAsia" w:ascii="Times New Roman" w:hAnsi="Times New Roman" w:eastAsia="宋体" w:cs="Times New Roman"/>
          <w:kern w:val="0"/>
          <w:sz w:val="24"/>
          <w:szCs w:val="24"/>
          <w:highlight w:val="none"/>
          <w:lang w:val="en-US" w:eastAsia="zh-CN" w:bidi="ar-SA"/>
        </w:rPr>
        <w:t xml:space="preserve"> </w:t>
      </w:r>
      <w:r>
        <w:rPr>
          <w:rFonts w:hint="eastAsia" w:ascii="Times New Roman" w:hAnsi="Times New Roman" w:eastAsia="宋体" w:cs="Times New Roman"/>
          <w:b/>
          <w:bCs/>
          <w:kern w:val="0"/>
          <w:sz w:val="24"/>
          <w:szCs w:val="24"/>
          <w:highlight w:val="none"/>
          <w:lang w:val="en-US" w:eastAsia="zh-CN" w:bidi="ar-SA"/>
        </w:rPr>
        <w:t>10</w:t>
      </w:r>
      <w:r>
        <w:rPr>
          <w:rFonts w:hint="eastAsia" w:ascii="Times New Roman" w:hAnsi="Times New Roman" w:eastAsia="宋体" w:cs="Times New Roman"/>
          <w:kern w:val="0"/>
          <w:sz w:val="24"/>
          <w:szCs w:val="24"/>
          <w:highlight w:val="none"/>
          <w:lang w:val="en-US" w:eastAsia="zh-CN" w:bidi="ar-SA"/>
        </w:rPr>
        <w:t>, 1</w:t>
      </w:r>
      <w:r>
        <w:rPr>
          <w:sz w:val="24"/>
          <w:szCs w:val="24"/>
        </w:rPr>
        <w:t>–</w:t>
      </w:r>
      <w:r>
        <w:rPr>
          <w:rFonts w:hint="eastAsia" w:ascii="Times New Roman" w:hAnsi="Times New Roman" w:eastAsia="宋体" w:cs="Times New Roman"/>
          <w:kern w:val="0"/>
          <w:sz w:val="24"/>
          <w:szCs w:val="24"/>
          <w:highlight w:val="none"/>
          <w:lang w:val="en-US" w:eastAsia="zh-CN" w:bidi="ar-SA"/>
        </w:rPr>
        <w:t>96 (1940).</w:t>
      </w:r>
    </w:p>
    <w:p w14:paraId="2D9F16A9">
      <w:pPr>
        <w:keepNext w:val="0"/>
        <w:keepLines w:val="0"/>
        <w:pageBreakBefore w:val="0"/>
        <w:widowControl/>
        <w:kinsoku/>
        <w:wordWrap/>
        <w:overflowPunct/>
        <w:topLinePunct w:val="0"/>
        <w:autoSpaceDE/>
        <w:autoSpaceDN/>
        <w:bidi w:val="0"/>
        <w:adjustRightInd w:val="0"/>
        <w:snapToGrid w:val="0"/>
        <w:spacing w:after="60" w:line="240" w:lineRule="auto"/>
        <w:ind w:left="240" w:hanging="240" w:hangingChars="100"/>
        <w:jc w:val="both"/>
        <w:textAlignment w:val="auto"/>
        <w:rPr>
          <w:rFonts w:hint="eastAsia" w:ascii="Times New Roman" w:hAnsi="Times New Roman" w:eastAsia="宋体" w:cs="Times New Roman"/>
          <w:kern w:val="0"/>
          <w:sz w:val="24"/>
          <w:szCs w:val="24"/>
          <w:highlight w:val="none"/>
          <w:lang w:val="en-US" w:eastAsia="zh-CN" w:bidi="ar-SA"/>
        </w:rPr>
      </w:pPr>
      <w:r>
        <w:rPr>
          <w:rFonts w:hint="eastAsia" w:ascii="Times New Roman" w:hAnsi="Times New Roman" w:eastAsia="宋体" w:cs="Times New Roman"/>
          <w:kern w:val="0"/>
          <w:sz w:val="24"/>
          <w:szCs w:val="24"/>
          <w:highlight w:val="none"/>
          <w:lang w:val="en-US" w:eastAsia="zh-CN"/>
        </w:rPr>
        <w:t>11</w:t>
      </w:r>
      <w:r>
        <w:rPr>
          <w:rFonts w:hint="eastAsia" w:cs="Times New Roman"/>
          <w:kern w:val="0"/>
          <w:sz w:val="24"/>
          <w:szCs w:val="24"/>
          <w:highlight w:val="none"/>
          <w:lang w:val="en-US" w:eastAsia="zh-CN"/>
        </w:rPr>
        <w:t>4</w:t>
      </w:r>
      <w:r>
        <w:rPr>
          <w:rFonts w:ascii="Times New Roman" w:hAnsi="Times New Roman" w:eastAsia="宋体" w:cs="Times New Roman"/>
          <w:kern w:val="0"/>
          <w:sz w:val="24"/>
          <w:szCs w:val="24"/>
          <w:highlight w:val="none"/>
        </w:rPr>
        <w:t>.</w:t>
      </w:r>
      <w:r>
        <w:rPr>
          <w:rFonts w:hint="eastAsia" w:ascii="Times New Roman" w:hAnsi="Times New Roman" w:eastAsia="宋体" w:cs="Times New Roman"/>
          <w:kern w:val="0"/>
          <w:sz w:val="24"/>
          <w:szCs w:val="24"/>
          <w:highlight w:val="none"/>
        </w:rPr>
        <w:t xml:space="preserve"> </w:t>
      </w:r>
      <w:r>
        <w:rPr>
          <w:rFonts w:hint="eastAsia" w:ascii="Times New Roman" w:hAnsi="Times New Roman" w:eastAsia="宋体" w:cs="Times New Roman"/>
          <w:kern w:val="0"/>
          <w:sz w:val="24"/>
          <w:szCs w:val="24"/>
          <w:highlight w:val="none"/>
          <w:lang w:val="en-US" w:eastAsia="zh-CN" w:bidi="ar-SA"/>
        </w:rPr>
        <w:t xml:space="preserve">Soulier, M.C. &amp; Costamagno, S. Let the Cutmarks Speak! Experimental Butchery to Reconstruct Carcass Processing. </w:t>
      </w:r>
      <w:r>
        <w:rPr>
          <w:rFonts w:hint="eastAsia" w:ascii="Times New Roman" w:hAnsi="Times New Roman" w:eastAsia="宋体" w:cs="Times New Roman"/>
          <w:i/>
          <w:iCs/>
          <w:kern w:val="0"/>
          <w:sz w:val="24"/>
          <w:szCs w:val="24"/>
          <w:highlight w:val="none"/>
          <w:lang w:val="en-US" w:eastAsia="zh-CN" w:bidi="ar-SA"/>
        </w:rPr>
        <w:t>J. Archaeol. Sci. Rep.</w:t>
      </w:r>
      <w:r>
        <w:rPr>
          <w:rFonts w:hint="eastAsia" w:ascii="Times New Roman" w:hAnsi="Times New Roman" w:eastAsia="宋体" w:cs="Times New Roman"/>
          <w:kern w:val="0"/>
          <w:sz w:val="24"/>
          <w:szCs w:val="24"/>
          <w:highlight w:val="none"/>
          <w:lang w:val="en-US" w:eastAsia="zh-CN" w:bidi="ar-SA"/>
        </w:rPr>
        <w:t xml:space="preserve"> </w:t>
      </w:r>
      <w:r>
        <w:rPr>
          <w:rFonts w:hint="eastAsia" w:ascii="Times New Roman" w:hAnsi="Times New Roman" w:eastAsia="宋体" w:cs="Times New Roman"/>
          <w:b/>
          <w:bCs/>
          <w:kern w:val="0"/>
          <w:sz w:val="24"/>
          <w:szCs w:val="24"/>
          <w:highlight w:val="none"/>
          <w:lang w:val="en-US" w:eastAsia="zh-CN" w:bidi="ar-SA"/>
        </w:rPr>
        <w:t>11</w:t>
      </w:r>
      <w:r>
        <w:rPr>
          <w:rFonts w:hint="eastAsia" w:ascii="Times New Roman" w:hAnsi="Times New Roman" w:eastAsia="宋体" w:cs="Times New Roman"/>
          <w:kern w:val="0"/>
          <w:sz w:val="24"/>
          <w:szCs w:val="24"/>
          <w:highlight w:val="none"/>
          <w:lang w:val="en-US" w:eastAsia="zh-CN" w:bidi="ar-SA"/>
        </w:rPr>
        <w:t>, 782</w:t>
      </w:r>
      <w:r>
        <w:rPr>
          <w:sz w:val="24"/>
          <w:szCs w:val="24"/>
        </w:rPr>
        <w:t>–</w:t>
      </w:r>
      <w:r>
        <w:rPr>
          <w:rFonts w:hint="eastAsia" w:ascii="Times New Roman" w:hAnsi="Times New Roman" w:eastAsia="宋体" w:cs="Times New Roman"/>
          <w:kern w:val="0"/>
          <w:sz w:val="24"/>
          <w:szCs w:val="24"/>
          <w:highlight w:val="none"/>
          <w:lang w:val="en-US" w:eastAsia="zh-CN" w:bidi="ar-SA"/>
        </w:rPr>
        <w:t>802 (2017).</w:t>
      </w:r>
    </w:p>
    <w:p w14:paraId="30881FD4">
      <w:pPr>
        <w:keepNext w:val="0"/>
        <w:keepLines w:val="0"/>
        <w:pageBreakBefore w:val="0"/>
        <w:widowControl/>
        <w:kinsoku/>
        <w:wordWrap/>
        <w:overflowPunct/>
        <w:topLinePunct w:val="0"/>
        <w:autoSpaceDE/>
        <w:autoSpaceDN/>
        <w:bidi w:val="0"/>
        <w:adjustRightInd w:val="0"/>
        <w:snapToGrid w:val="0"/>
        <w:spacing w:after="60" w:line="240" w:lineRule="auto"/>
        <w:ind w:left="240" w:hanging="240" w:hangingChars="100"/>
        <w:jc w:val="both"/>
        <w:textAlignment w:val="auto"/>
        <w:rPr>
          <w:rFonts w:hint="eastAsia" w:ascii="Times New Roman" w:hAnsi="Times New Roman" w:eastAsia="宋体" w:cs="Times New Roman"/>
          <w:kern w:val="0"/>
          <w:sz w:val="24"/>
          <w:szCs w:val="24"/>
          <w:highlight w:val="none"/>
          <w:lang w:val="en-US" w:eastAsia="zh-CN" w:bidi="ar-SA"/>
        </w:rPr>
      </w:pPr>
      <w:r>
        <w:rPr>
          <w:rFonts w:hint="eastAsia" w:ascii="Times New Roman" w:hAnsi="Times New Roman" w:eastAsia="宋体" w:cs="Times New Roman"/>
          <w:kern w:val="0"/>
          <w:sz w:val="24"/>
          <w:szCs w:val="24"/>
          <w:highlight w:val="none"/>
          <w:lang w:val="en-US" w:eastAsia="zh-CN"/>
        </w:rPr>
        <w:t>11</w:t>
      </w:r>
      <w:r>
        <w:rPr>
          <w:rFonts w:hint="eastAsia" w:cs="Times New Roman"/>
          <w:kern w:val="0"/>
          <w:sz w:val="24"/>
          <w:szCs w:val="24"/>
          <w:highlight w:val="none"/>
          <w:lang w:val="en-US" w:eastAsia="zh-CN"/>
        </w:rPr>
        <w:t>5</w:t>
      </w:r>
      <w:r>
        <w:rPr>
          <w:rFonts w:ascii="Times New Roman" w:hAnsi="Times New Roman" w:eastAsia="宋体" w:cs="Times New Roman"/>
          <w:kern w:val="0"/>
          <w:sz w:val="24"/>
          <w:szCs w:val="24"/>
          <w:highlight w:val="none"/>
        </w:rPr>
        <w:t>.</w:t>
      </w:r>
      <w:r>
        <w:rPr>
          <w:rFonts w:hint="eastAsia" w:ascii="Times New Roman" w:hAnsi="Times New Roman" w:eastAsia="宋体" w:cs="Times New Roman"/>
          <w:kern w:val="0"/>
          <w:sz w:val="24"/>
          <w:szCs w:val="24"/>
          <w:highlight w:val="none"/>
          <w:lang w:val="en-US" w:eastAsia="zh-CN"/>
        </w:rPr>
        <w:t xml:space="preserve"> </w:t>
      </w:r>
      <w:r>
        <w:rPr>
          <w:rFonts w:hint="eastAsia" w:ascii="Times New Roman" w:hAnsi="Times New Roman" w:eastAsia="宋体" w:cs="Times New Roman"/>
          <w:kern w:val="0"/>
          <w:sz w:val="24"/>
          <w:szCs w:val="24"/>
          <w:highlight w:val="none"/>
          <w:lang w:val="en-US" w:eastAsia="zh-CN" w:bidi="ar-SA"/>
        </w:rPr>
        <w:t>Costamagno, S.</w:t>
      </w:r>
      <w:r>
        <w:rPr>
          <w:rFonts w:hint="eastAsia" w:cs="Times New Roman"/>
          <w:kern w:val="0"/>
          <w:sz w:val="24"/>
          <w:szCs w:val="24"/>
          <w:highlight w:val="none"/>
          <w:lang w:val="en-US" w:eastAsia="zh-CN" w:bidi="ar-SA"/>
        </w:rPr>
        <w:t xml:space="preserve"> </w:t>
      </w:r>
      <w:r>
        <w:rPr>
          <w:rFonts w:hint="eastAsia"/>
          <w:i/>
          <w:iCs/>
          <w:sz w:val="24"/>
          <w:szCs w:val="24"/>
          <w:lang w:val="en-US" w:eastAsia="zh-CN"/>
        </w:rPr>
        <w:t>et al.</w:t>
      </w:r>
      <w:r>
        <w:rPr>
          <w:rFonts w:hint="eastAsia" w:ascii="Times New Roman" w:hAnsi="Times New Roman" w:eastAsia="宋体" w:cs="Times New Roman"/>
          <w:kern w:val="0"/>
          <w:sz w:val="24"/>
          <w:szCs w:val="24"/>
          <w:highlight w:val="none"/>
          <w:lang w:val="en-US" w:eastAsia="zh-CN" w:bidi="ar-SA"/>
        </w:rPr>
        <w:t xml:space="preserve"> Le référentiel de stries de boucherie. </w:t>
      </w:r>
      <w:r>
        <w:rPr>
          <w:rFonts w:hint="eastAsia" w:ascii="Times New Roman" w:hAnsi="Times New Roman" w:eastAsia="宋体" w:cs="Times New Roman"/>
          <w:i/>
          <w:iCs/>
          <w:kern w:val="0"/>
          <w:sz w:val="24"/>
          <w:szCs w:val="24"/>
          <w:highlight w:val="none"/>
          <w:lang w:val="en-US" w:eastAsia="zh-CN" w:bidi="ar-SA"/>
        </w:rPr>
        <w:t>Palethnologie. Archéol. Sci. Hum.</w:t>
      </w:r>
      <w:r>
        <w:rPr>
          <w:rFonts w:hint="eastAsia" w:ascii="Times New Roman" w:hAnsi="Times New Roman" w:eastAsia="宋体" w:cs="Times New Roman"/>
          <w:kern w:val="0"/>
          <w:sz w:val="24"/>
          <w:szCs w:val="24"/>
          <w:highlight w:val="none"/>
          <w:lang w:val="en-US" w:eastAsia="zh-CN" w:bidi="ar-SA"/>
        </w:rPr>
        <w:t xml:space="preserve"> </w:t>
      </w:r>
      <w:r>
        <w:rPr>
          <w:rFonts w:hint="eastAsia" w:ascii="Times New Roman" w:hAnsi="Times New Roman" w:eastAsia="宋体" w:cs="Times New Roman"/>
          <w:b/>
          <w:bCs/>
          <w:kern w:val="0"/>
          <w:sz w:val="24"/>
          <w:szCs w:val="24"/>
          <w:highlight w:val="none"/>
          <w:lang w:val="en-US" w:eastAsia="zh-CN" w:bidi="ar-SA"/>
        </w:rPr>
        <w:t>10</w:t>
      </w:r>
      <w:r>
        <w:rPr>
          <w:rFonts w:hint="eastAsia" w:ascii="Times New Roman" w:hAnsi="Times New Roman" w:eastAsia="宋体" w:cs="Times New Roman"/>
          <w:kern w:val="0"/>
          <w:sz w:val="24"/>
          <w:szCs w:val="24"/>
          <w:highlight w:val="none"/>
          <w:lang w:val="en-US" w:eastAsia="zh-CN" w:bidi="ar-SA"/>
        </w:rPr>
        <w:t>, 10 (2019).</w:t>
      </w:r>
    </w:p>
    <w:p w14:paraId="1F4636C0">
      <w:pPr>
        <w:keepNext w:val="0"/>
        <w:keepLines w:val="0"/>
        <w:pageBreakBefore w:val="0"/>
        <w:widowControl/>
        <w:tabs>
          <w:tab w:val="left" w:pos="264"/>
        </w:tabs>
        <w:kinsoku/>
        <w:wordWrap/>
        <w:overflowPunct/>
        <w:topLinePunct w:val="0"/>
        <w:autoSpaceDE/>
        <w:autoSpaceDN/>
        <w:bidi w:val="0"/>
        <w:adjustRightInd w:val="0"/>
        <w:snapToGrid w:val="0"/>
        <w:spacing w:line="240" w:lineRule="auto"/>
        <w:ind w:left="240" w:hanging="240" w:hangingChars="100"/>
        <w:jc w:val="both"/>
        <w:textAlignment w:val="auto"/>
        <w:rPr>
          <w:rFonts w:hint="eastAsia" w:ascii="Times New Roman" w:hAnsi="Times New Roman" w:cs="Times New Roman"/>
          <w:szCs w:val="24"/>
          <w:highlight w:val="none"/>
        </w:rPr>
      </w:pPr>
      <w:r>
        <w:rPr>
          <w:rFonts w:hint="eastAsia" w:cs="Times New Roman"/>
          <w:kern w:val="0"/>
          <w:sz w:val="24"/>
          <w:szCs w:val="24"/>
          <w:highlight w:val="none"/>
          <w:lang w:val="en-US" w:eastAsia="zh-CN" w:bidi="ar-SA"/>
        </w:rPr>
        <w:t xml:space="preserve">116. </w:t>
      </w:r>
      <w:r>
        <w:rPr>
          <w:rFonts w:hint="eastAsia" w:ascii="Times New Roman" w:hAnsi="Times New Roman" w:cs="Times New Roman"/>
          <w:szCs w:val="24"/>
          <w:highlight w:val="none"/>
        </w:rPr>
        <w:t xml:space="preserve">Bertran, P. </w:t>
      </w:r>
      <w:r>
        <w:rPr>
          <w:rFonts w:hint="eastAsia" w:ascii="Times New Roman" w:hAnsi="Times New Roman" w:cs="Times New Roman"/>
          <w:i/>
          <w:iCs/>
          <w:szCs w:val="24"/>
          <w:highlight w:val="none"/>
        </w:rPr>
        <w:t>et al.</w:t>
      </w:r>
      <w:r>
        <w:rPr>
          <w:rFonts w:hint="eastAsia" w:ascii="Times New Roman" w:hAnsi="Times New Roman" w:cs="Times New Roman"/>
          <w:szCs w:val="24"/>
          <w:highlight w:val="none"/>
        </w:rPr>
        <w:t xml:space="preserve"> Composition granulométrique des assemblages lithiques: Application à l’étude taphonomique des sites paléolithiques. </w:t>
      </w:r>
      <w:r>
        <w:rPr>
          <w:rFonts w:hint="eastAsia" w:ascii="Times New Roman" w:hAnsi="Times New Roman" w:cs="Times New Roman"/>
          <w:i/>
          <w:iCs/>
          <w:szCs w:val="24"/>
          <w:highlight w:val="none"/>
        </w:rPr>
        <w:t>Paléo</w:t>
      </w:r>
      <w:r>
        <w:rPr>
          <w:rFonts w:hint="eastAsia" w:ascii="Times New Roman" w:hAnsi="Times New Roman" w:cs="Times New Roman"/>
          <w:szCs w:val="24"/>
          <w:highlight w:val="none"/>
        </w:rPr>
        <w:t xml:space="preserve"> </w:t>
      </w:r>
      <w:r>
        <w:rPr>
          <w:rFonts w:hint="eastAsia" w:ascii="Times New Roman" w:hAnsi="Times New Roman" w:cs="Times New Roman"/>
          <w:b/>
          <w:bCs/>
          <w:szCs w:val="24"/>
          <w:highlight w:val="none"/>
        </w:rPr>
        <w:t>18</w:t>
      </w:r>
      <w:r>
        <w:rPr>
          <w:rFonts w:hint="eastAsia" w:ascii="Times New Roman" w:hAnsi="Times New Roman" w:cs="Times New Roman"/>
          <w:szCs w:val="24"/>
          <w:highlight w:val="none"/>
        </w:rPr>
        <w:t>, 7</w:t>
      </w:r>
      <w:r>
        <w:rPr>
          <w:sz w:val="24"/>
          <w:szCs w:val="24"/>
        </w:rPr>
        <w:t>–</w:t>
      </w:r>
      <w:r>
        <w:rPr>
          <w:rFonts w:hint="eastAsia" w:ascii="Times New Roman" w:hAnsi="Times New Roman" w:cs="Times New Roman"/>
          <w:szCs w:val="24"/>
          <w:highlight w:val="none"/>
        </w:rPr>
        <w:t>36 (2006).</w:t>
      </w:r>
    </w:p>
    <w:p w14:paraId="5BD92A53">
      <w:pPr>
        <w:keepNext w:val="0"/>
        <w:keepLines w:val="0"/>
        <w:pageBreakBefore w:val="0"/>
        <w:widowControl/>
        <w:kinsoku/>
        <w:wordWrap/>
        <w:overflowPunct/>
        <w:topLinePunct w:val="0"/>
        <w:autoSpaceDE/>
        <w:autoSpaceDN/>
        <w:bidi w:val="0"/>
        <w:adjustRightInd w:val="0"/>
        <w:snapToGrid w:val="0"/>
        <w:spacing w:after="0" w:line="240" w:lineRule="auto"/>
        <w:ind w:left="240" w:hanging="240" w:hangingChars="100"/>
        <w:jc w:val="both"/>
        <w:textAlignment w:val="auto"/>
        <w:rPr>
          <w:rFonts w:hint="eastAsia" w:ascii="Times New Roman" w:hAnsi="Times New Roman" w:eastAsia="宋体" w:cs="Times New Roman"/>
          <w:kern w:val="0"/>
          <w:sz w:val="24"/>
          <w:szCs w:val="24"/>
          <w:highlight w:val="none"/>
          <w:lang w:val="en-US" w:eastAsia="zh-CN" w:bidi="ar-SA"/>
        </w:rPr>
      </w:pPr>
      <w:r>
        <w:rPr>
          <w:rFonts w:hint="eastAsia" w:cs="Times New Roman"/>
          <w:kern w:val="0"/>
          <w:sz w:val="24"/>
          <w:szCs w:val="24"/>
          <w:highlight w:val="none"/>
          <w:lang w:val="en-US" w:eastAsia="zh-CN" w:bidi="ar-SA"/>
        </w:rPr>
        <w:t xml:space="preserve">117. </w:t>
      </w:r>
      <w:r>
        <w:rPr>
          <w:rFonts w:hint="eastAsia" w:ascii="Times New Roman" w:hAnsi="Times New Roman" w:cs="Times New Roman"/>
          <w:szCs w:val="24"/>
          <w:highlight w:val="none"/>
        </w:rPr>
        <w:t xml:space="preserve">Coard, R. One </w:t>
      </w:r>
      <w:r>
        <w:rPr>
          <w:rFonts w:hint="eastAsia" w:cs="Times New Roman"/>
          <w:szCs w:val="24"/>
          <w:highlight w:val="none"/>
          <w:lang w:val="en-US" w:eastAsia="zh-CN"/>
        </w:rPr>
        <w:t>b</w:t>
      </w:r>
      <w:r>
        <w:rPr>
          <w:rFonts w:hint="eastAsia" w:ascii="Times New Roman" w:hAnsi="Times New Roman" w:cs="Times New Roman"/>
          <w:szCs w:val="24"/>
          <w:highlight w:val="none"/>
        </w:rPr>
        <w:t xml:space="preserve">one, </w:t>
      </w:r>
      <w:r>
        <w:rPr>
          <w:rFonts w:hint="eastAsia" w:cs="Times New Roman"/>
          <w:szCs w:val="24"/>
          <w:highlight w:val="none"/>
          <w:lang w:val="en-US" w:eastAsia="zh-CN"/>
        </w:rPr>
        <w:t>t</w:t>
      </w:r>
      <w:r>
        <w:rPr>
          <w:rFonts w:hint="eastAsia" w:ascii="Times New Roman" w:hAnsi="Times New Roman" w:cs="Times New Roman"/>
          <w:szCs w:val="24"/>
          <w:highlight w:val="none"/>
        </w:rPr>
        <w:t xml:space="preserve">wo </w:t>
      </w:r>
      <w:r>
        <w:rPr>
          <w:rFonts w:hint="eastAsia" w:cs="Times New Roman"/>
          <w:szCs w:val="24"/>
          <w:highlight w:val="none"/>
          <w:lang w:val="en-US" w:eastAsia="zh-CN"/>
        </w:rPr>
        <w:t>b</w:t>
      </w:r>
      <w:r>
        <w:rPr>
          <w:rFonts w:hint="eastAsia" w:ascii="Times New Roman" w:hAnsi="Times New Roman" w:cs="Times New Roman"/>
          <w:szCs w:val="24"/>
          <w:highlight w:val="none"/>
        </w:rPr>
        <w:t xml:space="preserve">ones, </w:t>
      </w:r>
      <w:r>
        <w:rPr>
          <w:rFonts w:hint="eastAsia" w:cs="Times New Roman"/>
          <w:szCs w:val="24"/>
          <w:highlight w:val="none"/>
          <w:lang w:val="en-US" w:eastAsia="zh-CN"/>
        </w:rPr>
        <w:t>w</w:t>
      </w:r>
      <w:r>
        <w:rPr>
          <w:rFonts w:hint="eastAsia" w:ascii="Times New Roman" w:hAnsi="Times New Roman" w:cs="Times New Roman"/>
          <w:szCs w:val="24"/>
          <w:highlight w:val="none"/>
        </w:rPr>
        <w:t xml:space="preserve">et </w:t>
      </w:r>
      <w:r>
        <w:rPr>
          <w:rFonts w:hint="eastAsia" w:cs="Times New Roman"/>
          <w:szCs w:val="24"/>
          <w:highlight w:val="none"/>
          <w:lang w:val="en-US" w:eastAsia="zh-CN"/>
        </w:rPr>
        <w:t>b</w:t>
      </w:r>
      <w:r>
        <w:rPr>
          <w:rFonts w:hint="eastAsia" w:ascii="Times New Roman" w:hAnsi="Times New Roman" w:cs="Times New Roman"/>
          <w:szCs w:val="24"/>
          <w:highlight w:val="none"/>
        </w:rPr>
        <w:t xml:space="preserve">ones, </w:t>
      </w:r>
      <w:r>
        <w:rPr>
          <w:rFonts w:hint="eastAsia" w:cs="Times New Roman"/>
          <w:szCs w:val="24"/>
          <w:highlight w:val="none"/>
          <w:lang w:val="en-US" w:eastAsia="zh-CN"/>
        </w:rPr>
        <w:t>d</w:t>
      </w:r>
      <w:r>
        <w:rPr>
          <w:rFonts w:hint="eastAsia" w:ascii="Times New Roman" w:hAnsi="Times New Roman" w:cs="Times New Roman"/>
          <w:szCs w:val="24"/>
          <w:highlight w:val="none"/>
        </w:rPr>
        <w:t xml:space="preserve">ry </w:t>
      </w:r>
      <w:r>
        <w:rPr>
          <w:rFonts w:hint="eastAsia" w:cs="Times New Roman"/>
          <w:szCs w:val="24"/>
          <w:highlight w:val="none"/>
          <w:lang w:val="en-US" w:eastAsia="zh-CN"/>
        </w:rPr>
        <w:t>b</w:t>
      </w:r>
      <w:r>
        <w:rPr>
          <w:rFonts w:hint="eastAsia" w:ascii="Times New Roman" w:hAnsi="Times New Roman" w:cs="Times New Roman"/>
          <w:szCs w:val="24"/>
          <w:highlight w:val="none"/>
        </w:rPr>
        <w:t xml:space="preserve">ones: Transport </w:t>
      </w:r>
      <w:r>
        <w:rPr>
          <w:rFonts w:hint="eastAsia" w:cs="Times New Roman"/>
          <w:szCs w:val="24"/>
          <w:highlight w:val="none"/>
          <w:lang w:val="en-US" w:eastAsia="zh-CN"/>
        </w:rPr>
        <w:t>p</w:t>
      </w:r>
      <w:r>
        <w:rPr>
          <w:rFonts w:hint="eastAsia" w:ascii="Times New Roman" w:hAnsi="Times New Roman" w:cs="Times New Roman"/>
          <w:szCs w:val="24"/>
          <w:highlight w:val="none"/>
        </w:rPr>
        <w:t xml:space="preserve">otentials </w:t>
      </w:r>
      <w:r>
        <w:rPr>
          <w:rFonts w:hint="eastAsia" w:cs="Times New Roman"/>
          <w:szCs w:val="24"/>
          <w:highlight w:val="none"/>
          <w:lang w:val="en-US" w:eastAsia="zh-CN"/>
        </w:rPr>
        <w:t>u</w:t>
      </w:r>
      <w:r>
        <w:rPr>
          <w:rFonts w:hint="eastAsia" w:ascii="Times New Roman" w:hAnsi="Times New Roman" w:cs="Times New Roman"/>
          <w:szCs w:val="24"/>
          <w:highlight w:val="none"/>
        </w:rPr>
        <w:t xml:space="preserve">nder </w:t>
      </w:r>
      <w:r>
        <w:rPr>
          <w:rFonts w:hint="eastAsia" w:cs="Times New Roman"/>
          <w:szCs w:val="24"/>
          <w:highlight w:val="none"/>
          <w:lang w:val="en-US" w:eastAsia="zh-CN"/>
        </w:rPr>
        <w:t>e</w:t>
      </w:r>
      <w:r>
        <w:rPr>
          <w:rFonts w:hint="eastAsia" w:ascii="Times New Roman" w:hAnsi="Times New Roman" w:cs="Times New Roman"/>
          <w:szCs w:val="24"/>
          <w:highlight w:val="none"/>
        </w:rPr>
        <w:t xml:space="preserve">xperimental </w:t>
      </w:r>
      <w:r>
        <w:rPr>
          <w:rFonts w:hint="eastAsia" w:cs="Times New Roman"/>
          <w:szCs w:val="24"/>
          <w:highlight w:val="none"/>
          <w:lang w:val="en-US" w:eastAsia="zh-CN"/>
        </w:rPr>
        <w:t>c</w:t>
      </w:r>
      <w:r>
        <w:rPr>
          <w:rFonts w:hint="eastAsia" w:ascii="Times New Roman" w:hAnsi="Times New Roman" w:cs="Times New Roman"/>
          <w:szCs w:val="24"/>
          <w:highlight w:val="none"/>
        </w:rPr>
        <w:t xml:space="preserve">onditions. </w:t>
      </w:r>
      <w:r>
        <w:rPr>
          <w:rFonts w:hint="eastAsia" w:ascii="Times New Roman" w:hAnsi="Times New Roman" w:cs="Times New Roman"/>
          <w:i/>
          <w:iCs/>
          <w:szCs w:val="24"/>
          <w:highlight w:val="none"/>
        </w:rPr>
        <w:t>J. Archaeol. Sci</w:t>
      </w:r>
      <w:r>
        <w:rPr>
          <w:rFonts w:hint="eastAsia" w:ascii="Times New Roman" w:hAnsi="Times New Roman" w:cs="Times New Roman"/>
          <w:i w:val="0"/>
          <w:szCs w:val="24"/>
          <w:highlight w:val="none"/>
        </w:rPr>
        <w:t>.</w:t>
      </w:r>
      <w:r>
        <w:rPr>
          <w:rFonts w:hint="eastAsia" w:ascii="Times New Roman" w:hAnsi="Times New Roman" w:cs="Times New Roman"/>
          <w:szCs w:val="24"/>
          <w:highlight w:val="none"/>
        </w:rPr>
        <w:t xml:space="preserve"> </w:t>
      </w:r>
      <w:r>
        <w:rPr>
          <w:rFonts w:hint="eastAsia" w:ascii="Times New Roman" w:hAnsi="Times New Roman" w:cs="Times New Roman"/>
          <w:b/>
          <w:bCs/>
          <w:szCs w:val="24"/>
          <w:highlight w:val="none"/>
        </w:rPr>
        <w:t>26</w:t>
      </w:r>
      <w:r>
        <w:rPr>
          <w:rFonts w:hint="eastAsia" w:ascii="Times New Roman" w:hAnsi="Times New Roman" w:cs="Times New Roman"/>
          <w:szCs w:val="24"/>
          <w:highlight w:val="none"/>
        </w:rPr>
        <w:t>, 1369</w:t>
      </w:r>
      <w:r>
        <w:rPr>
          <w:sz w:val="24"/>
          <w:szCs w:val="24"/>
        </w:rPr>
        <w:t>–</w:t>
      </w:r>
      <w:r>
        <w:rPr>
          <w:rFonts w:hint="eastAsia" w:ascii="Times New Roman" w:hAnsi="Times New Roman" w:cs="Times New Roman"/>
          <w:szCs w:val="24"/>
          <w:highlight w:val="none"/>
        </w:rPr>
        <w:t>1375 (1999).</w:t>
      </w:r>
    </w:p>
    <w:p w14:paraId="44C18410">
      <w:pPr>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rFonts w:hint="eastAsia"/>
          <w:highlight w:val="none"/>
          <w:lang w:val="en-US" w:eastAsia="zh-CN"/>
        </w:rPr>
      </w:pPr>
      <w:r>
        <w:rPr>
          <w:rFonts w:hint="eastAsia"/>
          <w:highlight w:val="none"/>
          <w:lang w:val="en-US" w:eastAsia="zh-CN"/>
        </w:rPr>
        <w:t xml:space="preserve">118. Griffith, S. J. </w:t>
      </w:r>
      <w:r>
        <w:rPr>
          <w:rFonts w:hint="eastAsia"/>
          <w:i/>
          <w:iCs/>
          <w:highlight w:val="none"/>
          <w:lang w:val="en-US" w:eastAsia="zh-CN"/>
        </w:rPr>
        <w:t>et al.</w:t>
      </w:r>
      <w:r>
        <w:rPr>
          <w:rFonts w:hint="eastAsia"/>
          <w:highlight w:val="none"/>
          <w:lang w:val="en-US" w:eastAsia="zh-CN"/>
        </w:rPr>
        <w:t xml:space="preserve"> Experimental abrasion of water submerged bone: The influence of bombardment by different sediment classes on microabrasion rate.</w:t>
      </w:r>
      <w:r>
        <w:rPr>
          <w:rFonts w:hint="eastAsia"/>
          <w:i/>
          <w:iCs/>
          <w:highlight w:val="none"/>
          <w:lang w:val="en-US" w:eastAsia="zh-CN"/>
        </w:rPr>
        <w:t xml:space="preserve"> J. Archaeol. Sci. Rep</w:t>
      </w:r>
      <w:r>
        <w:rPr>
          <w:rFonts w:hint="eastAsia"/>
          <w:highlight w:val="none"/>
          <w:lang w:val="en-US" w:eastAsia="zh-CN"/>
        </w:rPr>
        <w:t xml:space="preserve">. </w:t>
      </w:r>
      <w:r>
        <w:rPr>
          <w:rFonts w:hint="eastAsia"/>
          <w:b/>
          <w:bCs/>
          <w:highlight w:val="none"/>
          <w:lang w:val="en-US" w:eastAsia="zh-CN"/>
        </w:rPr>
        <w:t>10</w:t>
      </w:r>
      <w:r>
        <w:rPr>
          <w:rFonts w:hint="eastAsia"/>
          <w:highlight w:val="none"/>
          <w:lang w:val="en-US" w:eastAsia="zh-CN"/>
        </w:rPr>
        <w:t>, 15</w:t>
      </w:r>
      <w:r>
        <w:rPr>
          <w:sz w:val="24"/>
          <w:szCs w:val="24"/>
        </w:rPr>
        <w:t>–</w:t>
      </w:r>
      <w:r>
        <w:rPr>
          <w:rFonts w:hint="eastAsia"/>
          <w:highlight w:val="none"/>
          <w:lang w:val="en-US" w:eastAsia="zh-CN"/>
        </w:rPr>
        <w:t>29 (2016).</w:t>
      </w:r>
    </w:p>
    <w:p w14:paraId="72701668">
      <w:pPr>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rFonts w:hint="eastAsia"/>
          <w:highlight w:val="none"/>
          <w:lang w:val="en-US" w:eastAsia="zh-CN"/>
        </w:rPr>
      </w:pPr>
      <w:r>
        <w:rPr>
          <w:rFonts w:hint="eastAsia"/>
          <w:highlight w:val="none"/>
          <w:lang w:val="en-US" w:eastAsia="zh-CN"/>
        </w:rPr>
        <w:t xml:space="preserve">119. Thompson, C. E. L. </w:t>
      </w:r>
      <w:r>
        <w:rPr>
          <w:rFonts w:hint="eastAsia" w:ascii="Times New Roman" w:hAnsi="Times New Roman" w:cs="Times New Roman"/>
          <w:i/>
          <w:iCs/>
          <w:szCs w:val="24"/>
          <w:highlight w:val="none"/>
        </w:rPr>
        <w:t>et al.</w:t>
      </w:r>
      <w:r>
        <w:rPr>
          <w:rFonts w:hint="eastAsia"/>
          <w:highlight w:val="none"/>
          <w:lang w:val="en-US" w:eastAsia="zh-CN"/>
        </w:rPr>
        <w:t xml:space="preserve"> The abrasion of modern and archaeological bones by mobile sediments: the importance of transport modes. </w:t>
      </w:r>
      <w:r>
        <w:rPr>
          <w:rFonts w:hint="eastAsia"/>
          <w:i/>
          <w:iCs/>
          <w:highlight w:val="none"/>
          <w:lang w:val="en-US" w:eastAsia="zh-CN"/>
        </w:rPr>
        <w:t>J. Archaeol. Sci</w:t>
      </w:r>
      <w:r>
        <w:rPr>
          <w:rFonts w:hint="eastAsia"/>
          <w:highlight w:val="none"/>
          <w:lang w:val="en-US" w:eastAsia="zh-CN"/>
        </w:rPr>
        <w:t xml:space="preserve">. </w:t>
      </w:r>
      <w:r>
        <w:rPr>
          <w:rFonts w:hint="eastAsia"/>
          <w:b/>
          <w:bCs/>
          <w:highlight w:val="none"/>
          <w:lang w:val="en-US" w:eastAsia="zh-CN"/>
        </w:rPr>
        <w:t>38</w:t>
      </w:r>
      <w:r>
        <w:rPr>
          <w:rFonts w:hint="eastAsia"/>
          <w:highlight w:val="none"/>
          <w:lang w:val="en-US" w:eastAsia="zh-CN"/>
        </w:rPr>
        <w:t>, 784</w:t>
      </w:r>
      <w:r>
        <w:rPr>
          <w:sz w:val="24"/>
          <w:szCs w:val="24"/>
        </w:rPr>
        <w:t>–</w:t>
      </w:r>
      <w:r>
        <w:rPr>
          <w:rFonts w:hint="eastAsia"/>
          <w:highlight w:val="none"/>
          <w:lang w:val="en-US" w:eastAsia="zh-CN"/>
        </w:rPr>
        <w:t>793 (2011).</w:t>
      </w:r>
    </w:p>
    <w:p w14:paraId="1F5BA4A8">
      <w:pPr>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rFonts w:hint="eastAsia"/>
          <w:highlight w:val="none"/>
          <w:lang w:val="en-US" w:eastAsia="zh-CN"/>
        </w:rPr>
      </w:pPr>
      <w:r>
        <w:rPr>
          <w:rFonts w:hint="eastAsia"/>
          <w:highlight w:val="none"/>
          <w:lang w:val="en-US" w:eastAsia="zh-CN"/>
        </w:rPr>
        <w:t xml:space="preserve">120. Koby, F. E. Le charriage à sec des ossements dans les cavernes. </w:t>
      </w:r>
      <w:r>
        <w:rPr>
          <w:rFonts w:hint="eastAsia"/>
          <w:i/>
          <w:iCs/>
          <w:highlight w:val="none"/>
          <w:lang w:val="en-US" w:eastAsia="zh-CN"/>
        </w:rPr>
        <w:t>Ecologae Geologicae Helvetiae</w:t>
      </w:r>
      <w:r>
        <w:rPr>
          <w:rFonts w:hint="eastAsia"/>
          <w:highlight w:val="none"/>
          <w:lang w:val="en-US" w:eastAsia="zh-CN"/>
        </w:rPr>
        <w:t xml:space="preserve">. </w:t>
      </w:r>
      <w:r>
        <w:rPr>
          <w:rFonts w:hint="eastAsia"/>
          <w:b/>
          <w:bCs/>
          <w:highlight w:val="none"/>
          <w:lang w:val="en-US" w:eastAsia="zh-CN"/>
        </w:rPr>
        <w:t>34</w:t>
      </w:r>
      <w:r>
        <w:rPr>
          <w:rFonts w:hint="eastAsia"/>
          <w:highlight w:val="none"/>
          <w:lang w:val="en-US" w:eastAsia="zh-CN"/>
        </w:rPr>
        <w:t>, 319 (1938).</w:t>
      </w:r>
    </w:p>
    <w:p w14:paraId="027FDDAB">
      <w:pPr>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rFonts w:hint="eastAsia"/>
          <w:highlight w:val="none"/>
          <w:lang w:val="en-US" w:eastAsia="zh-CN"/>
        </w:rPr>
      </w:pPr>
      <w:r>
        <w:rPr>
          <w:rFonts w:hint="eastAsia"/>
          <w:highlight w:val="none"/>
          <w:lang w:val="en-US" w:eastAsia="zh-CN"/>
        </w:rPr>
        <w:t xml:space="preserve">121. Koby, F. E. Les soi-disant instruments osseux du Paléolithique alpin et le charriage à sec des ours des cavernes. </w:t>
      </w:r>
      <w:r>
        <w:rPr>
          <w:rFonts w:hint="eastAsia"/>
          <w:i/>
          <w:iCs/>
          <w:highlight w:val="none"/>
          <w:lang w:val="en-US" w:eastAsia="zh-CN"/>
        </w:rPr>
        <w:t>Verhandlung Deer Naturforschenden Gesellschaft in Basel.</w:t>
      </w:r>
      <w:r>
        <w:rPr>
          <w:rFonts w:hint="eastAsia"/>
          <w:highlight w:val="none"/>
          <w:lang w:val="en-US" w:eastAsia="zh-CN"/>
        </w:rPr>
        <w:t xml:space="preserve"> </w:t>
      </w:r>
      <w:r>
        <w:rPr>
          <w:rFonts w:hint="eastAsia"/>
          <w:b/>
          <w:bCs/>
          <w:highlight w:val="none"/>
          <w:lang w:val="en-US" w:eastAsia="zh-CN"/>
        </w:rPr>
        <w:t>54</w:t>
      </w:r>
      <w:r>
        <w:rPr>
          <w:rFonts w:hint="eastAsia"/>
          <w:highlight w:val="none"/>
          <w:lang w:val="en-US" w:eastAsia="zh-CN"/>
        </w:rPr>
        <w:t>, 54</w:t>
      </w:r>
      <w:r>
        <w:rPr>
          <w:sz w:val="24"/>
          <w:szCs w:val="24"/>
        </w:rPr>
        <w:t>–</w:t>
      </w:r>
      <w:r>
        <w:rPr>
          <w:rFonts w:hint="eastAsia"/>
          <w:highlight w:val="none"/>
          <w:lang w:val="en-US" w:eastAsia="zh-CN"/>
        </w:rPr>
        <w:t>95 (1943).</w:t>
      </w:r>
    </w:p>
    <w:p w14:paraId="50D30AC7">
      <w:pPr>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rFonts w:hint="eastAsia"/>
          <w:highlight w:val="none"/>
        </w:rPr>
      </w:pPr>
      <w:r>
        <w:rPr>
          <w:rFonts w:hint="eastAsia"/>
          <w:highlight w:val="none"/>
          <w:lang w:val="en-US" w:eastAsia="zh-CN"/>
        </w:rPr>
        <w:t xml:space="preserve">122. </w:t>
      </w:r>
      <w:r>
        <w:rPr>
          <w:rFonts w:hint="eastAsia"/>
          <w:color w:val="auto"/>
          <w:sz w:val="24"/>
          <w:szCs w:val="24"/>
          <w:highlight w:val="none"/>
        </w:rPr>
        <w:t>Binford, L</w:t>
      </w:r>
      <w:r>
        <w:rPr>
          <w:rFonts w:hint="eastAsia"/>
          <w:sz w:val="24"/>
          <w:szCs w:val="24"/>
          <w:highlight w:val="none"/>
          <w:lang w:val="en-US" w:eastAsia="zh-CN"/>
        </w:rPr>
        <w:t>.</w:t>
      </w:r>
      <w:r>
        <w:rPr>
          <w:rFonts w:hint="eastAsia"/>
          <w:color w:val="auto"/>
          <w:sz w:val="24"/>
          <w:szCs w:val="24"/>
          <w:highlight w:val="none"/>
        </w:rPr>
        <w:t xml:space="preserve"> R. </w:t>
      </w:r>
      <w:r>
        <w:rPr>
          <w:rFonts w:hint="eastAsia"/>
          <w:i/>
          <w:iCs/>
          <w:color w:val="auto"/>
          <w:sz w:val="24"/>
          <w:szCs w:val="24"/>
          <w:highlight w:val="none"/>
        </w:rPr>
        <w:t>Bones: Ancient Men and Modern Myths</w:t>
      </w:r>
      <w:r>
        <w:rPr>
          <w:rFonts w:hint="eastAsia"/>
          <w:color w:val="auto"/>
          <w:sz w:val="24"/>
          <w:szCs w:val="24"/>
          <w:highlight w:val="none"/>
        </w:rPr>
        <w:t>. Academic Press</w:t>
      </w:r>
      <w:r>
        <w:rPr>
          <w:rFonts w:hint="eastAsia"/>
          <w:sz w:val="24"/>
          <w:szCs w:val="24"/>
          <w:highlight w:val="none"/>
          <w:lang w:val="en-US" w:eastAsia="zh-CN"/>
        </w:rPr>
        <w:t>, (</w:t>
      </w:r>
      <w:r>
        <w:rPr>
          <w:rFonts w:hint="eastAsia"/>
          <w:color w:val="auto"/>
          <w:sz w:val="24"/>
          <w:szCs w:val="24"/>
          <w:highlight w:val="none"/>
        </w:rPr>
        <w:t>1981</w:t>
      </w:r>
      <w:r>
        <w:rPr>
          <w:rFonts w:hint="eastAsia"/>
          <w:sz w:val="24"/>
          <w:szCs w:val="24"/>
          <w:highlight w:val="none"/>
          <w:lang w:val="en-US" w:eastAsia="zh-CN"/>
        </w:rPr>
        <w:t>)</w:t>
      </w:r>
      <w:r>
        <w:rPr>
          <w:rFonts w:hint="eastAsia"/>
          <w:color w:val="auto"/>
          <w:sz w:val="24"/>
          <w:szCs w:val="24"/>
          <w:highlight w:val="none"/>
        </w:rPr>
        <w:t>.</w:t>
      </w:r>
    </w:p>
    <w:p w14:paraId="1954FDE3">
      <w:pPr>
        <w:keepNext w:val="0"/>
        <w:keepLines w:val="0"/>
        <w:pageBreakBefore w:val="0"/>
        <w:widowControl/>
        <w:kinsoku/>
        <w:wordWrap/>
        <w:overflowPunct/>
        <w:topLinePunct w:val="0"/>
        <w:autoSpaceDE/>
        <w:autoSpaceDN/>
        <w:bidi w:val="0"/>
        <w:adjustRightInd w:val="0"/>
        <w:snapToGrid w:val="0"/>
        <w:spacing w:line="240" w:lineRule="auto"/>
        <w:ind w:left="240" w:hanging="240" w:hangingChars="100"/>
        <w:jc w:val="both"/>
        <w:textAlignment w:val="auto"/>
        <w:rPr>
          <w:rFonts w:hint="eastAsia"/>
          <w:highlight w:val="none"/>
        </w:rPr>
      </w:pPr>
      <w:r>
        <w:rPr>
          <w:rFonts w:hint="eastAsia"/>
          <w:sz w:val="24"/>
          <w:szCs w:val="24"/>
          <w:highlight w:val="none"/>
          <w:lang w:val="en-US" w:eastAsia="zh-CN"/>
        </w:rPr>
        <w:t xml:space="preserve">123. </w:t>
      </w:r>
      <w:r>
        <w:rPr>
          <w:rFonts w:hint="eastAsia"/>
          <w:color w:val="auto"/>
          <w:sz w:val="24"/>
          <w:szCs w:val="24"/>
          <w:highlight w:val="none"/>
        </w:rPr>
        <w:t>Nilssen, P</w:t>
      </w:r>
      <w:r>
        <w:rPr>
          <w:rFonts w:hint="eastAsia"/>
          <w:sz w:val="24"/>
          <w:szCs w:val="24"/>
          <w:highlight w:val="none"/>
          <w:lang w:val="en-US" w:eastAsia="zh-CN"/>
        </w:rPr>
        <w:t xml:space="preserve">. </w:t>
      </w:r>
      <w:r>
        <w:rPr>
          <w:rFonts w:hint="eastAsia"/>
          <w:color w:val="auto"/>
          <w:sz w:val="24"/>
          <w:szCs w:val="24"/>
          <w:highlight w:val="none"/>
        </w:rPr>
        <w:t xml:space="preserve">J. </w:t>
      </w:r>
      <w:r>
        <w:rPr>
          <w:rFonts w:hint="eastAsia"/>
          <w:i/>
          <w:iCs/>
          <w:color w:val="auto"/>
          <w:sz w:val="24"/>
          <w:szCs w:val="24"/>
          <w:highlight w:val="none"/>
        </w:rPr>
        <w:t>An Actualistic Butchery Study in South Africa and Its Implications for Reconstructing Hominid Strategies of Carcass Acquisition and Butchery in the Upper Pleistocene and Plio-Pleistocene</w:t>
      </w:r>
      <w:r>
        <w:rPr>
          <w:rFonts w:hint="eastAsia"/>
          <w:color w:val="auto"/>
          <w:sz w:val="24"/>
          <w:szCs w:val="24"/>
          <w:highlight w:val="none"/>
        </w:rPr>
        <w:t xml:space="preserve">. PhD thesis, University of Cape Town, </w:t>
      </w:r>
      <w:r>
        <w:rPr>
          <w:rFonts w:hint="eastAsia"/>
          <w:sz w:val="24"/>
          <w:szCs w:val="24"/>
          <w:highlight w:val="none"/>
          <w:lang w:val="en-US" w:eastAsia="zh-CN"/>
        </w:rPr>
        <w:t>(</w:t>
      </w:r>
      <w:r>
        <w:rPr>
          <w:rFonts w:hint="eastAsia"/>
          <w:color w:val="auto"/>
          <w:sz w:val="24"/>
          <w:szCs w:val="24"/>
          <w:highlight w:val="none"/>
        </w:rPr>
        <w:t>2000</w:t>
      </w:r>
      <w:r>
        <w:rPr>
          <w:rFonts w:hint="eastAsia"/>
          <w:sz w:val="24"/>
          <w:szCs w:val="24"/>
          <w:highlight w:val="none"/>
          <w:lang w:val="en-US" w:eastAsia="zh-CN"/>
        </w:rPr>
        <w:t>)</w:t>
      </w:r>
      <w:r>
        <w:rPr>
          <w:rFonts w:hint="eastAsia"/>
          <w:color w:val="auto"/>
          <w:sz w:val="24"/>
          <w:szCs w:val="24"/>
          <w:highlight w:val="none"/>
        </w:rPr>
        <w:t>.</w:t>
      </w:r>
    </w:p>
    <w:p w14:paraId="5FF66E2B">
      <w:pPr>
        <w:keepNext w:val="0"/>
        <w:keepLines w:val="0"/>
        <w:pageBreakBefore w:val="0"/>
        <w:widowControl/>
        <w:kinsoku/>
        <w:wordWrap/>
        <w:overflowPunct/>
        <w:topLinePunct w:val="0"/>
        <w:autoSpaceDE/>
        <w:autoSpaceDN/>
        <w:bidi w:val="0"/>
        <w:adjustRightInd w:val="0"/>
        <w:snapToGrid w:val="0"/>
        <w:spacing w:after="60" w:line="240" w:lineRule="auto"/>
        <w:ind w:left="0" w:firstLine="0" w:firstLineChars="0"/>
        <w:jc w:val="both"/>
        <w:textAlignment w:val="auto"/>
        <w:rPr>
          <w:rFonts w:hint="eastAsia" w:ascii="Times New Roman" w:hAnsi="Times New Roman" w:eastAsia="宋体" w:cs="Times New Roman"/>
          <w:kern w:val="0"/>
          <w:sz w:val="24"/>
          <w:szCs w:val="24"/>
          <w:highlight w:val="none"/>
          <w:lang w:val="en-US" w:eastAsia="zh-CN" w:bidi="ar-SA"/>
        </w:rPr>
      </w:pPr>
    </w:p>
    <w:p w14:paraId="1F6301D9"/>
    <w:p w14:paraId="4045994F">
      <w:pPr>
        <w:pStyle w:val="51"/>
        <w:adjustRightInd w:val="0"/>
        <w:snapToGrid w:val="0"/>
        <w:spacing w:after="0" w:line="360" w:lineRule="auto"/>
        <w:ind w:firstLine="0"/>
        <w:rPr>
          <w:rFonts w:ascii="Times New Roman" w:hAnsi="Times New Roman" w:cs="Times New Roman"/>
          <w:b/>
          <w:bCs/>
          <w:sz w:val="28"/>
          <w:szCs w:val="28"/>
        </w:rPr>
      </w:pPr>
    </w:p>
    <w:p w14:paraId="59670FE7">
      <w:pPr>
        <w:pStyle w:val="51"/>
        <w:adjustRightInd w:val="0"/>
        <w:snapToGrid w:val="0"/>
        <w:spacing w:after="0" w:line="360" w:lineRule="auto"/>
        <w:ind w:firstLine="0"/>
        <w:rPr>
          <w:rFonts w:ascii="Times New Roman" w:hAnsi="Times New Roman" w:cs="Times New Roman"/>
          <w:b/>
          <w:bCs/>
          <w:sz w:val="28"/>
          <w:szCs w:val="28"/>
        </w:rPr>
      </w:pPr>
    </w:p>
    <w:p w14:paraId="654D7369">
      <w:pPr>
        <w:pStyle w:val="51"/>
        <w:adjustRightInd w:val="0"/>
        <w:snapToGrid w:val="0"/>
        <w:spacing w:after="0" w:line="360" w:lineRule="auto"/>
        <w:ind w:firstLine="0"/>
        <w:rPr>
          <w:rFonts w:ascii="Times New Roman" w:hAnsi="Times New Roman" w:cs="Times New Roman"/>
          <w:b/>
          <w:bCs/>
          <w:sz w:val="28"/>
          <w:szCs w:val="28"/>
        </w:rPr>
      </w:pPr>
    </w:p>
    <w:p w14:paraId="04428ACF">
      <w:pPr>
        <w:pStyle w:val="51"/>
        <w:adjustRightInd w:val="0"/>
        <w:snapToGrid w:val="0"/>
        <w:spacing w:after="0" w:line="360" w:lineRule="auto"/>
        <w:ind w:firstLine="0"/>
        <w:rPr>
          <w:rFonts w:ascii="Times New Roman" w:hAnsi="Times New Roman" w:cs="Times New Roman"/>
          <w:b/>
          <w:bCs/>
          <w:sz w:val="28"/>
          <w:szCs w:val="28"/>
        </w:rPr>
      </w:pPr>
    </w:p>
    <w:p w14:paraId="7BF54B8F">
      <w:pPr>
        <w:pStyle w:val="51"/>
        <w:adjustRightInd w:val="0"/>
        <w:snapToGrid w:val="0"/>
        <w:spacing w:after="0" w:line="360" w:lineRule="auto"/>
        <w:ind w:firstLine="0"/>
        <w:rPr>
          <w:rFonts w:ascii="Times New Roman" w:hAnsi="Times New Roman" w:cs="Times New Roman"/>
          <w:b/>
          <w:bCs/>
          <w:sz w:val="28"/>
          <w:szCs w:val="28"/>
        </w:rPr>
      </w:pPr>
    </w:p>
    <w:p w14:paraId="0FAF2587">
      <w:pPr>
        <w:pStyle w:val="51"/>
        <w:adjustRightInd w:val="0"/>
        <w:snapToGrid w:val="0"/>
        <w:spacing w:after="0" w:line="360" w:lineRule="auto"/>
        <w:ind w:firstLine="0"/>
        <w:rPr>
          <w:rFonts w:ascii="Times New Roman" w:hAnsi="Times New Roman" w:cs="Times New Roman"/>
          <w:b/>
          <w:bCs/>
          <w:sz w:val="28"/>
          <w:szCs w:val="28"/>
        </w:rPr>
      </w:pPr>
    </w:p>
    <w:p w14:paraId="5BB135B0">
      <w:pPr>
        <w:pStyle w:val="51"/>
        <w:adjustRightInd w:val="0"/>
        <w:snapToGrid w:val="0"/>
        <w:spacing w:after="0" w:line="360" w:lineRule="auto"/>
        <w:ind w:firstLine="0"/>
        <w:rPr>
          <w:rFonts w:ascii="Times New Roman" w:hAnsi="Times New Roman" w:cs="Times New Roman"/>
          <w:b/>
          <w:bCs/>
          <w:sz w:val="28"/>
          <w:szCs w:val="28"/>
        </w:rPr>
      </w:pPr>
    </w:p>
    <w:p w14:paraId="10CC1B80">
      <w:pPr>
        <w:pStyle w:val="51"/>
        <w:adjustRightInd w:val="0"/>
        <w:snapToGrid w:val="0"/>
        <w:spacing w:after="0" w:line="360" w:lineRule="auto"/>
        <w:ind w:firstLine="0"/>
        <w:rPr>
          <w:rFonts w:ascii="Times New Roman" w:hAnsi="Times New Roman" w:cs="Times New Roman"/>
          <w:b/>
          <w:bCs/>
          <w:sz w:val="28"/>
          <w:szCs w:val="28"/>
        </w:rPr>
      </w:pPr>
    </w:p>
    <w:p w14:paraId="380B3115">
      <w:pPr>
        <w:pStyle w:val="51"/>
        <w:adjustRightInd w:val="0"/>
        <w:snapToGrid w:val="0"/>
        <w:spacing w:after="0" w:line="360" w:lineRule="auto"/>
        <w:ind w:firstLine="0"/>
        <w:rPr>
          <w:rFonts w:ascii="Times New Roman" w:hAnsi="Times New Roman" w:cs="Times New Roman"/>
          <w:b/>
          <w:bCs/>
          <w:sz w:val="28"/>
          <w:szCs w:val="28"/>
        </w:rPr>
      </w:pPr>
    </w:p>
    <w:p w14:paraId="247668F5">
      <w:pPr>
        <w:pStyle w:val="51"/>
        <w:adjustRightInd w:val="0"/>
        <w:snapToGrid w:val="0"/>
        <w:spacing w:after="0" w:line="360" w:lineRule="auto"/>
        <w:ind w:firstLine="0"/>
        <w:rPr>
          <w:rFonts w:ascii="Times New Roman" w:hAnsi="Times New Roman" w:cs="Times New Roman"/>
          <w:b/>
          <w:bCs/>
          <w:sz w:val="28"/>
          <w:szCs w:val="28"/>
        </w:rPr>
      </w:pPr>
    </w:p>
    <w:p w14:paraId="2C091D6E">
      <w:pPr>
        <w:pStyle w:val="51"/>
        <w:adjustRightInd w:val="0"/>
        <w:snapToGrid w:val="0"/>
        <w:spacing w:after="0" w:line="360" w:lineRule="auto"/>
        <w:ind w:firstLine="0"/>
        <w:rPr>
          <w:rFonts w:ascii="Times New Roman" w:hAnsi="Times New Roman" w:cs="Times New Roman"/>
          <w:b/>
          <w:bCs/>
          <w:sz w:val="28"/>
          <w:szCs w:val="28"/>
        </w:rPr>
      </w:pPr>
    </w:p>
    <w:p w14:paraId="33C6693D">
      <w:pPr>
        <w:pStyle w:val="51"/>
        <w:adjustRightInd w:val="0"/>
        <w:snapToGrid w:val="0"/>
        <w:spacing w:after="0" w:line="360" w:lineRule="auto"/>
        <w:ind w:firstLine="0"/>
        <w:rPr>
          <w:rFonts w:ascii="Times New Roman" w:hAnsi="Times New Roman" w:cs="Times New Roman"/>
          <w:b/>
          <w:bCs/>
          <w:sz w:val="28"/>
          <w:szCs w:val="28"/>
        </w:rPr>
      </w:pPr>
    </w:p>
    <w:p w14:paraId="527108CB">
      <w:pPr>
        <w:pStyle w:val="51"/>
        <w:adjustRightInd w:val="0"/>
        <w:snapToGrid w:val="0"/>
        <w:spacing w:after="0" w:line="360" w:lineRule="auto"/>
        <w:ind w:firstLine="0"/>
        <w:rPr>
          <w:rFonts w:ascii="Times New Roman" w:hAnsi="Times New Roman" w:cs="Times New Roman"/>
          <w:b/>
          <w:bCs/>
          <w:sz w:val="28"/>
          <w:szCs w:val="28"/>
        </w:rPr>
      </w:pPr>
    </w:p>
    <w:p w14:paraId="46193B69">
      <w:pPr>
        <w:pStyle w:val="51"/>
        <w:keepNext w:val="0"/>
        <w:keepLines w:val="0"/>
        <w:pageBreakBefore w:val="0"/>
        <w:widowControl/>
        <w:kinsoku/>
        <w:wordWrap/>
        <w:overflowPunct/>
        <w:topLinePunct w:val="0"/>
        <w:autoSpaceDE/>
        <w:autoSpaceDN/>
        <w:bidi w:val="0"/>
        <w:adjustRightInd w:val="0"/>
        <w:snapToGrid w:val="0"/>
        <w:spacing w:after="0" w:line="360" w:lineRule="auto"/>
        <w:ind w:firstLine="0"/>
        <w:textAlignment w:val="auto"/>
        <w:rPr>
          <w:rFonts w:ascii="Times New Roman" w:hAnsi="Times New Roman" w:cs="Times New Roman"/>
          <w:b/>
          <w:bCs/>
          <w:sz w:val="28"/>
          <w:szCs w:val="28"/>
        </w:rPr>
      </w:pPr>
      <w:r>
        <w:rPr>
          <w:rFonts w:hint="eastAsia" w:ascii="Times New Roman" w:hAnsi="Times New Roman" w:cs="Times New Roman"/>
          <w:b/>
          <w:bCs/>
          <w:sz w:val="28"/>
          <w:szCs w:val="28"/>
          <w:lang w:eastAsia="zh-CN"/>
        </w:rPr>
        <w:t>Supplementary Fig</w:t>
      </w:r>
      <w:r>
        <w:rPr>
          <w:rFonts w:hint="eastAsia" w:ascii="Times New Roman" w:hAnsi="Times New Roman" w:cs="Times New Roman"/>
          <w:b/>
          <w:bCs/>
          <w:sz w:val="28"/>
          <w:szCs w:val="28"/>
          <w:lang w:val="en-US" w:eastAsia="zh-CN"/>
        </w:rPr>
        <w:t>ure</w:t>
      </w:r>
      <w:r>
        <w:rPr>
          <w:rFonts w:ascii="Times New Roman" w:hAnsi="Times New Roman" w:cs="Times New Roman"/>
          <w:b/>
          <w:bCs/>
          <w:sz w:val="28"/>
          <w:szCs w:val="28"/>
        </w:rPr>
        <w:t>s</w:t>
      </w:r>
    </w:p>
    <w:p w14:paraId="55FDC2B1">
      <w:pPr>
        <w:ind w:left="0" w:leftChars="0" w:firstLine="0" w:firstLineChars="0"/>
        <w:jc w:val="center"/>
        <w:rPr>
          <w:rStyle w:val="31"/>
          <w:rFonts w:hint="eastAsia" w:eastAsia="宋体"/>
          <w:b/>
          <w:bCs/>
          <w:i/>
          <w:iCs/>
          <w:sz w:val="24"/>
          <w:szCs w:val="24"/>
          <w:lang w:eastAsia="zh-CN"/>
        </w:rPr>
      </w:pPr>
      <w:r>
        <w:rPr>
          <w:rStyle w:val="31"/>
          <w:rFonts w:hint="eastAsia" w:eastAsia="宋体"/>
          <w:b/>
          <w:bCs/>
          <w:i/>
          <w:iCs/>
          <w:sz w:val="24"/>
          <w:szCs w:val="24"/>
          <w:lang w:eastAsia="zh-CN"/>
        </w:rPr>
        <w:drawing>
          <wp:inline distT="0" distB="0" distL="114300" distR="114300">
            <wp:extent cx="5187950" cy="4522470"/>
            <wp:effectExtent l="0" t="0" r="0" b="1905"/>
            <wp:docPr id="10" name="图片 10" descr="Supplementary figure 2-2026-0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Supplementary figure 2-2026-0802"/>
                    <pic:cNvPicPr>
                      <a:picLocks noChangeAspect="1"/>
                    </pic:cNvPicPr>
                  </pic:nvPicPr>
                  <pic:blipFill>
                    <a:blip r:embed="rId17"/>
                    <a:srcRect t="1355"/>
                    <a:stretch>
                      <a:fillRect/>
                    </a:stretch>
                  </pic:blipFill>
                  <pic:spPr>
                    <a:xfrm>
                      <a:off x="0" y="0"/>
                      <a:ext cx="5187950" cy="4522470"/>
                    </a:xfrm>
                    <a:prstGeom prst="rect">
                      <a:avLst/>
                    </a:prstGeom>
                  </pic:spPr>
                </pic:pic>
              </a:graphicData>
            </a:graphic>
          </wp:inline>
        </w:drawing>
      </w:r>
    </w:p>
    <w:p w14:paraId="0322E5FC">
      <w:pPr>
        <w:pStyle w:val="7"/>
        <w:jc w:val="both"/>
      </w:pPr>
      <w:bookmarkStart w:id="11" w:name="_Ref208053139"/>
      <w:r>
        <w:rPr>
          <w:rFonts w:hint="eastAsia"/>
          <w:b/>
          <w:bCs w:val="0"/>
          <w:lang w:eastAsia="zh-CN"/>
        </w:rPr>
        <w:t>Supplementary Fig.</w:t>
      </w:r>
      <w:r>
        <w:rPr>
          <w:b/>
          <w:bCs w:val="0"/>
        </w:rPr>
        <w:t xml:space="preserve"> </w:t>
      </w:r>
      <w:bookmarkEnd w:id="11"/>
      <w:r>
        <w:rPr>
          <w:rFonts w:hint="eastAsia"/>
          <w:b/>
          <w:bCs w:val="0"/>
          <w:lang w:val="en-US" w:eastAsia="zh-CN"/>
        </w:rPr>
        <w:t>1</w:t>
      </w:r>
      <w:r>
        <w:t xml:space="preserve"> | Modelled gamma dose rate gradient for the sediment profile where the OSL samples were collected. The blue line is the mean gamma dose rate and the grey band shows 95% confidence interval. </w:t>
      </w:r>
    </w:p>
    <w:p w14:paraId="6CDD9450">
      <w:pPr>
        <w:ind w:firstLine="0"/>
        <w:jc w:val="both"/>
      </w:pPr>
    </w:p>
    <w:p w14:paraId="0B8FC1DF">
      <w:pPr>
        <w:ind w:firstLine="0"/>
      </w:pPr>
      <w:r>
        <w:rPr>
          <w:sz w:val="16"/>
          <w:szCs w:val="16"/>
        </w:rPr>
        <w:drawing>
          <wp:inline distT="0" distB="0" distL="0" distR="0">
            <wp:extent cx="5332095" cy="4291330"/>
            <wp:effectExtent l="0" t="0" r="0" b="0"/>
            <wp:docPr id="1758090793" name="Picture 1" descr="A collage of graphs and diagr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090793" name="Picture 1" descr="A collage of graphs and diagrams&#10;&#10;AI-generated content may be incorrect."/>
                    <pic:cNvPicPr>
                      <a:picLocks noChangeAspect="1"/>
                    </pic:cNvPicPr>
                  </pic:nvPicPr>
                  <pic:blipFill>
                    <a:blip r:embed="rId18"/>
                    <a:srcRect t="1930"/>
                    <a:stretch>
                      <a:fillRect/>
                    </a:stretch>
                  </pic:blipFill>
                  <pic:spPr>
                    <a:xfrm>
                      <a:off x="0" y="0"/>
                      <a:ext cx="5338284" cy="4291330"/>
                    </a:xfrm>
                    <a:prstGeom prst="rect">
                      <a:avLst/>
                    </a:prstGeom>
                  </pic:spPr>
                </pic:pic>
              </a:graphicData>
            </a:graphic>
          </wp:inline>
        </w:drawing>
      </w:r>
    </w:p>
    <w:p w14:paraId="250D3558">
      <w:pPr>
        <w:pStyle w:val="7"/>
        <w:jc w:val="both"/>
      </w:pPr>
      <w:r>
        <w:rPr>
          <w:rFonts w:hint="eastAsia"/>
          <w:b/>
          <w:bCs w:val="0"/>
          <w:lang w:eastAsia="zh-CN"/>
        </w:rPr>
        <w:t>Supplementary Fig.</w:t>
      </w:r>
      <w:r>
        <w:rPr>
          <w:b/>
          <w:bCs w:val="0"/>
        </w:rPr>
        <w:t xml:space="preserve"> </w:t>
      </w:r>
      <w:r>
        <w:rPr>
          <w:rFonts w:hint="eastAsia"/>
          <w:b/>
          <w:bCs w:val="0"/>
          <w:lang w:val="en-US" w:eastAsia="zh-CN"/>
        </w:rPr>
        <w:t>2</w:t>
      </w:r>
      <w:r>
        <w:t xml:space="preserve"> | Quartz OSL characteristics and dose recovery results. </w:t>
      </w:r>
      <w:r>
        <w:rPr>
          <w:b/>
          <w:bCs w:val="0"/>
          <w:iCs/>
        </w:rPr>
        <w:t>a–c</w:t>
      </w:r>
      <w:r>
        <w:rPr>
          <w:iCs/>
        </w:rPr>
        <w:t>, Typical OSL decay curves of 5 grains from samples BFD-OSL2, -OSL7 and -OSL10, respectively. The insets show the accumulative light sum of the T</w:t>
      </w:r>
      <w:r>
        <w:rPr>
          <w:iCs/>
          <w:vertAlign w:val="subscript"/>
        </w:rPr>
        <w:t>n</w:t>
      </w:r>
      <w:r>
        <w:rPr>
          <w:iCs/>
        </w:rPr>
        <w:t xml:space="preserve"> intensities for all the grains for each sample. </w:t>
      </w:r>
      <w:r>
        <w:rPr>
          <w:b/>
          <w:bCs w:val="0"/>
          <w:iCs/>
        </w:rPr>
        <w:t>d</w:t>
      </w:r>
      <w:r>
        <w:t>,</w:t>
      </w:r>
      <w:r>
        <w:rPr>
          <w:iCs/>
        </w:rPr>
        <w:t xml:space="preserve"> Signal recovery ratios obtained at different preheat temperatures.</w:t>
      </w:r>
    </w:p>
    <w:p w14:paraId="06C446B1">
      <w:pPr>
        <w:ind w:firstLine="0"/>
      </w:pPr>
      <w:r>
        <w:br w:type="column"/>
      </w:r>
      <w:r>
        <w:drawing>
          <wp:inline distT="0" distB="0" distL="0" distR="0">
            <wp:extent cx="5387340" cy="6285230"/>
            <wp:effectExtent l="0" t="0" r="3810" b="1270"/>
            <wp:docPr id="1988973459" name="Picture 2" descr="A collage of graphs and diagr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973459" name="Picture 2" descr="A collage of graphs and diagrams&#10;&#10;AI-generated content may be incorrect."/>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88824" cy="6287160"/>
                    </a:xfrm>
                    <a:prstGeom prst="rect">
                      <a:avLst/>
                    </a:prstGeom>
                  </pic:spPr>
                </pic:pic>
              </a:graphicData>
            </a:graphic>
          </wp:inline>
        </w:drawing>
      </w:r>
    </w:p>
    <w:p w14:paraId="32D89FFC">
      <w:pPr>
        <w:pStyle w:val="7"/>
        <w:jc w:val="both"/>
      </w:pPr>
      <w:bookmarkStart w:id="12" w:name="_Ref208217883"/>
      <w:r>
        <w:rPr>
          <w:rFonts w:hint="eastAsia"/>
          <w:b/>
          <w:bCs w:val="0"/>
          <w:lang w:eastAsia="zh-CN"/>
        </w:rPr>
        <w:t>Supplementary Fig.</w:t>
      </w:r>
      <w:r>
        <w:rPr>
          <w:b/>
          <w:bCs w:val="0"/>
        </w:rPr>
        <w:t xml:space="preserve"> </w:t>
      </w:r>
      <w:bookmarkEnd w:id="12"/>
      <w:r>
        <w:rPr>
          <w:rFonts w:hint="eastAsia"/>
          <w:b/>
          <w:bCs w:val="0"/>
          <w:lang w:val="en-US" w:eastAsia="zh-CN"/>
        </w:rPr>
        <w:t>3</w:t>
      </w:r>
      <w:r>
        <w:t xml:space="preserve"> | SAR D</w:t>
      </w:r>
      <w:r>
        <w:rPr>
          <w:vertAlign w:val="subscript"/>
        </w:rPr>
        <w:t>e</w:t>
      </w:r>
      <w:r>
        <w:t xml:space="preserve"> distribution of the accepted grains of different samples. Note that zero or negative values cannot be shown in the plots due to the logarithm scale in D</w:t>
      </w:r>
      <w:r>
        <w:rPr>
          <w:vertAlign w:val="subscript"/>
        </w:rPr>
        <w:t>e</w:t>
      </w:r>
      <w:r>
        <w:t xml:space="preserve">, so the number shown in the plot does not necessarily reflect the true number of accepted grains. </w:t>
      </w:r>
    </w:p>
    <w:p w14:paraId="3B7E5C6A"/>
    <w:p w14:paraId="79AC2E7D">
      <w:pPr>
        <w:ind w:firstLine="0"/>
      </w:pPr>
      <w:r>
        <w:br w:type="column"/>
      </w:r>
      <w:r>
        <w:drawing>
          <wp:inline distT="0" distB="0" distL="0" distR="0">
            <wp:extent cx="5634990" cy="5530850"/>
            <wp:effectExtent l="0" t="0" r="3810" b="0"/>
            <wp:docPr id="1448062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06283" name="Picture 2"/>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39429" cy="5534972"/>
                    </a:xfrm>
                    <a:prstGeom prst="rect">
                      <a:avLst/>
                    </a:prstGeom>
                  </pic:spPr>
                </pic:pic>
              </a:graphicData>
            </a:graphic>
          </wp:inline>
        </w:drawing>
      </w:r>
    </w:p>
    <w:p w14:paraId="5D806566">
      <w:pPr>
        <w:pStyle w:val="7"/>
        <w:jc w:val="both"/>
      </w:pPr>
      <w:bookmarkStart w:id="13" w:name="_Ref208218383"/>
      <w:r>
        <w:rPr>
          <w:rFonts w:hint="eastAsia"/>
          <w:b/>
          <w:bCs w:val="0"/>
          <w:lang w:eastAsia="zh-CN"/>
        </w:rPr>
        <w:t>Supplementary Fig.</w:t>
      </w:r>
      <w:r>
        <w:rPr>
          <w:b/>
          <w:bCs w:val="0"/>
        </w:rPr>
        <w:t xml:space="preserve"> </w:t>
      </w:r>
      <w:bookmarkEnd w:id="13"/>
      <w:r>
        <w:rPr>
          <w:rFonts w:hint="eastAsia"/>
          <w:b/>
          <w:bCs w:val="0"/>
          <w:lang w:val="en-US" w:eastAsia="zh-CN"/>
        </w:rPr>
        <w:t>4</w:t>
      </w:r>
      <w:r>
        <w:t xml:space="preserve"> | Single-grain L</w:t>
      </w:r>
      <w:r>
        <w:rPr>
          <w:vertAlign w:val="subscript"/>
        </w:rPr>
        <w:t>n</w:t>
      </w:r>
      <w:r>
        <w:t>/T</w:t>
      </w:r>
      <w:r>
        <w:rPr>
          <w:vertAlign w:val="subscript"/>
        </w:rPr>
        <w:t>n</w:t>
      </w:r>
      <w:r>
        <w:t xml:space="preserve"> distributions and BHAM results for sample BFD-OSL2. </w:t>
      </w:r>
      <w:r>
        <w:rPr>
          <w:b/>
          <w:bCs w:val="0"/>
        </w:rPr>
        <w:t>a</w:t>
      </w:r>
      <w:r>
        <w:t>, LS-normalised L</w:t>
      </w:r>
      <w:r>
        <w:rPr>
          <w:vertAlign w:val="subscript"/>
        </w:rPr>
        <w:t>x</w:t>
      </w:r>
      <w:r>
        <w:t>/T</w:t>
      </w:r>
      <w:r>
        <w:rPr>
          <w:vertAlign w:val="subscript"/>
        </w:rPr>
        <w:t>x</w:t>
      </w:r>
      <w:r>
        <w:t xml:space="preserve"> values and best-fit SGCs (solid lines) for each group. </w:t>
      </w:r>
      <w:r>
        <w:rPr>
          <w:b/>
          <w:bCs w:val="0"/>
        </w:rPr>
        <w:t>b</w:t>
      </w:r>
      <w:r>
        <w:t>, Comparison of the SAR and SGC D</w:t>
      </w:r>
      <w:r>
        <w:rPr>
          <w:vertAlign w:val="subscript"/>
        </w:rPr>
        <w:t>e</w:t>
      </w:r>
      <w:r>
        <w:t xml:space="preserve"> values. </w:t>
      </w:r>
      <w:r>
        <w:rPr>
          <w:b/>
          <w:bCs w:val="0"/>
        </w:rPr>
        <w:t>c</w:t>
      </w:r>
      <w:r>
        <w:t>, Distribution of the ratios between SAR and SGC D</w:t>
      </w:r>
      <w:r>
        <w:rPr>
          <w:vertAlign w:val="subscript"/>
        </w:rPr>
        <w:t>e</w:t>
      </w:r>
      <w:r>
        <w:t xml:space="preserve"> values. </w:t>
      </w:r>
      <w:r>
        <w:rPr>
          <w:b/>
          <w:bCs w:val="0"/>
        </w:rPr>
        <w:t>d</w:t>
      </w:r>
      <w:r>
        <w:t>, traceplot showing the MCMC samples of D</w:t>
      </w:r>
      <w:r>
        <w:rPr>
          <w:vertAlign w:val="subscript"/>
        </w:rPr>
        <w:t xml:space="preserve">e </w:t>
      </w:r>
      <w:r>
        <w:t xml:space="preserve">values from BHAM analysis. Three parallel chains are shown in different colours. </w:t>
      </w:r>
      <w:r>
        <w:rPr>
          <w:b/>
          <w:bCs w:val="0"/>
        </w:rPr>
        <w:t>e</w:t>
      </w:r>
      <w:r>
        <w:t>, Density distribution of the MCMC samples of D</w:t>
      </w:r>
      <w:r>
        <w:rPr>
          <w:vertAlign w:val="subscript"/>
        </w:rPr>
        <w:t xml:space="preserve">e </w:t>
      </w:r>
      <w:r>
        <w:t xml:space="preserve">values from BHAM analysis. </w:t>
      </w:r>
      <w:r>
        <w:rPr>
          <w:b/>
          <w:bCs w:val="0"/>
        </w:rPr>
        <w:t>f–j</w:t>
      </w:r>
      <w:r>
        <w:t>, Distributions of LS-normalised L</w:t>
      </w:r>
      <w:r>
        <w:rPr>
          <w:vertAlign w:val="subscript"/>
        </w:rPr>
        <w:t>n</w:t>
      </w:r>
      <w:r>
        <w:t>/T</w:t>
      </w:r>
      <w:r>
        <w:rPr>
          <w:vertAlign w:val="subscript"/>
        </w:rPr>
        <w:t>n</w:t>
      </w:r>
      <w:r>
        <w:t xml:space="preserve"> for each group. The colour represents the corresponding posterior outlier probabilities for individual grains estimated using the BHAM. The blue dashed lines represent the 95% HPD intervals for the BHAM L</w:t>
      </w:r>
      <w:r>
        <w:rPr>
          <w:vertAlign w:val="subscript"/>
        </w:rPr>
        <w:t>n</w:t>
      </w:r>
      <w:r>
        <w:t>/T</w:t>
      </w:r>
      <w:r>
        <w:rPr>
          <w:vertAlign w:val="subscript"/>
        </w:rPr>
        <w:t>n</w:t>
      </w:r>
      <w:r>
        <w:t xml:space="preserve"> estimate for each group, and the full line represents the 50% quantile of the posterior probability of the L</w:t>
      </w:r>
      <w:r>
        <w:rPr>
          <w:vertAlign w:val="subscript"/>
        </w:rPr>
        <w:t>n</w:t>
      </w:r>
      <w:r>
        <w:t>/T</w:t>
      </w:r>
      <w:r>
        <w:rPr>
          <w:vertAlign w:val="subscript"/>
        </w:rPr>
        <w:t>n</w:t>
      </w:r>
      <w:r>
        <w:t xml:space="preserve"> estimate. </w:t>
      </w:r>
      <w:r>
        <w:rPr>
          <w:lang w:val="en-AU"/>
        </w:rPr>
        <w:t>The data points are colour-coded based on their mean outlier probabilities. Grains with negligible outlier probability (&lt;5%) are shown in blue and those have extremely high outlier probability (&gt;95%) are shown in red.</w:t>
      </w:r>
    </w:p>
    <w:p w14:paraId="21BEDACA">
      <w:pPr>
        <w:ind w:firstLine="0"/>
      </w:pPr>
      <w:r>
        <w:drawing>
          <wp:inline distT="0" distB="0" distL="0" distR="0">
            <wp:extent cx="5603240" cy="6018530"/>
            <wp:effectExtent l="0" t="0" r="0" b="1270"/>
            <wp:docPr id="8780320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032055" name="Picture 3"/>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07767" cy="6023249"/>
                    </a:xfrm>
                    <a:prstGeom prst="rect">
                      <a:avLst/>
                    </a:prstGeom>
                  </pic:spPr>
                </pic:pic>
              </a:graphicData>
            </a:graphic>
          </wp:inline>
        </w:drawing>
      </w:r>
      <w:bookmarkStart w:id="14" w:name="_Ref202796161"/>
    </w:p>
    <w:bookmarkEnd w:id="14"/>
    <w:p w14:paraId="31DC3DF7">
      <w:pPr>
        <w:pStyle w:val="7"/>
        <w:jc w:val="both"/>
      </w:pPr>
      <w:r>
        <w:rPr>
          <w:rFonts w:hint="eastAsia"/>
          <w:b/>
          <w:bCs w:val="0"/>
          <w:lang w:eastAsia="zh-CN"/>
        </w:rPr>
        <w:t>Supplementary Fig.</w:t>
      </w:r>
      <w:r>
        <w:rPr>
          <w:b/>
          <w:bCs w:val="0"/>
        </w:rPr>
        <w:t xml:space="preserve"> </w:t>
      </w:r>
      <w:r>
        <w:rPr>
          <w:rFonts w:hint="eastAsia"/>
          <w:b/>
          <w:bCs w:val="0"/>
          <w:lang w:val="en-US" w:eastAsia="zh-CN"/>
        </w:rPr>
        <w:t>5</w:t>
      </w:r>
      <w:r>
        <w:t xml:space="preserve"> | Quartz OSL SGC results and L</w:t>
      </w:r>
      <w:r>
        <w:rPr>
          <w:vertAlign w:val="subscript"/>
        </w:rPr>
        <w:t>n</w:t>
      </w:r>
      <w:r>
        <w:t>/T</w:t>
      </w:r>
      <w:r>
        <w:rPr>
          <w:vertAlign w:val="subscript"/>
        </w:rPr>
        <w:t>n</w:t>
      </w:r>
      <w:r>
        <w:t xml:space="preserve"> distributions for BFD-OSL3. See caption for </w:t>
      </w:r>
      <w:r>
        <w:fldChar w:fldCharType="begin"/>
      </w:r>
      <w:r>
        <w:instrText xml:space="preserve"> REF _Ref208218383 \h </w:instrText>
      </w:r>
      <w:r>
        <w:fldChar w:fldCharType="separate"/>
      </w:r>
      <w:r>
        <w:rPr>
          <w:rFonts w:hint="eastAsia"/>
          <w:lang w:eastAsia="zh-CN"/>
        </w:rPr>
        <w:t>Supplementary Fig.</w:t>
      </w:r>
      <w:r>
        <w:t xml:space="preserve"> </w:t>
      </w:r>
      <w:r>
        <w:rPr>
          <w:rFonts w:hint="eastAsia"/>
          <w:lang w:val="en-US" w:eastAsia="zh-CN"/>
        </w:rPr>
        <w:t>4</w:t>
      </w:r>
      <w:r>
        <w:fldChar w:fldCharType="end"/>
      </w:r>
      <w:r>
        <w:t xml:space="preserve">. </w:t>
      </w:r>
    </w:p>
    <w:p w14:paraId="69420A9D">
      <w:pPr>
        <w:rPr>
          <w:iCs/>
        </w:rPr>
      </w:pPr>
    </w:p>
    <w:p w14:paraId="259E19BB">
      <w:pPr>
        <w:ind w:firstLine="0"/>
      </w:pPr>
      <w:r>
        <w:drawing>
          <wp:inline distT="0" distB="0" distL="0" distR="0">
            <wp:extent cx="5539105" cy="5949950"/>
            <wp:effectExtent l="0" t="0" r="4445" b="0"/>
            <wp:docPr id="16503836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383615" name="Picture 4"/>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44317" cy="5955099"/>
                    </a:xfrm>
                    <a:prstGeom prst="rect">
                      <a:avLst/>
                    </a:prstGeom>
                  </pic:spPr>
                </pic:pic>
              </a:graphicData>
            </a:graphic>
          </wp:inline>
        </w:drawing>
      </w:r>
    </w:p>
    <w:p w14:paraId="3D4DD59A">
      <w:pPr>
        <w:pStyle w:val="7"/>
        <w:jc w:val="both"/>
      </w:pPr>
      <w:r>
        <w:rPr>
          <w:rFonts w:hint="eastAsia"/>
          <w:b/>
          <w:bCs w:val="0"/>
          <w:lang w:eastAsia="zh-CN"/>
        </w:rPr>
        <w:t>Supplementary Fig.</w:t>
      </w:r>
      <w:r>
        <w:rPr>
          <w:b/>
          <w:bCs w:val="0"/>
        </w:rPr>
        <w:t xml:space="preserve"> </w:t>
      </w:r>
      <w:r>
        <w:rPr>
          <w:rFonts w:hint="eastAsia"/>
          <w:b/>
          <w:bCs w:val="0"/>
          <w:lang w:val="en-US" w:eastAsia="zh-CN"/>
        </w:rPr>
        <w:t>6</w:t>
      </w:r>
      <w:r>
        <w:t xml:space="preserve"> | Quartz OSL SGC results and L</w:t>
      </w:r>
      <w:r>
        <w:rPr>
          <w:vertAlign w:val="subscript"/>
        </w:rPr>
        <w:t>n</w:t>
      </w:r>
      <w:r>
        <w:t>/T</w:t>
      </w:r>
      <w:r>
        <w:rPr>
          <w:vertAlign w:val="subscript"/>
        </w:rPr>
        <w:t>n</w:t>
      </w:r>
      <w:r>
        <w:t xml:space="preserve"> distributions for BFD-OSL4. See caption for </w:t>
      </w:r>
      <w:r>
        <w:fldChar w:fldCharType="begin"/>
      </w:r>
      <w:r>
        <w:instrText xml:space="preserve"> REF _Ref208218383 \h </w:instrText>
      </w:r>
      <w:r>
        <w:fldChar w:fldCharType="separate"/>
      </w:r>
      <w:r>
        <w:rPr>
          <w:rFonts w:hint="eastAsia"/>
          <w:lang w:eastAsia="zh-CN"/>
        </w:rPr>
        <w:t>Supplementary Fig.</w:t>
      </w:r>
      <w:r>
        <w:t xml:space="preserve"> </w:t>
      </w:r>
      <w:r>
        <w:rPr>
          <w:rFonts w:hint="eastAsia"/>
          <w:lang w:val="en-US" w:eastAsia="zh-CN"/>
        </w:rPr>
        <w:t>4</w:t>
      </w:r>
      <w:r>
        <w:fldChar w:fldCharType="end"/>
      </w:r>
      <w:r>
        <w:t xml:space="preserve">. </w:t>
      </w:r>
    </w:p>
    <w:p w14:paraId="6E085766">
      <w:pPr>
        <w:jc w:val="both"/>
        <w:rPr>
          <w:iCs/>
        </w:rPr>
      </w:pPr>
    </w:p>
    <w:p w14:paraId="510DD7D1">
      <w:pPr>
        <w:ind w:firstLine="0"/>
        <w:jc w:val="both"/>
      </w:pPr>
      <w:r>
        <w:drawing>
          <wp:inline distT="0" distB="0" distL="0" distR="0">
            <wp:extent cx="5528310" cy="5721985"/>
            <wp:effectExtent l="0" t="0" r="0" b="0"/>
            <wp:docPr id="2571633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163302" name="Picture 5"/>
                    <pic:cNvPicPr>
                      <a:picLocks noChangeAspect="1"/>
                    </pic:cNvPicPr>
                  </pic:nvPicPr>
                  <pic:blipFill>
                    <a:blip r:embed="rId23" cstate="print">
                      <a:extLst>
                        <a:ext uri="{28A0092B-C50C-407E-A947-70E740481C1C}">
                          <a14:useLocalDpi xmlns:a14="http://schemas.microsoft.com/office/drawing/2010/main" val="0"/>
                        </a:ext>
                      </a:extLst>
                    </a:blip>
                    <a:srcRect b="1948"/>
                    <a:stretch>
                      <a:fillRect/>
                    </a:stretch>
                  </pic:blipFill>
                  <pic:spPr>
                    <a:xfrm>
                      <a:off x="0" y="0"/>
                      <a:ext cx="5532242" cy="5721985"/>
                    </a:xfrm>
                    <a:prstGeom prst="rect">
                      <a:avLst/>
                    </a:prstGeom>
                  </pic:spPr>
                </pic:pic>
              </a:graphicData>
            </a:graphic>
          </wp:inline>
        </w:drawing>
      </w:r>
    </w:p>
    <w:p w14:paraId="1B1D5F32">
      <w:pPr>
        <w:pStyle w:val="7"/>
        <w:jc w:val="both"/>
      </w:pPr>
      <w:r>
        <w:rPr>
          <w:rFonts w:hint="eastAsia"/>
          <w:b/>
          <w:bCs w:val="0"/>
          <w:lang w:eastAsia="zh-CN"/>
        </w:rPr>
        <w:t>Supplementary Fig.</w:t>
      </w:r>
      <w:r>
        <w:rPr>
          <w:b/>
          <w:bCs w:val="0"/>
        </w:rPr>
        <w:t xml:space="preserve"> </w:t>
      </w:r>
      <w:r>
        <w:rPr>
          <w:rFonts w:hint="eastAsia"/>
          <w:b/>
          <w:bCs w:val="0"/>
          <w:lang w:val="en-US" w:eastAsia="zh-CN"/>
        </w:rPr>
        <w:t>7</w:t>
      </w:r>
      <w:r>
        <w:t xml:space="preserve"> | Quartz OSL SGC results and L</w:t>
      </w:r>
      <w:r>
        <w:rPr>
          <w:vertAlign w:val="subscript"/>
        </w:rPr>
        <w:t>n</w:t>
      </w:r>
      <w:r>
        <w:t>/T</w:t>
      </w:r>
      <w:r>
        <w:rPr>
          <w:vertAlign w:val="subscript"/>
        </w:rPr>
        <w:t>n</w:t>
      </w:r>
      <w:r>
        <w:t xml:space="preserve"> distributions for BFD-OSL5. See caption for </w:t>
      </w:r>
      <w:r>
        <w:fldChar w:fldCharType="begin"/>
      </w:r>
      <w:r>
        <w:instrText xml:space="preserve"> REF _Ref208218383 \h  \* MERGEFORMAT </w:instrText>
      </w:r>
      <w:r>
        <w:fldChar w:fldCharType="separate"/>
      </w:r>
      <w:r>
        <w:rPr>
          <w:rFonts w:hint="eastAsia"/>
          <w:lang w:eastAsia="zh-CN"/>
        </w:rPr>
        <w:t>Supplementary Fig.</w:t>
      </w:r>
      <w:r>
        <w:t xml:space="preserve"> </w:t>
      </w:r>
      <w:r>
        <w:rPr>
          <w:rFonts w:hint="eastAsia"/>
          <w:lang w:val="en-US" w:eastAsia="zh-CN"/>
        </w:rPr>
        <w:t>4</w:t>
      </w:r>
      <w:r>
        <w:fldChar w:fldCharType="end"/>
      </w:r>
      <w:r>
        <w:t xml:space="preserve">. </w:t>
      </w:r>
    </w:p>
    <w:p w14:paraId="50D9B4B7">
      <w:pPr>
        <w:jc w:val="both"/>
        <w:rPr>
          <w:iCs/>
        </w:rPr>
      </w:pPr>
    </w:p>
    <w:p w14:paraId="4AF6A91F">
      <w:pPr>
        <w:ind w:firstLine="0"/>
        <w:jc w:val="both"/>
        <w:rPr>
          <w:b/>
        </w:rPr>
      </w:pPr>
      <w:r>
        <w:drawing>
          <wp:inline distT="0" distB="0" distL="0" distR="0">
            <wp:extent cx="5602605" cy="6536690"/>
            <wp:effectExtent l="0" t="0" r="0" b="0"/>
            <wp:docPr id="16493993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99386" name="Picture 6"/>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604543" cy="6538839"/>
                    </a:xfrm>
                    <a:prstGeom prst="rect">
                      <a:avLst/>
                    </a:prstGeom>
                  </pic:spPr>
                </pic:pic>
              </a:graphicData>
            </a:graphic>
          </wp:inline>
        </w:drawing>
      </w:r>
    </w:p>
    <w:p w14:paraId="73C2DF87">
      <w:pPr>
        <w:pStyle w:val="7"/>
        <w:jc w:val="both"/>
        <w:rPr>
          <w:bCs w:val="0"/>
        </w:rPr>
      </w:pPr>
      <w:r>
        <w:rPr>
          <w:rFonts w:hint="eastAsia"/>
          <w:b/>
          <w:lang w:eastAsia="zh-CN"/>
        </w:rPr>
        <w:t>Supplementary Fig.</w:t>
      </w:r>
      <w:r>
        <w:rPr>
          <w:b/>
        </w:rPr>
        <w:t xml:space="preserve"> </w:t>
      </w:r>
      <w:r>
        <w:rPr>
          <w:rFonts w:hint="eastAsia"/>
          <w:b/>
          <w:lang w:val="en-US" w:eastAsia="zh-CN"/>
        </w:rPr>
        <w:t>8</w:t>
      </w:r>
      <w:r>
        <w:rPr>
          <w:b/>
        </w:rPr>
        <w:t xml:space="preserve"> | </w:t>
      </w:r>
      <w:r>
        <w:rPr>
          <w:bCs w:val="0"/>
        </w:rPr>
        <w:t>Quartz OSL SGC results and L</w:t>
      </w:r>
      <w:r>
        <w:rPr>
          <w:bCs w:val="0"/>
          <w:vertAlign w:val="subscript"/>
        </w:rPr>
        <w:t>n</w:t>
      </w:r>
      <w:r>
        <w:rPr>
          <w:bCs w:val="0"/>
        </w:rPr>
        <w:t>/T</w:t>
      </w:r>
      <w:r>
        <w:rPr>
          <w:bCs w:val="0"/>
          <w:vertAlign w:val="subscript"/>
        </w:rPr>
        <w:t>n</w:t>
      </w:r>
      <w:r>
        <w:rPr>
          <w:bCs w:val="0"/>
        </w:rPr>
        <w:t xml:space="preserve"> distributions for BFD-OSL6. See caption for </w:t>
      </w:r>
      <w:r>
        <w:rPr>
          <w:bCs w:val="0"/>
        </w:rPr>
        <w:fldChar w:fldCharType="begin"/>
      </w:r>
      <w:r>
        <w:rPr>
          <w:bCs w:val="0"/>
        </w:rPr>
        <w:instrText xml:space="preserve"> REF _Ref208218383 \h  \* MERGEFORMAT </w:instrText>
      </w:r>
      <w:r>
        <w:rPr>
          <w:bCs w:val="0"/>
        </w:rPr>
        <w:fldChar w:fldCharType="separate"/>
      </w:r>
      <w:r>
        <w:rPr>
          <w:rFonts w:hint="eastAsia"/>
          <w:bCs w:val="0"/>
          <w:lang w:eastAsia="zh-CN"/>
        </w:rPr>
        <w:t>Supplementary Fig.</w:t>
      </w:r>
      <w:r>
        <w:rPr>
          <w:bCs w:val="0"/>
        </w:rPr>
        <w:t xml:space="preserve"> </w:t>
      </w:r>
      <w:r>
        <w:rPr>
          <w:rFonts w:hint="eastAsia"/>
          <w:bCs w:val="0"/>
          <w:lang w:val="en-US" w:eastAsia="zh-CN"/>
        </w:rPr>
        <w:t>4</w:t>
      </w:r>
      <w:r>
        <w:rPr>
          <w:bCs w:val="0"/>
        </w:rPr>
        <w:fldChar w:fldCharType="end"/>
      </w:r>
      <w:r>
        <w:rPr>
          <w:bCs w:val="0"/>
        </w:rPr>
        <w:t xml:space="preserve">. </w:t>
      </w:r>
    </w:p>
    <w:p w14:paraId="16063302">
      <w:pPr>
        <w:jc w:val="both"/>
        <w:rPr>
          <w:iCs/>
        </w:rPr>
      </w:pPr>
    </w:p>
    <w:p w14:paraId="06DF9C09">
      <w:pPr>
        <w:jc w:val="both"/>
        <w:rPr>
          <w:iCs/>
        </w:rPr>
      </w:pPr>
    </w:p>
    <w:p w14:paraId="4B71C39C">
      <w:pPr>
        <w:ind w:firstLine="0"/>
        <w:jc w:val="both"/>
      </w:pPr>
      <w:r>
        <w:drawing>
          <wp:inline distT="0" distB="0" distL="0" distR="0">
            <wp:extent cx="5624195" cy="6041390"/>
            <wp:effectExtent l="0" t="0" r="0" b="0"/>
            <wp:docPr id="5404093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409326" name="Picture 7"/>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26689" cy="6043573"/>
                    </a:xfrm>
                    <a:prstGeom prst="rect">
                      <a:avLst/>
                    </a:prstGeom>
                  </pic:spPr>
                </pic:pic>
              </a:graphicData>
            </a:graphic>
          </wp:inline>
        </w:drawing>
      </w:r>
    </w:p>
    <w:p w14:paraId="666A164E">
      <w:pPr>
        <w:pStyle w:val="7"/>
        <w:jc w:val="both"/>
      </w:pPr>
      <w:r>
        <w:rPr>
          <w:rFonts w:hint="eastAsia"/>
          <w:b/>
          <w:bCs w:val="0"/>
          <w:lang w:eastAsia="zh-CN"/>
        </w:rPr>
        <w:t>Supplementary Fig.</w:t>
      </w:r>
      <w:r>
        <w:rPr>
          <w:b/>
          <w:bCs w:val="0"/>
        </w:rPr>
        <w:t xml:space="preserve"> </w:t>
      </w:r>
      <w:r>
        <w:rPr>
          <w:rFonts w:hint="eastAsia"/>
          <w:b/>
          <w:bCs w:val="0"/>
          <w:lang w:val="en-US" w:eastAsia="zh-CN"/>
        </w:rPr>
        <w:t>9</w:t>
      </w:r>
      <w:r>
        <w:t xml:space="preserve"> | Quartz OSL SGC results and L</w:t>
      </w:r>
      <w:r>
        <w:rPr>
          <w:vertAlign w:val="subscript"/>
        </w:rPr>
        <w:t>n</w:t>
      </w:r>
      <w:r>
        <w:t>/T</w:t>
      </w:r>
      <w:r>
        <w:rPr>
          <w:vertAlign w:val="subscript"/>
        </w:rPr>
        <w:t>n</w:t>
      </w:r>
      <w:r>
        <w:t xml:space="preserve"> distributions for BFD-OSL7. See caption for </w:t>
      </w:r>
      <w:r>
        <w:fldChar w:fldCharType="begin"/>
      </w:r>
      <w:r>
        <w:instrText xml:space="preserve"> REF _Ref208218383 \h  \* MERGEFORMAT </w:instrText>
      </w:r>
      <w:r>
        <w:fldChar w:fldCharType="separate"/>
      </w:r>
      <w:r>
        <w:rPr>
          <w:rFonts w:hint="eastAsia"/>
          <w:lang w:eastAsia="zh-CN"/>
        </w:rPr>
        <w:t>Supplementary Fig.</w:t>
      </w:r>
      <w:r>
        <w:t xml:space="preserve"> </w:t>
      </w:r>
      <w:r>
        <w:rPr>
          <w:rFonts w:hint="eastAsia"/>
          <w:lang w:val="en-US" w:eastAsia="zh-CN"/>
        </w:rPr>
        <w:t>4</w:t>
      </w:r>
      <w:r>
        <w:fldChar w:fldCharType="end"/>
      </w:r>
      <w:r>
        <w:t>.</w:t>
      </w:r>
    </w:p>
    <w:p w14:paraId="0EE697FD">
      <w:pPr>
        <w:jc w:val="both"/>
      </w:pPr>
    </w:p>
    <w:p w14:paraId="3F617CBB">
      <w:pPr>
        <w:ind w:firstLine="0"/>
        <w:jc w:val="both"/>
      </w:pPr>
      <w:r>
        <w:drawing>
          <wp:inline distT="0" distB="0" distL="0" distR="0">
            <wp:extent cx="5581650" cy="5995670"/>
            <wp:effectExtent l="0" t="0" r="0" b="5080"/>
            <wp:docPr id="4279881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88120" name="Picture 8"/>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83690" cy="5997388"/>
                    </a:xfrm>
                    <a:prstGeom prst="rect">
                      <a:avLst/>
                    </a:prstGeom>
                  </pic:spPr>
                </pic:pic>
              </a:graphicData>
            </a:graphic>
          </wp:inline>
        </w:drawing>
      </w:r>
    </w:p>
    <w:p w14:paraId="19FAF823">
      <w:pPr>
        <w:pStyle w:val="7"/>
        <w:jc w:val="both"/>
      </w:pPr>
      <w:r>
        <w:rPr>
          <w:rFonts w:hint="eastAsia"/>
          <w:b/>
          <w:bCs w:val="0"/>
          <w:lang w:eastAsia="zh-CN"/>
        </w:rPr>
        <w:t>Supplementary Fig.</w:t>
      </w:r>
      <w:r>
        <w:rPr>
          <w:b/>
          <w:bCs w:val="0"/>
        </w:rPr>
        <w:t xml:space="preserve"> </w:t>
      </w:r>
      <w:r>
        <w:rPr>
          <w:rFonts w:hint="eastAsia"/>
          <w:b/>
          <w:bCs w:val="0"/>
        </w:rPr>
        <w:t>1</w:t>
      </w:r>
      <w:r>
        <w:rPr>
          <w:rFonts w:hint="eastAsia"/>
          <w:b/>
          <w:bCs w:val="0"/>
          <w:lang w:val="en-US" w:eastAsia="zh-CN"/>
        </w:rPr>
        <w:t>0</w:t>
      </w:r>
      <w:r>
        <w:t xml:space="preserve"> | Quartz OSL SGC results and L</w:t>
      </w:r>
      <w:r>
        <w:rPr>
          <w:vertAlign w:val="subscript"/>
        </w:rPr>
        <w:t>n</w:t>
      </w:r>
      <w:r>
        <w:t>/T</w:t>
      </w:r>
      <w:r>
        <w:rPr>
          <w:vertAlign w:val="subscript"/>
        </w:rPr>
        <w:t>n</w:t>
      </w:r>
      <w:r>
        <w:t xml:space="preserve"> distributions for BFD-OSL8. See caption for </w:t>
      </w:r>
      <w:r>
        <w:fldChar w:fldCharType="begin"/>
      </w:r>
      <w:r>
        <w:instrText xml:space="preserve"> REF _Ref208218383 \h  \* MERGEFORMAT </w:instrText>
      </w:r>
      <w:r>
        <w:fldChar w:fldCharType="separate"/>
      </w:r>
      <w:r>
        <w:rPr>
          <w:rFonts w:hint="eastAsia"/>
          <w:lang w:eastAsia="zh-CN"/>
        </w:rPr>
        <w:t>Supplementary Fig.</w:t>
      </w:r>
      <w:r>
        <w:t xml:space="preserve"> </w:t>
      </w:r>
      <w:r>
        <w:rPr>
          <w:rFonts w:hint="eastAsia"/>
          <w:lang w:val="en-US" w:eastAsia="zh-CN"/>
        </w:rPr>
        <w:t>4</w:t>
      </w:r>
      <w:r>
        <w:fldChar w:fldCharType="end"/>
      </w:r>
      <w:r>
        <w:t xml:space="preserve">. </w:t>
      </w:r>
    </w:p>
    <w:p w14:paraId="4C0E2743">
      <w:pPr>
        <w:jc w:val="both"/>
      </w:pPr>
    </w:p>
    <w:p w14:paraId="5605194B">
      <w:pPr>
        <w:ind w:firstLine="0"/>
        <w:jc w:val="both"/>
      </w:pPr>
      <w:r>
        <w:drawing>
          <wp:inline distT="0" distB="0" distL="0" distR="0">
            <wp:extent cx="5581650" cy="5995670"/>
            <wp:effectExtent l="0" t="0" r="0" b="5080"/>
            <wp:docPr id="87136528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365288" name="Picture 9"/>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85427" cy="5999253"/>
                    </a:xfrm>
                    <a:prstGeom prst="rect">
                      <a:avLst/>
                    </a:prstGeom>
                  </pic:spPr>
                </pic:pic>
              </a:graphicData>
            </a:graphic>
          </wp:inline>
        </w:drawing>
      </w:r>
    </w:p>
    <w:p w14:paraId="1CA837ED">
      <w:pPr>
        <w:pStyle w:val="7"/>
        <w:jc w:val="both"/>
      </w:pPr>
      <w:r>
        <w:rPr>
          <w:rFonts w:hint="eastAsia"/>
          <w:b/>
          <w:bCs w:val="0"/>
          <w:lang w:eastAsia="zh-CN"/>
        </w:rPr>
        <w:t>Supplementary Fig.</w:t>
      </w:r>
      <w:r>
        <w:rPr>
          <w:b/>
          <w:bCs w:val="0"/>
        </w:rPr>
        <w:t xml:space="preserve"> </w:t>
      </w:r>
      <w:r>
        <w:rPr>
          <w:rFonts w:hint="eastAsia"/>
          <w:b/>
          <w:bCs w:val="0"/>
        </w:rPr>
        <w:t>1</w:t>
      </w:r>
      <w:r>
        <w:rPr>
          <w:rFonts w:hint="eastAsia"/>
          <w:b/>
          <w:bCs w:val="0"/>
          <w:lang w:val="en-US" w:eastAsia="zh-CN"/>
        </w:rPr>
        <w:t>1</w:t>
      </w:r>
      <w:r>
        <w:t xml:space="preserve"> | Quartz OSL SGC results and L</w:t>
      </w:r>
      <w:r>
        <w:rPr>
          <w:vertAlign w:val="subscript"/>
        </w:rPr>
        <w:t>n</w:t>
      </w:r>
      <w:r>
        <w:t>/T</w:t>
      </w:r>
      <w:r>
        <w:rPr>
          <w:vertAlign w:val="subscript"/>
        </w:rPr>
        <w:t>n</w:t>
      </w:r>
      <w:r>
        <w:t xml:space="preserve"> distributions for BFD-OSL9. See caption for </w:t>
      </w:r>
      <w:r>
        <w:fldChar w:fldCharType="begin"/>
      </w:r>
      <w:r>
        <w:instrText xml:space="preserve"> REF _Ref208218383 \h  \* MERGEFORMAT </w:instrText>
      </w:r>
      <w:r>
        <w:fldChar w:fldCharType="separate"/>
      </w:r>
      <w:r>
        <w:rPr>
          <w:rFonts w:hint="eastAsia"/>
          <w:lang w:eastAsia="zh-CN"/>
        </w:rPr>
        <w:t>Supplementary Fig.</w:t>
      </w:r>
      <w:r>
        <w:t xml:space="preserve"> </w:t>
      </w:r>
      <w:r>
        <w:rPr>
          <w:rFonts w:hint="eastAsia"/>
          <w:lang w:val="en-US" w:eastAsia="zh-CN"/>
        </w:rPr>
        <w:t>4</w:t>
      </w:r>
      <w:r>
        <w:fldChar w:fldCharType="end"/>
      </w:r>
      <w:r>
        <w:t xml:space="preserve">. </w:t>
      </w:r>
    </w:p>
    <w:p w14:paraId="7C76453A">
      <w:pPr>
        <w:jc w:val="both"/>
      </w:pPr>
    </w:p>
    <w:p w14:paraId="604AC2DF">
      <w:pPr>
        <w:ind w:firstLine="0"/>
        <w:jc w:val="both"/>
      </w:pPr>
      <w:r>
        <w:drawing>
          <wp:inline distT="0" distB="0" distL="0" distR="0">
            <wp:extent cx="5440045" cy="5843270"/>
            <wp:effectExtent l="0" t="0" r="8255" b="5080"/>
            <wp:docPr id="16360002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000238" name="Picture 10"/>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41597" cy="5844767"/>
                    </a:xfrm>
                    <a:prstGeom prst="rect">
                      <a:avLst/>
                    </a:prstGeom>
                  </pic:spPr>
                </pic:pic>
              </a:graphicData>
            </a:graphic>
          </wp:inline>
        </w:drawing>
      </w:r>
    </w:p>
    <w:p w14:paraId="2F22C825">
      <w:pPr>
        <w:pStyle w:val="7"/>
        <w:jc w:val="both"/>
      </w:pPr>
      <w:r>
        <w:rPr>
          <w:rFonts w:hint="eastAsia"/>
          <w:b/>
          <w:lang w:eastAsia="zh-CN"/>
        </w:rPr>
        <w:t>Supplementary Fig.</w:t>
      </w:r>
      <w:r>
        <w:rPr>
          <w:b/>
        </w:rPr>
        <w:t xml:space="preserve"> </w:t>
      </w:r>
      <w:r>
        <w:rPr>
          <w:rFonts w:hint="eastAsia"/>
          <w:b/>
        </w:rPr>
        <w:t>1</w:t>
      </w:r>
      <w:r>
        <w:rPr>
          <w:rFonts w:hint="eastAsia"/>
          <w:b/>
          <w:lang w:val="en-US" w:eastAsia="zh-CN"/>
        </w:rPr>
        <w:t>2</w:t>
      </w:r>
      <w:r>
        <w:rPr>
          <w:b/>
        </w:rPr>
        <w:t xml:space="preserve"> | </w:t>
      </w:r>
      <w:r>
        <w:rPr>
          <w:bCs w:val="0"/>
        </w:rPr>
        <w:t>Quartz OSL SGC results and L</w:t>
      </w:r>
      <w:r>
        <w:rPr>
          <w:bCs w:val="0"/>
          <w:vertAlign w:val="subscript"/>
        </w:rPr>
        <w:t>n</w:t>
      </w:r>
      <w:r>
        <w:rPr>
          <w:bCs w:val="0"/>
        </w:rPr>
        <w:t>/T</w:t>
      </w:r>
      <w:r>
        <w:rPr>
          <w:bCs w:val="0"/>
          <w:vertAlign w:val="subscript"/>
        </w:rPr>
        <w:t>n</w:t>
      </w:r>
      <w:r>
        <w:rPr>
          <w:bCs w:val="0"/>
        </w:rPr>
        <w:t xml:space="preserve"> distributions for BFD-OSL10. See caption for </w:t>
      </w:r>
      <w:r>
        <w:rPr>
          <w:bCs w:val="0"/>
        </w:rPr>
        <w:fldChar w:fldCharType="begin"/>
      </w:r>
      <w:r>
        <w:rPr>
          <w:bCs w:val="0"/>
        </w:rPr>
        <w:instrText xml:space="preserve"> REF _Ref208218383 \h  \* MERGEFORMAT </w:instrText>
      </w:r>
      <w:r>
        <w:rPr>
          <w:bCs w:val="0"/>
        </w:rPr>
        <w:fldChar w:fldCharType="separate"/>
      </w:r>
      <w:r>
        <w:rPr>
          <w:rFonts w:hint="eastAsia"/>
          <w:bCs w:val="0"/>
          <w:lang w:eastAsia="zh-CN"/>
        </w:rPr>
        <w:t>Supplementary Fig.</w:t>
      </w:r>
      <w:r>
        <w:rPr>
          <w:bCs w:val="0"/>
        </w:rPr>
        <w:t xml:space="preserve"> </w:t>
      </w:r>
      <w:r>
        <w:rPr>
          <w:rFonts w:hint="eastAsia"/>
          <w:bCs w:val="0"/>
          <w:lang w:val="en-US" w:eastAsia="zh-CN"/>
        </w:rPr>
        <w:t>4</w:t>
      </w:r>
      <w:r>
        <w:rPr>
          <w:bCs w:val="0"/>
        </w:rPr>
        <w:fldChar w:fldCharType="end"/>
      </w:r>
      <w:r>
        <w:t xml:space="preserve">. </w:t>
      </w:r>
    </w:p>
    <w:p w14:paraId="6464F2D4">
      <w:pPr>
        <w:jc w:val="both"/>
      </w:pPr>
    </w:p>
    <w:p w14:paraId="0FC4A27C">
      <w:pPr>
        <w:ind w:firstLine="0"/>
        <w:jc w:val="both"/>
      </w:pPr>
      <w:r>
        <w:drawing>
          <wp:inline distT="0" distB="0" distL="0" distR="0">
            <wp:extent cx="5479415" cy="5378450"/>
            <wp:effectExtent l="0" t="0" r="6985" b="0"/>
            <wp:docPr id="8233607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360737" name="Picture 11"/>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81645" cy="5380111"/>
                    </a:xfrm>
                    <a:prstGeom prst="rect">
                      <a:avLst/>
                    </a:prstGeom>
                  </pic:spPr>
                </pic:pic>
              </a:graphicData>
            </a:graphic>
          </wp:inline>
        </w:drawing>
      </w:r>
    </w:p>
    <w:p w14:paraId="059A1F01">
      <w:pPr>
        <w:pStyle w:val="7"/>
        <w:jc w:val="both"/>
      </w:pPr>
      <w:r>
        <w:rPr>
          <w:rFonts w:hint="eastAsia"/>
          <w:b/>
          <w:bCs w:val="0"/>
          <w:lang w:eastAsia="zh-CN"/>
        </w:rPr>
        <w:t>Supplementary Fig.</w:t>
      </w:r>
      <w:r>
        <w:rPr>
          <w:b/>
          <w:bCs w:val="0"/>
        </w:rPr>
        <w:t xml:space="preserve"> </w:t>
      </w:r>
      <w:r>
        <w:rPr>
          <w:rFonts w:hint="eastAsia"/>
          <w:b/>
          <w:bCs w:val="0"/>
        </w:rPr>
        <w:t>1</w:t>
      </w:r>
      <w:r>
        <w:rPr>
          <w:rFonts w:hint="eastAsia"/>
          <w:b/>
          <w:bCs w:val="0"/>
          <w:lang w:val="en-US" w:eastAsia="zh-CN"/>
        </w:rPr>
        <w:t>3</w:t>
      </w:r>
      <w:r>
        <w:t xml:space="preserve"> | Quartz OSL SGC results and L</w:t>
      </w:r>
      <w:r>
        <w:rPr>
          <w:vertAlign w:val="subscript"/>
        </w:rPr>
        <w:t>n</w:t>
      </w:r>
      <w:r>
        <w:t>/T</w:t>
      </w:r>
      <w:r>
        <w:rPr>
          <w:vertAlign w:val="subscript"/>
        </w:rPr>
        <w:t>n</w:t>
      </w:r>
      <w:r>
        <w:t xml:space="preserve"> distributions for BFD-OSL11. See caption for </w:t>
      </w:r>
      <w:r>
        <w:fldChar w:fldCharType="begin"/>
      </w:r>
      <w:r>
        <w:instrText xml:space="preserve"> REF _Ref208218383 \h  \* MERGEFORMAT </w:instrText>
      </w:r>
      <w:r>
        <w:fldChar w:fldCharType="separate"/>
      </w:r>
      <w:r>
        <w:rPr>
          <w:rFonts w:hint="eastAsia"/>
          <w:lang w:eastAsia="zh-CN"/>
        </w:rPr>
        <w:t>Supplementary Fig.</w:t>
      </w:r>
      <w:r>
        <w:t xml:space="preserve"> </w:t>
      </w:r>
      <w:r>
        <w:rPr>
          <w:rFonts w:hint="eastAsia"/>
          <w:lang w:val="en-US" w:eastAsia="zh-CN"/>
        </w:rPr>
        <w:t>4</w:t>
      </w:r>
      <w:r>
        <w:fldChar w:fldCharType="end"/>
      </w:r>
      <w:r>
        <w:fldChar w:fldCharType="begin"/>
      </w:r>
      <w:r>
        <w:instrText xml:space="preserve"> REF _Ref202795854 </w:instrText>
      </w:r>
      <w:r>
        <w:rPr>
          <w:i/>
        </w:rPr>
        <w:instrText xml:space="preserve"> \* MERGEFORMAT </w:instrText>
      </w:r>
      <w:r>
        <w:fldChar w:fldCharType="end"/>
      </w:r>
      <w:r>
        <w:t xml:space="preserve">. </w:t>
      </w:r>
    </w:p>
    <w:p w14:paraId="04A4266F">
      <w:pPr>
        <w:jc w:val="both"/>
      </w:pPr>
    </w:p>
    <w:p w14:paraId="2863253A">
      <w:pPr>
        <w:ind w:firstLine="0"/>
        <w:jc w:val="both"/>
      </w:pPr>
      <w:r>
        <w:drawing>
          <wp:inline distT="0" distB="0" distL="0" distR="0">
            <wp:extent cx="5601335" cy="7572375"/>
            <wp:effectExtent l="0" t="0" r="0" b="0"/>
            <wp:docPr id="207087356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873566" name="Picture 12"/>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605530" cy="7577664"/>
                    </a:xfrm>
                    <a:prstGeom prst="rect">
                      <a:avLst/>
                    </a:prstGeom>
                  </pic:spPr>
                </pic:pic>
              </a:graphicData>
            </a:graphic>
          </wp:inline>
        </w:drawing>
      </w:r>
    </w:p>
    <w:p w14:paraId="7E97DEAF">
      <w:pPr>
        <w:pStyle w:val="7"/>
        <w:jc w:val="both"/>
      </w:pPr>
      <w:r>
        <w:rPr>
          <w:rFonts w:hint="eastAsia"/>
          <w:b/>
          <w:bCs w:val="0"/>
          <w:lang w:eastAsia="zh-CN"/>
        </w:rPr>
        <w:t>Supplementary Fig.</w:t>
      </w:r>
      <w:r>
        <w:rPr>
          <w:b/>
          <w:bCs w:val="0"/>
        </w:rPr>
        <w:t xml:space="preserve"> </w:t>
      </w:r>
      <w:r>
        <w:rPr>
          <w:rFonts w:hint="eastAsia"/>
          <w:b/>
          <w:bCs w:val="0"/>
        </w:rPr>
        <w:t>1</w:t>
      </w:r>
      <w:r>
        <w:rPr>
          <w:rFonts w:hint="eastAsia"/>
          <w:b/>
          <w:bCs w:val="0"/>
          <w:lang w:val="en-US" w:eastAsia="zh-CN"/>
        </w:rPr>
        <w:t>4</w:t>
      </w:r>
      <w:r>
        <w:t xml:space="preserve"> | Quartz OSL SGC results and L</w:t>
      </w:r>
      <w:r>
        <w:rPr>
          <w:vertAlign w:val="subscript"/>
        </w:rPr>
        <w:t>n</w:t>
      </w:r>
      <w:r>
        <w:t>/T</w:t>
      </w:r>
      <w:r>
        <w:rPr>
          <w:vertAlign w:val="subscript"/>
        </w:rPr>
        <w:t>n</w:t>
      </w:r>
      <w:r>
        <w:t xml:space="preserve"> distributions for BFD-OSL12. See caption for </w:t>
      </w:r>
      <w:r>
        <w:fldChar w:fldCharType="begin"/>
      </w:r>
      <w:r>
        <w:instrText xml:space="preserve"> REF _Ref208218383 \h  \* MERGEFORMAT </w:instrText>
      </w:r>
      <w:r>
        <w:fldChar w:fldCharType="separate"/>
      </w:r>
      <w:r>
        <w:rPr>
          <w:rFonts w:hint="eastAsia"/>
          <w:lang w:eastAsia="zh-CN"/>
        </w:rPr>
        <w:t>Supplementary Fig.</w:t>
      </w:r>
      <w:r>
        <w:t xml:space="preserve"> </w:t>
      </w:r>
      <w:r>
        <w:rPr>
          <w:rFonts w:hint="eastAsia"/>
          <w:lang w:val="en-US" w:eastAsia="zh-CN"/>
        </w:rPr>
        <w:t>4</w:t>
      </w:r>
      <w:r>
        <w:fldChar w:fldCharType="end"/>
      </w:r>
      <w:r>
        <w:t xml:space="preserve">. </w:t>
      </w:r>
    </w:p>
    <w:p w14:paraId="2346DDC1">
      <w:pPr>
        <w:jc w:val="both"/>
        <w:rPr>
          <w:iCs/>
        </w:rPr>
      </w:pPr>
    </w:p>
    <w:p w14:paraId="70B60A74">
      <w:pPr>
        <w:ind w:firstLine="0"/>
        <w:jc w:val="both"/>
      </w:pPr>
      <w:r>
        <w:drawing>
          <wp:inline distT="0" distB="0" distL="0" distR="0">
            <wp:extent cx="5646420" cy="7633335"/>
            <wp:effectExtent l="0" t="0" r="0" b="5715"/>
            <wp:docPr id="87297015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970153" name="Picture 13"/>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649912" cy="7637660"/>
                    </a:xfrm>
                    <a:prstGeom prst="rect">
                      <a:avLst/>
                    </a:prstGeom>
                  </pic:spPr>
                </pic:pic>
              </a:graphicData>
            </a:graphic>
          </wp:inline>
        </w:drawing>
      </w:r>
    </w:p>
    <w:p w14:paraId="12BC0013">
      <w:pPr>
        <w:pStyle w:val="7"/>
        <w:jc w:val="both"/>
      </w:pPr>
      <w:r>
        <w:rPr>
          <w:rFonts w:hint="eastAsia"/>
          <w:b/>
          <w:bCs w:val="0"/>
          <w:lang w:eastAsia="zh-CN"/>
        </w:rPr>
        <w:t>Supplementary Fig.</w:t>
      </w:r>
      <w:r>
        <w:rPr>
          <w:b/>
          <w:bCs w:val="0"/>
        </w:rPr>
        <w:t xml:space="preserve"> </w:t>
      </w:r>
      <w:r>
        <w:rPr>
          <w:rFonts w:hint="eastAsia"/>
          <w:b/>
          <w:bCs w:val="0"/>
        </w:rPr>
        <w:t>1</w:t>
      </w:r>
      <w:r>
        <w:rPr>
          <w:rFonts w:hint="eastAsia"/>
          <w:b/>
          <w:bCs w:val="0"/>
          <w:lang w:val="en-US" w:eastAsia="zh-CN"/>
        </w:rPr>
        <w:t>5</w:t>
      </w:r>
      <w:r>
        <w:t xml:space="preserve"> | Quartz OSL SGC results and L</w:t>
      </w:r>
      <w:r>
        <w:rPr>
          <w:vertAlign w:val="subscript"/>
        </w:rPr>
        <w:t>n</w:t>
      </w:r>
      <w:r>
        <w:t>/T</w:t>
      </w:r>
      <w:r>
        <w:rPr>
          <w:vertAlign w:val="subscript"/>
        </w:rPr>
        <w:t>n</w:t>
      </w:r>
      <w:r>
        <w:t xml:space="preserve"> distributions for BFD-OSL13. See caption for </w:t>
      </w:r>
      <w:r>
        <w:fldChar w:fldCharType="begin"/>
      </w:r>
      <w:r>
        <w:instrText xml:space="preserve"> REF _Ref208218383 \h  \* MERGEFORMAT </w:instrText>
      </w:r>
      <w:r>
        <w:fldChar w:fldCharType="separate"/>
      </w:r>
      <w:r>
        <w:rPr>
          <w:rFonts w:hint="eastAsia"/>
          <w:lang w:eastAsia="zh-CN"/>
        </w:rPr>
        <w:t>Supplementary Fig.</w:t>
      </w:r>
      <w:r>
        <w:t xml:space="preserve"> </w:t>
      </w:r>
      <w:r>
        <w:rPr>
          <w:rFonts w:hint="eastAsia"/>
          <w:lang w:val="en-US" w:eastAsia="zh-CN"/>
        </w:rPr>
        <w:t>4</w:t>
      </w:r>
      <w:r>
        <w:fldChar w:fldCharType="end"/>
      </w:r>
      <w:r>
        <w:fldChar w:fldCharType="begin"/>
      </w:r>
      <w:r>
        <w:instrText xml:space="preserve"> REF _Ref202795854 </w:instrText>
      </w:r>
      <w:r>
        <w:rPr>
          <w:i/>
        </w:rPr>
        <w:instrText xml:space="preserve"> \* MERGEFORMAT </w:instrText>
      </w:r>
      <w:r>
        <w:fldChar w:fldCharType="end"/>
      </w:r>
      <w:r>
        <w:t xml:space="preserve">. </w:t>
      </w:r>
    </w:p>
    <w:p w14:paraId="4C80E8C7"/>
    <w:p w14:paraId="33F0A705">
      <w:pPr>
        <w:ind w:left="0" w:leftChars="0" w:firstLine="0" w:firstLineChars="0"/>
      </w:pPr>
    </w:p>
    <w:p w14:paraId="515B9D29">
      <w:pPr>
        <w:ind w:left="0" w:leftChars="0" w:firstLine="0" w:firstLineChars="0"/>
        <w:jc w:val="both"/>
        <w:rPr>
          <w:rFonts w:hint="eastAsia" w:eastAsia="宋体"/>
          <w:lang w:eastAsia="zh-CN"/>
        </w:rPr>
      </w:pPr>
      <w:r>
        <w:br w:type="column"/>
      </w:r>
      <w:r>
        <w:rPr>
          <w:rFonts w:hint="eastAsia" w:eastAsia="宋体"/>
          <w:lang w:eastAsia="zh-CN"/>
        </w:rPr>
        <w:drawing>
          <wp:inline distT="0" distB="0" distL="114300" distR="114300">
            <wp:extent cx="5243830" cy="6877050"/>
            <wp:effectExtent l="0" t="0" r="4445" b="0"/>
            <wp:docPr id="14" name="图片 14" descr="Supplementary figure 17 -20260802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Supplementary figure 17 -20260802_画板 1"/>
                    <pic:cNvPicPr>
                      <a:picLocks noChangeAspect="1"/>
                    </pic:cNvPicPr>
                  </pic:nvPicPr>
                  <pic:blipFill>
                    <a:blip r:embed="rId32"/>
                    <a:srcRect l="6772" r="3868"/>
                    <a:stretch>
                      <a:fillRect/>
                    </a:stretch>
                  </pic:blipFill>
                  <pic:spPr>
                    <a:xfrm>
                      <a:off x="0" y="0"/>
                      <a:ext cx="5243830" cy="6877050"/>
                    </a:xfrm>
                    <a:prstGeom prst="rect">
                      <a:avLst/>
                    </a:prstGeom>
                  </pic:spPr>
                </pic:pic>
              </a:graphicData>
            </a:graphic>
          </wp:inline>
        </w:drawing>
      </w:r>
    </w:p>
    <w:p w14:paraId="42A919F1">
      <w:pPr>
        <w:pStyle w:val="7"/>
        <w:jc w:val="both"/>
      </w:pPr>
      <w:r>
        <w:rPr>
          <w:rFonts w:hint="eastAsia"/>
          <w:b/>
          <w:lang w:eastAsia="zh-CN"/>
        </w:rPr>
        <w:t>Supplementary Fig.</w:t>
      </w:r>
      <w:r>
        <w:rPr>
          <w:b/>
        </w:rPr>
        <w:t xml:space="preserve"> </w:t>
      </w:r>
      <w:r>
        <w:rPr>
          <w:rFonts w:hint="eastAsia"/>
          <w:b/>
        </w:rPr>
        <w:t>1</w:t>
      </w:r>
      <w:r>
        <w:rPr>
          <w:rFonts w:hint="eastAsia"/>
          <w:b/>
          <w:lang w:val="en-US" w:eastAsia="zh-CN"/>
        </w:rPr>
        <w:t>6</w:t>
      </w:r>
      <w:r>
        <w:rPr>
          <w:b/>
        </w:rPr>
        <w:t xml:space="preserve"> | </w:t>
      </w:r>
      <w:r>
        <w:rPr>
          <w:bCs w:val="0"/>
        </w:rPr>
        <w:t xml:space="preserve">Comparison of the OSL and U-series ages. </w:t>
      </w:r>
      <w:r>
        <w:t xml:space="preserve">The ages are ranked according to their stratigraphic layers (shown as numbers on the left of the plot). The dashed lines represent the boundaries between different layers. The error bars represent 1σ uncertainty. The error bars for U-series ages are too small to show. </w:t>
      </w:r>
    </w:p>
    <w:p w14:paraId="74180630"/>
    <w:p w14:paraId="021DC50B"/>
    <w:p w14:paraId="5AA672F5">
      <w:pPr>
        <w:spacing w:before="163" w:beforeLines="50" w:after="163" w:afterLines="50"/>
        <w:jc w:val="center"/>
        <w:rPr>
          <w:rFonts w:hint="eastAsia" w:eastAsia="宋体"/>
          <w:b/>
          <w:lang w:eastAsia="zh-CN"/>
        </w:rPr>
      </w:pPr>
      <w:bookmarkStart w:id="15" w:name="_Ref208054083"/>
      <w:r>
        <w:rPr>
          <w:rFonts w:hint="eastAsia" w:eastAsia="宋体"/>
          <w:b/>
          <w:lang w:eastAsia="zh-CN"/>
        </w:rPr>
        <w:drawing>
          <wp:inline distT="0" distB="0" distL="114300" distR="114300">
            <wp:extent cx="4784090" cy="6952615"/>
            <wp:effectExtent l="0" t="0" r="0" b="0"/>
            <wp:docPr id="2" name="图片 2" descr="ea9de78fa5a93beb3c6a58ff621de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a9de78fa5a93beb3c6a58ff621debb"/>
                    <pic:cNvPicPr>
                      <a:picLocks noChangeAspect="1"/>
                    </pic:cNvPicPr>
                  </pic:nvPicPr>
                  <pic:blipFill>
                    <a:blip r:embed="rId33"/>
                    <a:srcRect t="1186" b="1159"/>
                    <a:stretch>
                      <a:fillRect/>
                    </a:stretch>
                  </pic:blipFill>
                  <pic:spPr>
                    <a:xfrm>
                      <a:off x="0" y="0"/>
                      <a:ext cx="4784090" cy="6952615"/>
                    </a:xfrm>
                    <a:prstGeom prst="rect">
                      <a:avLst/>
                    </a:prstGeom>
                  </pic:spPr>
                </pic:pic>
              </a:graphicData>
            </a:graphic>
          </wp:inline>
        </w:drawing>
      </w:r>
    </w:p>
    <w:p w14:paraId="39F21B2A">
      <w:pPr>
        <w:spacing w:after="0" w:line="240" w:lineRule="auto"/>
        <w:ind w:firstLine="0"/>
        <w:jc w:val="both"/>
        <w:rPr>
          <w:lang w:bidi="ar"/>
        </w:rPr>
      </w:pPr>
      <w:r>
        <w:rPr>
          <w:rFonts w:hint="eastAsia"/>
          <w:b/>
          <w:lang w:eastAsia="zh-CN"/>
        </w:rPr>
        <w:t>Supplementary Fig.</w:t>
      </w:r>
      <w:r>
        <w:rPr>
          <w:b/>
        </w:rPr>
        <w:t xml:space="preserve"> </w:t>
      </w:r>
      <w:bookmarkEnd w:id="15"/>
      <w:r>
        <w:rPr>
          <w:rFonts w:hint="eastAsia"/>
          <w:b/>
        </w:rPr>
        <w:t>1</w:t>
      </w:r>
      <w:r>
        <w:rPr>
          <w:rFonts w:hint="eastAsia"/>
          <w:b/>
          <w:lang w:val="en-US" w:eastAsia="zh-CN"/>
        </w:rPr>
        <w:t>7</w:t>
      </w:r>
      <w:r>
        <w:t xml:space="preserve"> </w:t>
      </w:r>
      <w:bookmarkStart w:id="16" w:name="_Hlk209799215"/>
      <w:r>
        <w:t>|</w:t>
      </w:r>
      <w:bookmarkEnd w:id="16"/>
      <w:r>
        <w:t xml:space="preserve"> </w:t>
      </w:r>
      <w:r>
        <w:rPr>
          <w:lang w:bidi="ar"/>
        </w:rPr>
        <w:t xml:space="preserve">Photos of the flowstone samples for U-series dating. </w:t>
      </w:r>
      <w:r>
        <w:rPr>
          <w:b/>
          <w:bCs/>
          <w:lang w:bidi="ar"/>
        </w:rPr>
        <w:t>a</w:t>
      </w:r>
      <w:r>
        <w:rPr>
          <w:rFonts w:hint="eastAsia"/>
          <w:lang w:val="en-US" w:eastAsia="zh-CN" w:bidi="ar"/>
        </w:rPr>
        <w:t>,</w:t>
      </w:r>
      <w:r>
        <w:rPr>
          <w:lang w:bidi="ar"/>
        </w:rPr>
        <w:t xml:space="preserve"> BF</w:t>
      </w:r>
      <w:r>
        <w:rPr>
          <w:rFonts w:hint="eastAsia"/>
          <w:lang w:bidi="ar"/>
        </w:rPr>
        <w:t>D</w:t>
      </w:r>
      <w:r>
        <w:rPr>
          <w:lang w:bidi="ar"/>
        </w:rPr>
        <w:t>3-F1</w:t>
      </w:r>
      <w:r>
        <w:rPr>
          <w:rFonts w:hint="eastAsia"/>
          <w:lang w:val="en-US" w:eastAsia="zh-CN" w:bidi="ar"/>
        </w:rPr>
        <w:t>.</w:t>
      </w:r>
      <w:r>
        <w:rPr>
          <w:lang w:bidi="ar"/>
        </w:rPr>
        <w:t xml:space="preserve"> </w:t>
      </w:r>
      <w:r>
        <w:rPr>
          <w:b/>
          <w:bCs/>
          <w:lang w:bidi="ar"/>
        </w:rPr>
        <w:t>b</w:t>
      </w:r>
      <w:r>
        <w:rPr>
          <w:rFonts w:hint="eastAsia"/>
          <w:lang w:val="en-US" w:eastAsia="zh-CN" w:bidi="ar"/>
        </w:rPr>
        <w:t>,</w:t>
      </w:r>
      <w:r>
        <w:rPr>
          <w:lang w:bidi="ar"/>
        </w:rPr>
        <w:t xml:space="preserve"> BF</w:t>
      </w:r>
      <w:r>
        <w:rPr>
          <w:rFonts w:hint="eastAsia"/>
          <w:lang w:bidi="ar"/>
        </w:rPr>
        <w:t>D</w:t>
      </w:r>
      <w:r>
        <w:rPr>
          <w:lang w:bidi="ar"/>
        </w:rPr>
        <w:t>3-F2</w:t>
      </w:r>
      <w:r>
        <w:rPr>
          <w:rFonts w:hint="eastAsia"/>
          <w:lang w:val="en-US" w:eastAsia="zh-CN" w:bidi="ar"/>
        </w:rPr>
        <w:t>.</w:t>
      </w:r>
      <w:r>
        <w:rPr>
          <w:lang w:bidi="ar"/>
        </w:rPr>
        <w:t xml:space="preserve"> </w:t>
      </w:r>
      <w:r>
        <w:rPr>
          <w:b/>
          <w:bCs/>
          <w:lang w:bidi="ar"/>
        </w:rPr>
        <w:t>c</w:t>
      </w:r>
      <w:r>
        <w:rPr>
          <w:rFonts w:hint="eastAsia"/>
          <w:lang w:val="en-US" w:eastAsia="zh-CN" w:bidi="ar"/>
        </w:rPr>
        <w:t>,</w:t>
      </w:r>
      <w:r>
        <w:rPr>
          <w:lang w:bidi="ar"/>
        </w:rPr>
        <w:t xml:space="preserve"> BF</w:t>
      </w:r>
      <w:r>
        <w:rPr>
          <w:rFonts w:hint="eastAsia"/>
          <w:lang w:bidi="ar"/>
        </w:rPr>
        <w:t>D</w:t>
      </w:r>
      <w:r>
        <w:rPr>
          <w:lang w:bidi="ar"/>
        </w:rPr>
        <w:t>7-F1</w:t>
      </w:r>
      <w:r>
        <w:rPr>
          <w:rFonts w:hint="eastAsia"/>
          <w:lang w:val="en-US" w:eastAsia="zh-CN" w:bidi="ar"/>
        </w:rPr>
        <w:t>.</w:t>
      </w:r>
      <w:r>
        <w:rPr>
          <w:lang w:bidi="ar"/>
        </w:rPr>
        <w:t xml:space="preserve"> </w:t>
      </w:r>
      <w:r>
        <w:rPr>
          <w:b/>
          <w:bCs/>
          <w:lang w:bidi="ar"/>
        </w:rPr>
        <w:t>d</w:t>
      </w:r>
      <w:r>
        <w:rPr>
          <w:rFonts w:hint="eastAsia"/>
          <w:lang w:val="en-US" w:eastAsia="zh-CN" w:bidi="ar"/>
        </w:rPr>
        <w:t>,</w:t>
      </w:r>
      <w:r>
        <w:rPr>
          <w:lang w:bidi="ar"/>
        </w:rPr>
        <w:t xml:space="preserve"> BF</w:t>
      </w:r>
      <w:r>
        <w:rPr>
          <w:rFonts w:hint="eastAsia"/>
          <w:lang w:bidi="ar"/>
        </w:rPr>
        <w:t>D</w:t>
      </w:r>
      <w:r>
        <w:rPr>
          <w:lang w:bidi="ar"/>
        </w:rPr>
        <w:t>7-F2</w:t>
      </w:r>
      <w:r>
        <w:rPr>
          <w:rFonts w:hint="eastAsia"/>
          <w:lang w:val="en-US" w:eastAsia="zh-CN" w:bidi="ar"/>
        </w:rPr>
        <w:t>.</w:t>
      </w:r>
      <w:r>
        <w:rPr>
          <w:lang w:bidi="ar"/>
        </w:rPr>
        <w:t xml:space="preserve"> </w:t>
      </w:r>
      <w:r>
        <w:rPr>
          <w:b/>
          <w:bCs/>
          <w:lang w:bidi="ar"/>
        </w:rPr>
        <w:t>e</w:t>
      </w:r>
      <w:r>
        <w:rPr>
          <w:rFonts w:hint="eastAsia"/>
          <w:lang w:val="en-US" w:eastAsia="zh-CN" w:bidi="ar"/>
        </w:rPr>
        <w:t>,</w:t>
      </w:r>
      <w:r>
        <w:rPr>
          <w:lang w:bidi="ar"/>
        </w:rPr>
        <w:t xml:space="preserve"> BF</w:t>
      </w:r>
      <w:r>
        <w:rPr>
          <w:rFonts w:hint="eastAsia"/>
          <w:lang w:bidi="ar"/>
        </w:rPr>
        <w:t>D</w:t>
      </w:r>
      <w:r>
        <w:rPr>
          <w:lang w:bidi="ar"/>
        </w:rPr>
        <w:t>9-F1</w:t>
      </w:r>
      <w:r>
        <w:rPr>
          <w:rFonts w:hint="eastAsia"/>
          <w:lang w:val="en-US" w:eastAsia="zh-CN" w:bidi="ar"/>
        </w:rPr>
        <w:t>.</w:t>
      </w:r>
      <w:r>
        <w:rPr>
          <w:lang w:bidi="ar"/>
        </w:rPr>
        <w:t xml:space="preserve"> </w:t>
      </w:r>
      <w:r>
        <w:rPr>
          <w:b/>
          <w:bCs/>
          <w:lang w:bidi="ar"/>
        </w:rPr>
        <w:t>f</w:t>
      </w:r>
      <w:r>
        <w:rPr>
          <w:rFonts w:hint="eastAsia"/>
          <w:lang w:val="en-US" w:eastAsia="zh-CN" w:bidi="ar"/>
        </w:rPr>
        <w:t>,</w:t>
      </w:r>
      <w:r>
        <w:rPr>
          <w:lang w:bidi="ar"/>
        </w:rPr>
        <w:t xml:space="preserve"> BF</w:t>
      </w:r>
      <w:r>
        <w:rPr>
          <w:rFonts w:hint="eastAsia"/>
          <w:lang w:bidi="ar"/>
        </w:rPr>
        <w:t>D</w:t>
      </w:r>
      <w:r>
        <w:rPr>
          <w:lang w:bidi="ar"/>
        </w:rPr>
        <w:t>9-F2</w:t>
      </w:r>
      <w:r>
        <w:rPr>
          <w:rFonts w:hint="eastAsia"/>
          <w:lang w:val="en-US" w:eastAsia="zh-CN" w:bidi="ar"/>
        </w:rPr>
        <w:t>.</w:t>
      </w:r>
      <w:r>
        <w:rPr>
          <w:lang w:bidi="ar"/>
        </w:rPr>
        <w:t xml:space="preserve"> </w:t>
      </w:r>
      <w:r>
        <w:rPr>
          <w:b/>
          <w:bCs/>
          <w:lang w:bidi="ar"/>
        </w:rPr>
        <w:t>g</w:t>
      </w:r>
      <w:r>
        <w:rPr>
          <w:rFonts w:hint="eastAsia"/>
          <w:lang w:val="en-US" w:eastAsia="zh-CN" w:bidi="ar"/>
        </w:rPr>
        <w:t>,</w:t>
      </w:r>
      <w:r>
        <w:rPr>
          <w:lang w:bidi="ar"/>
        </w:rPr>
        <w:t xml:space="preserve"> BF</w:t>
      </w:r>
      <w:r>
        <w:rPr>
          <w:rFonts w:hint="eastAsia"/>
          <w:lang w:bidi="ar"/>
        </w:rPr>
        <w:t>D</w:t>
      </w:r>
      <w:r>
        <w:rPr>
          <w:lang w:bidi="ar"/>
        </w:rPr>
        <w:t>9-F</w:t>
      </w:r>
      <w:r>
        <w:rPr>
          <w:rFonts w:hint="eastAsia"/>
          <w:lang w:val="en-US" w:eastAsia="zh-CN" w:bidi="ar"/>
        </w:rPr>
        <w:t>4.</w:t>
      </w:r>
      <w:r>
        <w:rPr>
          <w:lang w:bidi="ar"/>
        </w:rPr>
        <w:t xml:space="preserve"> </w:t>
      </w:r>
      <w:r>
        <w:rPr>
          <w:b/>
          <w:bCs/>
          <w:lang w:bidi="ar"/>
        </w:rPr>
        <w:t>h</w:t>
      </w:r>
      <w:r>
        <w:rPr>
          <w:rFonts w:hint="eastAsia"/>
          <w:lang w:val="en-US" w:eastAsia="zh-CN" w:bidi="ar"/>
        </w:rPr>
        <w:t>,</w:t>
      </w:r>
      <w:r>
        <w:rPr>
          <w:lang w:bidi="ar"/>
        </w:rPr>
        <w:t xml:space="preserve"> BF</w:t>
      </w:r>
      <w:r>
        <w:rPr>
          <w:rFonts w:hint="eastAsia"/>
          <w:lang w:bidi="ar"/>
        </w:rPr>
        <w:t>D</w:t>
      </w:r>
      <w:r>
        <w:rPr>
          <w:rFonts w:hint="eastAsia"/>
          <w:lang w:val="en-US" w:eastAsia="zh-CN" w:bidi="ar"/>
        </w:rPr>
        <w:t>11</w:t>
      </w:r>
      <w:r>
        <w:rPr>
          <w:lang w:bidi="ar"/>
        </w:rPr>
        <w:t>-F</w:t>
      </w:r>
      <w:r>
        <w:rPr>
          <w:rFonts w:hint="eastAsia"/>
          <w:lang w:val="en-US" w:eastAsia="zh-CN" w:bidi="ar"/>
        </w:rPr>
        <w:t>1.</w:t>
      </w:r>
      <w:r>
        <w:rPr>
          <w:lang w:bidi="ar"/>
        </w:rPr>
        <w:t xml:space="preserve"> </w:t>
      </w:r>
      <w:r>
        <w:rPr>
          <w:b/>
          <w:bCs/>
          <w:lang w:bidi="ar"/>
        </w:rPr>
        <w:t>i</w:t>
      </w:r>
      <w:r>
        <w:rPr>
          <w:rFonts w:hint="eastAsia"/>
          <w:lang w:val="en-US" w:eastAsia="zh-CN" w:bidi="ar"/>
        </w:rPr>
        <w:t>,</w:t>
      </w:r>
      <w:r>
        <w:rPr>
          <w:lang w:bidi="ar"/>
        </w:rPr>
        <w:t xml:space="preserve"> BF</w:t>
      </w:r>
      <w:r>
        <w:rPr>
          <w:rFonts w:hint="eastAsia"/>
          <w:lang w:bidi="ar"/>
        </w:rPr>
        <w:t>D</w:t>
      </w:r>
      <w:r>
        <w:rPr>
          <w:rFonts w:hint="eastAsia"/>
          <w:lang w:val="en-US" w:eastAsia="zh-CN" w:bidi="ar"/>
        </w:rPr>
        <w:t>11</w:t>
      </w:r>
      <w:r>
        <w:rPr>
          <w:lang w:bidi="ar"/>
        </w:rPr>
        <w:t>-F</w:t>
      </w:r>
      <w:r>
        <w:rPr>
          <w:rFonts w:hint="eastAsia"/>
          <w:lang w:val="en-US" w:eastAsia="zh-CN" w:bidi="ar"/>
        </w:rPr>
        <w:t>2.</w:t>
      </w:r>
      <w:r>
        <w:rPr>
          <w:lang w:bidi="ar"/>
        </w:rPr>
        <w:t xml:space="preserve"> </w:t>
      </w:r>
      <w:r>
        <w:rPr>
          <w:b/>
          <w:bCs/>
          <w:lang w:bidi="ar"/>
        </w:rPr>
        <w:t>j</w:t>
      </w:r>
      <w:r>
        <w:rPr>
          <w:rFonts w:hint="eastAsia"/>
          <w:lang w:val="en-US" w:eastAsia="zh-CN" w:bidi="ar"/>
        </w:rPr>
        <w:t>,</w:t>
      </w:r>
      <w:r>
        <w:rPr>
          <w:lang w:bidi="ar"/>
        </w:rPr>
        <w:t xml:space="preserve"> BF</w:t>
      </w:r>
      <w:r>
        <w:rPr>
          <w:rFonts w:hint="eastAsia"/>
          <w:lang w:bidi="ar"/>
        </w:rPr>
        <w:t>D</w:t>
      </w:r>
      <w:r>
        <w:rPr>
          <w:lang w:bidi="ar"/>
        </w:rPr>
        <w:t>11-F</w:t>
      </w:r>
      <w:r>
        <w:rPr>
          <w:rFonts w:hint="eastAsia"/>
          <w:lang w:val="en-US" w:eastAsia="zh-CN" w:bidi="ar"/>
        </w:rPr>
        <w:t xml:space="preserve">3. </w:t>
      </w:r>
      <w:r>
        <w:rPr>
          <w:rFonts w:hint="eastAsia"/>
          <w:highlight w:val="none"/>
          <w:lang w:val="en-US" w:eastAsia="zh-CN" w:bidi="ar"/>
        </w:rPr>
        <w:t>T</w:t>
      </w:r>
      <w:r>
        <w:rPr>
          <w:highlight w:val="none"/>
          <w:lang w:bidi="ar"/>
        </w:rPr>
        <w:t>he bars ind</w:t>
      </w:r>
      <w:r>
        <w:rPr>
          <w:lang w:bidi="ar"/>
        </w:rPr>
        <w:t>icate 1 cm length.</w:t>
      </w:r>
    </w:p>
    <w:p w14:paraId="5DAE8892"/>
    <w:p w14:paraId="6C55098A">
      <w:pPr>
        <w:jc w:val="both"/>
      </w:pPr>
    </w:p>
    <w:p w14:paraId="4E9CB1D9">
      <w:pPr>
        <w:ind w:firstLine="0"/>
        <w:jc w:val="both"/>
        <w:rPr>
          <w:rFonts w:eastAsia="Times New Roman"/>
        </w:rPr>
      </w:pPr>
    </w:p>
    <w:p w14:paraId="3850A45A">
      <w:pPr>
        <w:ind w:firstLine="0"/>
        <w:jc w:val="center"/>
        <w:rPr>
          <w:rFonts w:hint="eastAsia" w:eastAsia="宋体"/>
          <w:lang w:eastAsia="zh-CN"/>
        </w:rPr>
      </w:pPr>
      <w:r>
        <w:rPr>
          <w:rFonts w:hint="eastAsia" w:eastAsia="宋体"/>
          <w:lang w:eastAsia="zh-CN"/>
        </w:rPr>
        <w:drawing>
          <wp:inline distT="0" distB="0" distL="114300" distR="114300">
            <wp:extent cx="3350895" cy="8411210"/>
            <wp:effectExtent l="0" t="0" r="1905" b="8890"/>
            <wp:docPr id="16" name="图片 16" descr="新图-高精度 pollen of Bianfu C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新图-高精度 pollen of Bianfu Cave"/>
                    <pic:cNvPicPr>
                      <a:picLocks noChangeAspect="1"/>
                    </pic:cNvPicPr>
                  </pic:nvPicPr>
                  <pic:blipFill>
                    <a:blip r:embed="rId34"/>
                    <a:srcRect t="1033" b="804"/>
                    <a:stretch>
                      <a:fillRect/>
                    </a:stretch>
                  </pic:blipFill>
                  <pic:spPr>
                    <a:xfrm>
                      <a:off x="0" y="0"/>
                      <a:ext cx="3350895" cy="8411210"/>
                    </a:xfrm>
                    <a:prstGeom prst="rect">
                      <a:avLst/>
                    </a:prstGeom>
                  </pic:spPr>
                </pic:pic>
              </a:graphicData>
            </a:graphic>
          </wp:inline>
        </w:drawing>
      </w:r>
    </w:p>
    <w:p w14:paraId="0E9302D3">
      <w:pPr>
        <w:keepNext w:val="0"/>
        <w:keepLines w:val="0"/>
        <w:pageBreakBefore w:val="0"/>
        <w:widowControl/>
        <w:kinsoku/>
        <w:wordWrap/>
        <w:overflowPunct/>
        <w:topLinePunct w:val="0"/>
        <w:autoSpaceDE/>
        <w:autoSpaceDN/>
        <w:bidi w:val="0"/>
        <w:adjustRightInd/>
        <w:snapToGrid/>
        <w:spacing w:after="0" w:line="240" w:lineRule="auto"/>
        <w:ind w:firstLine="0"/>
        <w:textAlignment w:val="auto"/>
      </w:pPr>
      <w:bookmarkStart w:id="17" w:name="_Hlk218417846"/>
      <w:r>
        <w:rPr>
          <w:rFonts w:hint="eastAsia"/>
          <w:b/>
          <w:lang w:eastAsia="zh-CN"/>
        </w:rPr>
        <w:t>Supplementary Fig.</w:t>
      </w:r>
      <w:r>
        <w:rPr>
          <w:b/>
        </w:rPr>
        <w:t xml:space="preserve"> </w:t>
      </w:r>
      <w:r>
        <w:rPr>
          <w:rFonts w:hint="eastAsia"/>
          <w:b/>
          <w:lang w:val="en-US" w:eastAsia="zh-CN"/>
        </w:rPr>
        <w:t>18</w:t>
      </w:r>
      <w:r>
        <w:t xml:space="preserve"> | The pollen percentages diagram in </w:t>
      </w:r>
      <w:r>
        <w:rPr>
          <w:rFonts w:hint="eastAsia"/>
          <w:lang w:val="en-US" w:eastAsia="zh-CN"/>
        </w:rPr>
        <w:t xml:space="preserve">the </w:t>
      </w:r>
      <w:r>
        <w:t>Bianfu Cave</w:t>
      </w:r>
      <w:r>
        <w:rPr>
          <w:rFonts w:hint="eastAsia"/>
        </w:rPr>
        <w:t>.</w:t>
      </w:r>
    </w:p>
    <w:bookmarkEnd w:id="17"/>
    <w:p w14:paraId="58FC84B5">
      <w:pPr>
        <w:ind w:firstLine="0"/>
        <w:jc w:val="center"/>
      </w:pPr>
      <w:r>
        <w:drawing>
          <wp:inline distT="0" distB="0" distL="0" distR="0">
            <wp:extent cx="4717415" cy="2636520"/>
            <wp:effectExtent l="0" t="0" r="6985" b="1905"/>
            <wp:docPr id="5963799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79982" name="图片 1"/>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721068" cy="2638478"/>
                    </a:xfrm>
                    <a:prstGeom prst="rect">
                      <a:avLst/>
                    </a:prstGeom>
                  </pic:spPr>
                </pic:pic>
              </a:graphicData>
            </a:graphic>
          </wp:inline>
        </w:drawing>
      </w:r>
    </w:p>
    <w:p w14:paraId="7E8AB120">
      <w:pPr>
        <w:keepNext w:val="0"/>
        <w:keepLines w:val="0"/>
        <w:pageBreakBefore w:val="0"/>
        <w:widowControl/>
        <w:kinsoku/>
        <w:wordWrap/>
        <w:overflowPunct/>
        <w:topLinePunct w:val="0"/>
        <w:autoSpaceDE/>
        <w:autoSpaceDN/>
        <w:bidi w:val="0"/>
        <w:adjustRightInd/>
        <w:snapToGrid/>
        <w:spacing w:line="240" w:lineRule="auto"/>
        <w:ind w:firstLine="0"/>
        <w:jc w:val="both"/>
        <w:textAlignment w:val="auto"/>
      </w:pPr>
      <w:r>
        <w:rPr>
          <w:rFonts w:hint="eastAsia"/>
          <w:b/>
          <w:lang w:eastAsia="zh-CN"/>
        </w:rPr>
        <w:t>Supplementary Fig.</w:t>
      </w:r>
      <w:r>
        <w:rPr>
          <w:b/>
        </w:rPr>
        <w:t xml:space="preserve"> </w:t>
      </w:r>
      <w:r>
        <w:rPr>
          <w:rFonts w:hint="eastAsia"/>
          <w:b/>
          <w:lang w:val="en-US" w:eastAsia="zh-CN"/>
        </w:rPr>
        <w:t>19</w:t>
      </w:r>
      <w:r>
        <w:t xml:space="preserve"> | Biome affinity scores of the Bianfu cave profile and vegetation reconstruction results (TEDE: Warm-temperate mixed forest; WAMF: North subtropical mixed forest; WTFO: Middle subtropical broadleaf evergreen forest; CLEC: Cold-temperate evergreen conifer forest; COMX: Cool-temperate mixed forest; STEP: Cool-temperate steppe).</w:t>
      </w:r>
    </w:p>
    <w:p w14:paraId="5582F466">
      <w:pPr>
        <w:ind w:firstLine="0"/>
        <w:jc w:val="both"/>
        <w:rPr>
          <w:rFonts w:eastAsia="Times New Roman"/>
        </w:rPr>
      </w:pPr>
    </w:p>
    <w:p w14:paraId="249789E4">
      <w:pPr>
        <w:ind w:firstLine="0"/>
        <w:jc w:val="center"/>
        <w:rPr>
          <w:rFonts w:hint="eastAsia" w:eastAsia="宋体"/>
          <w:lang w:eastAsia="zh-CN"/>
        </w:rPr>
      </w:pPr>
      <w:r>
        <w:rPr>
          <w:rFonts w:hint="eastAsia" w:eastAsia="宋体"/>
          <w:lang w:eastAsia="zh-CN"/>
        </w:rPr>
        <w:drawing>
          <wp:inline distT="0" distB="0" distL="114300" distR="114300">
            <wp:extent cx="5222240" cy="5521960"/>
            <wp:effectExtent l="0" t="0" r="0" b="0"/>
            <wp:docPr id="7" name="图片 7" descr="Supplementary Fi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Supplementary Fig. 18"/>
                    <pic:cNvPicPr>
                      <a:picLocks noChangeAspect="1"/>
                    </pic:cNvPicPr>
                  </pic:nvPicPr>
                  <pic:blipFill>
                    <a:blip r:embed="rId36"/>
                    <a:srcRect l="951"/>
                    <a:stretch>
                      <a:fillRect/>
                    </a:stretch>
                  </pic:blipFill>
                  <pic:spPr>
                    <a:xfrm>
                      <a:off x="0" y="0"/>
                      <a:ext cx="5222240" cy="5521960"/>
                    </a:xfrm>
                    <a:prstGeom prst="rect">
                      <a:avLst/>
                    </a:prstGeom>
                  </pic:spPr>
                </pic:pic>
              </a:graphicData>
            </a:graphic>
          </wp:inline>
        </w:drawing>
      </w:r>
    </w:p>
    <w:p w14:paraId="0DDBD0C4">
      <w:pPr>
        <w:spacing w:line="240" w:lineRule="auto"/>
        <w:ind w:firstLine="0"/>
        <w:jc w:val="both"/>
        <w:rPr>
          <w:rFonts w:eastAsia="Times New Roman"/>
        </w:rPr>
      </w:pPr>
      <w:r>
        <w:rPr>
          <w:rFonts w:eastAsia="Times New Roman"/>
          <w:b/>
        </w:rPr>
        <w:t>Supplementary Fig</w:t>
      </w:r>
      <w:r>
        <w:rPr>
          <w:rFonts w:hint="eastAsia"/>
          <w:b/>
        </w:rPr>
        <w:t>.</w:t>
      </w:r>
      <w:r>
        <w:rPr>
          <w:rFonts w:eastAsia="Times New Roman"/>
          <w:b/>
        </w:rPr>
        <w:t xml:space="preserve"> </w:t>
      </w:r>
      <w:r>
        <w:rPr>
          <w:rFonts w:hint="eastAsia" w:eastAsia="宋体"/>
          <w:b/>
          <w:lang w:val="en-US" w:eastAsia="zh-CN"/>
        </w:rPr>
        <w:t>20</w:t>
      </w:r>
      <w:r>
        <w:rPr>
          <w:rFonts w:hint="eastAsia"/>
          <w:b/>
        </w:rPr>
        <w:t xml:space="preserve"> </w:t>
      </w:r>
      <w:r>
        <w:t>|</w:t>
      </w:r>
      <w:r>
        <w:rPr>
          <w:rFonts w:hint="eastAsia"/>
        </w:rPr>
        <w:t xml:space="preserve"> </w:t>
      </w:r>
      <w:r>
        <w:rPr>
          <w:rFonts w:eastAsia="Times New Roman"/>
        </w:rPr>
        <w:t>Bivariate plot of the canonical variate analyses (CVA) of the P</w:t>
      </w:r>
      <w:r>
        <w:rPr>
          <w:rFonts w:eastAsia="Times New Roman"/>
          <w:vertAlign w:val="subscript"/>
        </w:rPr>
        <w:t>4</w:t>
      </w:r>
      <w:r>
        <w:rPr>
          <w:rFonts w:eastAsia="Times New Roman"/>
        </w:rPr>
        <w:t xml:space="preserve"> EDJ shape of Bianfu Cave and other taxonomic groups. </w:t>
      </w:r>
    </w:p>
    <w:p w14:paraId="3D93299E">
      <w:pPr>
        <w:spacing w:line="240" w:lineRule="auto"/>
        <w:ind w:firstLine="0"/>
        <w:jc w:val="both"/>
        <w:rPr>
          <w:rFonts w:eastAsia="Times New Roman"/>
        </w:rPr>
      </w:pPr>
    </w:p>
    <w:p w14:paraId="40FBDE91">
      <w:pPr>
        <w:spacing w:line="240" w:lineRule="auto"/>
        <w:ind w:firstLine="0"/>
        <w:jc w:val="both"/>
        <w:rPr>
          <w:rFonts w:eastAsia="Times New Roman"/>
        </w:rPr>
      </w:pPr>
    </w:p>
    <w:p w14:paraId="44E4A886">
      <w:pPr>
        <w:ind w:firstLine="0"/>
        <w:jc w:val="center"/>
        <w:rPr>
          <w:rFonts w:eastAsia="Times New Roman"/>
        </w:rPr>
      </w:pPr>
    </w:p>
    <w:p w14:paraId="2F625775">
      <w:pPr>
        <w:ind w:firstLine="0"/>
        <w:jc w:val="center"/>
        <w:rPr>
          <w:rFonts w:eastAsia="Times New Roman"/>
        </w:rPr>
      </w:pPr>
    </w:p>
    <w:p w14:paraId="54E70FDC">
      <w:pPr>
        <w:spacing w:line="240" w:lineRule="auto"/>
        <w:ind w:firstLine="0"/>
        <w:jc w:val="center"/>
        <w:rPr>
          <w:rFonts w:hint="eastAsia" w:eastAsia="宋体"/>
          <w:b/>
          <w:lang w:eastAsia="zh-CN"/>
        </w:rPr>
      </w:pPr>
      <w:r>
        <w:rPr>
          <w:rFonts w:hint="eastAsia" w:eastAsia="宋体"/>
          <w:b/>
          <w:lang w:eastAsia="zh-CN"/>
        </w:rPr>
        <w:drawing>
          <wp:inline distT="0" distB="0" distL="114300" distR="114300">
            <wp:extent cx="5231765" cy="5267960"/>
            <wp:effectExtent l="0" t="0" r="0" b="0"/>
            <wp:docPr id="18" name="图片 18" descr="Supplementary Fi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Supplementary Fig. 19"/>
                    <pic:cNvPicPr>
                      <a:picLocks noChangeAspect="1"/>
                    </pic:cNvPicPr>
                  </pic:nvPicPr>
                  <pic:blipFill>
                    <a:blip r:embed="rId37"/>
                    <a:srcRect l="795"/>
                    <a:stretch>
                      <a:fillRect/>
                    </a:stretch>
                  </pic:blipFill>
                  <pic:spPr>
                    <a:xfrm>
                      <a:off x="0" y="0"/>
                      <a:ext cx="5231765" cy="5267960"/>
                    </a:xfrm>
                    <a:prstGeom prst="rect">
                      <a:avLst/>
                    </a:prstGeom>
                  </pic:spPr>
                </pic:pic>
              </a:graphicData>
            </a:graphic>
          </wp:inline>
        </w:drawing>
      </w:r>
    </w:p>
    <w:p w14:paraId="56B23669">
      <w:pPr>
        <w:spacing w:line="240" w:lineRule="auto"/>
        <w:ind w:firstLine="0"/>
        <w:jc w:val="left"/>
        <w:rPr>
          <w:iCs/>
        </w:rPr>
      </w:pPr>
      <w:r>
        <w:rPr>
          <w:rFonts w:eastAsia="Times New Roman"/>
          <w:b/>
        </w:rPr>
        <w:t>Supplementary Fig</w:t>
      </w:r>
      <w:r>
        <w:rPr>
          <w:rFonts w:hint="eastAsia"/>
          <w:b/>
        </w:rPr>
        <w:t>.</w:t>
      </w:r>
      <w:r>
        <w:rPr>
          <w:rFonts w:eastAsia="Times New Roman"/>
          <w:b/>
        </w:rPr>
        <w:t xml:space="preserve"> </w:t>
      </w:r>
      <w:r>
        <w:rPr>
          <w:rFonts w:hint="eastAsia" w:eastAsia="宋体"/>
          <w:b/>
          <w:lang w:val="en-US" w:eastAsia="zh-CN"/>
        </w:rPr>
        <w:t>21</w:t>
      </w:r>
      <w:r>
        <w:rPr>
          <w:rFonts w:hint="eastAsia"/>
          <w:b/>
        </w:rPr>
        <w:t xml:space="preserve"> </w:t>
      </w:r>
      <w:r>
        <w:t>|</w:t>
      </w:r>
      <w:r>
        <w:rPr>
          <w:rFonts w:eastAsia="Times New Roman"/>
        </w:rPr>
        <w:t xml:space="preserve"> Bivariate plot of the canonical variate analyses (CVA) of the M</w:t>
      </w:r>
      <w:r>
        <w:rPr>
          <w:rFonts w:eastAsia="Times New Roman"/>
          <w:vertAlign w:val="subscript"/>
        </w:rPr>
        <w:t>2</w:t>
      </w:r>
      <w:r>
        <w:rPr>
          <w:rFonts w:eastAsia="Times New Roman"/>
        </w:rPr>
        <w:t xml:space="preserve"> EDJ shape of Bianfu Cave and other taxonomic groups. </w:t>
      </w:r>
    </w:p>
    <w:p w14:paraId="650673D3">
      <w:pPr>
        <w:pStyle w:val="7"/>
        <w:jc w:val="center"/>
        <w:rPr>
          <w:rFonts w:hint="eastAsia" w:eastAsia="宋体"/>
          <w:b/>
          <w:bCs w:val="0"/>
          <w:lang w:eastAsia="zh-CN"/>
        </w:rPr>
      </w:pPr>
      <w:r>
        <w:rPr>
          <w:rFonts w:hint="eastAsia" w:eastAsia="宋体"/>
          <w:b/>
          <w:bCs w:val="0"/>
          <w:lang w:eastAsia="zh-CN"/>
        </w:rPr>
        <w:drawing>
          <wp:inline distT="0" distB="0" distL="114300" distR="114300">
            <wp:extent cx="5196840" cy="4504055"/>
            <wp:effectExtent l="0" t="0" r="3810" b="1270"/>
            <wp:docPr id="15" name="图片 15" descr="原料对比图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原料对比图_画板 1"/>
                    <pic:cNvPicPr>
                      <a:picLocks noChangeAspect="1"/>
                    </pic:cNvPicPr>
                  </pic:nvPicPr>
                  <pic:blipFill>
                    <a:blip r:embed="rId38"/>
                    <a:stretch>
                      <a:fillRect/>
                    </a:stretch>
                  </pic:blipFill>
                  <pic:spPr>
                    <a:xfrm>
                      <a:off x="0" y="0"/>
                      <a:ext cx="5196840" cy="4504055"/>
                    </a:xfrm>
                    <a:prstGeom prst="rect">
                      <a:avLst/>
                    </a:prstGeom>
                  </pic:spPr>
                </pic:pic>
              </a:graphicData>
            </a:graphic>
          </wp:inline>
        </w:drawing>
      </w:r>
    </w:p>
    <w:p w14:paraId="272A5865">
      <w:pPr>
        <w:pStyle w:val="7"/>
        <w:jc w:val="both"/>
        <w:rPr>
          <w:rFonts w:hint="eastAsia"/>
          <w:iCs/>
          <w:lang w:val="en-US" w:eastAsia="zh-CN"/>
        </w:rPr>
      </w:pPr>
      <w:r>
        <w:rPr>
          <w:rFonts w:hint="eastAsia"/>
          <w:b/>
          <w:bCs w:val="0"/>
          <w:lang w:eastAsia="zh-CN"/>
        </w:rPr>
        <w:t>Supplementary Fig.</w:t>
      </w:r>
      <w:r>
        <w:rPr>
          <w:b/>
          <w:bCs w:val="0"/>
          <w:highlight w:val="none"/>
        </w:rPr>
        <w:t xml:space="preserve"> </w:t>
      </w:r>
      <w:r>
        <w:rPr>
          <w:rFonts w:hint="eastAsia"/>
          <w:b/>
          <w:bCs w:val="0"/>
          <w:highlight w:val="none"/>
          <w:lang w:val="en-US" w:eastAsia="zh-CN"/>
        </w:rPr>
        <w:t>22</w:t>
      </w:r>
      <w:r>
        <w:rPr>
          <w:iCs/>
          <w:highlight w:val="none"/>
        </w:rPr>
        <w:t xml:space="preserve"> | </w:t>
      </w:r>
      <w:r>
        <w:rPr>
          <w:rFonts w:hint="eastAsia"/>
          <w:iCs/>
          <w:lang w:val="en-US" w:eastAsia="zh-CN"/>
        </w:rPr>
        <w:t xml:space="preserve">Raw material exploitation in the Bianfu Cave lithic assemblage. </w:t>
      </w:r>
      <w:r>
        <w:rPr>
          <w:rFonts w:hint="eastAsia"/>
          <w:b/>
          <w:bCs w:val="0"/>
          <w:iCs/>
          <w:lang w:val="en-US" w:eastAsia="zh-CN"/>
        </w:rPr>
        <w:t>a</w:t>
      </w:r>
      <w:r>
        <w:rPr>
          <w:rFonts w:hint="eastAsia"/>
          <w:iCs/>
          <w:lang w:val="en-US" w:eastAsia="zh-CN"/>
        </w:rPr>
        <w:t xml:space="preserve">, Raw material survey along the Yinhe River; </w:t>
      </w:r>
      <w:r>
        <w:rPr>
          <w:rFonts w:hint="eastAsia"/>
          <w:b/>
          <w:bCs w:val="0"/>
          <w:iCs/>
          <w:lang w:val="en-US" w:eastAsia="zh-CN"/>
        </w:rPr>
        <w:t>b</w:t>
      </w:r>
      <w:r>
        <w:rPr>
          <w:rFonts w:hint="eastAsia"/>
          <w:iCs/>
          <w:lang w:val="en-US" w:eastAsia="zh-CN"/>
        </w:rPr>
        <w:t>, Close-up view of the sampled area (50</w:t>
      </w:r>
      <w:r>
        <w:rPr>
          <w:rFonts w:hint="default" w:ascii="Times New Roman" w:hAnsi="Times New Roman" w:cs="Times New Roman"/>
          <w:iCs/>
          <w:lang w:val="en-US" w:eastAsia="zh-CN"/>
        </w:rPr>
        <w:t>×</w:t>
      </w:r>
      <w:r>
        <w:rPr>
          <w:rFonts w:hint="eastAsia"/>
          <w:iCs/>
          <w:lang w:val="en-US" w:eastAsia="zh-CN"/>
        </w:rPr>
        <w:t xml:space="preserve">50 cm) used for raw material documentation; </w:t>
      </w:r>
      <w:r>
        <w:rPr>
          <w:rFonts w:hint="eastAsia"/>
          <w:b/>
          <w:bCs w:val="0"/>
          <w:iCs/>
          <w:lang w:val="en-US" w:eastAsia="zh-CN"/>
        </w:rPr>
        <w:t>c</w:t>
      </w:r>
      <w:r>
        <w:rPr>
          <w:rFonts w:hint="eastAsia"/>
          <w:iCs/>
          <w:lang w:val="en-US" w:eastAsia="zh-CN"/>
        </w:rPr>
        <w:t xml:space="preserve">, Number of the different rock types recorded in the natural riverbed, note that only cobbles with a maximum length larger than 3 cm were recored; </w:t>
      </w:r>
      <w:r>
        <w:rPr>
          <w:rFonts w:hint="eastAsia"/>
          <w:b/>
          <w:bCs w:val="0"/>
          <w:iCs/>
          <w:lang w:val="en-US" w:eastAsia="zh-CN"/>
        </w:rPr>
        <w:t>d</w:t>
      </w:r>
      <w:r>
        <w:rPr>
          <w:rFonts w:hint="eastAsia"/>
          <w:iCs/>
          <w:lang w:val="en-US" w:eastAsia="zh-CN"/>
        </w:rPr>
        <w:t xml:space="preserve">, Number of the different raw material types in the archaeological assemblage. </w:t>
      </w:r>
    </w:p>
    <w:p w14:paraId="55416B03">
      <w:pPr>
        <w:ind w:firstLine="0"/>
        <w:jc w:val="center"/>
        <w:rPr>
          <w:rFonts w:hint="eastAsia" w:eastAsia="宋体"/>
          <w:iCs/>
          <w:lang w:eastAsia="zh-CN"/>
        </w:rPr>
      </w:pPr>
      <w:r>
        <w:rPr>
          <w:rFonts w:hint="eastAsia" w:eastAsia="宋体"/>
          <w:iCs/>
          <w:lang w:eastAsia="zh-CN"/>
        </w:rPr>
        <w:drawing>
          <wp:inline distT="0" distB="0" distL="114300" distR="114300">
            <wp:extent cx="5274310" cy="3955415"/>
            <wp:effectExtent l="0" t="0" r="2540" b="6985"/>
            <wp:docPr id="4" name="图片 4" descr="新-石核分层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新-石核分层统计"/>
                    <pic:cNvPicPr>
                      <a:picLocks noChangeAspect="1"/>
                    </pic:cNvPicPr>
                  </pic:nvPicPr>
                  <pic:blipFill>
                    <a:blip r:embed="rId39"/>
                    <a:stretch>
                      <a:fillRect/>
                    </a:stretch>
                  </pic:blipFill>
                  <pic:spPr>
                    <a:xfrm>
                      <a:off x="0" y="0"/>
                      <a:ext cx="5274310" cy="3955415"/>
                    </a:xfrm>
                    <a:prstGeom prst="rect">
                      <a:avLst/>
                    </a:prstGeom>
                  </pic:spPr>
                </pic:pic>
              </a:graphicData>
            </a:graphic>
          </wp:inline>
        </w:drawing>
      </w:r>
    </w:p>
    <w:p w14:paraId="259CBA16">
      <w:pPr>
        <w:pStyle w:val="7"/>
        <w:jc w:val="both"/>
        <w:rPr>
          <w:rFonts w:hint="default" w:eastAsia="宋体"/>
          <w:iCs/>
          <w:lang w:val="en-US" w:eastAsia="zh-CN"/>
        </w:rPr>
      </w:pPr>
      <w:r>
        <w:rPr>
          <w:rFonts w:hint="eastAsia"/>
          <w:b/>
          <w:bCs w:val="0"/>
          <w:lang w:eastAsia="zh-CN"/>
        </w:rPr>
        <w:t>Supplementary Fig.</w:t>
      </w:r>
      <w:r>
        <w:rPr>
          <w:b/>
          <w:bCs w:val="0"/>
        </w:rPr>
        <w:t xml:space="preserve"> </w:t>
      </w:r>
      <w:r>
        <w:rPr>
          <w:rFonts w:hint="eastAsia"/>
          <w:b/>
          <w:bCs w:val="0"/>
        </w:rPr>
        <w:t>2</w:t>
      </w:r>
      <w:r>
        <w:rPr>
          <w:rFonts w:hint="eastAsia"/>
          <w:b/>
          <w:bCs w:val="0"/>
          <w:lang w:val="en-US" w:eastAsia="zh-CN"/>
        </w:rPr>
        <w:t>3</w:t>
      </w:r>
      <w:r>
        <w:rPr>
          <w:iCs/>
        </w:rPr>
        <w:t xml:space="preserve"> | </w:t>
      </w:r>
      <w:r>
        <w:rPr>
          <w:rFonts w:hint="eastAsia"/>
          <w:iCs/>
          <w:lang w:val="en-US" w:eastAsia="zh-CN"/>
        </w:rPr>
        <w:t>A quantitative analysis of the technological and morphological attributes of complete cores (see Supplementary Table 21) from layers 3, 7 and 9. Result shows no statstical difference aross layers.</w:t>
      </w:r>
    </w:p>
    <w:p w14:paraId="5E388281">
      <w:pPr>
        <w:rPr>
          <w:iCs/>
        </w:rPr>
      </w:pPr>
    </w:p>
    <w:p w14:paraId="47456CB9">
      <w:pPr>
        <w:rPr>
          <w:iCs/>
        </w:rPr>
      </w:pPr>
    </w:p>
    <w:p w14:paraId="392D2262">
      <w:pPr>
        <w:rPr>
          <w:iCs/>
        </w:rPr>
      </w:pPr>
    </w:p>
    <w:p w14:paraId="43E84A27">
      <w:pPr>
        <w:rPr>
          <w:iCs/>
        </w:rPr>
      </w:pPr>
    </w:p>
    <w:p w14:paraId="1C1E1928">
      <w:pPr>
        <w:rPr>
          <w:iCs/>
        </w:rPr>
      </w:pPr>
    </w:p>
    <w:p w14:paraId="36ED2411">
      <w:pPr>
        <w:rPr>
          <w:iCs/>
        </w:rPr>
      </w:pPr>
    </w:p>
    <w:p w14:paraId="30CD8086">
      <w:pPr>
        <w:rPr>
          <w:iCs/>
        </w:rPr>
      </w:pPr>
    </w:p>
    <w:p w14:paraId="17A902CE">
      <w:pPr>
        <w:rPr>
          <w:iCs/>
        </w:rPr>
      </w:pPr>
    </w:p>
    <w:p w14:paraId="181A2612">
      <w:pPr>
        <w:rPr>
          <w:iCs/>
        </w:rPr>
      </w:pPr>
    </w:p>
    <w:p w14:paraId="6D8F6F56">
      <w:pPr>
        <w:rPr>
          <w:iCs/>
        </w:rPr>
      </w:pPr>
    </w:p>
    <w:p w14:paraId="0E828186">
      <w:pPr>
        <w:rPr>
          <w:iCs/>
        </w:rPr>
      </w:pPr>
    </w:p>
    <w:p w14:paraId="197EAA19">
      <w:pPr>
        <w:ind w:firstLine="0"/>
        <w:jc w:val="center"/>
        <w:rPr>
          <w:rFonts w:hint="eastAsia" w:eastAsia="宋体"/>
          <w:iCs/>
          <w:lang w:eastAsia="zh-CN"/>
        </w:rPr>
      </w:pPr>
      <w:r>
        <w:rPr>
          <w:rFonts w:hint="eastAsia" w:eastAsia="宋体"/>
          <w:iCs/>
          <w:lang w:eastAsia="zh-CN"/>
        </w:rPr>
        <w:drawing>
          <wp:inline distT="0" distB="0" distL="114300" distR="114300">
            <wp:extent cx="5274310" cy="3955415"/>
            <wp:effectExtent l="0" t="0" r="2540" b="6985"/>
            <wp:docPr id="5" name="图片 5" descr="新-石片分层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新-石片分层统计"/>
                    <pic:cNvPicPr>
                      <a:picLocks noChangeAspect="1"/>
                    </pic:cNvPicPr>
                  </pic:nvPicPr>
                  <pic:blipFill>
                    <a:blip r:embed="rId40"/>
                    <a:stretch>
                      <a:fillRect/>
                    </a:stretch>
                  </pic:blipFill>
                  <pic:spPr>
                    <a:xfrm>
                      <a:off x="0" y="0"/>
                      <a:ext cx="5274310" cy="3955415"/>
                    </a:xfrm>
                    <a:prstGeom prst="rect">
                      <a:avLst/>
                    </a:prstGeom>
                  </pic:spPr>
                </pic:pic>
              </a:graphicData>
            </a:graphic>
          </wp:inline>
        </w:drawing>
      </w:r>
    </w:p>
    <w:p w14:paraId="543F42E8">
      <w:pPr>
        <w:pStyle w:val="7"/>
        <w:jc w:val="both"/>
        <w:rPr>
          <w:rFonts w:hint="default" w:eastAsia="宋体"/>
          <w:iCs/>
          <w:lang w:val="en-US" w:eastAsia="zh-CN"/>
        </w:rPr>
      </w:pPr>
      <w:r>
        <w:rPr>
          <w:rFonts w:hint="eastAsia"/>
          <w:b/>
          <w:bCs w:val="0"/>
          <w:lang w:eastAsia="zh-CN"/>
        </w:rPr>
        <w:t>Supplementary Fig.</w:t>
      </w:r>
      <w:r>
        <w:rPr>
          <w:b/>
          <w:bCs w:val="0"/>
        </w:rPr>
        <w:t xml:space="preserve"> </w:t>
      </w:r>
      <w:r>
        <w:rPr>
          <w:rFonts w:hint="eastAsia"/>
          <w:b/>
          <w:bCs w:val="0"/>
        </w:rPr>
        <w:t>2</w:t>
      </w:r>
      <w:r>
        <w:rPr>
          <w:rFonts w:hint="eastAsia"/>
          <w:b/>
          <w:bCs w:val="0"/>
          <w:lang w:val="en-US" w:eastAsia="zh-CN"/>
        </w:rPr>
        <w:t>4</w:t>
      </w:r>
      <w:r>
        <w:rPr>
          <w:iCs/>
        </w:rPr>
        <w:t xml:space="preserve"> | </w:t>
      </w:r>
      <w:r>
        <w:rPr>
          <w:rFonts w:hint="eastAsia"/>
          <w:iCs/>
          <w:lang w:val="en-US" w:eastAsia="zh-CN"/>
        </w:rPr>
        <w:t>A quantitative analysis of the technological and morphological attributes of complete flakes (see Supplementary Table 22) from layers 3, 7 and 9. Result shows no statstical difference aross layers.</w:t>
      </w:r>
      <w:bookmarkStart w:id="30" w:name="_GoBack"/>
      <w:bookmarkEnd w:id="30"/>
    </w:p>
    <w:p w14:paraId="2F55BA2C">
      <w:pPr>
        <w:pStyle w:val="7"/>
        <w:rPr>
          <w:iCs/>
        </w:rPr>
      </w:pPr>
    </w:p>
    <w:p w14:paraId="0453250A">
      <w:pPr>
        <w:ind w:firstLine="0"/>
        <w:jc w:val="center"/>
        <w:rPr>
          <w:rFonts w:hint="eastAsia" w:eastAsia="宋体"/>
          <w:iCs/>
          <w:lang w:eastAsia="zh-CN"/>
        </w:rPr>
      </w:pPr>
    </w:p>
    <w:p w14:paraId="5BEABACB">
      <w:pPr>
        <w:jc w:val="center"/>
        <w:rPr>
          <w:iCs/>
        </w:rPr>
      </w:pPr>
      <w:r>
        <w:rPr>
          <w:iCs/>
        </w:rPr>
        <w:br w:type="column"/>
      </w:r>
      <w:r>
        <w:rPr>
          <w:iCs/>
        </w:rPr>
        <w:drawing>
          <wp:inline distT="0" distB="0" distL="0" distR="0">
            <wp:extent cx="4572000" cy="5486400"/>
            <wp:effectExtent l="0" t="0" r="0" b="0"/>
            <wp:docPr id="10814645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46450" name="图片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4572000" cy="5486400"/>
                    </a:xfrm>
                    <a:prstGeom prst="rect">
                      <a:avLst/>
                    </a:prstGeom>
                    <a:noFill/>
                    <a:ln>
                      <a:noFill/>
                    </a:ln>
                  </pic:spPr>
                </pic:pic>
              </a:graphicData>
            </a:graphic>
          </wp:inline>
        </w:drawing>
      </w:r>
    </w:p>
    <w:p w14:paraId="570CD749">
      <w:pPr>
        <w:pStyle w:val="7"/>
        <w:jc w:val="both"/>
      </w:pPr>
      <w:r>
        <w:rPr>
          <w:rFonts w:hint="eastAsia"/>
          <w:b/>
          <w:bCs w:val="0"/>
          <w:lang w:eastAsia="zh-CN"/>
        </w:rPr>
        <w:t>Supplementary Fig.</w:t>
      </w:r>
      <w:r>
        <w:rPr>
          <w:b/>
          <w:bCs w:val="0"/>
        </w:rPr>
        <w:t xml:space="preserve"> </w:t>
      </w:r>
      <w:r>
        <w:rPr>
          <w:rFonts w:hint="eastAsia"/>
          <w:b/>
          <w:bCs w:val="0"/>
        </w:rPr>
        <w:t>2</w:t>
      </w:r>
      <w:r>
        <w:rPr>
          <w:rFonts w:hint="eastAsia"/>
          <w:b/>
          <w:bCs w:val="0"/>
          <w:lang w:val="en-US" w:eastAsia="zh-CN"/>
        </w:rPr>
        <w:t>5</w:t>
      </w:r>
      <w:r>
        <w:rPr>
          <w:iCs/>
        </w:rPr>
        <w:t xml:space="preserve"> | </w:t>
      </w:r>
      <w:r>
        <w:rPr>
          <w:rFonts w:hint="eastAsia"/>
          <w:iCs/>
          <w:lang w:val="en-US" w:eastAsia="zh-CN"/>
        </w:rPr>
        <w:t xml:space="preserve">Frequency of core types in the Bianfu Cave lithic assemblage. </w:t>
      </w:r>
      <w:r>
        <w:rPr>
          <w:iCs/>
        </w:rPr>
        <w:t xml:space="preserve"> </w:t>
      </w:r>
    </w:p>
    <w:p w14:paraId="22ABE7AF">
      <w:pPr>
        <w:jc w:val="center"/>
        <w:rPr>
          <w:iCs/>
        </w:rPr>
      </w:pPr>
      <w:r>
        <w:rPr>
          <w:iCs/>
        </w:rPr>
        <w:br w:type="column"/>
      </w:r>
      <w:r>
        <w:rPr>
          <w:iCs/>
        </w:rPr>
        <w:drawing>
          <wp:inline distT="0" distB="0" distL="0" distR="0">
            <wp:extent cx="4572000" cy="5486400"/>
            <wp:effectExtent l="0" t="0" r="0" b="0"/>
            <wp:docPr id="4165673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567311" name="图片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4572000" cy="5486400"/>
                    </a:xfrm>
                    <a:prstGeom prst="rect">
                      <a:avLst/>
                    </a:prstGeom>
                    <a:noFill/>
                    <a:ln>
                      <a:noFill/>
                    </a:ln>
                  </pic:spPr>
                </pic:pic>
              </a:graphicData>
            </a:graphic>
          </wp:inline>
        </w:drawing>
      </w:r>
    </w:p>
    <w:p w14:paraId="37E3E816">
      <w:pPr>
        <w:pStyle w:val="7"/>
        <w:jc w:val="both"/>
      </w:pPr>
      <w:r>
        <w:rPr>
          <w:rFonts w:hint="eastAsia"/>
          <w:b/>
          <w:bCs w:val="0"/>
          <w:lang w:eastAsia="zh-CN"/>
        </w:rPr>
        <w:t>Supplementary Fig.</w:t>
      </w:r>
      <w:r>
        <w:rPr>
          <w:b/>
          <w:bCs w:val="0"/>
        </w:rPr>
        <w:t xml:space="preserve"> </w:t>
      </w:r>
      <w:r>
        <w:rPr>
          <w:rFonts w:hint="eastAsia"/>
          <w:b/>
          <w:bCs w:val="0"/>
        </w:rPr>
        <w:t>2</w:t>
      </w:r>
      <w:r>
        <w:rPr>
          <w:rFonts w:hint="eastAsia"/>
          <w:b/>
          <w:bCs w:val="0"/>
          <w:lang w:val="en-US" w:eastAsia="zh-CN"/>
        </w:rPr>
        <w:t>6</w:t>
      </w:r>
      <w:r>
        <w:t xml:space="preserve"> </w:t>
      </w:r>
      <w:r>
        <w:rPr>
          <w:iCs/>
        </w:rPr>
        <w:t xml:space="preserve">| </w:t>
      </w:r>
      <w:r>
        <w:rPr>
          <w:rFonts w:hint="eastAsia"/>
          <w:iCs/>
          <w:lang w:val="en-US" w:eastAsia="zh-CN"/>
        </w:rPr>
        <w:t xml:space="preserve">Frequency of flake types in the Bianfu Cave lithic assemblage. </w:t>
      </w:r>
      <w:r>
        <w:rPr>
          <w:iCs/>
        </w:rPr>
        <w:t xml:space="preserve"> </w:t>
      </w:r>
    </w:p>
    <w:p w14:paraId="3D4B60B8">
      <w:pPr>
        <w:ind w:firstLine="0"/>
        <w:jc w:val="center"/>
        <w:rPr>
          <w:iCs/>
        </w:rPr>
      </w:pPr>
      <w:r>
        <w:rPr>
          <w:iCs/>
        </w:rPr>
        <w:br w:type="column"/>
      </w:r>
      <w:r>
        <w:rPr>
          <w:iCs/>
        </w:rPr>
        <w:drawing>
          <wp:inline distT="0" distB="0" distL="0" distR="0">
            <wp:extent cx="3657600" cy="4572000"/>
            <wp:effectExtent l="0" t="0" r="0" b="0"/>
            <wp:docPr id="66217686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176865" name="图片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3657600" cy="4572000"/>
                    </a:xfrm>
                    <a:prstGeom prst="rect">
                      <a:avLst/>
                    </a:prstGeom>
                    <a:noFill/>
                    <a:ln>
                      <a:noFill/>
                    </a:ln>
                  </pic:spPr>
                </pic:pic>
              </a:graphicData>
            </a:graphic>
          </wp:inline>
        </w:drawing>
      </w:r>
    </w:p>
    <w:p w14:paraId="0FCA4CB0">
      <w:pPr>
        <w:pStyle w:val="7"/>
        <w:jc w:val="both"/>
      </w:pPr>
      <w:r>
        <w:rPr>
          <w:rFonts w:hint="eastAsia"/>
          <w:b/>
          <w:bCs w:val="0"/>
          <w:lang w:eastAsia="zh-CN"/>
        </w:rPr>
        <w:t>Supplementary Fig.</w:t>
      </w:r>
      <w:r>
        <w:rPr>
          <w:b/>
          <w:bCs w:val="0"/>
        </w:rPr>
        <w:t xml:space="preserve"> </w:t>
      </w:r>
      <w:r>
        <w:rPr>
          <w:rFonts w:hint="eastAsia"/>
          <w:b/>
          <w:bCs w:val="0"/>
        </w:rPr>
        <w:t>2</w:t>
      </w:r>
      <w:r>
        <w:rPr>
          <w:rFonts w:hint="eastAsia"/>
          <w:b/>
          <w:bCs w:val="0"/>
          <w:lang w:val="en-US" w:eastAsia="zh-CN"/>
        </w:rPr>
        <w:t>7</w:t>
      </w:r>
      <w:r>
        <w:rPr>
          <w:iCs/>
        </w:rPr>
        <w:t xml:space="preserve"> | </w:t>
      </w:r>
      <w:r>
        <w:rPr>
          <w:rFonts w:hint="eastAsia"/>
          <w:iCs/>
          <w:lang w:val="en-US" w:eastAsia="zh-CN"/>
        </w:rPr>
        <w:t xml:space="preserve">Frequency of tool types in the Bianfu Cave lithic assemblage. </w:t>
      </w:r>
      <w:r>
        <w:rPr>
          <w:iCs/>
        </w:rPr>
        <w:t xml:space="preserve"> </w:t>
      </w:r>
    </w:p>
    <w:p w14:paraId="5EECA73F">
      <w:pPr>
        <w:ind w:firstLine="0"/>
        <w:jc w:val="center"/>
        <w:rPr>
          <w:iCs/>
        </w:rPr>
      </w:pPr>
      <w:r>
        <w:rPr>
          <w:iCs/>
        </w:rPr>
        <w:br w:type="column"/>
      </w:r>
      <w:r>
        <w:rPr>
          <w:iCs/>
        </w:rPr>
        <w:drawing>
          <wp:inline distT="0" distB="0" distL="0" distR="0">
            <wp:extent cx="5248275" cy="7032625"/>
            <wp:effectExtent l="0" t="0" r="0" b="0"/>
            <wp:docPr id="79888473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884737" name="图片 5"/>
                    <pic:cNvPicPr>
                      <a:picLocks noChangeAspect="1" noChangeArrowheads="1"/>
                    </pic:cNvPicPr>
                  </pic:nvPicPr>
                  <pic:blipFill>
                    <a:blip r:embed="rId44">
                      <a:extLst>
                        <a:ext uri="{28A0092B-C50C-407E-A947-70E740481C1C}">
                          <a14:useLocalDpi xmlns:a14="http://schemas.microsoft.com/office/drawing/2010/main" val="0"/>
                        </a:ext>
                      </a:extLst>
                    </a:blip>
                    <a:srcRect l="494"/>
                    <a:stretch>
                      <a:fillRect/>
                    </a:stretch>
                  </pic:blipFill>
                  <pic:spPr>
                    <a:xfrm>
                      <a:off x="0" y="0"/>
                      <a:ext cx="5248275" cy="7032625"/>
                    </a:xfrm>
                    <a:prstGeom prst="rect">
                      <a:avLst/>
                    </a:prstGeom>
                    <a:noFill/>
                    <a:ln>
                      <a:noFill/>
                    </a:ln>
                  </pic:spPr>
                </pic:pic>
              </a:graphicData>
            </a:graphic>
          </wp:inline>
        </w:drawing>
      </w:r>
    </w:p>
    <w:p w14:paraId="37D8F547">
      <w:pPr>
        <w:pStyle w:val="7"/>
        <w:jc w:val="both"/>
      </w:pPr>
      <w:r>
        <w:rPr>
          <w:rFonts w:hint="eastAsia"/>
          <w:b/>
          <w:bCs w:val="0"/>
          <w:lang w:eastAsia="zh-CN"/>
        </w:rPr>
        <w:t>Supplementary Fig.</w:t>
      </w:r>
      <w:r>
        <w:rPr>
          <w:b/>
          <w:bCs w:val="0"/>
        </w:rPr>
        <w:t xml:space="preserve"> </w:t>
      </w:r>
      <w:r>
        <w:rPr>
          <w:rFonts w:hint="eastAsia"/>
          <w:b/>
          <w:bCs w:val="0"/>
        </w:rPr>
        <w:t>2</w:t>
      </w:r>
      <w:r>
        <w:rPr>
          <w:rFonts w:hint="eastAsia"/>
          <w:b/>
          <w:bCs w:val="0"/>
          <w:lang w:val="en-US" w:eastAsia="zh-CN"/>
        </w:rPr>
        <w:t>8</w:t>
      </w:r>
      <w:r>
        <w:t xml:space="preserve"> | </w:t>
      </w:r>
      <w:r>
        <w:rPr>
          <w:rFonts w:hint="eastAsia"/>
          <w:lang w:val="en-US" w:eastAsia="zh-CN"/>
        </w:rPr>
        <w:t xml:space="preserve">Boxplots of length, width, and thickness distributions across core types in the Bianfu Cave lithic assemblage. </w:t>
      </w:r>
      <w:r>
        <w:t xml:space="preserve"> </w:t>
      </w:r>
    </w:p>
    <w:p w14:paraId="19467305">
      <w:pPr>
        <w:ind w:firstLine="0"/>
        <w:jc w:val="center"/>
        <w:rPr>
          <w:iCs/>
        </w:rPr>
      </w:pPr>
      <w:r>
        <w:rPr>
          <w:iCs/>
        </w:rPr>
        <w:br w:type="column"/>
      </w:r>
      <w:r>
        <w:rPr>
          <w:iCs/>
        </w:rPr>
        <w:drawing>
          <wp:inline distT="0" distB="0" distL="0" distR="0">
            <wp:extent cx="4572000" cy="5486400"/>
            <wp:effectExtent l="0" t="0" r="0" b="0"/>
            <wp:docPr id="116255577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555778" name="图片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4572000" cy="5486400"/>
                    </a:xfrm>
                    <a:prstGeom prst="rect">
                      <a:avLst/>
                    </a:prstGeom>
                    <a:noFill/>
                    <a:ln>
                      <a:noFill/>
                    </a:ln>
                  </pic:spPr>
                </pic:pic>
              </a:graphicData>
            </a:graphic>
          </wp:inline>
        </w:drawing>
      </w:r>
    </w:p>
    <w:p w14:paraId="3EB75292">
      <w:pPr>
        <w:pStyle w:val="7"/>
        <w:jc w:val="both"/>
        <w:rPr>
          <w:iCs/>
        </w:rPr>
      </w:pPr>
      <w:r>
        <w:rPr>
          <w:rFonts w:hint="eastAsia"/>
          <w:b/>
          <w:bCs w:val="0"/>
          <w:lang w:eastAsia="zh-CN"/>
        </w:rPr>
        <w:t>Supplementary Fig.</w:t>
      </w:r>
      <w:r>
        <w:rPr>
          <w:b/>
          <w:bCs w:val="0"/>
        </w:rPr>
        <w:t xml:space="preserve"> </w:t>
      </w:r>
      <w:r>
        <w:rPr>
          <w:rFonts w:hint="eastAsia"/>
          <w:b/>
          <w:bCs w:val="0"/>
        </w:rPr>
        <w:t>2</w:t>
      </w:r>
      <w:r>
        <w:rPr>
          <w:rFonts w:hint="eastAsia"/>
          <w:b/>
          <w:bCs w:val="0"/>
          <w:lang w:val="en-US" w:eastAsia="zh-CN"/>
        </w:rPr>
        <w:t>9</w:t>
      </w:r>
      <w:r>
        <w:t xml:space="preserve"> | </w:t>
      </w:r>
      <w:r>
        <w:rPr>
          <w:rFonts w:hint="eastAsia"/>
          <w:lang w:val="en-US" w:eastAsia="zh-CN"/>
        </w:rPr>
        <w:t xml:space="preserve">Percentage composition of cortex on cores in the Bianfu Cave lithic assemblage. Raw data for individual specimen cortex percentages are available in the online Excel file at </w:t>
      </w:r>
      <w:r>
        <w:rPr>
          <w:rFonts w:hint="eastAsia"/>
          <w:sz w:val="24"/>
          <w:szCs w:val="24"/>
          <w:lang w:val="en-GB"/>
        </w:rPr>
        <w:t>https://doi.org/10.17605/OSF.IO/PFWNR</w:t>
      </w:r>
      <w:r>
        <w:rPr>
          <w:rFonts w:hint="eastAsia"/>
          <w:lang w:val="en-US" w:eastAsia="zh-CN"/>
        </w:rPr>
        <w:t xml:space="preserve">. </w:t>
      </w:r>
      <w:r>
        <w:t xml:space="preserve"> </w:t>
      </w:r>
      <w:r>
        <w:rPr>
          <w:iCs/>
        </w:rPr>
        <w:br w:type="column"/>
      </w:r>
      <w:r>
        <w:rPr>
          <w:iCs/>
        </w:rPr>
        <w:drawing>
          <wp:inline distT="0" distB="0" distL="0" distR="0">
            <wp:extent cx="5274310" cy="5221605"/>
            <wp:effectExtent l="0" t="0" r="0" b="0"/>
            <wp:docPr id="18465286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52865" name="图片 8"/>
                    <pic:cNvPicPr>
                      <a:picLocks noChangeAspect="1" noChangeArrowheads="1"/>
                    </pic:cNvPicPr>
                  </pic:nvPicPr>
                  <pic:blipFill>
                    <a:blip r:embed="rId46">
                      <a:extLst>
                        <a:ext uri="{28A0092B-C50C-407E-A947-70E740481C1C}">
                          <a14:useLocalDpi xmlns:a14="http://schemas.microsoft.com/office/drawing/2010/main" val="0"/>
                        </a:ext>
                      </a:extLst>
                    </a:blip>
                    <a:srcRect b="999"/>
                    <a:stretch>
                      <a:fillRect/>
                    </a:stretch>
                  </pic:blipFill>
                  <pic:spPr>
                    <a:xfrm>
                      <a:off x="0" y="0"/>
                      <a:ext cx="5274310" cy="5221605"/>
                    </a:xfrm>
                    <a:prstGeom prst="rect">
                      <a:avLst/>
                    </a:prstGeom>
                    <a:noFill/>
                    <a:ln>
                      <a:noFill/>
                    </a:ln>
                  </pic:spPr>
                </pic:pic>
              </a:graphicData>
            </a:graphic>
          </wp:inline>
        </w:drawing>
      </w:r>
    </w:p>
    <w:p w14:paraId="5FCDB555">
      <w:pPr>
        <w:pStyle w:val="7"/>
        <w:jc w:val="both"/>
      </w:pPr>
      <w:r>
        <w:rPr>
          <w:rFonts w:hint="eastAsia"/>
          <w:b/>
          <w:bCs w:val="0"/>
          <w:lang w:eastAsia="zh-CN"/>
        </w:rPr>
        <w:t>Supplementary Fig.</w:t>
      </w:r>
      <w:r>
        <w:rPr>
          <w:b/>
          <w:bCs w:val="0"/>
        </w:rPr>
        <w:t xml:space="preserve"> </w:t>
      </w:r>
      <w:r>
        <w:rPr>
          <w:rFonts w:hint="eastAsia"/>
          <w:b/>
          <w:bCs w:val="0"/>
          <w:lang w:val="en-US" w:eastAsia="zh-CN"/>
        </w:rPr>
        <w:t>30</w:t>
      </w:r>
      <w:r>
        <w:t xml:space="preserve"> | </w:t>
      </w:r>
      <w:r>
        <w:rPr>
          <w:rFonts w:hint="eastAsia"/>
          <w:lang w:val="en-US" w:eastAsia="zh-CN"/>
        </w:rPr>
        <w:t xml:space="preserve">Percentage composition of flaking patterns on cores in the Bianfu Cave lithic assemblage. </w:t>
      </w:r>
      <w:r>
        <w:t xml:space="preserve"> </w:t>
      </w:r>
    </w:p>
    <w:p w14:paraId="71B278C2">
      <w:pPr>
        <w:rPr>
          <w:iCs/>
        </w:rPr>
      </w:pPr>
    </w:p>
    <w:p w14:paraId="66CFA67B">
      <w:pPr>
        <w:ind w:firstLine="0"/>
        <w:rPr>
          <w:iCs/>
        </w:rPr>
      </w:pPr>
      <w:r>
        <w:rPr>
          <w:iCs/>
        </w:rPr>
        <w:br w:type="column"/>
      </w:r>
      <w:r>
        <w:rPr>
          <w:iCs/>
        </w:rPr>
        <w:drawing>
          <wp:inline distT="0" distB="0" distL="0" distR="0">
            <wp:extent cx="5274310" cy="5274310"/>
            <wp:effectExtent l="0" t="0" r="2540" b="2540"/>
            <wp:docPr id="198439624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396240" name="图片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5274310" cy="5274310"/>
                    </a:xfrm>
                    <a:prstGeom prst="rect">
                      <a:avLst/>
                    </a:prstGeom>
                    <a:noFill/>
                    <a:ln>
                      <a:noFill/>
                    </a:ln>
                  </pic:spPr>
                </pic:pic>
              </a:graphicData>
            </a:graphic>
          </wp:inline>
        </w:drawing>
      </w:r>
    </w:p>
    <w:p w14:paraId="4732AE33">
      <w:pPr>
        <w:pStyle w:val="7"/>
        <w:jc w:val="both"/>
      </w:pPr>
      <w:r>
        <w:rPr>
          <w:rFonts w:hint="eastAsia"/>
          <w:b/>
          <w:bCs w:val="0"/>
          <w:lang w:eastAsia="zh-CN"/>
        </w:rPr>
        <w:t>Supplementary Fig.</w:t>
      </w:r>
      <w:r>
        <w:rPr>
          <w:b/>
          <w:bCs w:val="0"/>
        </w:rPr>
        <w:t xml:space="preserve"> </w:t>
      </w:r>
      <w:r>
        <w:rPr>
          <w:rFonts w:hint="eastAsia"/>
          <w:b/>
          <w:bCs w:val="0"/>
          <w:lang w:val="en-US" w:eastAsia="zh-CN"/>
        </w:rPr>
        <w:t>31</w:t>
      </w:r>
      <w:r>
        <w:t xml:space="preserve"> | </w:t>
      </w:r>
      <w:r>
        <w:rPr>
          <w:rFonts w:hint="eastAsia"/>
          <w:lang w:val="en-US" w:eastAsia="zh-CN"/>
        </w:rPr>
        <w:t xml:space="preserve">Boxplots of platform angle and scar number across core types in the Bianfu Cave lithic assemblage. </w:t>
      </w:r>
      <w:r>
        <w:t xml:space="preserve"> </w:t>
      </w:r>
    </w:p>
    <w:p w14:paraId="7E51BB7B">
      <w:pPr>
        <w:ind w:firstLine="0"/>
        <w:rPr>
          <w:iCs/>
        </w:rPr>
      </w:pPr>
      <w:r>
        <w:rPr>
          <w:iCs/>
        </w:rPr>
        <w:br w:type="column"/>
      </w:r>
      <w:r>
        <w:rPr>
          <w:iCs/>
        </w:rPr>
        <w:drawing>
          <wp:inline distT="0" distB="0" distL="0" distR="0">
            <wp:extent cx="5274310" cy="3956050"/>
            <wp:effectExtent l="0" t="0" r="2540" b="6350"/>
            <wp:docPr id="52874685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746851" name="图片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5274310" cy="3956050"/>
                    </a:xfrm>
                    <a:prstGeom prst="rect">
                      <a:avLst/>
                    </a:prstGeom>
                    <a:noFill/>
                    <a:ln>
                      <a:noFill/>
                    </a:ln>
                  </pic:spPr>
                </pic:pic>
              </a:graphicData>
            </a:graphic>
          </wp:inline>
        </w:drawing>
      </w:r>
    </w:p>
    <w:p w14:paraId="20925F89">
      <w:pPr>
        <w:pStyle w:val="7"/>
        <w:jc w:val="both"/>
      </w:pPr>
      <w:r>
        <w:rPr>
          <w:rFonts w:hint="eastAsia"/>
          <w:b/>
          <w:bCs w:val="0"/>
          <w:lang w:eastAsia="zh-CN"/>
        </w:rPr>
        <w:t>Supplementary Fig.</w:t>
      </w:r>
      <w:r>
        <w:rPr>
          <w:b/>
          <w:bCs w:val="0"/>
        </w:rPr>
        <w:t xml:space="preserve"> </w:t>
      </w:r>
      <w:r>
        <w:rPr>
          <w:rFonts w:hint="eastAsia"/>
          <w:b/>
          <w:bCs w:val="0"/>
          <w:lang w:val="en-US" w:eastAsia="zh-CN"/>
        </w:rPr>
        <w:t>32</w:t>
      </w:r>
      <w:r>
        <w:t xml:space="preserve"> | </w:t>
      </w:r>
      <w:r>
        <w:rPr>
          <w:rFonts w:hint="eastAsia"/>
          <w:lang w:val="en-US" w:eastAsia="zh-CN"/>
        </w:rPr>
        <w:t xml:space="preserve">Boxplots of length, width, and thickness distributions across flake types in the Bianfu Cave lithic assemblage. </w:t>
      </w:r>
      <w:r>
        <w:t xml:space="preserve"> </w:t>
      </w:r>
    </w:p>
    <w:p w14:paraId="2A67DC5E">
      <w:pPr>
        <w:ind w:firstLine="0"/>
        <w:jc w:val="center"/>
        <w:rPr>
          <w:iCs/>
        </w:rPr>
      </w:pPr>
      <w:r>
        <w:rPr>
          <w:iCs/>
        </w:rPr>
        <w:br w:type="column"/>
      </w:r>
      <w:r>
        <w:rPr>
          <w:iCs/>
        </w:rPr>
        <w:drawing>
          <wp:inline distT="0" distB="0" distL="0" distR="0">
            <wp:extent cx="4572000" cy="5486400"/>
            <wp:effectExtent l="0" t="0" r="0" b="0"/>
            <wp:docPr id="76182231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822311" name="图片 1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4572000" cy="5486400"/>
                    </a:xfrm>
                    <a:prstGeom prst="rect">
                      <a:avLst/>
                    </a:prstGeom>
                    <a:noFill/>
                    <a:ln>
                      <a:noFill/>
                    </a:ln>
                  </pic:spPr>
                </pic:pic>
              </a:graphicData>
            </a:graphic>
          </wp:inline>
        </w:drawing>
      </w:r>
    </w:p>
    <w:p w14:paraId="6D7DD491">
      <w:pPr>
        <w:pStyle w:val="7"/>
        <w:jc w:val="both"/>
      </w:pPr>
      <w:r>
        <w:rPr>
          <w:rFonts w:hint="eastAsia"/>
          <w:b/>
          <w:bCs w:val="0"/>
          <w:lang w:eastAsia="zh-CN"/>
        </w:rPr>
        <w:t>Supplementary Fig.</w:t>
      </w:r>
      <w:r>
        <w:rPr>
          <w:b/>
          <w:bCs w:val="0"/>
        </w:rPr>
        <w:t xml:space="preserve"> </w:t>
      </w:r>
      <w:r>
        <w:rPr>
          <w:rFonts w:hint="eastAsia"/>
          <w:b/>
          <w:bCs w:val="0"/>
          <w:lang w:val="en-US" w:eastAsia="zh-CN"/>
        </w:rPr>
        <w:t>33</w:t>
      </w:r>
      <w:r>
        <w:t xml:space="preserve"> | </w:t>
      </w:r>
      <w:r>
        <w:rPr>
          <w:rFonts w:hint="eastAsia"/>
          <w:lang w:val="en-US" w:eastAsia="zh-CN"/>
        </w:rPr>
        <w:t xml:space="preserve">Percentage composition of cortex on flakes in the Bianfu Cave lithic assemblage. </w:t>
      </w:r>
      <w:r>
        <w:t xml:space="preserve"> </w:t>
      </w:r>
    </w:p>
    <w:p w14:paraId="0F50B763">
      <w:pPr>
        <w:rPr>
          <w:iCs/>
        </w:rPr>
      </w:pPr>
    </w:p>
    <w:p w14:paraId="26981C6B">
      <w:pPr>
        <w:ind w:firstLine="0"/>
        <w:rPr>
          <w:iCs/>
        </w:rPr>
      </w:pPr>
      <w:r>
        <w:rPr>
          <w:iCs/>
        </w:rPr>
        <w:br w:type="column"/>
      </w:r>
      <w:r>
        <w:rPr>
          <w:iCs/>
        </w:rPr>
        <w:drawing>
          <wp:inline distT="0" distB="0" distL="0" distR="0">
            <wp:extent cx="5274310" cy="4615180"/>
            <wp:effectExtent l="0" t="0" r="2540" b="4445"/>
            <wp:docPr id="1748597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5979" name="图片 1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5274310" cy="4615180"/>
                    </a:xfrm>
                    <a:prstGeom prst="rect">
                      <a:avLst/>
                    </a:prstGeom>
                    <a:noFill/>
                    <a:ln>
                      <a:noFill/>
                    </a:ln>
                  </pic:spPr>
                </pic:pic>
              </a:graphicData>
            </a:graphic>
          </wp:inline>
        </w:drawing>
      </w:r>
    </w:p>
    <w:p w14:paraId="34870B57">
      <w:pPr>
        <w:pStyle w:val="7"/>
        <w:jc w:val="both"/>
      </w:pPr>
      <w:r>
        <w:rPr>
          <w:rFonts w:hint="eastAsia"/>
          <w:b/>
          <w:bCs w:val="0"/>
          <w:lang w:eastAsia="zh-CN"/>
        </w:rPr>
        <w:t>Supplementary Fig.</w:t>
      </w:r>
      <w:r>
        <w:rPr>
          <w:b/>
          <w:bCs w:val="0"/>
        </w:rPr>
        <w:t xml:space="preserve"> </w:t>
      </w:r>
      <w:r>
        <w:rPr>
          <w:rFonts w:hint="eastAsia"/>
          <w:b/>
          <w:bCs w:val="0"/>
        </w:rPr>
        <w:t>3</w:t>
      </w:r>
      <w:r>
        <w:rPr>
          <w:rFonts w:hint="eastAsia"/>
          <w:b/>
          <w:bCs w:val="0"/>
          <w:lang w:val="en-US" w:eastAsia="zh-CN"/>
        </w:rPr>
        <w:t>4</w:t>
      </w:r>
      <w:r>
        <w:t xml:space="preserve"> | </w:t>
      </w:r>
      <w:r>
        <w:rPr>
          <w:rFonts w:hint="eastAsia"/>
          <w:lang w:val="en-US" w:eastAsia="zh-CN"/>
        </w:rPr>
        <w:t xml:space="preserve">Percentage composition of platform types on flakes in the Bianfu Cave lithic assemblage. </w:t>
      </w:r>
      <w:r>
        <w:t xml:space="preserve"> </w:t>
      </w:r>
    </w:p>
    <w:p w14:paraId="3BCAD39C">
      <w:pPr>
        <w:rPr>
          <w:iCs/>
        </w:rPr>
      </w:pPr>
    </w:p>
    <w:p w14:paraId="6F24DAB1">
      <w:pPr>
        <w:ind w:firstLine="0"/>
        <w:rPr>
          <w:iCs/>
        </w:rPr>
      </w:pPr>
      <w:r>
        <w:rPr>
          <w:iCs/>
        </w:rPr>
        <w:br w:type="column"/>
      </w:r>
      <w:r>
        <w:rPr>
          <w:iCs/>
        </w:rPr>
        <w:drawing>
          <wp:inline distT="0" distB="0" distL="0" distR="0">
            <wp:extent cx="5274310" cy="5274310"/>
            <wp:effectExtent l="0" t="0" r="2540" b="2540"/>
            <wp:docPr id="66841673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416731" name="图片 1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5274310" cy="5274310"/>
                    </a:xfrm>
                    <a:prstGeom prst="rect">
                      <a:avLst/>
                    </a:prstGeom>
                    <a:noFill/>
                    <a:ln>
                      <a:noFill/>
                    </a:ln>
                  </pic:spPr>
                </pic:pic>
              </a:graphicData>
            </a:graphic>
          </wp:inline>
        </w:drawing>
      </w:r>
    </w:p>
    <w:p w14:paraId="73E69C07">
      <w:pPr>
        <w:pStyle w:val="7"/>
        <w:jc w:val="both"/>
      </w:pPr>
      <w:r>
        <w:rPr>
          <w:rFonts w:hint="eastAsia"/>
          <w:b/>
          <w:bCs w:val="0"/>
          <w:lang w:eastAsia="zh-CN"/>
        </w:rPr>
        <w:t>Supplementary Fig.</w:t>
      </w:r>
      <w:r>
        <w:rPr>
          <w:b/>
          <w:bCs w:val="0"/>
        </w:rPr>
        <w:t xml:space="preserve"> </w:t>
      </w:r>
      <w:r>
        <w:rPr>
          <w:rFonts w:hint="eastAsia"/>
          <w:b/>
          <w:bCs w:val="0"/>
        </w:rPr>
        <w:t>3</w:t>
      </w:r>
      <w:r>
        <w:rPr>
          <w:rFonts w:hint="eastAsia"/>
          <w:b/>
          <w:bCs w:val="0"/>
          <w:lang w:val="en-US" w:eastAsia="zh-CN"/>
        </w:rPr>
        <w:t>5</w:t>
      </w:r>
      <w:r>
        <w:t xml:space="preserve"> | </w:t>
      </w:r>
      <w:r>
        <w:rPr>
          <w:rFonts w:hint="eastAsia"/>
          <w:lang w:val="en-US" w:eastAsia="zh-CN"/>
        </w:rPr>
        <w:t xml:space="preserve">Percentage composition of termination morphology of flakes in the Bianfu Cave lithic assemblage. </w:t>
      </w:r>
    </w:p>
    <w:p w14:paraId="70FCAFC0">
      <w:pPr>
        <w:rPr>
          <w:iCs/>
        </w:rPr>
      </w:pPr>
    </w:p>
    <w:p w14:paraId="28EF58A8">
      <w:pPr>
        <w:ind w:firstLine="0"/>
        <w:rPr>
          <w:iCs/>
        </w:rPr>
      </w:pPr>
      <w:r>
        <w:rPr>
          <w:iCs/>
        </w:rPr>
        <w:br w:type="column"/>
      </w:r>
      <w:r>
        <w:rPr>
          <w:iCs/>
        </w:rPr>
        <w:drawing>
          <wp:inline distT="0" distB="0" distL="0" distR="0">
            <wp:extent cx="5274310" cy="4520565"/>
            <wp:effectExtent l="0" t="0" r="2540" b="3810"/>
            <wp:docPr id="1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5274310" cy="4520565"/>
                    </a:xfrm>
                    <a:prstGeom prst="rect">
                      <a:avLst/>
                    </a:prstGeom>
                    <a:noFill/>
                    <a:ln>
                      <a:noFill/>
                    </a:ln>
                  </pic:spPr>
                </pic:pic>
              </a:graphicData>
            </a:graphic>
          </wp:inline>
        </w:drawing>
      </w:r>
    </w:p>
    <w:p w14:paraId="0128DAE9">
      <w:pPr>
        <w:pStyle w:val="7"/>
        <w:jc w:val="both"/>
      </w:pPr>
      <w:r>
        <w:rPr>
          <w:rFonts w:hint="eastAsia"/>
          <w:b/>
          <w:bCs w:val="0"/>
          <w:lang w:eastAsia="zh-CN"/>
        </w:rPr>
        <w:t>Supplementary Fig.</w:t>
      </w:r>
      <w:r>
        <w:rPr>
          <w:b/>
          <w:bCs w:val="0"/>
        </w:rPr>
        <w:t xml:space="preserve"> </w:t>
      </w:r>
      <w:r>
        <w:rPr>
          <w:rFonts w:hint="eastAsia"/>
          <w:b/>
          <w:bCs w:val="0"/>
        </w:rPr>
        <w:t>3</w:t>
      </w:r>
      <w:r>
        <w:rPr>
          <w:rFonts w:hint="eastAsia"/>
          <w:b/>
          <w:bCs w:val="0"/>
          <w:lang w:val="en-US" w:eastAsia="zh-CN"/>
        </w:rPr>
        <w:t>6</w:t>
      </w:r>
      <w:r>
        <w:t xml:space="preserve"> | </w:t>
      </w:r>
      <w:r>
        <w:rPr>
          <w:rFonts w:hint="eastAsia"/>
          <w:lang w:val="en-US" w:eastAsia="zh-CN"/>
        </w:rPr>
        <w:t xml:space="preserve">Platform size (width and depth) of flakes in the Bianfu Cave lithic assemblage. </w:t>
      </w:r>
      <w:r>
        <w:t xml:space="preserve"> </w:t>
      </w:r>
    </w:p>
    <w:p w14:paraId="1762C0C3">
      <w:pPr>
        <w:ind w:firstLine="0"/>
        <w:jc w:val="both"/>
        <w:rPr>
          <w:iCs/>
        </w:rPr>
      </w:pPr>
      <w:r>
        <w:rPr>
          <w:iCs/>
        </w:rPr>
        <w:br w:type="column"/>
      </w:r>
      <w:r>
        <w:rPr>
          <w:iCs/>
        </w:rPr>
        <w:drawing>
          <wp:inline distT="0" distB="0" distL="0" distR="0">
            <wp:extent cx="5274310" cy="3956050"/>
            <wp:effectExtent l="0" t="0" r="2540" b="6350"/>
            <wp:docPr id="197142781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427814" name="图片 1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5274310" cy="3956050"/>
                    </a:xfrm>
                    <a:prstGeom prst="rect">
                      <a:avLst/>
                    </a:prstGeom>
                    <a:noFill/>
                    <a:ln>
                      <a:noFill/>
                    </a:ln>
                  </pic:spPr>
                </pic:pic>
              </a:graphicData>
            </a:graphic>
          </wp:inline>
        </w:drawing>
      </w:r>
    </w:p>
    <w:p w14:paraId="4289C172">
      <w:pPr>
        <w:pStyle w:val="7"/>
        <w:jc w:val="both"/>
      </w:pPr>
      <w:r>
        <w:rPr>
          <w:rFonts w:hint="eastAsia"/>
          <w:b/>
          <w:bCs w:val="0"/>
          <w:lang w:eastAsia="zh-CN"/>
        </w:rPr>
        <w:t>Supplementary Fig.</w:t>
      </w:r>
      <w:r>
        <w:rPr>
          <w:b/>
          <w:bCs w:val="0"/>
        </w:rPr>
        <w:t xml:space="preserve"> </w:t>
      </w:r>
      <w:r>
        <w:rPr>
          <w:rFonts w:hint="eastAsia"/>
          <w:b/>
          <w:bCs w:val="0"/>
        </w:rPr>
        <w:t>3</w:t>
      </w:r>
      <w:r>
        <w:rPr>
          <w:rFonts w:hint="eastAsia"/>
          <w:b/>
          <w:bCs w:val="0"/>
          <w:lang w:val="en-US" w:eastAsia="zh-CN"/>
        </w:rPr>
        <w:t>7</w:t>
      </w:r>
      <w:r>
        <w:t xml:space="preserve"> | </w:t>
      </w:r>
      <w:r>
        <w:rPr>
          <w:rFonts w:hint="eastAsia"/>
          <w:lang w:val="en-US" w:eastAsia="zh-CN"/>
        </w:rPr>
        <w:t xml:space="preserve">Elongation and fineness indices for different types of flakes in the Bianfu Cave lithic assemblage. </w:t>
      </w:r>
      <w:r>
        <w:t xml:space="preserve"> </w:t>
      </w:r>
    </w:p>
    <w:p w14:paraId="39CF1821">
      <w:pPr>
        <w:rPr>
          <w:iCs/>
        </w:rPr>
      </w:pPr>
    </w:p>
    <w:p w14:paraId="58DD86C0">
      <w:pPr>
        <w:ind w:firstLine="0"/>
        <w:jc w:val="center"/>
        <w:rPr>
          <w:iCs/>
        </w:rPr>
      </w:pPr>
      <w:r>
        <w:rPr>
          <w:iCs/>
        </w:rPr>
        <w:br w:type="column"/>
      </w:r>
      <w:r>
        <w:rPr>
          <w:iCs/>
        </w:rPr>
        <w:drawing>
          <wp:inline distT="0" distB="0" distL="0" distR="0">
            <wp:extent cx="4572000" cy="5486400"/>
            <wp:effectExtent l="0" t="0" r="0" b="0"/>
            <wp:docPr id="153248772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487724" name="图片 1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4572000" cy="5486400"/>
                    </a:xfrm>
                    <a:prstGeom prst="rect">
                      <a:avLst/>
                    </a:prstGeom>
                    <a:noFill/>
                    <a:ln>
                      <a:noFill/>
                    </a:ln>
                  </pic:spPr>
                </pic:pic>
              </a:graphicData>
            </a:graphic>
          </wp:inline>
        </w:drawing>
      </w:r>
    </w:p>
    <w:p w14:paraId="458748A5">
      <w:pPr>
        <w:pStyle w:val="7"/>
        <w:jc w:val="both"/>
      </w:pPr>
      <w:r>
        <w:rPr>
          <w:rFonts w:hint="eastAsia"/>
          <w:b/>
          <w:bCs w:val="0"/>
          <w:lang w:eastAsia="zh-CN"/>
        </w:rPr>
        <w:t>Supplementary Fig.</w:t>
      </w:r>
      <w:r>
        <w:rPr>
          <w:b/>
          <w:bCs w:val="0"/>
        </w:rPr>
        <w:t xml:space="preserve"> </w:t>
      </w:r>
      <w:r>
        <w:rPr>
          <w:rFonts w:hint="eastAsia"/>
          <w:b/>
          <w:bCs w:val="0"/>
        </w:rPr>
        <w:t>3</w:t>
      </w:r>
      <w:r>
        <w:rPr>
          <w:rFonts w:hint="eastAsia"/>
          <w:b/>
          <w:bCs w:val="0"/>
          <w:lang w:val="en-US" w:eastAsia="zh-CN"/>
        </w:rPr>
        <w:t>8</w:t>
      </w:r>
      <w:r>
        <w:t xml:space="preserve"> | </w:t>
      </w:r>
      <w:r>
        <w:rPr>
          <w:rFonts w:hint="eastAsia"/>
          <w:lang w:val="en-US" w:eastAsia="zh-CN"/>
        </w:rPr>
        <w:t xml:space="preserve">Boxplots of length, width, and thickness for complete flakes and tools made on flake blank (retouched flakes) in the Bianfu Cave lithic assemblage. </w:t>
      </w:r>
      <w:r>
        <w:t xml:space="preserve"> </w:t>
      </w:r>
    </w:p>
    <w:p w14:paraId="71FAB40F">
      <w:pPr>
        <w:rPr>
          <w:iCs/>
        </w:rPr>
      </w:pPr>
    </w:p>
    <w:p w14:paraId="39DAA6A6">
      <w:pPr>
        <w:ind w:firstLine="0"/>
        <w:rPr>
          <w:iCs/>
        </w:rPr>
      </w:pPr>
      <w:r>
        <w:rPr>
          <w:iCs/>
        </w:rPr>
        <w:br w:type="column"/>
      </w:r>
      <w:r>
        <w:rPr>
          <w:iCs/>
        </w:rPr>
        <w:drawing>
          <wp:inline distT="0" distB="0" distL="0" distR="0">
            <wp:extent cx="5232400" cy="5232400"/>
            <wp:effectExtent l="0" t="0" r="6350" b="6350"/>
            <wp:docPr id="85435727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357271" name="图片 2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5243484" cy="5243484"/>
                    </a:xfrm>
                    <a:prstGeom prst="rect">
                      <a:avLst/>
                    </a:prstGeom>
                    <a:noFill/>
                    <a:ln>
                      <a:noFill/>
                    </a:ln>
                  </pic:spPr>
                </pic:pic>
              </a:graphicData>
            </a:graphic>
          </wp:inline>
        </w:drawing>
      </w:r>
    </w:p>
    <w:p w14:paraId="14380A3F">
      <w:pPr>
        <w:pStyle w:val="7"/>
        <w:jc w:val="both"/>
      </w:pPr>
      <w:r>
        <w:rPr>
          <w:rFonts w:hint="eastAsia"/>
          <w:b/>
          <w:bCs w:val="0"/>
          <w:lang w:eastAsia="zh-CN"/>
        </w:rPr>
        <w:t>Supplementary Fig.</w:t>
      </w:r>
      <w:r>
        <w:rPr>
          <w:b/>
          <w:bCs w:val="0"/>
        </w:rPr>
        <w:t xml:space="preserve"> </w:t>
      </w:r>
      <w:r>
        <w:rPr>
          <w:rFonts w:hint="eastAsia"/>
          <w:b/>
          <w:bCs w:val="0"/>
        </w:rPr>
        <w:t>3</w:t>
      </w:r>
      <w:r>
        <w:rPr>
          <w:rFonts w:hint="eastAsia"/>
          <w:b/>
          <w:bCs w:val="0"/>
          <w:lang w:val="en-US" w:eastAsia="zh-CN"/>
        </w:rPr>
        <w:t>9</w:t>
      </w:r>
      <w:r>
        <w:t xml:space="preserve"> | </w:t>
      </w:r>
      <w:r>
        <w:rPr>
          <w:rFonts w:hint="eastAsia"/>
          <w:lang w:val="en-US" w:eastAsia="zh-CN"/>
        </w:rPr>
        <w:t xml:space="preserve">Percentage composition of cortex on retouched tools and hammerstones in the Bianfu Cave lithic assemblage. </w:t>
      </w:r>
      <w:r>
        <w:t xml:space="preserve"> </w:t>
      </w:r>
    </w:p>
    <w:p w14:paraId="44EDC17E"/>
    <w:p w14:paraId="7024D7DC"/>
    <w:p w14:paraId="507A1200"/>
    <w:p w14:paraId="7611663C"/>
    <w:p w14:paraId="148BFCA4"/>
    <w:p w14:paraId="5967E855"/>
    <w:p w14:paraId="0248ED09"/>
    <w:p w14:paraId="774A4475">
      <w:pPr>
        <w:ind w:firstLine="0"/>
      </w:pPr>
    </w:p>
    <w:p w14:paraId="6C7A4579">
      <w:pPr>
        <w:ind w:firstLine="0"/>
        <w:rPr>
          <w:rFonts w:hint="eastAsia" w:eastAsia="宋体"/>
          <w:lang w:eastAsia="zh-CN"/>
        </w:rPr>
      </w:pPr>
      <w:r>
        <w:rPr>
          <w:rFonts w:hint="eastAsia" w:eastAsia="宋体"/>
          <w:lang w:eastAsia="zh-CN"/>
        </w:rPr>
        <w:drawing>
          <wp:inline distT="0" distB="0" distL="114300" distR="114300">
            <wp:extent cx="5264785" cy="4588510"/>
            <wp:effectExtent l="0" t="0" r="0" b="0"/>
            <wp:docPr id="9" name="图片 9" descr="25.12.19 刘改 蝙蝠洞遗址大哺乳动物图版1--2026-0801 版本-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5.12.19 刘改 蝙蝠洞遗址大哺乳动物图版1--2026-0801 版本-01"/>
                    <pic:cNvPicPr>
                      <a:picLocks noChangeAspect="1"/>
                    </pic:cNvPicPr>
                  </pic:nvPicPr>
                  <pic:blipFill>
                    <a:blip r:embed="rId56"/>
                    <a:srcRect b="2615"/>
                    <a:stretch>
                      <a:fillRect/>
                    </a:stretch>
                  </pic:blipFill>
                  <pic:spPr>
                    <a:xfrm>
                      <a:off x="0" y="0"/>
                      <a:ext cx="5264785" cy="4588510"/>
                    </a:xfrm>
                    <a:prstGeom prst="rect">
                      <a:avLst/>
                    </a:prstGeom>
                  </pic:spPr>
                </pic:pic>
              </a:graphicData>
            </a:graphic>
          </wp:inline>
        </w:drawing>
      </w:r>
    </w:p>
    <w:p w14:paraId="29C83509">
      <w:pPr>
        <w:spacing w:line="240" w:lineRule="auto"/>
        <w:ind w:firstLine="0"/>
        <w:jc w:val="both"/>
        <w:rPr>
          <w:b/>
        </w:rPr>
      </w:pPr>
      <w:bookmarkStart w:id="18" w:name="_Hlk218417721"/>
      <w:r>
        <w:rPr>
          <w:rFonts w:hint="eastAsia"/>
          <w:b/>
          <w:lang w:eastAsia="zh-CN"/>
        </w:rPr>
        <w:t>Supplementary Fig.</w:t>
      </w:r>
      <w:r>
        <w:rPr>
          <w:b/>
        </w:rPr>
        <w:t xml:space="preserve"> </w:t>
      </w:r>
      <w:r>
        <w:rPr>
          <w:rFonts w:hint="eastAsia"/>
          <w:b/>
          <w:lang w:val="en-US" w:eastAsia="zh-CN"/>
        </w:rPr>
        <w:t>40</w:t>
      </w:r>
      <w:r>
        <w:t xml:space="preserve"> | </w:t>
      </w:r>
      <w:r>
        <w:rPr>
          <w:rFonts w:hint="eastAsia"/>
        </w:rPr>
        <w:t>Faunal remains excavated from the Bianfu Cave</w:t>
      </w:r>
      <w:bookmarkEnd w:id="18"/>
      <w:r>
        <w:t xml:space="preserve">. </w:t>
      </w:r>
      <w:r>
        <w:rPr>
          <w:b/>
        </w:rPr>
        <w:t>1.</w:t>
      </w:r>
      <w:r>
        <w:t xml:space="preserve"> Left lower mandible with p3-m1 of </w:t>
      </w:r>
      <w:r>
        <w:rPr>
          <w:i/>
          <w:iCs/>
          <w:color w:val="000000"/>
        </w:rPr>
        <w:t>Cervus (Sika) nippon</w:t>
      </w:r>
      <w:r>
        <w:t xml:space="preserve">; </w:t>
      </w:r>
      <w:r>
        <w:rPr>
          <w:b/>
        </w:rPr>
        <w:t>2.</w:t>
      </w:r>
      <w:r>
        <w:t xml:space="preserve"> Right lower p3 of </w:t>
      </w:r>
      <w:r>
        <w:rPr>
          <w:i/>
          <w:iCs/>
          <w:color w:val="000000"/>
        </w:rPr>
        <w:t>Cervus elaphus</w:t>
      </w:r>
      <w:r>
        <w:t xml:space="preserve">; </w:t>
      </w:r>
      <w:r>
        <w:rPr>
          <w:b/>
        </w:rPr>
        <w:t>3.</w:t>
      </w:r>
      <w:r>
        <w:t xml:space="preserve"> Right lower p4 of </w:t>
      </w:r>
      <w:r>
        <w:rPr>
          <w:i/>
          <w:iCs/>
          <w:color w:val="000000"/>
        </w:rPr>
        <w:t>Cervus elaphus</w:t>
      </w:r>
      <w:r>
        <w:rPr>
          <w:iCs/>
          <w:color w:val="000000"/>
        </w:rPr>
        <w:t xml:space="preserve">; </w:t>
      </w:r>
      <w:r>
        <w:rPr>
          <w:b/>
          <w:iCs/>
          <w:color w:val="000000"/>
        </w:rPr>
        <w:t>4.</w:t>
      </w:r>
      <w:r>
        <w:rPr>
          <w:iCs/>
          <w:color w:val="000000"/>
        </w:rPr>
        <w:t xml:space="preserve"> Left upper M1 or M2 of </w:t>
      </w:r>
      <w:r>
        <w:rPr>
          <w:i/>
          <w:iCs/>
          <w:color w:val="000000"/>
        </w:rPr>
        <w:t>Cervus elaphus</w:t>
      </w:r>
      <w:r>
        <w:rPr>
          <w:iCs/>
          <w:color w:val="000000"/>
        </w:rPr>
        <w:t xml:space="preserve">; </w:t>
      </w:r>
      <w:r>
        <w:rPr>
          <w:b/>
          <w:iCs/>
          <w:color w:val="000000"/>
        </w:rPr>
        <w:t>5.</w:t>
      </w:r>
      <w:r>
        <w:rPr>
          <w:iCs/>
          <w:color w:val="000000"/>
        </w:rPr>
        <w:t xml:space="preserve"> Right lower p2 of </w:t>
      </w:r>
      <w:r>
        <w:rPr>
          <w:i/>
          <w:iCs/>
          <w:color w:val="000000"/>
        </w:rPr>
        <w:t>Bos (Bibos) gaurus</w:t>
      </w:r>
      <w:r>
        <w:rPr>
          <w:iCs/>
          <w:color w:val="000000"/>
        </w:rPr>
        <w:t xml:space="preserve">; </w:t>
      </w:r>
      <w:r>
        <w:rPr>
          <w:b/>
          <w:iCs/>
          <w:color w:val="000000"/>
        </w:rPr>
        <w:t>6.</w:t>
      </w:r>
      <w:r>
        <w:t xml:space="preserve"> </w:t>
      </w:r>
      <w:r>
        <w:rPr>
          <w:iCs/>
          <w:color w:val="000000"/>
        </w:rPr>
        <w:t xml:space="preserve">Right lower p2 of </w:t>
      </w:r>
      <w:r>
        <w:rPr>
          <w:i/>
          <w:iCs/>
          <w:color w:val="000000"/>
        </w:rPr>
        <w:t>Bubalus</w:t>
      </w:r>
      <w:r>
        <w:rPr>
          <w:iCs/>
          <w:color w:val="000000"/>
        </w:rPr>
        <w:t xml:space="preserve"> sp.; </w:t>
      </w:r>
      <w:r>
        <w:rPr>
          <w:b/>
          <w:iCs/>
          <w:color w:val="000000"/>
        </w:rPr>
        <w:t>7.</w:t>
      </w:r>
      <w:r>
        <w:rPr>
          <w:iCs/>
          <w:color w:val="000000"/>
        </w:rPr>
        <w:t xml:space="preserve"> Left lower c of </w:t>
      </w:r>
      <w:r>
        <w:rPr>
          <w:i/>
          <w:iCs/>
          <w:color w:val="000000"/>
        </w:rPr>
        <w:t>Sus</w:t>
      </w:r>
      <w:r>
        <w:rPr>
          <w:iCs/>
          <w:color w:val="000000"/>
        </w:rPr>
        <w:t xml:space="preserve"> sp.</w:t>
      </w:r>
      <w:r>
        <w:rPr>
          <w:b/>
          <w:iCs/>
          <w:color w:val="000000"/>
        </w:rPr>
        <w:t xml:space="preserve"> 8.</w:t>
      </w:r>
      <w:r>
        <w:rPr>
          <w:iCs/>
          <w:color w:val="000000"/>
        </w:rPr>
        <w:t xml:space="preserve"> </w:t>
      </w:r>
      <w:r>
        <w:rPr>
          <w:rFonts w:hint="eastAsia"/>
          <w:iCs/>
          <w:color w:val="000000"/>
        </w:rPr>
        <w:t>L</w:t>
      </w:r>
      <w:r>
        <w:rPr>
          <w:iCs/>
          <w:color w:val="000000"/>
        </w:rPr>
        <w:t>eft upper M3</w:t>
      </w:r>
      <w:r>
        <w:rPr>
          <w:rFonts w:hint="eastAsia"/>
          <w:iCs/>
          <w:color w:val="000000"/>
        </w:rPr>
        <w:t xml:space="preserve"> of </w:t>
      </w:r>
      <w:r>
        <w:rPr>
          <w:i/>
          <w:iCs/>
          <w:color w:val="000000"/>
        </w:rPr>
        <w:t xml:space="preserve">Bubalus </w:t>
      </w:r>
      <w:r>
        <w:rPr>
          <w:iCs/>
          <w:color w:val="000000"/>
        </w:rPr>
        <w:t>sp.</w:t>
      </w:r>
      <w:r>
        <w:rPr>
          <w:rFonts w:hint="eastAsia"/>
          <w:iCs/>
          <w:color w:val="000000"/>
        </w:rPr>
        <w:t xml:space="preserve">; </w:t>
      </w:r>
      <w:r>
        <w:rPr>
          <w:rFonts w:hint="eastAsia"/>
          <w:b/>
          <w:iCs/>
          <w:color w:val="000000"/>
        </w:rPr>
        <w:t>9.</w:t>
      </w:r>
      <w:r>
        <w:rPr>
          <w:rFonts w:hint="eastAsia"/>
          <w:iCs/>
          <w:color w:val="000000"/>
        </w:rPr>
        <w:t xml:space="preserve"> R</w:t>
      </w:r>
      <w:r>
        <w:rPr>
          <w:iCs/>
          <w:color w:val="000000"/>
        </w:rPr>
        <w:t>ight upper P4</w:t>
      </w:r>
      <w:r>
        <w:rPr>
          <w:rFonts w:hint="eastAsia"/>
          <w:iCs/>
          <w:color w:val="000000"/>
        </w:rPr>
        <w:t xml:space="preserve"> of </w:t>
      </w:r>
      <w:r>
        <w:rPr>
          <w:i/>
          <w:iCs/>
          <w:color w:val="000000"/>
        </w:rPr>
        <w:t>Bubalus</w:t>
      </w:r>
      <w:r>
        <w:rPr>
          <w:iCs/>
          <w:color w:val="000000"/>
        </w:rPr>
        <w:t xml:space="preserve"> sp.</w:t>
      </w:r>
      <w:r>
        <w:rPr>
          <w:rFonts w:hint="eastAsia"/>
          <w:iCs/>
          <w:color w:val="000000"/>
        </w:rPr>
        <w:t xml:space="preserve">; </w:t>
      </w:r>
      <w:r>
        <w:rPr>
          <w:rFonts w:hint="eastAsia"/>
          <w:b/>
          <w:iCs/>
          <w:color w:val="000000"/>
        </w:rPr>
        <w:t>10.</w:t>
      </w:r>
      <w:r>
        <w:rPr>
          <w:rFonts w:hint="eastAsia"/>
          <w:iCs/>
          <w:color w:val="000000"/>
        </w:rPr>
        <w:t xml:space="preserve"> R</w:t>
      </w:r>
      <w:r>
        <w:rPr>
          <w:iCs/>
          <w:color w:val="000000"/>
        </w:rPr>
        <w:t>ight upper M3</w:t>
      </w:r>
      <w:r>
        <w:rPr>
          <w:rFonts w:hint="eastAsia"/>
          <w:iCs/>
          <w:color w:val="000000"/>
        </w:rPr>
        <w:t xml:space="preserve"> of</w:t>
      </w:r>
      <w:r>
        <w:t xml:space="preserve"> </w:t>
      </w:r>
      <w:r>
        <w:rPr>
          <w:i/>
          <w:iCs/>
          <w:color w:val="000000"/>
        </w:rPr>
        <w:t>Bos (Bibos) gaurus</w:t>
      </w:r>
      <w:r>
        <w:rPr>
          <w:iCs/>
          <w:color w:val="000000"/>
        </w:rPr>
        <w:t>;</w:t>
      </w:r>
      <w:r>
        <w:rPr>
          <w:rFonts w:hint="eastAsia"/>
          <w:iCs/>
          <w:color w:val="000000"/>
        </w:rPr>
        <w:t xml:space="preserve"> </w:t>
      </w:r>
      <w:r>
        <w:rPr>
          <w:rFonts w:hint="eastAsia"/>
          <w:b/>
          <w:iCs/>
          <w:color w:val="000000"/>
        </w:rPr>
        <w:t>11.</w:t>
      </w:r>
      <w:r>
        <w:rPr>
          <w:rFonts w:hint="eastAsia"/>
          <w:iCs/>
          <w:color w:val="000000"/>
        </w:rPr>
        <w:t xml:space="preserve"> R</w:t>
      </w:r>
      <w:r>
        <w:rPr>
          <w:iCs/>
          <w:color w:val="000000"/>
        </w:rPr>
        <w:t xml:space="preserve">ight lower </w:t>
      </w:r>
      <w:r>
        <w:rPr>
          <w:bCs/>
          <w:szCs w:val="18"/>
        </w:rPr>
        <w:t xml:space="preserve">mandible </w:t>
      </w:r>
      <w:r>
        <w:rPr>
          <w:iCs/>
          <w:color w:val="000000"/>
        </w:rPr>
        <w:t xml:space="preserve">with </w:t>
      </w:r>
      <w:r>
        <w:rPr>
          <w:rFonts w:hint="eastAsia"/>
          <w:iCs/>
          <w:color w:val="000000"/>
        </w:rPr>
        <w:t>p</w:t>
      </w:r>
      <w:r>
        <w:rPr>
          <w:rFonts w:hint="eastAsia"/>
          <w:iCs/>
          <w:color w:val="000000"/>
          <w:lang w:val="en-US" w:eastAsia="zh-CN"/>
        </w:rPr>
        <w:t>4</w:t>
      </w:r>
      <w:r>
        <w:rPr>
          <w:rFonts w:hint="eastAsia"/>
          <w:iCs/>
          <w:color w:val="000000"/>
        </w:rPr>
        <w:t xml:space="preserve"> and </w:t>
      </w:r>
      <w:r>
        <w:rPr>
          <w:rFonts w:hint="eastAsia"/>
          <w:iCs/>
          <w:color w:val="000000"/>
          <w:lang w:val="en-US" w:eastAsia="zh-CN"/>
        </w:rPr>
        <w:t>m1</w:t>
      </w:r>
      <w:r>
        <w:rPr>
          <w:rFonts w:hint="eastAsia"/>
          <w:iCs/>
          <w:color w:val="000000"/>
        </w:rPr>
        <w:t xml:space="preserve"> of </w:t>
      </w:r>
      <w:r>
        <w:rPr>
          <w:i/>
          <w:iCs/>
          <w:color w:val="000000"/>
        </w:rPr>
        <w:t>Bubalus</w:t>
      </w:r>
      <w:r>
        <w:rPr>
          <w:iCs/>
          <w:color w:val="000000"/>
        </w:rPr>
        <w:t xml:space="preserve"> sp.</w:t>
      </w:r>
      <w:r>
        <w:rPr>
          <w:rFonts w:hint="eastAsia"/>
          <w:iCs/>
          <w:color w:val="000000"/>
        </w:rPr>
        <w:t xml:space="preserve">; </w:t>
      </w:r>
      <w:r>
        <w:rPr>
          <w:rFonts w:hint="eastAsia"/>
          <w:b/>
          <w:iCs/>
          <w:color w:val="000000"/>
        </w:rPr>
        <w:t>12.</w:t>
      </w:r>
      <w:r>
        <w:rPr>
          <w:rFonts w:hint="eastAsia"/>
          <w:iCs/>
          <w:color w:val="000000"/>
        </w:rPr>
        <w:t xml:space="preserve"> Right lower mandible with p3 and p4 of </w:t>
      </w:r>
      <w:r>
        <w:rPr>
          <w:i/>
          <w:iCs/>
          <w:color w:val="000000"/>
        </w:rPr>
        <w:t>Bos (Bibos) gaurus</w:t>
      </w:r>
      <w:r>
        <w:rPr>
          <w:rFonts w:hint="eastAsia"/>
          <w:iCs/>
          <w:color w:val="000000"/>
        </w:rPr>
        <w:t xml:space="preserve">; </w:t>
      </w:r>
      <w:r>
        <w:rPr>
          <w:rFonts w:hint="eastAsia"/>
          <w:b/>
          <w:iCs/>
          <w:color w:val="000000"/>
        </w:rPr>
        <w:t>13.</w:t>
      </w:r>
      <w:r>
        <w:rPr>
          <w:rFonts w:hint="eastAsia"/>
          <w:iCs/>
          <w:color w:val="000000"/>
        </w:rPr>
        <w:t xml:space="preserve"> R</w:t>
      </w:r>
      <w:r>
        <w:rPr>
          <w:iCs/>
          <w:color w:val="000000"/>
        </w:rPr>
        <w:t>ight upper M1</w:t>
      </w:r>
      <w:r>
        <w:rPr>
          <w:rFonts w:hint="eastAsia"/>
          <w:iCs/>
          <w:color w:val="000000"/>
        </w:rPr>
        <w:t xml:space="preserve"> of </w:t>
      </w:r>
      <w:r>
        <w:rPr>
          <w:i/>
          <w:iCs/>
          <w:color w:val="000000"/>
        </w:rPr>
        <w:t>Rhinoceros sinensis</w:t>
      </w:r>
      <w:r>
        <w:rPr>
          <w:rFonts w:hint="eastAsia"/>
          <w:iCs/>
          <w:color w:val="000000"/>
        </w:rPr>
        <w:t xml:space="preserve">; </w:t>
      </w:r>
      <w:r>
        <w:rPr>
          <w:rFonts w:hint="eastAsia"/>
          <w:b/>
          <w:iCs/>
          <w:color w:val="000000"/>
        </w:rPr>
        <w:t xml:space="preserve">14. </w:t>
      </w:r>
      <w:r>
        <w:rPr>
          <w:rFonts w:hint="eastAsia"/>
          <w:iCs/>
          <w:color w:val="000000"/>
        </w:rPr>
        <w:t>R</w:t>
      </w:r>
      <w:r>
        <w:rPr>
          <w:iCs/>
          <w:color w:val="000000"/>
        </w:rPr>
        <w:t xml:space="preserve">ight lower </w:t>
      </w:r>
      <w:r>
        <w:rPr>
          <w:rFonts w:hint="eastAsia"/>
          <w:iCs/>
          <w:color w:val="000000"/>
          <w:lang w:val="en-US" w:eastAsia="zh-CN"/>
        </w:rPr>
        <w:t>m</w:t>
      </w:r>
      <w:r>
        <w:rPr>
          <w:iCs/>
          <w:color w:val="000000"/>
        </w:rPr>
        <w:t>3</w:t>
      </w:r>
      <w:r>
        <w:rPr>
          <w:rFonts w:hint="eastAsia"/>
          <w:iCs/>
          <w:color w:val="000000"/>
        </w:rPr>
        <w:t xml:space="preserve"> of </w:t>
      </w:r>
      <w:r>
        <w:rPr>
          <w:i/>
          <w:iCs/>
          <w:color w:val="000000"/>
        </w:rPr>
        <w:t>Ursus thibetanus</w:t>
      </w:r>
      <w:r>
        <w:rPr>
          <w:rFonts w:hint="eastAsia"/>
          <w:iCs/>
          <w:color w:val="000000"/>
        </w:rPr>
        <w:t xml:space="preserve">; </w:t>
      </w:r>
      <w:r>
        <w:rPr>
          <w:rFonts w:hint="eastAsia"/>
          <w:b/>
          <w:iCs/>
          <w:color w:val="000000"/>
        </w:rPr>
        <w:t>15.</w:t>
      </w:r>
      <w:r>
        <w:rPr>
          <w:rFonts w:hint="eastAsia"/>
          <w:iCs/>
          <w:color w:val="000000"/>
        </w:rPr>
        <w:t xml:space="preserve"> L</w:t>
      </w:r>
      <w:r>
        <w:rPr>
          <w:iCs/>
          <w:color w:val="000000"/>
        </w:rPr>
        <w:t xml:space="preserve">eft lower mandible with </w:t>
      </w:r>
      <w:r>
        <w:rPr>
          <w:rFonts w:hint="eastAsia"/>
          <w:iCs/>
          <w:color w:val="000000"/>
        </w:rPr>
        <w:t>p</w:t>
      </w:r>
      <w:r>
        <w:rPr>
          <w:iCs/>
          <w:color w:val="000000"/>
        </w:rPr>
        <w:t>4</w:t>
      </w:r>
      <w:r>
        <w:rPr>
          <w:rFonts w:hint="eastAsia"/>
          <w:iCs/>
          <w:color w:val="000000"/>
        </w:rPr>
        <w:t xml:space="preserve"> and m</w:t>
      </w:r>
      <w:r>
        <w:rPr>
          <w:iCs/>
          <w:color w:val="000000"/>
        </w:rPr>
        <w:t>1</w:t>
      </w:r>
      <w:r>
        <w:rPr>
          <w:rFonts w:hint="eastAsia"/>
          <w:iCs/>
          <w:color w:val="000000"/>
        </w:rPr>
        <w:t xml:space="preserve"> of </w:t>
      </w:r>
      <w:r>
        <w:rPr>
          <w:i/>
          <w:iCs/>
          <w:color w:val="000000"/>
        </w:rPr>
        <w:t>Crocuta crocuta ultima</w:t>
      </w:r>
      <w:r>
        <w:rPr>
          <w:rFonts w:hint="eastAsia"/>
          <w:iCs/>
          <w:color w:val="000000"/>
        </w:rPr>
        <w:t xml:space="preserve">; </w:t>
      </w:r>
      <w:r>
        <w:rPr>
          <w:rFonts w:hint="eastAsia"/>
          <w:b/>
          <w:iCs/>
          <w:color w:val="000000"/>
        </w:rPr>
        <w:t>16.</w:t>
      </w:r>
      <w:r>
        <w:rPr>
          <w:rFonts w:hint="eastAsia"/>
          <w:iCs/>
          <w:color w:val="000000"/>
        </w:rPr>
        <w:t xml:space="preserve"> R</w:t>
      </w:r>
      <w:r>
        <w:rPr>
          <w:iCs/>
          <w:color w:val="000000"/>
        </w:rPr>
        <w:t xml:space="preserve">ight lower mandible with </w:t>
      </w:r>
      <w:r>
        <w:rPr>
          <w:rFonts w:hint="eastAsia"/>
          <w:iCs/>
          <w:color w:val="000000"/>
        </w:rPr>
        <w:t>p</w:t>
      </w:r>
      <w:r>
        <w:rPr>
          <w:iCs/>
          <w:color w:val="000000"/>
        </w:rPr>
        <w:t>3</w:t>
      </w:r>
      <w:r>
        <w:rPr>
          <w:rFonts w:hint="eastAsia"/>
          <w:iCs/>
          <w:color w:val="000000"/>
        </w:rPr>
        <w:t>-m</w:t>
      </w:r>
      <w:r>
        <w:rPr>
          <w:iCs/>
          <w:color w:val="000000"/>
        </w:rPr>
        <w:t>2</w:t>
      </w:r>
      <w:r>
        <w:rPr>
          <w:rFonts w:hint="eastAsia"/>
          <w:iCs/>
          <w:color w:val="000000"/>
        </w:rPr>
        <w:t xml:space="preserve"> of </w:t>
      </w:r>
      <w:r>
        <w:rPr>
          <w:i/>
          <w:iCs/>
          <w:color w:val="000000"/>
        </w:rPr>
        <w:t>Pseudois</w:t>
      </w:r>
      <w:r>
        <w:rPr>
          <w:iCs/>
          <w:color w:val="000000"/>
        </w:rPr>
        <w:t xml:space="preserve"> sp.</w:t>
      </w:r>
      <w:r>
        <w:rPr>
          <w:rFonts w:hint="eastAsia"/>
          <w:iCs/>
          <w:color w:val="000000"/>
        </w:rPr>
        <w:t xml:space="preserve">; </w:t>
      </w:r>
      <w:r>
        <w:rPr>
          <w:rFonts w:hint="eastAsia"/>
          <w:b/>
          <w:iCs/>
          <w:color w:val="000000"/>
        </w:rPr>
        <w:t>17.</w:t>
      </w:r>
      <w:r>
        <w:rPr>
          <w:rFonts w:hint="eastAsia"/>
          <w:iCs/>
          <w:color w:val="000000"/>
        </w:rPr>
        <w:t xml:space="preserve"> Left lower </w:t>
      </w:r>
      <w:r>
        <w:rPr>
          <w:iCs/>
          <w:color w:val="000000"/>
        </w:rPr>
        <w:t xml:space="preserve">mandible with p4-m3 of </w:t>
      </w:r>
      <w:r>
        <w:rPr>
          <w:i/>
          <w:iCs/>
          <w:color w:val="000000"/>
        </w:rPr>
        <w:t>Capra</w:t>
      </w:r>
      <w:r>
        <w:rPr>
          <w:iCs/>
          <w:color w:val="000000"/>
        </w:rPr>
        <w:t xml:space="preserve"> sp.. </w:t>
      </w:r>
      <w:r>
        <w:rPr>
          <w:b/>
          <w:iCs/>
          <w:color w:val="000000"/>
        </w:rPr>
        <w:t>a</w:t>
      </w:r>
      <w:r>
        <w:rPr>
          <w:rFonts w:hint="eastAsia"/>
          <w:b/>
          <w:iCs/>
          <w:color w:val="000000"/>
          <w:lang w:val="en-US" w:eastAsia="zh-CN"/>
        </w:rPr>
        <w:t>,</w:t>
      </w:r>
      <w:r>
        <w:rPr>
          <w:iCs/>
          <w:color w:val="000000"/>
        </w:rPr>
        <w:t xml:space="preserve"> </w:t>
      </w:r>
      <w:r>
        <w:t xml:space="preserve">buccal view; </w:t>
      </w:r>
      <w:r>
        <w:rPr>
          <w:b/>
        </w:rPr>
        <w:t>b</w:t>
      </w:r>
      <w:r>
        <w:rPr>
          <w:rFonts w:hint="eastAsia"/>
          <w:b/>
          <w:lang w:val="en-US" w:eastAsia="zh-CN"/>
        </w:rPr>
        <w:t>,</w:t>
      </w:r>
      <w:r>
        <w:t xml:space="preserve"> occlusal views; </w:t>
      </w:r>
      <w:r>
        <w:rPr>
          <w:b/>
        </w:rPr>
        <w:t>c</w:t>
      </w:r>
      <w:r>
        <w:rPr>
          <w:rFonts w:hint="eastAsia"/>
          <w:b/>
          <w:lang w:val="en-US" w:eastAsia="zh-CN"/>
        </w:rPr>
        <w:t>,</w:t>
      </w:r>
      <w:r>
        <w:t xml:space="preserve"> lingual view; </w:t>
      </w:r>
      <w:r>
        <w:rPr>
          <w:b/>
        </w:rPr>
        <w:t>d</w:t>
      </w:r>
      <w:r>
        <w:rPr>
          <w:rFonts w:hint="eastAsia"/>
          <w:b/>
          <w:lang w:val="en-US" w:eastAsia="zh-CN"/>
        </w:rPr>
        <w:t>,</w:t>
      </w:r>
      <w:r>
        <w:rPr>
          <w:b/>
        </w:rPr>
        <w:t xml:space="preserve"> </w:t>
      </w:r>
      <w:r>
        <w:t>fracture surface</w:t>
      </w:r>
      <w:r>
        <w:rPr>
          <w:rFonts w:hint="eastAsia"/>
        </w:rPr>
        <w:t xml:space="preserve"> view</w:t>
      </w:r>
      <w:r>
        <w:t>.</w:t>
      </w:r>
      <w:r>
        <w:rPr>
          <w:rFonts w:hint="eastAsia"/>
        </w:rPr>
        <w:t xml:space="preserve"> All black scale bars represent 2 cm. </w:t>
      </w:r>
    </w:p>
    <w:p w14:paraId="00A75A56">
      <w:pPr>
        <w:pStyle w:val="7"/>
      </w:pPr>
    </w:p>
    <w:p w14:paraId="075C5613">
      <w:pPr>
        <w:ind w:firstLine="0"/>
      </w:pPr>
    </w:p>
    <w:p w14:paraId="1293FCB9">
      <w:pPr>
        <w:ind w:firstLine="0"/>
      </w:pPr>
    </w:p>
    <w:p w14:paraId="086E641C">
      <w:pPr>
        <w:ind w:firstLine="0"/>
      </w:pPr>
    </w:p>
    <w:p w14:paraId="419989C8">
      <w:pPr>
        <w:ind w:firstLine="0"/>
      </w:pPr>
    </w:p>
    <w:p w14:paraId="5F300C4B">
      <w:pPr>
        <w:ind w:firstLine="0"/>
      </w:pPr>
      <w:r>
        <w:drawing>
          <wp:inline distT="0" distB="0" distL="114300" distR="114300">
            <wp:extent cx="5267325" cy="4448175"/>
            <wp:effectExtent l="0" t="0" r="0" b="0"/>
            <wp:docPr id="8" name="图片 8" descr="1bb9600ce5402b8b09eb451a82203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bb9600ce5402b8b09eb451a822030e"/>
                    <pic:cNvPicPr>
                      <a:picLocks noChangeAspect="1"/>
                    </pic:cNvPicPr>
                  </pic:nvPicPr>
                  <pic:blipFill>
                    <a:blip r:embed="rId57"/>
                    <a:stretch>
                      <a:fillRect/>
                    </a:stretch>
                  </pic:blipFill>
                  <pic:spPr>
                    <a:xfrm>
                      <a:off x="0" y="0"/>
                      <a:ext cx="5267325" cy="4448175"/>
                    </a:xfrm>
                    <a:prstGeom prst="rect">
                      <a:avLst/>
                    </a:prstGeom>
                  </pic:spPr>
                </pic:pic>
              </a:graphicData>
            </a:graphic>
          </wp:inline>
        </w:drawing>
      </w:r>
    </w:p>
    <w:p w14:paraId="4BDB714B">
      <w:pPr>
        <w:spacing w:line="240" w:lineRule="auto"/>
        <w:ind w:firstLine="0"/>
        <w:jc w:val="both"/>
        <w:rPr>
          <w:b/>
        </w:rPr>
      </w:pPr>
      <w:r>
        <w:rPr>
          <w:rFonts w:hint="eastAsia"/>
          <w:b/>
          <w:lang w:eastAsia="zh-CN"/>
        </w:rPr>
        <w:t>Supplementary Fig.</w:t>
      </w:r>
      <w:r>
        <w:rPr>
          <w:b/>
        </w:rPr>
        <w:t xml:space="preserve"> </w:t>
      </w:r>
      <w:r>
        <w:rPr>
          <w:rFonts w:hint="eastAsia"/>
          <w:b/>
          <w:lang w:val="en-US" w:eastAsia="zh-CN"/>
        </w:rPr>
        <w:t>41</w:t>
      </w:r>
      <w:r>
        <w:t xml:space="preserve"> | </w:t>
      </w:r>
      <w:r>
        <w:rPr>
          <w:rFonts w:hint="eastAsia"/>
          <w:lang w:val="en-US" w:eastAsia="zh-CN"/>
        </w:rPr>
        <w:t xml:space="preserve">Natural and anthropogenic modification on bone and antler surfaces. </w:t>
      </w:r>
      <w:r>
        <w:rPr>
          <w:rFonts w:hint="eastAsia"/>
          <w:b/>
          <w:bCs/>
          <w:lang w:val="en-US" w:eastAsia="zh-CN"/>
        </w:rPr>
        <w:t>a,</w:t>
      </w:r>
      <w:r>
        <w:rPr>
          <w:rFonts w:hint="eastAsia"/>
          <w:lang w:val="en-US" w:eastAsia="zh-CN"/>
        </w:rPr>
        <w:t xml:space="preserve"> Sediment compression pits; </w:t>
      </w:r>
      <w:r>
        <w:rPr>
          <w:rFonts w:hint="eastAsia"/>
          <w:b/>
          <w:bCs/>
          <w:lang w:val="en-US" w:eastAsia="zh-CN"/>
        </w:rPr>
        <w:t>b,</w:t>
      </w:r>
      <w:r>
        <w:rPr>
          <w:rFonts w:hint="eastAsia"/>
          <w:lang w:val="en-US" w:eastAsia="zh-CN"/>
        </w:rPr>
        <w:t xml:space="preserve"> Rodent gnawing; </w:t>
      </w:r>
      <w:r>
        <w:rPr>
          <w:rFonts w:hint="eastAsia"/>
          <w:b/>
          <w:bCs/>
          <w:lang w:val="en-US" w:eastAsia="zh-CN"/>
        </w:rPr>
        <w:t>c,</w:t>
      </w:r>
      <w:r>
        <w:rPr>
          <w:rFonts w:hint="eastAsia"/>
          <w:lang w:val="en-US" w:eastAsia="zh-CN"/>
        </w:rPr>
        <w:t xml:space="preserve"> Carnivor pits and gnawing; </w:t>
      </w:r>
      <w:r>
        <w:rPr>
          <w:rFonts w:hint="eastAsia"/>
          <w:b/>
          <w:bCs/>
          <w:lang w:val="en-US" w:eastAsia="zh-CN"/>
        </w:rPr>
        <w:t>d,</w:t>
      </w:r>
      <w:r>
        <w:rPr>
          <w:rFonts w:hint="eastAsia"/>
          <w:lang w:val="en-US" w:eastAsia="zh-CN"/>
        </w:rPr>
        <w:t xml:space="preserve"> Carnivor furrow; </w:t>
      </w:r>
      <w:r>
        <w:rPr>
          <w:rFonts w:hint="eastAsia"/>
          <w:b/>
          <w:bCs/>
          <w:lang w:val="en-US" w:eastAsia="zh-CN"/>
        </w:rPr>
        <w:t>e,</w:t>
      </w:r>
      <w:r>
        <w:rPr>
          <w:rFonts w:hint="eastAsia"/>
          <w:lang w:val="en-US" w:eastAsia="zh-CN"/>
        </w:rPr>
        <w:t xml:space="preserve"> Psuedo-notch likely by rock falling; </w:t>
      </w:r>
      <w:r>
        <w:rPr>
          <w:rFonts w:hint="eastAsia"/>
          <w:b/>
          <w:bCs/>
          <w:lang w:val="en-US" w:eastAsia="zh-CN"/>
        </w:rPr>
        <w:t>f,</w:t>
      </w:r>
      <w:r>
        <w:rPr>
          <w:rFonts w:hint="eastAsia"/>
          <w:lang w:val="en-US" w:eastAsia="zh-CN"/>
        </w:rPr>
        <w:t xml:space="preserve"> Percussion notch; </w:t>
      </w:r>
      <w:r>
        <w:rPr>
          <w:rFonts w:hint="eastAsia"/>
          <w:b/>
          <w:bCs/>
          <w:lang w:val="en-US" w:eastAsia="zh-CN"/>
        </w:rPr>
        <w:t>g,</w:t>
      </w:r>
      <w:r>
        <w:rPr>
          <w:rFonts w:hint="eastAsia"/>
          <w:lang w:val="en-US" w:eastAsia="zh-CN"/>
        </w:rPr>
        <w:t xml:space="preserve"> Percussion scar.</w:t>
      </w:r>
    </w:p>
    <w:p w14:paraId="2F415455">
      <w:pPr>
        <w:spacing w:line="240" w:lineRule="auto"/>
        <w:ind w:firstLine="0"/>
        <w:jc w:val="both"/>
        <w:rPr>
          <w:rFonts w:hint="eastAsia"/>
          <w:iCs/>
        </w:rPr>
      </w:pPr>
    </w:p>
    <w:p w14:paraId="1C92E68A">
      <w:pPr>
        <w:spacing w:line="240" w:lineRule="auto"/>
        <w:ind w:firstLine="0"/>
        <w:jc w:val="center"/>
        <w:rPr>
          <w:rFonts w:hint="eastAsia" w:eastAsia="宋体"/>
          <w:iCs/>
          <w:lang w:eastAsia="zh-CN"/>
        </w:rPr>
      </w:pPr>
      <w:r>
        <w:rPr>
          <w:rFonts w:hint="eastAsia" w:eastAsia="宋体"/>
          <w:iCs/>
          <w:lang w:eastAsia="zh-CN"/>
        </w:rPr>
        <w:drawing>
          <wp:inline distT="0" distB="0" distL="114300" distR="114300">
            <wp:extent cx="5255260" cy="6245225"/>
            <wp:effectExtent l="0" t="0" r="2540" b="3175"/>
            <wp:docPr id="12" name="图片 12" descr="2026-0801-Supplementary Figure 42 Histogram showing the teeth number of each large mammals fossil species and MN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026-0801-Supplementary Figure 42 Histogram showing the teeth number of each large mammals fossil species and MNI-01"/>
                    <pic:cNvPicPr>
                      <a:picLocks noChangeAspect="1"/>
                    </pic:cNvPicPr>
                  </pic:nvPicPr>
                  <pic:blipFill>
                    <a:blip r:embed="rId58"/>
                    <a:stretch>
                      <a:fillRect/>
                    </a:stretch>
                  </pic:blipFill>
                  <pic:spPr>
                    <a:xfrm>
                      <a:off x="0" y="0"/>
                      <a:ext cx="5255260" cy="6245225"/>
                    </a:xfrm>
                    <a:prstGeom prst="rect">
                      <a:avLst/>
                    </a:prstGeom>
                  </pic:spPr>
                </pic:pic>
              </a:graphicData>
            </a:graphic>
          </wp:inline>
        </w:drawing>
      </w:r>
    </w:p>
    <w:p w14:paraId="784D1878">
      <w:pPr>
        <w:pStyle w:val="7"/>
        <w:jc w:val="both"/>
        <w:rPr>
          <w:rFonts w:hint="eastAsia" w:eastAsia="宋体"/>
          <w:lang w:val="en-US" w:eastAsia="zh-CN"/>
        </w:rPr>
      </w:pPr>
      <w:r>
        <w:rPr>
          <w:rFonts w:hint="eastAsia"/>
          <w:b/>
          <w:bCs w:val="0"/>
          <w:lang w:eastAsia="zh-CN"/>
        </w:rPr>
        <w:t>Supplementary Fig.</w:t>
      </w:r>
      <w:r>
        <w:rPr>
          <w:b/>
          <w:bCs w:val="0"/>
        </w:rPr>
        <w:t xml:space="preserve"> </w:t>
      </w:r>
      <w:r>
        <w:rPr>
          <w:rFonts w:hint="eastAsia"/>
          <w:b/>
          <w:bCs w:val="0"/>
          <w:lang w:val="en-US" w:eastAsia="zh-CN"/>
        </w:rPr>
        <w:t>42</w:t>
      </w:r>
      <w:r>
        <w:t xml:space="preserve"> | </w:t>
      </w:r>
      <w:r>
        <w:rPr>
          <w:rFonts w:hint="eastAsia"/>
          <w:lang w:val="en-US" w:eastAsia="zh-CN"/>
        </w:rPr>
        <w:t>The teeth number (</w:t>
      </w:r>
      <w:r>
        <w:rPr>
          <w:rFonts w:hint="eastAsia"/>
          <w:b/>
          <w:bCs w:val="0"/>
          <w:lang w:val="en-US" w:eastAsia="zh-CN"/>
        </w:rPr>
        <w:t>a</w:t>
      </w:r>
      <w:r>
        <w:rPr>
          <w:rFonts w:hint="eastAsia"/>
          <w:lang w:val="en-US" w:eastAsia="zh-CN"/>
        </w:rPr>
        <w:t>) and the m</w:t>
      </w:r>
      <w:r>
        <w:t>inimum number</w:t>
      </w:r>
      <w:r>
        <w:rPr>
          <w:rFonts w:hint="eastAsia"/>
          <w:lang w:val="en-US" w:eastAsia="zh-CN"/>
        </w:rPr>
        <w:t xml:space="preserve"> </w:t>
      </w:r>
      <w:r>
        <w:t xml:space="preserve">of individuals (MNI) </w:t>
      </w:r>
      <w:r>
        <w:rPr>
          <w:rFonts w:hint="eastAsia"/>
          <w:lang w:val="en-US" w:eastAsia="zh-CN"/>
        </w:rPr>
        <w:t>(</w:t>
      </w:r>
      <w:r>
        <w:rPr>
          <w:rFonts w:hint="eastAsia"/>
          <w:b/>
          <w:bCs w:val="0"/>
          <w:lang w:val="en-US" w:eastAsia="zh-CN"/>
        </w:rPr>
        <w:t>b</w:t>
      </w:r>
      <w:r>
        <w:rPr>
          <w:rFonts w:hint="eastAsia"/>
          <w:lang w:val="en-US" w:eastAsia="zh-CN"/>
        </w:rPr>
        <w:t xml:space="preserve">) </w:t>
      </w:r>
      <w:r>
        <w:t>of the large mammal fossil species in Bianfu Cave faunal assemblages</w:t>
      </w:r>
      <w:r>
        <w:rPr>
          <w:rFonts w:hint="eastAsia"/>
          <w:lang w:val="en-US" w:eastAsia="zh-CN"/>
        </w:rPr>
        <w:t>.</w:t>
      </w:r>
    </w:p>
    <w:p w14:paraId="67D3BF1A">
      <w:pPr>
        <w:ind w:firstLine="0"/>
        <w:rPr>
          <w:b/>
        </w:rPr>
      </w:pPr>
    </w:p>
    <w:p w14:paraId="1232D5E6">
      <w:pPr>
        <w:ind w:firstLine="0"/>
        <w:rPr>
          <w:b/>
        </w:rPr>
      </w:pPr>
    </w:p>
    <w:p w14:paraId="747BD1F5">
      <w:pPr>
        <w:ind w:firstLine="0"/>
        <w:rPr>
          <w:b/>
        </w:rPr>
      </w:pPr>
    </w:p>
    <w:p w14:paraId="5E2B9F13">
      <w:pPr>
        <w:ind w:firstLine="0"/>
        <w:rPr>
          <w:b/>
        </w:rPr>
      </w:pPr>
    </w:p>
    <w:p w14:paraId="02FD1128">
      <w:pPr>
        <w:ind w:firstLine="0"/>
        <w:rPr>
          <w:b/>
        </w:rPr>
      </w:pPr>
    </w:p>
    <w:p w14:paraId="70018330">
      <w:pPr>
        <w:ind w:firstLine="0"/>
        <w:jc w:val="center"/>
        <w:rPr>
          <w:rFonts w:hint="eastAsia" w:eastAsia="宋体"/>
          <w:b/>
          <w:lang w:eastAsia="zh-CN"/>
        </w:rPr>
      </w:pPr>
      <w:r>
        <w:rPr>
          <w:rFonts w:hint="eastAsia" w:eastAsia="宋体"/>
          <w:b/>
          <w:lang w:eastAsia="zh-CN"/>
        </w:rPr>
        <w:drawing>
          <wp:inline distT="0" distB="0" distL="114300" distR="114300">
            <wp:extent cx="5270500" cy="7553325"/>
            <wp:effectExtent l="0" t="0" r="6350" b="0"/>
            <wp:docPr id="11" name="图片 11" descr="2026-0801--Supplementary Figure 43 The mortality patterns of large herbivore from the Bianfu Cav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026-0801--Supplementary Figure 43 The mortality patterns of large herbivore from the Bianfu Cave-01"/>
                    <pic:cNvPicPr>
                      <a:picLocks noChangeAspect="1"/>
                    </pic:cNvPicPr>
                  </pic:nvPicPr>
                  <pic:blipFill>
                    <a:blip r:embed="rId59"/>
                    <a:stretch>
                      <a:fillRect/>
                    </a:stretch>
                  </pic:blipFill>
                  <pic:spPr>
                    <a:xfrm>
                      <a:off x="0" y="0"/>
                      <a:ext cx="5270500" cy="7553325"/>
                    </a:xfrm>
                    <a:prstGeom prst="rect">
                      <a:avLst/>
                    </a:prstGeom>
                  </pic:spPr>
                </pic:pic>
              </a:graphicData>
            </a:graphic>
          </wp:inline>
        </w:drawing>
      </w:r>
    </w:p>
    <w:p w14:paraId="05A09206">
      <w:pPr>
        <w:spacing w:line="240" w:lineRule="auto"/>
        <w:ind w:firstLine="0"/>
        <w:jc w:val="both"/>
        <w:rPr>
          <w:rFonts w:hint="eastAsia" w:eastAsia="宋体"/>
          <w:lang w:val="en-US" w:eastAsia="zh-CN"/>
        </w:rPr>
      </w:pPr>
      <w:r>
        <w:rPr>
          <w:rFonts w:hint="eastAsia"/>
          <w:b/>
          <w:lang w:eastAsia="zh-CN"/>
        </w:rPr>
        <w:t>Supplementary Fig.</w:t>
      </w:r>
      <w:r>
        <w:rPr>
          <w:rFonts w:hint="eastAsia"/>
          <w:b/>
          <w:bCs w:val="0"/>
          <w:color w:val="auto"/>
        </w:rPr>
        <w:t xml:space="preserve"> </w:t>
      </w:r>
      <w:r>
        <w:rPr>
          <w:rFonts w:hint="eastAsia"/>
          <w:b/>
          <w:bCs w:val="0"/>
          <w:color w:val="auto"/>
          <w:lang w:val="en-US" w:eastAsia="zh-CN"/>
        </w:rPr>
        <w:t>43</w:t>
      </w:r>
      <w:r>
        <w:rPr>
          <w:rFonts w:hint="eastAsia"/>
          <w:b/>
          <w:color w:val="auto"/>
        </w:rPr>
        <w:t xml:space="preserve"> | </w:t>
      </w:r>
      <w:r>
        <w:rPr>
          <w:color w:val="auto"/>
        </w:rPr>
        <w:t>Mortality profile zones of ternary diagrams</w:t>
      </w:r>
      <w:r>
        <w:rPr>
          <w:rFonts w:hint="eastAsia"/>
          <w:color w:val="auto"/>
        </w:rPr>
        <w:t xml:space="preserve"> of large herbivore from the Bianfu Cave. </w:t>
      </w:r>
      <w:r>
        <w:rPr>
          <w:rFonts w:hint="eastAsia"/>
          <w:b/>
          <w:bCs/>
          <w:color w:val="auto"/>
        </w:rPr>
        <w:t>a,</w:t>
      </w:r>
      <w:r>
        <w:rPr>
          <w:rFonts w:hint="eastAsia"/>
          <w:color w:val="auto"/>
        </w:rPr>
        <w:t xml:space="preserve"> Cervidae</w:t>
      </w:r>
      <w:r>
        <w:rPr>
          <w:rFonts w:hint="eastAsia"/>
          <w:color w:val="auto"/>
          <w:lang w:val="en-US" w:eastAsia="zh-CN"/>
        </w:rPr>
        <w:t>;</w:t>
      </w:r>
      <w:r>
        <w:rPr>
          <w:rFonts w:hint="eastAsia"/>
          <w:color w:val="auto"/>
        </w:rPr>
        <w:t xml:space="preserve"> </w:t>
      </w:r>
      <w:r>
        <w:rPr>
          <w:rFonts w:hint="eastAsia"/>
          <w:b/>
          <w:bCs/>
          <w:color w:val="auto"/>
        </w:rPr>
        <w:t>b,</w:t>
      </w:r>
      <w:r>
        <w:rPr>
          <w:rFonts w:hint="eastAsia"/>
          <w:color w:val="auto"/>
        </w:rPr>
        <w:t xml:space="preserve"> Bovidae</w:t>
      </w:r>
      <w:r>
        <w:rPr>
          <w:rFonts w:hint="eastAsia"/>
          <w:color w:val="auto"/>
          <w:lang w:val="en-US" w:eastAsia="zh-CN"/>
        </w:rPr>
        <w:t>.</w:t>
      </w:r>
    </w:p>
    <w:p w14:paraId="1C2281E1">
      <w:pPr>
        <w:spacing w:line="240" w:lineRule="auto"/>
        <w:ind w:firstLine="0"/>
        <w:jc w:val="both"/>
        <w:rPr>
          <w:rFonts w:hint="eastAsia"/>
          <w:b/>
        </w:rPr>
      </w:pPr>
    </w:p>
    <w:p w14:paraId="1A67AEBE">
      <w:pPr>
        <w:ind w:firstLine="0"/>
      </w:pPr>
    </w:p>
    <w:p w14:paraId="4482AAB0">
      <w:pPr>
        <w:ind w:firstLine="0"/>
        <w:rPr>
          <w:rFonts w:hint="eastAsia" w:eastAsia="宋体"/>
          <w:lang w:eastAsia="zh-CN"/>
        </w:rPr>
      </w:pPr>
      <w:r>
        <w:rPr>
          <w:rFonts w:hint="eastAsia" w:eastAsia="宋体"/>
          <w:lang w:eastAsia="zh-CN"/>
        </w:rPr>
        <w:drawing>
          <wp:inline distT="0" distB="0" distL="114300" distR="114300">
            <wp:extent cx="5266690" cy="3875405"/>
            <wp:effectExtent l="0" t="0" r="0" b="0"/>
            <wp:docPr id="17" name="图片 17" descr="切割痕迹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切割痕迹统计"/>
                    <pic:cNvPicPr>
                      <a:picLocks noChangeAspect="1"/>
                    </pic:cNvPicPr>
                  </pic:nvPicPr>
                  <pic:blipFill>
                    <a:blip r:embed="rId60"/>
                    <a:srcRect t="1897"/>
                    <a:stretch>
                      <a:fillRect/>
                    </a:stretch>
                  </pic:blipFill>
                  <pic:spPr>
                    <a:xfrm>
                      <a:off x="0" y="0"/>
                      <a:ext cx="5266690" cy="3875405"/>
                    </a:xfrm>
                    <a:prstGeom prst="rect">
                      <a:avLst/>
                    </a:prstGeom>
                  </pic:spPr>
                </pic:pic>
              </a:graphicData>
            </a:graphic>
          </wp:inline>
        </w:drawing>
      </w:r>
    </w:p>
    <w:p w14:paraId="5313A29A">
      <w:pPr>
        <w:pStyle w:val="7"/>
        <w:jc w:val="both"/>
        <w:rPr>
          <w:rFonts w:hint="default" w:eastAsia="宋体"/>
          <w:lang w:val="en-US" w:eastAsia="zh-CN"/>
        </w:rPr>
        <w:sectPr>
          <w:pgSz w:w="11906" w:h="16838"/>
          <w:pgMar w:top="1440" w:right="1800" w:bottom="1440" w:left="1800" w:header="851" w:footer="992" w:gutter="0"/>
          <w:lnNumType w:countBy="0" w:restart="continuous"/>
          <w:cols w:space="425" w:num="1"/>
          <w:docGrid w:type="lines" w:linePitch="326" w:charSpace="0"/>
        </w:sectPr>
      </w:pPr>
      <w:r>
        <w:rPr>
          <w:rFonts w:hint="eastAsia"/>
          <w:b/>
          <w:bCs w:val="0"/>
          <w:lang w:eastAsia="zh-CN"/>
        </w:rPr>
        <w:t>Supplementary Fig.</w:t>
      </w:r>
      <w:r>
        <w:rPr>
          <w:b/>
          <w:bCs w:val="0"/>
        </w:rPr>
        <w:t xml:space="preserve"> </w:t>
      </w:r>
      <w:r>
        <w:rPr>
          <w:rFonts w:hint="eastAsia"/>
          <w:b/>
          <w:bCs w:val="0"/>
          <w:lang w:val="en-US" w:eastAsia="zh-CN"/>
        </w:rPr>
        <w:t>44</w:t>
      </w:r>
      <w:r>
        <w:t xml:space="preserve"> |</w:t>
      </w:r>
      <w:r>
        <w:rPr>
          <w:color w:val="auto"/>
        </w:rPr>
        <w:t xml:space="preserve"> </w:t>
      </w:r>
      <w:r>
        <w:rPr>
          <w:rFonts w:hint="eastAsia"/>
          <w:color w:val="auto"/>
          <w:lang w:val="en-US" w:eastAsia="zh-CN"/>
        </w:rPr>
        <w:t>S</w:t>
      </w:r>
      <w:r>
        <w:rPr>
          <w:rFonts w:hint="eastAsia" w:ascii="Times New Roman" w:hAnsi="Times New Roman" w:eastAsia="宋体" w:cs="Times New Roman"/>
          <w:color w:val="auto"/>
          <w:sz w:val="24"/>
        </w:rPr>
        <w:t>ynthetic data on cut marks orientation</w:t>
      </w:r>
      <w:r>
        <w:rPr>
          <w:rFonts w:hint="eastAsia" w:ascii="Times New Roman" w:hAnsi="Times New Roman" w:eastAsia="宋体" w:cs="Times New Roman"/>
          <w:color w:val="auto"/>
          <w:sz w:val="24"/>
          <w:lang w:val="en-US" w:eastAsia="zh-CN"/>
        </w:rPr>
        <w:t xml:space="preserve"> (</w:t>
      </w:r>
      <w:r>
        <w:rPr>
          <w:rFonts w:hint="eastAsia" w:ascii="Times New Roman" w:hAnsi="Times New Roman" w:eastAsia="宋体" w:cs="Times New Roman"/>
          <w:b/>
          <w:bCs w:val="0"/>
          <w:color w:val="auto"/>
          <w:sz w:val="24"/>
          <w:lang w:val="en-US" w:eastAsia="zh-CN"/>
        </w:rPr>
        <w:t>a</w:t>
      </w:r>
      <w:r>
        <w:rPr>
          <w:rFonts w:hint="eastAsia" w:ascii="Times New Roman" w:hAnsi="Times New Roman" w:eastAsia="宋体" w:cs="Times New Roman"/>
          <w:color w:val="auto"/>
          <w:sz w:val="24"/>
          <w:lang w:val="en-US" w:eastAsia="zh-CN"/>
        </w:rPr>
        <w:t>)</w:t>
      </w:r>
      <w:r>
        <w:rPr>
          <w:rFonts w:hint="eastAsia" w:ascii="Times New Roman" w:hAnsi="Times New Roman" w:eastAsia="宋体" w:cs="Times New Roman"/>
          <w:color w:val="auto"/>
          <w:sz w:val="24"/>
        </w:rPr>
        <w:t>, frequency by element</w:t>
      </w:r>
      <w:r>
        <w:rPr>
          <w:rFonts w:hint="eastAsia" w:ascii="Times New Roman" w:hAnsi="Times New Roman" w:eastAsia="宋体" w:cs="Times New Roman"/>
          <w:color w:val="auto"/>
          <w:sz w:val="24"/>
          <w:lang w:val="en-US" w:eastAsia="zh-CN"/>
        </w:rPr>
        <w:t xml:space="preserve"> (</w:t>
      </w:r>
      <w:r>
        <w:rPr>
          <w:rFonts w:hint="eastAsia" w:ascii="Times New Roman" w:hAnsi="Times New Roman" w:eastAsia="宋体" w:cs="Times New Roman"/>
          <w:b/>
          <w:bCs w:val="0"/>
          <w:color w:val="auto"/>
          <w:sz w:val="24"/>
          <w:lang w:val="en-US" w:eastAsia="zh-CN"/>
        </w:rPr>
        <w:t>b</w:t>
      </w:r>
      <w:r>
        <w:rPr>
          <w:rFonts w:hint="eastAsia" w:ascii="Times New Roman" w:hAnsi="Times New Roman" w:eastAsia="宋体" w:cs="Times New Roman"/>
          <w:color w:val="auto"/>
          <w:sz w:val="24"/>
          <w:lang w:val="en-US" w:eastAsia="zh-CN"/>
        </w:rPr>
        <w:t>), location (</w:t>
      </w:r>
      <w:r>
        <w:rPr>
          <w:rFonts w:hint="eastAsia" w:ascii="Times New Roman" w:hAnsi="Times New Roman" w:eastAsia="宋体" w:cs="Times New Roman"/>
          <w:b/>
          <w:bCs w:val="0"/>
          <w:color w:val="auto"/>
          <w:sz w:val="24"/>
          <w:lang w:val="en-US" w:eastAsia="zh-CN"/>
        </w:rPr>
        <w:t>c</w:t>
      </w:r>
      <w:r>
        <w:rPr>
          <w:rFonts w:hint="eastAsia" w:ascii="Times New Roman" w:hAnsi="Times New Roman" w:eastAsia="宋体" w:cs="Times New Roman"/>
          <w:color w:val="auto"/>
          <w:sz w:val="24"/>
          <w:lang w:val="en-US" w:eastAsia="zh-CN"/>
        </w:rPr>
        <w:t>),</w:t>
      </w:r>
      <w:r>
        <w:rPr>
          <w:rFonts w:hint="eastAsia" w:ascii="Times New Roman" w:hAnsi="Times New Roman" w:eastAsia="宋体" w:cs="Times New Roman"/>
          <w:color w:val="auto"/>
          <w:sz w:val="24"/>
        </w:rPr>
        <w:t xml:space="preserve"> and length</w:t>
      </w:r>
      <w:r>
        <w:rPr>
          <w:rFonts w:hint="eastAsia" w:ascii="Times New Roman" w:hAnsi="Times New Roman" w:eastAsia="宋体" w:cs="Times New Roman"/>
          <w:color w:val="auto"/>
          <w:sz w:val="24"/>
          <w:lang w:val="en-US" w:eastAsia="zh-CN"/>
        </w:rPr>
        <w:t xml:space="preserve"> (</w:t>
      </w:r>
      <w:r>
        <w:rPr>
          <w:rFonts w:hint="eastAsia" w:ascii="Times New Roman" w:hAnsi="Times New Roman" w:eastAsia="宋体" w:cs="Times New Roman"/>
          <w:b/>
          <w:bCs w:val="0"/>
          <w:color w:val="auto"/>
          <w:sz w:val="24"/>
          <w:lang w:val="en-US" w:eastAsia="zh-CN"/>
        </w:rPr>
        <w:t>d</w:t>
      </w:r>
      <w:r>
        <w:rPr>
          <w:rFonts w:hint="eastAsia" w:ascii="Times New Roman" w:hAnsi="Times New Roman" w:eastAsia="宋体" w:cs="Times New Roman"/>
          <w:color w:val="auto"/>
          <w:sz w:val="24"/>
          <w:lang w:val="en-US" w:eastAsia="zh-CN"/>
        </w:rPr>
        <w:t>).</w:t>
      </w:r>
    </w:p>
    <w:p w14:paraId="40B0A5E6">
      <w:pPr>
        <w:ind w:firstLine="0"/>
        <w:jc w:val="center"/>
        <w:rPr>
          <w:rFonts w:hint="eastAsia" w:eastAsia="宋体"/>
          <w:lang w:eastAsia="zh-CN"/>
        </w:rPr>
      </w:pPr>
      <w:r>
        <w:rPr>
          <w:rFonts w:hint="eastAsia" w:eastAsia="宋体"/>
          <w:lang w:eastAsia="zh-CN"/>
        </w:rPr>
        <w:drawing>
          <wp:inline distT="0" distB="0" distL="114300" distR="114300">
            <wp:extent cx="5269230" cy="7379970"/>
            <wp:effectExtent l="0" t="0" r="0" b="0"/>
            <wp:docPr id="6" name="图片 6" descr="density distribution-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ensity distribution-final"/>
                    <pic:cNvPicPr>
                      <a:picLocks noChangeAspect="1"/>
                    </pic:cNvPicPr>
                  </pic:nvPicPr>
                  <pic:blipFill>
                    <a:blip r:embed="rId61"/>
                    <a:srcRect t="971"/>
                    <a:stretch>
                      <a:fillRect/>
                    </a:stretch>
                  </pic:blipFill>
                  <pic:spPr>
                    <a:xfrm>
                      <a:off x="0" y="0"/>
                      <a:ext cx="5269230" cy="7379970"/>
                    </a:xfrm>
                    <a:prstGeom prst="rect">
                      <a:avLst/>
                    </a:prstGeom>
                  </pic:spPr>
                </pic:pic>
              </a:graphicData>
            </a:graphic>
          </wp:inline>
        </w:drawing>
      </w:r>
    </w:p>
    <w:p w14:paraId="5E45D858">
      <w:pPr>
        <w:pStyle w:val="7"/>
        <w:jc w:val="both"/>
        <w:rPr>
          <w:rFonts w:hint="default" w:eastAsia="宋体"/>
          <w:lang w:val="en-US" w:eastAsia="zh-CN"/>
        </w:rPr>
        <w:sectPr>
          <w:pgSz w:w="11906" w:h="16838"/>
          <w:pgMar w:top="1440" w:right="1800" w:bottom="1440" w:left="1800" w:header="851" w:footer="992" w:gutter="0"/>
          <w:lnNumType w:countBy="0" w:restart="continuous"/>
          <w:cols w:space="425" w:num="1"/>
          <w:docGrid w:type="lines" w:linePitch="326" w:charSpace="0"/>
        </w:sectPr>
      </w:pPr>
      <w:r>
        <w:rPr>
          <w:rFonts w:hint="eastAsia"/>
          <w:b/>
          <w:bCs w:val="0"/>
          <w:lang w:eastAsia="zh-CN"/>
        </w:rPr>
        <w:t>Supplementary Fig.</w:t>
      </w:r>
      <w:r>
        <w:rPr>
          <w:b/>
          <w:bCs w:val="0"/>
        </w:rPr>
        <w:t xml:space="preserve"> </w:t>
      </w:r>
      <w:r>
        <w:rPr>
          <w:rFonts w:hint="eastAsia"/>
          <w:b/>
          <w:bCs w:val="0"/>
          <w:lang w:val="en-US" w:eastAsia="zh-CN"/>
        </w:rPr>
        <w:t>45</w:t>
      </w:r>
      <w:r>
        <w:t xml:space="preserve"> | </w:t>
      </w:r>
      <w:r>
        <w:rPr>
          <w:rFonts w:hint="eastAsia"/>
          <w:lang w:val="en-US" w:eastAsia="zh-CN"/>
        </w:rPr>
        <w:t>Heat maps showing the spatial distribution of fossils and stone artefacts for layers 3, 7, 9, 11, and 12, together with the 3D reconstructed excavation plans for each layer. The light yellow squares in layers 7 and 9 show the location where hominin fossils were recovered.</w:t>
      </w:r>
    </w:p>
    <w:p w14:paraId="32AB938B">
      <w:pPr>
        <w:pStyle w:val="2"/>
        <w:keepNext/>
        <w:keepLines/>
        <w:pageBreakBefore w:val="0"/>
        <w:widowControl/>
        <w:kinsoku/>
        <w:wordWrap/>
        <w:overflowPunct/>
        <w:topLinePunct w:val="0"/>
        <w:autoSpaceDE/>
        <w:autoSpaceDN/>
        <w:bidi w:val="0"/>
        <w:adjustRightInd/>
        <w:snapToGrid/>
        <w:spacing w:after="0" w:line="360" w:lineRule="auto"/>
        <w:textAlignment w:val="auto"/>
      </w:pPr>
      <w:bookmarkStart w:id="19" w:name="_Toc209814672"/>
      <w:bookmarkStart w:id="20" w:name="_Ref208050286"/>
      <w:r>
        <w:t>Supplementary Tables</w:t>
      </w:r>
      <w:bookmarkEnd w:id="19"/>
      <w:bookmarkEnd w:id="20"/>
      <w:bookmarkStart w:id="21" w:name="_Ref208052476"/>
    </w:p>
    <w:p w14:paraId="36BE30C8">
      <w:pPr>
        <w:pStyle w:val="2"/>
        <w:keepNext/>
        <w:keepLines/>
        <w:pageBreakBefore w:val="0"/>
        <w:widowControl/>
        <w:kinsoku/>
        <w:wordWrap/>
        <w:overflowPunct/>
        <w:topLinePunct w:val="0"/>
        <w:autoSpaceDE/>
        <w:autoSpaceDN/>
        <w:bidi w:val="0"/>
        <w:adjustRightInd/>
        <w:snapToGrid/>
        <w:spacing w:line="240" w:lineRule="auto"/>
        <w:textAlignment w:val="auto"/>
        <w:rPr>
          <w:b w:val="0"/>
          <w:bCs w:val="0"/>
          <w:sz w:val="24"/>
          <w:szCs w:val="32"/>
        </w:rPr>
      </w:pPr>
      <w:r>
        <w:rPr>
          <w:b/>
          <w:bCs w:val="0"/>
          <w:sz w:val="24"/>
          <w:szCs w:val="32"/>
        </w:rPr>
        <w:t xml:space="preserve">Supplementary Table </w:t>
      </w:r>
      <w:r>
        <w:rPr>
          <w:b/>
          <w:bCs w:val="0"/>
          <w:sz w:val="24"/>
          <w:szCs w:val="32"/>
        </w:rPr>
        <w:fldChar w:fldCharType="begin"/>
      </w:r>
      <w:r>
        <w:rPr>
          <w:b/>
          <w:bCs w:val="0"/>
          <w:sz w:val="24"/>
          <w:szCs w:val="32"/>
        </w:rPr>
        <w:instrText xml:space="preserve"> SEQ Supplementary_Table \* ARABIC </w:instrText>
      </w:r>
      <w:r>
        <w:rPr>
          <w:b/>
          <w:bCs w:val="0"/>
          <w:sz w:val="24"/>
          <w:szCs w:val="32"/>
        </w:rPr>
        <w:fldChar w:fldCharType="separate"/>
      </w:r>
      <w:r>
        <w:rPr>
          <w:b/>
          <w:bCs w:val="0"/>
          <w:sz w:val="24"/>
          <w:szCs w:val="32"/>
        </w:rPr>
        <w:t>1</w:t>
      </w:r>
      <w:r>
        <w:rPr>
          <w:b/>
          <w:bCs w:val="0"/>
          <w:sz w:val="24"/>
          <w:szCs w:val="32"/>
        </w:rPr>
        <w:fldChar w:fldCharType="end"/>
      </w:r>
      <w:bookmarkEnd w:id="21"/>
      <w:r>
        <w:rPr>
          <w:sz w:val="24"/>
          <w:szCs w:val="32"/>
        </w:rPr>
        <w:t xml:space="preserve"> | </w:t>
      </w:r>
      <w:r>
        <w:rPr>
          <w:b w:val="0"/>
          <w:bCs w:val="0"/>
          <w:sz w:val="24"/>
          <w:szCs w:val="22"/>
        </w:rPr>
        <w:t xml:space="preserve">Data used for estimating the gamma dose rate gradient. </w:t>
      </w:r>
    </w:p>
    <w:tbl>
      <w:tblPr>
        <w:tblStyle w:val="24"/>
        <w:tblW w:w="9323" w:type="dxa"/>
        <w:tblInd w:w="0" w:type="dxa"/>
        <w:tblLayout w:type="fixed"/>
        <w:tblCellMar>
          <w:top w:w="0" w:type="dxa"/>
          <w:left w:w="108" w:type="dxa"/>
          <w:bottom w:w="0" w:type="dxa"/>
          <w:right w:w="108" w:type="dxa"/>
        </w:tblCellMar>
      </w:tblPr>
      <w:tblGrid>
        <w:gridCol w:w="851"/>
        <w:gridCol w:w="1276"/>
        <w:gridCol w:w="1526"/>
        <w:gridCol w:w="1559"/>
        <w:gridCol w:w="1559"/>
        <w:gridCol w:w="1418"/>
        <w:gridCol w:w="1134"/>
      </w:tblGrid>
      <w:tr w14:paraId="71653303">
        <w:tblPrEx>
          <w:tblCellMar>
            <w:top w:w="0" w:type="dxa"/>
            <w:left w:w="108" w:type="dxa"/>
            <w:bottom w:w="0" w:type="dxa"/>
            <w:right w:w="108" w:type="dxa"/>
          </w:tblCellMar>
        </w:tblPrEx>
        <w:trPr>
          <w:tblHeader/>
        </w:trPr>
        <w:tc>
          <w:tcPr>
            <w:tcW w:w="851"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tcPr>
          <w:p w14:paraId="39623C80">
            <w:pPr>
              <w:pStyle w:val="55"/>
              <w:keepNext w:val="0"/>
              <w:keepLines w:val="0"/>
              <w:widowControl/>
              <w:suppressLineNumbers w:val="0"/>
              <w:spacing w:before="0" w:beforeAutospacing="0" w:afterAutospacing="0"/>
              <w:ind w:right="0"/>
              <w:rPr>
                <w:rFonts w:hint="default"/>
              </w:rPr>
            </w:pPr>
            <w:r>
              <w:rPr>
                <w:rFonts w:hint="default"/>
              </w:rPr>
              <w:t>Layer</w:t>
            </w:r>
          </w:p>
        </w:tc>
        <w:tc>
          <w:tcPr>
            <w:tcW w:w="1276"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tcPr>
          <w:p w14:paraId="08B7DE29">
            <w:pPr>
              <w:pStyle w:val="55"/>
              <w:keepNext w:val="0"/>
              <w:keepLines w:val="0"/>
              <w:widowControl/>
              <w:suppressLineNumbers w:val="0"/>
              <w:spacing w:before="0" w:beforeAutospacing="0" w:afterAutospacing="0"/>
              <w:ind w:right="0"/>
              <w:rPr>
                <w:rFonts w:hint="default"/>
              </w:rPr>
            </w:pPr>
            <w:r>
              <w:rPr>
                <w:rFonts w:hint="default"/>
              </w:rPr>
              <w:t>Thickness (cm)</w:t>
            </w:r>
          </w:p>
        </w:tc>
        <w:tc>
          <w:tcPr>
            <w:tcW w:w="1526"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tcPr>
          <w:p w14:paraId="10D26E57">
            <w:pPr>
              <w:pStyle w:val="55"/>
              <w:keepNext w:val="0"/>
              <w:keepLines w:val="0"/>
              <w:widowControl/>
              <w:suppressLineNumbers w:val="0"/>
              <w:spacing w:before="0" w:beforeAutospacing="0" w:afterAutospacing="0"/>
              <w:ind w:right="0"/>
              <w:rPr>
                <w:rFonts w:hint="default"/>
              </w:rPr>
            </w:pPr>
            <w:r>
              <w:rPr>
                <w:rFonts w:hint="default"/>
              </w:rPr>
              <w:t>Fraction of limestones</w:t>
            </w:r>
          </w:p>
        </w:tc>
        <w:tc>
          <w:tcPr>
            <w:tcW w:w="1559"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tcPr>
          <w:p w14:paraId="73DFAFDB">
            <w:pPr>
              <w:pStyle w:val="55"/>
              <w:keepNext w:val="0"/>
              <w:keepLines w:val="0"/>
              <w:widowControl/>
              <w:suppressLineNumbers w:val="0"/>
              <w:spacing w:before="0" w:beforeAutospacing="0" w:afterAutospacing="0"/>
              <w:ind w:right="0"/>
              <w:rPr>
                <w:rFonts w:hint="default"/>
              </w:rPr>
            </w:pPr>
            <w:r>
              <w:rPr>
                <w:rFonts w:hint="default"/>
              </w:rPr>
              <w:t>U (ppm)</w:t>
            </w:r>
          </w:p>
        </w:tc>
        <w:tc>
          <w:tcPr>
            <w:tcW w:w="1559"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tcPr>
          <w:p w14:paraId="676A63DC">
            <w:pPr>
              <w:pStyle w:val="55"/>
              <w:keepNext w:val="0"/>
              <w:keepLines w:val="0"/>
              <w:widowControl/>
              <w:suppressLineNumbers w:val="0"/>
              <w:spacing w:before="0" w:beforeAutospacing="0" w:afterAutospacing="0"/>
              <w:ind w:right="0"/>
              <w:rPr>
                <w:rFonts w:hint="default"/>
              </w:rPr>
            </w:pPr>
            <w:r>
              <w:rPr>
                <w:rFonts w:hint="default"/>
              </w:rPr>
              <w:t>Th (ppm)</w:t>
            </w:r>
          </w:p>
        </w:tc>
        <w:tc>
          <w:tcPr>
            <w:tcW w:w="1418"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tcPr>
          <w:p w14:paraId="7785E023">
            <w:pPr>
              <w:pStyle w:val="55"/>
              <w:keepNext w:val="0"/>
              <w:keepLines w:val="0"/>
              <w:widowControl/>
              <w:suppressLineNumbers w:val="0"/>
              <w:spacing w:before="0" w:beforeAutospacing="0" w:afterAutospacing="0"/>
              <w:ind w:right="0"/>
              <w:rPr>
                <w:rFonts w:hint="default"/>
              </w:rPr>
            </w:pPr>
            <w:r>
              <w:rPr>
                <w:rFonts w:hint="default"/>
              </w:rPr>
              <w:t>K (%)</w:t>
            </w:r>
          </w:p>
        </w:tc>
        <w:tc>
          <w:tcPr>
            <w:tcW w:w="1134"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tcPr>
          <w:p w14:paraId="65F48A29">
            <w:pPr>
              <w:pStyle w:val="55"/>
              <w:keepNext w:val="0"/>
              <w:keepLines w:val="0"/>
              <w:widowControl/>
              <w:suppressLineNumbers w:val="0"/>
              <w:spacing w:before="0" w:beforeAutospacing="0" w:afterAutospacing="0"/>
              <w:ind w:right="0"/>
              <w:rPr>
                <w:rFonts w:hint="default"/>
              </w:rPr>
            </w:pPr>
            <w:r>
              <w:rPr>
                <w:rFonts w:hint="default"/>
              </w:rPr>
              <w:t>Water (%)</w:t>
            </w:r>
          </w:p>
        </w:tc>
      </w:tr>
      <w:tr w14:paraId="699FD1D7">
        <w:tblPrEx>
          <w:tblCellMar>
            <w:top w:w="0" w:type="dxa"/>
            <w:left w:w="108" w:type="dxa"/>
            <w:bottom w:w="0" w:type="dxa"/>
            <w:right w:w="108" w:type="dxa"/>
          </w:tblCellMar>
        </w:tblPrEx>
        <w:tc>
          <w:tcPr>
            <w:tcW w:w="851" w:type="dxa"/>
            <w:tcBorders>
              <w:top w:val="single" w:color="666666" w:sz="12" w:space="0"/>
              <w:left w:val="nil"/>
              <w:bottom w:val="nil"/>
              <w:right w:val="nil"/>
            </w:tcBorders>
            <w:shd w:val="clear" w:color="auto" w:fill="FFFFFF"/>
            <w:tcMar>
              <w:top w:w="0" w:type="dxa"/>
              <w:left w:w="0" w:type="dxa"/>
              <w:bottom w:w="0" w:type="dxa"/>
              <w:right w:w="0" w:type="dxa"/>
            </w:tcMar>
          </w:tcPr>
          <w:p w14:paraId="5262FE6A">
            <w:pPr>
              <w:pStyle w:val="55"/>
              <w:keepNext w:val="0"/>
              <w:keepLines w:val="0"/>
              <w:widowControl/>
              <w:suppressLineNumbers w:val="0"/>
              <w:spacing w:before="0" w:beforeAutospacing="0" w:afterAutospacing="0"/>
              <w:ind w:right="0"/>
              <w:rPr>
                <w:rFonts w:hint="default"/>
              </w:rPr>
            </w:pPr>
            <w:r>
              <w:rPr>
                <w:rFonts w:hint="default"/>
              </w:rPr>
              <w:t>3</w:t>
            </w:r>
          </w:p>
        </w:tc>
        <w:tc>
          <w:tcPr>
            <w:tcW w:w="1276" w:type="dxa"/>
            <w:tcBorders>
              <w:top w:val="single" w:color="666666" w:sz="12" w:space="0"/>
              <w:left w:val="nil"/>
              <w:bottom w:val="nil"/>
              <w:right w:val="nil"/>
            </w:tcBorders>
            <w:shd w:val="clear" w:color="auto" w:fill="FFFFFF"/>
            <w:tcMar>
              <w:top w:w="0" w:type="dxa"/>
              <w:left w:w="0" w:type="dxa"/>
              <w:bottom w:w="0" w:type="dxa"/>
              <w:right w:w="0" w:type="dxa"/>
            </w:tcMar>
          </w:tcPr>
          <w:p w14:paraId="3AC6F9F5">
            <w:pPr>
              <w:pStyle w:val="55"/>
              <w:keepNext w:val="0"/>
              <w:keepLines w:val="0"/>
              <w:widowControl/>
              <w:suppressLineNumbers w:val="0"/>
              <w:spacing w:before="0" w:beforeAutospacing="0" w:afterAutospacing="0"/>
              <w:ind w:right="0"/>
              <w:rPr>
                <w:rFonts w:hint="default"/>
              </w:rPr>
            </w:pPr>
            <w:r>
              <w:rPr>
                <w:rFonts w:hint="default"/>
              </w:rPr>
              <w:t>30</w:t>
            </w:r>
          </w:p>
        </w:tc>
        <w:tc>
          <w:tcPr>
            <w:tcW w:w="1526" w:type="dxa"/>
            <w:tcBorders>
              <w:top w:val="single" w:color="666666" w:sz="12" w:space="0"/>
              <w:left w:val="nil"/>
              <w:bottom w:val="nil"/>
              <w:right w:val="nil"/>
            </w:tcBorders>
            <w:shd w:val="clear" w:color="auto" w:fill="FFFFFF"/>
            <w:tcMar>
              <w:top w:w="0" w:type="dxa"/>
              <w:left w:w="0" w:type="dxa"/>
              <w:bottom w:w="0" w:type="dxa"/>
              <w:right w:w="0" w:type="dxa"/>
            </w:tcMar>
          </w:tcPr>
          <w:p w14:paraId="7E6FF07C">
            <w:pPr>
              <w:pStyle w:val="55"/>
              <w:keepNext w:val="0"/>
              <w:keepLines w:val="0"/>
              <w:widowControl/>
              <w:suppressLineNumbers w:val="0"/>
              <w:spacing w:before="0" w:beforeAutospacing="0" w:afterAutospacing="0"/>
              <w:ind w:right="0"/>
              <w:rPr>
                <w:rFonts w:hint="default"/>
              </w:rPr>
            </w:pPr>
            <w:r>
              <w:rPr>
                <w:rFonts w:hint="default"/>
              </w:rPr>
              <w:t>0.30 ± 0.05</w:t>
            </w:r>
          </w:p>
        </w:tc>
        <w:tc>
          <w:tcPr>
            <w:tcW w:w="1559" w:type="dxa"/>
            <w:tcBorders>
              <w:top w:val="single" w:color="666666" w:sz="12" w:space="0"/>
              <w:left w:val="nil"/>
              <w:bottom w:val="nil"/>
              <w:right w:val="nil"/>
            </w:tcBorders>
            <w:shd w:val="clear" w:color="auto" w:fill="FFFFFF"/>
            <w:tcMar>
              <w:top w:w="0" w:type="dxa"/>
              <w:left w:w="0" w:type="dxa"/>
              <w:bottom w:w="0" w:type="dxa"/>
              <w:right w:w="0" w:type="dxa"/>
            </w:tcMar>
          </w:tcPr>
          <w:p w14:paraId="2769C600">
            <w:pPr>
              <w:pStyle w:val="55"/>
              <w:keepNext w:val="0"/>
              <w:keepLines w:val="0"/>
              <w:widowControl/>
              <w:suppressLineNumbers w:val="0"/>
              <w:spacing w:before="0" w:beforeAutospacing="0" w:afterAutospacing="0"/>
              <w:ind w:right="0"/>
              <w:rPr>
                <w:rFonts w:hint="default"/>
              </w:rPr>
            </w:pPr>
            <w:r>
              <w:rPr>
                <w:rFonts w:hint="default"/>
              </w:rPr>
              <w:t>4.66 ± 0.09</w:t>
            </w:r>
          </w:p>
        </w:tc>
        <w:tc>
          <w:tcPr>
            <w:tcW w:w="1559" w:type="dxa"/>
            <w:tcBorders>
              <w:top w:val="single" w:color="666666" w:sz="12" w:space="0"/>
              <w:left w:val="nil"/>
              <w:bottom w:val="nil"/>
              <w:right w:val="nil"/>
            </w:tcBorders>
            <w:shd w:val="clear" w:color="auto" w:fill="FFFFFF"/>
            <w:tcMar>
              <w:top w:w="0" w:type="dxa"/>
              <w:left w:w="0" w:type="dxa"/>
              <w:bottom w:w="0" w:type="dxa"/>
              <w:right w:w="0" w:type="dxa"/>
            </w:tcMar>
          </w:tcPr>
          <w:p w14:paraId="1FDDB8B5">
            <w:pPr>
              <w:pStyle w:val="55"/>
              <w:keepNext w:val="0"/>
              <w:keepLines w:val="0"/>
              <w:widowControl/>
              <w:suppressLineNumbers w:val="0"/>
              <w:spacing w:before="0" w:beforeAutospacing="0" w:afterAutospacing="0"/>
              <w:ind w:right="0"/>
              <w:rPr>
                <w:rFonts w:hint="default"/>
              </w:rPr>
            </w:pPr>
            <w:r>
              <w:rPr>
                <w:rFonts w:hint="default"/>
              </w:rPr>
              <w:t>14.14 ± 0.71</w:t>
            </w:r>
          </w:p>
        </w:tc>
        <w:tc>
          <w:tcPr>
            <w:tcW w:w="1418" w:type="dxa"/>
            <w:tcBorders>
              <w:top w:val="single" w:color="666666" w:sz="12" w:space="0"/>
              <w:left w:val="nil"/>
              <w:bottom w:val="nil"/>
              <w:right w:val="nil"/>
            </w:tcBorders>
            <w:shd w:val="clear" w:color="auto" w:fill="FFFFFF"/>
            <w:tcMar>
              <w:top w:w="0" w:type="dxa"/>
              <w:left w:w="0" w:type="dxa"/>
              <w:bottom w:w="0" w:type="dxa"/>
              <w:right w:w="0" w:type="dxa"/>
            </w:tcMar>
          </w:tcPr>
          <w:p w14:paraId="1803AEE7">
            <w:pPr>
              <w:pStyle w:val="55"/>
              <w:keepNext w:val="0"/>
              <w:keepLines w:val="0"/>
              <w:widowControl/>
              <w:suppressLineNumbers w:val="0"/>
              <w:spacing w:before="0" w:beforeAutospacing="0" w:afterAutospacing="0"/>
              <w:ind w:right="0"/>
              <w:rPr>
                <w:rFonts w:hint="default"/>
              </w:rPr>
            </w:pPr>
            <w:r>
              <w:rPr>
                <w:rFonts w:hint="default"/>
              </w:rPr>
              <w:t>1.00 ± 0.05</w:t>
            </w:r>
          </w:p>
        </w:tc>
        <w:tc>
          <w:tcPr>
            <w:tcW w:w="1134" w:type="dxa"/>
            <w:tcBorders>
              <w:top w:val="single" w:color="666666" w:sz="12" w:space="0"/>
              <w:left w:val="nil"/>
              <w:bottom w:val="nil"/>
              <w:right w:val="nil"/>
            </w:tcBorders>
            <w:shd w:val="clear" w:color="auto" w:fill="FFFFFF"/>
            <w:tcMar>
              <w:top w:w="0" w:type="dxa"/>
              <w:left w:w="0" w:type="dxa"/>
              <w:bottom w:w="0" w:type="dxa"/>
              <w:right w:w="0" w:type="dxa"/>
            </w:tcMar>
          </w:tcPr>
          <w:p w14:paraId="6059A1C4">
            <w:pPr>
              <w:pStyle w:val="55"/>
              <w:keepNext w:val="0"/>
              <w:keepLines w:val="0"/>
              <w:widowControl/>
              <w:suppressLineNumbers w:val="0"/>
              <w:spacing w:before="0" w:beforeAutospacing="0" w:afterAutospacing="0"/>
              <w:ind w:right="0"/>
              <w:rPr>
                <w:rFonts w:hint="default"/>
              </w:rPr>
            </w:pPr>
            <w:r>
              <w:rPr>
                <w:rFonts w:hint="default"/>
              </w:rPr>
              <w:t>20 ± 4</w:t>
            </w:r>
          </w:p>
        </w:tc>
      </w:tr>
      <w:tr w14:paraId="3B30ABBC">
        <w:tblPrEx>
          <w:tblCellMar>
            <w:top w:w="0" w:type="dxa"/>
            <w:left w:w="108" w:type="dxa"/>
            <w:bottom w:w="0" w:type="dxa"/>
            <w:right w:w="108" w:type="dxa"/>
          </w:tblCellMar>
        </w:tblPrEx>
        <w:tc>
          <w:tcPr>
            <w:tcW w:w="851" w:type="dxa"/>
            <w:tcBorders>
              <w:top w:val="nil"/>
              <w:left w:val="nil"/>
              <w:bottom w:val="nil"/>
              <w:right w:val="nil"/>
            </w:tcBorders>
            <w:shd w:val="clear" w:color="auto" w:fill="FFFFFF"/>
            <w:tcMar>
              <w:top w:w="0" w:type="dxa"/>
              <w:left w:w="0" w:type="dxa"/>
              <w:bottom w:w="0" w:type="dxa"/>
              <w:right w:w="0" w:type="dxa"/>
            </w:tcMar>
          </w:tcPr>
          <w:p w14:paraId="334205B0">
            <w:pPr>
              <w:pStyle w:val="55"/>
              <w:keepNext w:val="0"/>
              <w:keepLines w:val="0"/>
              <w:widowControl/>
              <w:suppressLineNumbers w:val="0"/>
              <w:spacing w:before="0" w:beforeAutospacing="0" w:afterAutospacing="0"/>
              <w:ind w:right="0"/>
              <w:rPr>
                <w:rFonts w:hint="default"/>
              </w:rPr>
            </w:pPr>
            <w:r>
              <w:rPr>
                <w:rFonts w:hint="default"/>
              </w:rPr>
              <w:t>4</w:t>
            </w:r>
          </w:p>
        </w:tc>
        <w:tc>
          <w:tcPr>
            <w:tcW w:w="1276" w:type="dxa"/>
            <w:tcBorders>
              <w:top w:val="nil"/>
              <w:left w:val="nil"/>
              <w:bottom w:val="nil"/>
              <w:right w:val="nil"/>
            </w:tcBorders>
            <w:shd w:val="clear" w:color="auto" w:fill="FFFFFF"/>
            <w:tcMar>
              <w:top w:w="0" w:type="dxa"/>
              <w:left w:w="0" w:type="dxa"/>
              <w:bottom w:w="0" w:type="dxa"/>
              <w:right w:w="0" w:type="dxa"/>
            </w:tcMar>
          </w:tcPr>
          <w:p w14:paraId="06E10FF3">
            <w:pPr>
              <w:pStyle w:val="55"/>
              <w:keepNext w:val="0"/>
              <w:keepLines w:val="0"/>
              <w:widowControl/>
              <w:suppressLineNumbers w:val="0"/>
              <w:spacing w:before="0" w:beforeAutospacing="0" w:afterAutospacing="0"/>
              <w:ind w:right="0"/>
              <w:rPr>
                <w:rFonts w:hint="default"/>
              </w:rPr>
            </w:pPr>
            <w:r>
              <w:rPr>
                <w:rFonts w:hint="default"/>
              </w:rPr>
              <w:t>15</w:t>
            </w:r>
          </w:p>
        </w:tc>
        <w:tc>
          <w:tcPr>
            <w:tcW w:w="1526" w:type="dxa"/>
            <w:tcBorders>
              <w:top w:val="nil"/>
              <w:left w:val="nil"/>
              <w:bottom w:val="nil"/>
              <w:right w:val="nil"/>
            </w:tcBorders>
            <w:shd w:val="clear" w:color="auto" w:fill="FFFFFF"/>
            <w:tcMar>
              <w:top w:w="0" w:type="dxa"/>
              <w:left w:w="0" w:type="dxa"/>
              <w:bottom w:w="0" w:type="dxa"/>
              <w:right w:w="0" w:type="dxa"/>
            </w:tcMar>
          </w:tcPr>
          <w:p w14:paraId="032D9D0C">
            <w:pPr>
              <w:pStyle w:val="55"/>
              <w:keepNext w:val="0"/>
              <w:keepLines w:val="0"/>
              <w:widowControl/>
              <w:suppressLineNumbers w:val="0"/>
              <w:spacing w:before="0" w:beforeAutospacing="0" w:afterAutospacing="0"/>
              <w:ind w:right="0"/>
              <w:rPr>
                <w:rFonts w:hint="default"/>
              </w:rPr>
            </w:pPr>
            <w:r>
              <w:rPr>
                <w:rFonts w:hint="default"/>
              </w:rPr>
              <w:t>0.20 ± 0.05</w:t>
            </w:r>
          </w:p>
        </w:tc>
        <w:tc>
          <w:tcPr>
            <w:tcW w:w="1559" w:type="dxa"/>
            <w:tcBorders>
              <w:top w:val="nil"/>
              <w:left w:val="nil"/>
              <w:bottom w:val="nil"/>
              <w:right w:val="nil"/>
            </w:tcBorders>
            <w:shd w:val="clear" w:color="auto" w:fill="FFFFFF"/>
            <w:tcMar>
              <w:top w:w="0" w:type="dxa"/>
              <w:left w:w="0" w:type="dxa"/>
              <w:bottom w:w="0" w:type="dxa"/>
              <w:right w:w="0" w:type="dxa"/>
            </w:tcMar>
          </w:tcPr>
          <w:p w14:paraId="07EE7894">
            <w:pPr>
              <w:pStyle w:val="55"/>
              <w:keepNext w:val="0"/>
              <w:keepLines w:val="0"/>
              <w:widowControl/>
              <w:suppressLineNumbers w:val="0"/>
              <w:spacing w:before="0" w:beforeAutospacing="0" w:afterAutospacing="0"/>
              <w:ind w:right="0"/>
              <w:rPr>
                <w:rFonts w:hint="default"/>
              </w:rPr>
            </w:pPr>
            <w:r>
              <w:rPr>
                <w:rFonts w:hint="default"/>
              </w:rPr>
              <w:t>5.20 ± 0.09</w:t>
            </w:r>
          </w:p>
        </w:tc>
        <w:tc>
          <w:tcPr>
            <w:tcW w:w="1559" w:type="dxa"/>
            <w:tcBorders>
              <w:top w:val="nil"/>
              <w:left w:val="nil"/>
              <w:bottom w:val="nil"/>
              <w:right w:val="nil"/>
            </w:tcBorders>
            <w:shd w:val="clear" w:color="auto" w:fill="FFFFFF"/>
            <w:tcMar>
              <w:top w:w="0" w:type="dxa"/>
              <w:left w:w="0" w:type="dxa"/>
              <w:bottom w:w="0" w:type="dxa"/>
              <w:right w:w="0" w:type="dxa"/>
            </w:tcMar>
          </w:tcPr>
          <w:p w14:paraId="6294877A">
            <w:pPr>
              <w:pStyle w:val="55"/>
              <w:keepNext w:val="0"/>
              <w:keepLines w:val="0"/>
              <w:widowControl/>
              <w:suppressLineNumbers w:val="0"/>
              <w:spacing w:before="0" w:beforeAutospacing="0" w:afterAutospacing="0"/>
              <w:ind w:right="0"/>
              <w:rPr>
                <w:rFonts w:hint="default"/>
              </w:rPr>
            </w:pPr>
            <w:r>
              <w:rPr>
                <w:rFonts w:hint="default"/>
              </w:rPr>
              <w:t>14.00 ± 0.71</w:t>
            </w:r>
          </w:p>
        </w:tc>
        <w:tc>
          <w:tcPr>
            <w:tcW w:w="1418" w:type="dxa"/>
            <w:tcBorders>
              <w:top w:val="nil"/>
              <w:left w:val="nil"/>
              <w:bottom w:val="nil"/>
              <w:right w:val="nil"/>
            </w:tcBorders>
            <w:shd w:val="clear" w:color="auto" w:fill="FFFFFF"/>
            <w:tcMar>
              <w:top w:w="0" w:type="dxa"/>
              <w:left w:w="0" w:type="dxa"/>
              <w:bottom w:w="0" w:type="dxa"/>
              <w:right w:w="0" w:type="dxa"/>
            </w:tcMar>
          </w:tcPr>
          <w:p w14:paraId="771E4F9D">
            <w:pPr>
              <w:pStyle w:val="55"/>
              <w:keepNext w:val="0"/>
              <w:keepLines w:val="0"/>
              <w:widowControl/>
              <w:suppressLineNumbers w:val="0"/>
              <w:spacing w:before="0" w:beforeAutospacing="0" w:afterAutospacing="0"/>
              <w:ind w:right="0"/>
              <w:rPr>
                <w:rFonts w:hint="default"/>
              </w:rPr>
            </w:pPr>
            <w:r>
              <w:rPr>
                <w:rFonts w:hint="default"/>
              </w:rPr>
              <w:t>1.04 ± 0.02</w:t>
            </w:r>
          </w:p>
        </w:tc>
        <w:tc>
          <w:tcPr>
            <w:tcW w:w="1134" w:type="dxa"/>
            <w:tcBorders>
              <w:top w:val="nil"/>
              <w:left w:val="nil"/>
              <w:bottom w:val="nil"/>
              <w:right w:val="nil"/>
            </w:tcBorders>
            <w:shd w:val="clear" w:color="auto" w:fill="FFFFFF"/>
            <w:tcMar>
              <w:top w:w="0" w:type="dxa"/>
              <w:left w:w="0" w:type="dxa"/>
              <w:bottom w:w="0" w:type="dxa"/>
              <w:right w:w="0" w:type="dxa"/>
            </w:tcMar>
          </w:tcPr>
          <w:p w14:paraId="60E13810">
            <w:pPr>
              <w:pStyle w:val="55"/>
              <w:keepNext w:val="0"/>
              <w:keepLines w:val="0"/>
              <w:widowControl/>
              <w:suppressLineNumbers w:val="0"/>
              <w:spacing w:before="0" w:beforeAutospacing="0" w:afterAutospacing="0"/>
              <w:ind w:right="0"/>
              <w:rPr>
                <w:rFonts w:hint="default"/>
              </w:rPr>
            </w:pPr>
            <w:r>
              <w:rPr>
                <w:rFonts w:hint="default"/>
              </w:rPr>
              <w:t>23 ± 5</w:t>
            </w:r>
          </w:p>
        </w:tc>
      </w:tr>
      <w:tr w14:paraId="1ADE9E46">
        <w:tblPrEx>
          <w:tblCellMar>
            <w:top w:w="0" w:type="dxa"/>
            <w:left w:w="108" w:type="dxa"/>
            <w:bottom w:w="0" w:type="dxa"/>
            <w:right w:w="108" w:type="dxa"/>
          </w:tblCellMar>
        </w:tblPrEx>
        <w:tc>
          <w:tcPr>
            <w:tcW w:w="851" w:type="dxa"/>
            <w:tcBorders>
              <w:top w:val="nil"/>
              <w:left w:val="nil"/>
              <w:bottom w:val="nil"/>
              <w:right w:val="nil"/>
            </w:tcBorders>
            <w:shd w:val="clear" w:color="auto" w:fill="FFFFFF"/>
            <w:tcMar>
              <w:top w:w="0" w:type="dxa"/>
              <w:left w:w="0" w:type="dxa"/>
              <w:bottom w:w="0" w:type="dxa"/>
              <w:right w:w="0" w:type="dxa"/>
            </w:tcMar>
          </w:tcPr>
          <w:p w14:paraId="553910AE">
            <w:pPr>
              <w:pStyle w:val="55"/>
              <w:keepNext w:val="0"/>
              <w:keepLines w:val="0"/>
              <w:widowControl/>
              <w:suppressLineNumbers w:val="0"/>
              <w:spacing w:before="0" w:beforeAutospacing="0" w:afterAutospacing="0"/>
              <w:ind w:right="0"/>
              <w:rPr>
                <w:rFonts w:hint="default"/>
              </w:rPr>
            </w:pPr>
            <w:r>
              <w:rPr>
                <w:rFonts w:hint="default"/>
              </w:rPr>
              <w:t>5</w:t>
            </w:r>
          </w:p>
        </w:tc>
        <w:tc>
          <w:tcPr>
            <w:tcW w:w="1276" w:type="dxa"/>
            <w:tcBorders>
              <w:top w:val="nil"/>
              <w:left w:val="nil"/>
              <w:bottom w:val="nil"/>
              <w:right w:val="nil"/>
            </w:tcBorders>
            <w:shd w:val="clear" w:color="auto" w:fill="FFFFFF"/>
            <w:tcMar>
              <w:top w:w="0" w:type="dxa"/>
              <w:left w:w="0" w:type="dxa"/>
              <w:bottom w:w="0" w:type="dxa"/>
              <w:right w:w="0" w:type="dxa"/>
            </w:tcMar>
          </w:tcPr>
          <w:p w14:paraId="0941C4B2">
            <w:pPr>
              <w:pStyle w:val="55"/>
              <w:keepNext w:val="0"/>
              <w:keepLines w:val="0"/>
              <w:widowControl/>
              <w:suppressLineNumbers w:val="0"/>
              <w:spacing w:before="0" w:beforeAutospacing="0" w:afterAutospacing="0"/>
              <w:ind w:right="0"/>
              <w:rPr>
                <w:rFonts w:hint="default"/>
              </w:rPr>
            </w:pPr>
            <w:r>
              <w:rPr>
                <w:rFonts w:hint="default"/>
              </w:rPr>
              <w:t>30</w:t>
            </w:r>
          </w:p>
        </w:tc>
        <w:tc>
          <w:tcPr>
            <w:tcW w:w="1526" w:type="dxa"/>
            <w:tcBorders>
              <w:top w:val="nil"/>
              <w:left w:val="nil"/>
              <w:bottom w:val="nil"/>
              <w:right w:val="nil"/>
            </w:tcBorders>
            <w:shd w:val="clear" w:color="auto" w:fill="FFFFFF"/>
            <w:tcMar>
              <w:top w:w="0" w:type="dxa"/>
              <w:left w:w="0" w:type="dxa"/>
              <w:bottom w:w="0" w:type="dxa"/>
              <w:right w:w="0" w:type="dxa"/>
            </w:tcMar>
          </w:tcPr>
          <w:p w14:paraId="3B23A034">
            <w:pPr>
              <w:pStyle w:val="55"/>
              <w:keepNext w:val="0"/>
              <w:keepLines w:val="0"/>
              <w:widowControl/>
              <w:suppressLineNumbers w:val="0"/>
              <w:spacing w:before="0" w:beforeAutospacing="0" w:afterAutospacing="0"/>
              <w:ind w:right="0"/>
              <w:rPr>
                <w:rFonts w:hint="default"/>
              </w:rPr>
            </w:pPr>
            <w:r>
              <w:rPr>
                <w:rFonts w:hint="default"/>
              </w:rPr>
              <w:t>0.20 ± 0.05</w:t>
            </w:r>
          </w:p>
        </w:tc>
        <w:tc>
          <w:tcPr>
            <w:tcW w:w="1559" w:type="dxa"/>
            <w:tcBorders>
              <w:top w:val="nil"/>
              <w:left w:val="nil"/>
              <w:bottom w:val="nil"/>
              <w:right w:val="nil"/>
            </w:tcBorders>
            <w:shd w:val="clear" w:color="auto" w:fill="FFFFFF"/>
            <w:tcMar>
              <w:top w:w="0" w:type="dxa"/>
              <w:left w:w="0" w:type="dxa"/>
              <w:bottom w:w="0" w:type="dxa"/>
              <w:right w:w="0" w:type="dxa"/>
            </w:tcMar>
          </w:tcPr>
          <w:p w14:paraId="60C5C5ED">
            <w:pPr>
              <w:pStyle w:val="55"/>
              <w:keepNext w:val="0"/>
              <w:keepLines w:val="0"/>
              <w:widowControl/>
              <w:suppressLineNumbers w:val="0"/>
              <w:spacing w:before="0" w:beforeAutospacing="0" w:afterAutospacing="0"/>
              <w:ind w:right="0"/>
              <w:rPr>
                <w:rFonts w:hint="default"/>
              </w:rPr>
            </w:pPr>
            <w:r>
              <w:rPr>
                <w:rFonts w:hint="default"/>
              </w:rPr>
              <w:t>4.55 ± 0.09</w:t>
            </w:r>
          </w:p>
        </w:tc>
        <w:tc>
          <w:tcPr>
            <w:tcW w:w="1559" w:type="dxa"/>
            <w:tcBorders>
              <w:top w:val="nil"/>
              <w:left w:val="nil"/>
              <w:bottom w:val="nil"/>
              <w:right w:val="nil"/>
            </w:tcBorders>
            <w:shd w:val="clear" w:color="auto" w:fill="FFFFFF"/>
            <w:tcMar>
              <w:top w:w="0" w:type="dxa"/>
              <w:left w:w="0" w:type="dxa"/>
              <w:bottom w:w="0" w:type="dxa"/>
              <w:right w:w="0" w:type="dxa"/>
            </w:tcMar>
          </w:tcPr>
          <w:p w14:paraId="1E47098A">
            <w:pPr>
              <w:pStyle w:val="55"/>
              <w:keepNext w:val="0"/>
              <w:keepLines w:val="0"/>
              <w:widowControl/>
              <w:suppressLineNumbers w:val="0"/>
              <w:spacing w:before="0" w:beforeAutospacing="0" w:afterAutospacing="0"/>
              <w:ind w:right="0"/>
              <w:rPr>
                <w:rFonts w:hint="default"/>
              </w:rPr>
            </w:pPr>
            <w:r>
              <w:rPr>
                <w:rFonts w:hint="default"/>
              </w:rPr>
              <w:t>8.70 ± 0.41</w:t>
            </w:r>
          </w:p>
        </w:tc>
        <w:tc>
          <w:tcPr>
            <w:tcW w:w="1418" w:type="dxa"/>
            <w:tcBorders>
              <w:top w:val="nil"/>
              <w:left w:val="nil"/>
              <w:bottom w:val="nil"/>
              <w:right w:val="nil"/>
            </w:tcBorders>
            <w:shd w:val="clear" w:color="auto" w:fill="FFFFFF"/>
            <w:tcMar>
              <w:top w:w="0" w:type="dxa"/>
              <w:left w:w="0" w:type="dxa"/>
              <w:bottom w:w="0" w:type="dxa"/>
              <w:right w:w="0" w:type="dxa"/>
            </w:tcMar>
          </w:tcPr>
          <w:p w14:paraId="2645B0F3">
            <w:pPr>
              <w:pStyle w:val="55"/>
              <w:keepNext w:val="0"/>
              <w:keepLines w:val="0"/>
              <w:widowControl/>
              <w:suppressLineNumbers w:val="0"/>
              <w:spacing w:before="0" w:beforeAutospacing="0" w:afterAutospacing="0"/>
              <w:ind w:right="0"/>
              <w:rPr>
                <w:rFonts w:hint="default"/>
              </w:rPr>
            </w:pPr>
            <w:r>
              <w:rPr>
                <w:rFonts w:hint="default"/>
              </w:rPr>
              <w:t>0.82 ± 0.02</w:t>
            </w:r>
          </w:p>
        </w:tc>
        <w:tc>
          <w:tcPr>
            <w:tcW w:w="1134" w:type="dxa"/>
            <w:tcBorders>
              <w:top w:val="nil"/>
              <w:left w:val="nil"/>
              <w:bottom w:val="nil"/>
              <w:right w:val="nil"/>
            </w:tcBorders>
            <w:shd w:val="clear" w:color="auto" w:fill="FFFFFF"/>
            <w:tcMar>
              <w:top w:w="0" w:type="dxa"/>
              <w:left w:w="0" w:type="dxa"/>
              <w:bottom w:w="0" w:type="dxa"/>
              <w:right w:w="0" w:type="dxa"/>
            </w:tcMar>
          </w:tcPr>
          <w:p w14:paraId="5AA22E7F">
            <w:pPr>
              <w:pStyle w:val="55"/>
              <w:keepNext w:val="0"/>
              <w:keepLines w:val="0"/>
              <w:widowControl/>
              <w:suppressLineNumbers w:val="0"/>
              <w:spacing w:before="0" w:beforeAutospacing="0" w:afterAutospacing="0"/>
              <w:ind w:right="0"/>
              <w:rPr>
                <w:rFonts w:hint="default"/>
              </w:rPr>
            </w:pPr>
            <w:r>
              <w:rPr>
                <w:rFonts w:hint="default"/>
              </w:rPr>
              <w:t>15 ± 3</w:t>
            </w:r>
          </w:p>
        </w:tc>
      </w:tr>
      <w:tr w14:paraId="3EA8AFAB">
        <w:tblPrEx>
          <w:tblCellMar>
            <w:top w:w="0" w:type="dxa"/>
            <w:left w:w="108" w:type="dxa"/>
            <w:bottom w:w="0" w:type="dxa"/>
            <w:right w:w="108" w:type="dxa"/>
          </w:tblCellMar>
        </w:tblPrEx>
        <w:tc>
          <w:tcPr>
            <w:tcW w:w="851" w:type="dxa"/>
            <w:tcBorders>
              <w:top w:val="nil"/>
              <w:left w:val="nil"/>
              <w:bottom w:val="nil"/>
              <w:right w:val="nil"/>
            </w:tcBorders>
            <w:shd w:val="clear" w:color="auto" w:fill="FFFFFF"/>
            <w:tcMar>
              <w:top w:w="0" w:type="dxa"/>
              <w:left w:w="0" w:type="dxa"/>
              <w:bottom w:w="0" w:type="dxa"/>
              <w:right w:w="0" w:type="dxa"/>
            </w:tcMar>
          </w:tcPr>
          <w:p w14:paraId="696A98A0">
            <w:pPr>
              <w:pStyle w:val="55"/>
              <w:keepNext w:val="0"/>
              <w:keepLines w:val="0"/>
              <w:widowControl/>
              <w:suppressLineNumbers w:val="0"/>
              <w:spacing w:before="0" w:beforeAutospacing="0" w:afterAutospacing="0"/>
              <w:ind w:right="0"/>
              <w:rPr>
                <w:rFonts w:hint="default"/>
              </w:rPr>
            </w:pPr>
            <w:r>
              <w:rPr>
                <w:rFonts w:hint="default"/>
              </w:rPr>
              <w:t>6</w:t>
            </w:r>
          </w:p>
        </w:tc>
        <w:tc>
          <w:tcPr>
            <w:tcW w:w="1276" w:type="dxa"/>
            <w:tcBorders>
              <w:top w:val="nil"/>
              <w:left w:val="nil"/>
              <w:bottom w:val="nil"/>
              <w:right w:val="nil"/>
            </w:tcBorders>
            <w:shd w:val="clear" w:color="auto" w:fill="FFFFFF"/>
            <w:tcMar>
              <w:top w:w="0" w:type="dxa"/>
              <w:left w:w="0" w:type="dxa"/>
              <w:bottom w:w="0" w:type="dxa"/>
              <w:right w:w="0" w:type="dxa"/>
            </w:tcMar>
          </w:tcPr>
          <w:p w14:paraId="396E30FB">
            <w:pPr>
              <w:pStyle w:val="55"/>
              <w:keepNext w:val="0"/>
              <w:keepLines w:val="0"/>
              <w:widowControl/>
              <w:suppressLineNumbers w:val="0"/>
              <w:spacing w:before="0" w:beforeAutospacing="0" w:afterAutospacing="0"/>
              <w:ind w:right="0"/>
              <w:rPr>
                <w:rFonts w:hint="default"/>
              </w:rPr>
            </w:pPr>
            <w:r>
              <w:rPr>
                <w:rFonts w:hint="default"/>
              </w:rPr>
              <w:t>10</w:t>
            </w:r>
          </w:p>
        </w:tc>
        <w:tc>
          <w:tcPr>
            <w:tcW w:w="1526" w:type="dxa"/>
            <w:tcBorders>
              <w:top w:val="nil"/>
              <w:left w:val="nil"/>
              <w:bottom w:val="nil"/>
              <w:right w:val="nil"/>
            </w:tcBorders>
            <w:shd w:val="clear" w:color="auto" w:fill="FFFFFF"/>
            <w:tcMar>
              <w:top w:w="0" w:type="dxa"/>
              <w:left w:w="0" w:type="dxa"/>
              <w:bottom w:w="0" w:type="dxa"/>
              <w:right w:w="0" w:type="dxa"/>
            </w:tcMar>
          </w:tcPr>
          <w:p w14:paraId="5359D484">
            <w:pPr>
              <w:pStyle w:val="55"/>
              <w:keepNext w:val="0"/>
              <w:keepLines w:val="0"/>
              <w:widowControl/>
              <w:suppressLineNumbers w:val="0"/>
              <w:spacing w:before="0" w:beforeAutospacing="0" w:afterAutospacing="0"/>
              <w:ind w:right="0"/>
              <w:rPr>
                <w:rFonts w:hint="default"/>
              </w:rPr>
            </w:pPr>
            <w:r>
              <w:rPr>
                <w:rFonts w:hint="default"/>
              </w:rPr>
              <w:t>0.05 ± 0.05</w:t>
            </w:r>
          </w:p>
        </w:tc>
        <w:tc>
          <w:tcPr>
            <w:tcW w:w="1559" w:type="dxa"/>
            <w:tcBorders>
              <w:top w:val="nil"/>
              <w:left w:val="nil"/>
              <w:bottom w:val="nil"/>
              <w:right w:val="nil"/>
            </w:tcBorders>
            <w:shd w:val="clear" w:color="auto" w:fill="FFFFFF"/>
            <w:tcMar>
              <w:top w:w="0" w:type="dxa"/>
              <w:left w:w="0" w:type="dxa"/>
              <w:bottom w:w="0" w:type="dxa"/>
              <w:right w:w="0" w:type="dxa"/>
            </w:tcMar>
          </w:tcPr>
          <w:p w14:paraId="383AA2CC">
            <w:pPr>
              <w:pStyle w:val="55"/>
              <w:keepNext w:val="0"/>
              <w:keepLines w:val="0"/>
              <w:widowControl/>
              <w:suppressLineNumbers w:val="0"/>
              <w:spacing w:before="0" w:beforeAutospacing="0" w:afterAutospacing="0"/>
              <w:ind w:right="0"/>
              <w:rPr>
                <w:rFonts w:hint="default"/>
              </w:rPr>
            </w:pPr>
            <w:r>
              <w:rPr>
                <w:rFonts w:hint="default"/>
              </w:rPr>
              <w:t>5.10 ± 0.10</w:t>
            </w:r>
          </w:p>
        </w:tc>
        <w:tc>
          <w:tcPr>
            <w:tcW w:w="1559" w:type="dxa"/>
            <w:tcBorders>
              <w:top w:val="nil"/>
              <w:left w:val="nil"/>
              <w:bottom w:val="nil"/>
              <w:right w:val="nil"/>
            </w:tcBorders>
            <w:shd w:val="clear" w:color="auto" w:fill="FFFFFF"/>
            <w:tcMar>
              <w:top w:w="0" w:type="dxa"/>
              <w:left w:w="0" w:type="dxa"/>
              <w:bottom w:w="0" w:type="dxa"/>
              <w:right w:w="0" w:type="dxa"/>
            </w:tcMar>
          </w:tcPr>
          <w:p w14:paraId="3C843397">
            <w:pPr>
              <w:pStyle w:val="55"/>
              <w:keepNext w:val="0"/>
              <w:keepLines w:val="0"/>
              <w:widowControl/>
              <w:suppressLineNumbers w:val="0"/>
              <w:spacing w:before="0" w:beforeAutospacing="0" w:afterAutospacing="0"/>
              <w:ind w:right="0"/>
              <w:rPr>
                <w:rFonts w:hint="default"/>
              </w:rPr>
            </w:pPr>
            <w:r>
              <w:rPr>
                <w:rFonts w:hint="default"/>
              </w:rPr>
              <w:t>10.62 ± 0.53</w:t>
            </w:r>
          </w:p>
        </w:tc>
        <w:tc>
          <w:tcPr>
            <w:tcW w:w="1418" w:type="dxa"/>
            <w:tcBorders>
              <w:top w:val="nil"/>
              <w:left w:val="nil"/>
              <w:bottom w:val="nil"/>
              <w:right w:val="nil"/>
            </w:tcBorders>
            <w:shd w:val="clear" w:color="auto" w:fill="FFFFFF"/>
            <w:tcMar>
              <w:top w:w="0" w:type="dxa"/>
              <w:left w:w="0" w:type="dxa"/>
              <w:bottom w:w="0" w:type="dxa"/>
              <w:right w:w="0" w:type="dxa"/>
            </w:tcMar>
          </w:tcPr>
          <w:p w14:paraId="36BC0CA3">
            <w:pPr>
              <w:pStyle w:val="55"/>
              <w:keepNext w:val="0"/>
              <w:keepLines w:val="0"/>
              <w:widowControl/>
              <w:suppressLineNumbers w:val="0"/>
              <w:spacing w:before="0" w:beforeAutospacing="0" w:afterAutospacing="0"/>
              <w:ind w:right="0"/>
              <w:rPr>
                <w:rFonts w:hint="default"/>
              </w:rPr>
            </w:pPr>
            <w:r>
              <w:rPr>
                <w:rFonts w:hint="default"/>
              </w:rPr>
              <w:t>0.96 ± 0.02</w:t>
            </w:r>
          </w:p>
        </w:tc>
        <w:tc>
          <w:tcPr>
            <w:tcW w:w="1134" w:type="dxa"/>
            <w:tcBorders>
              <w:top w:val="nil"/>
              <w:left w:val="nil"/>
              <w:bottom w:val="nil"/>
              <w:right w:val="nil"/>
            </w:tcBorders>
            <w:shd w:val="clear" w:color="auto" w:fill="FFFFFF"/>
            <w:tcMar>
              <w:top w:w="0" w:type="dxa"/>
              <w:left w:w="0" w:type="dxa"/>
              <w:bottom w:w="0" w:type="dxa"/>
              <w:right w:w="0" w:type="dxa"/>
            </w:tcMar>
          </w:tcPr>
          <w:p w14:paraId="673D8874">
            <w:pPr>
              <w:pStyle w:val="55"/>
              <w:keepNext w:val="0"/>
              <w:keepLines w:val="0"/>
              <w:widowControl/>
              <w:suppressLineNumbers w:val="0"/>
              <w:spacing w:before="0" w:beforeAutospacing="0" w:afterAutospacing="0"/>
              <w:ind w:right="0"/>
              <w:rPr>
                <w:rFonts w:hint="default"/>
              </w:rPr>
            </w:pPr>
            <w:r>
              <w:rPr>
                <w:rFonts w:hint="default"/>
              </w:rPr>
              <w:t>40 ± 8</w:t>
            </w:r>
          </w:p>
        </w:tc>
      </w:tr>
      <w:tr w14:paraId="6054B5BD">
        <w:tblPrEx>
          <w:tblCellMar>
            <w:top w:w="0" w:type="dxa"/>
            <w:left w:w="108" w:type="dxa"/>
            <w:bottom w:w="0" w:type="dxa"/>
            <w:right w:w="108" w:type="dxa"/>
          </w:tblCellMar>
        </w:tblPrEx>
        <w:tc>
          <w:tcPr>
            <w:tcW w:w="851" w:type="dxa"/>
            <w:tcBorders>
              <w:top w:val="nil"/>
              <w:left w:val="nil"/>
              <w:bottom w:val="nil"/>
              <w:right w:val="nil"/>
            </w:tcBorders>
            <w:shd w:val="clear" w:color="auto" w:fill="FFFFFF"/>
            <w:tcMar>
              <w:top w:w="0" w:type="dxa"/>
              <w:left w:w="0" w:type="dxa"/>
              <w:bottom w:w="0" w:type="dxa"/>
              <w:right w:w="0" w:type="dxa"/>
            </w:tcMar>
          </w:tcPr>
          <w:p w14:paraId="686811AE">
            <w:pPr>
              <w:pStyle w:val="55"/>
              <w:keepNext w:val="0"/>
              <w:keepLines w:val="0"/>
              <w:widowControl/>
              <w:suppressLineNumbers w:val="0"/>
              <w:spacing w:before="0" w:beforeAutospacing="0" w:afterAutospacing="0"/>
              <w:ind w:right="0"/>
              <w:rPr>
                <w:rFonts w:hint="default"/>
              </w:rPr>
            </w:pPr>
            <w:r>
              <w:rPr>
                <w:rFonts w:hint="default"/>
              </w:rPr>
              <w:t>7</w:t>
            </w:r>
          </w:p>
        </w:tc>
        <w:tc>
          <w:tcPr>
            <w:tcW w:w="1276" w:type="dxa"/>
            <w:tcBorders>
              <w:top w:val="nil"/>
              <w:left w:val="nil"/>
              <w:bottom w:val="nil"/>
              <w:right w:val="nil"/>
            </w:tcBorders>
            <w:shd w:val="clear" w:color="auto" w:fill="FFFFFF"/>
            <w:tcMar>
              <w:top w:w="0" w:type="dxa"/>
              <w:left w:w="0" w:type="dxa"/>
              <w:bottom w:w="0" w:type="dxa"/>
              <w:right w:w="0" w:type="dxa"/>
            </w:tcMar>
          </w:tcPr>
          <w:p w14:paraId="7B7B22E3">
            <w:pPr>
              <w:pStyle w:val="55"/>
              <w:keepNext w:val="0"/>
              <w:keepLines w:val="0"/>
              <w:widowControl/>
              <w:suppressLineNumbers w:val="0"/>
              <w:spacing w:before="0" w:beforeAutospacing="0" w:afterAutospacing="0"/>
              <w:ind w:right="0"/>
              <w:rPr>
                <w:rFonts w:hint="default"/>
              </w:rPr>
            </w:pPr>
            <w:r>
              <w:rPr>
                <w:rFonts w:hint="default"/>
              </w:rPr>
              <w:t>20</w:t>
            </w:r>
          </w:p>
        </w:tc>
        <w:tc>
          <w:tcPr>
            <w:tcW w:w="1526" w:type="dxa"/>
            <w:tcBorders>
              <w:top w:val="nil"/>
              <w:left w:val="nil"/>
              <w:bottom w:val="nil"/>
              <w:right w:val="nil"/>
            </w:tcBorders>
            <w:shd w:val="clear" w:color="auto" w:fill="FFFFFF"/>
            <w:tcMar>
              <w:top w:w="0" w:type="dxa"/>
              <w:left w:w="0" w:type="dxa"/>
              <w:bottom w:w="0" w:type="dxa"/>
              <w:right w:w="0" w:type="dxa"/>
            </w:tcMar>
          </w:tcPr>
          <w:p w14:paraId="3DF66722">
            <w:pPr>
              <w:pStyle w:val="55"/>
              <w:keepNext w:val="0"/>
              <w:keepLines w:val="0"/>
              <w:widowControl/>
              <w:suppressLineNumbers w:val="0"/>
              <w:spacing w:before="0" w:beforeAutospacing="0" w:afterAutospacing="0"/>
              <w:ind w:right="0"/>
              <w:rPr>
                <w:rFonts w:hint="default"/>
              </w:rPr>
            </w:pPr>
            <w:r>
              <w:rPr>
                <w:rFonts w:hint="default"/>
              </w:rPr>
              <w:t>0.90 ± 0.05</w:t>
            </w:r>
          </w:p>
        </w:tc>
        <w:tc>
          <w:tcPr>
            <w:tcW w:w="1559" w:type="dxa"/>
            <w:tcBorders>
              <w:top w:val="nil"/>
              <w:left w:val="nil"/>
              <w:bottom w:val="nil"/>
              <w:right w:val="nil"/>
            </w:tcBorders>
            <w:shd w:val="clear" w:color="auto" w:fill="FFFFFF"/>
            <w:tcMar>
              <w:top w:w="0" w:type="dxa"/>
              <w:left w:w="0" w:type="dxa"/>
              <w:bottom w:w="0" w:type="dxa"/>
              <w:right w:w="0" w:type="dxa"/>
            </w:tcMar>
          </w:tcPr>
          <w:p w14:paraId="30DF692E">
            <w:pPr>
              <w:pStyle w:val="55"/>
              <w:keepNext w:val="0"/>
              <w:keepLines w:val="0"/>
              <w:widowControl/>
              <w:suppressLineNumbers w:val="0"/>
              <w:spacing w:before="0" w:beforeAutospacing="0" w:afterAutospacing="0"/>
              <w:ind w:right="0"/>
              <w:rPr>
                <w:rFonts w:hint="default"/>
              </w:rPr>
            </w:pPr>
            <w:r>
              <w:rPr>
                <w:rFonts w:hint="default"/>
              </w:rPr>
              <w:t>2.80 ± 0.06</w:t>
            </w:r>
          </w:p>
        </w:tc>
        <w:tc>
          <w:tcPr>
            <w:tcW w:w="1559" w:type="dxa"/>
            <w:tcBorders>
              <w:top w:val="nil"/>
              <w:left w:val="nil"/>
              <w:bottom w:val="nil"/>
              <w:right w:val="nil"/>
            </w:tcBorders>
            <w:shd w:val="clear" w:color="auto" w:fill="FFFFFF"/>
            <w:tcMar>
              <w:top w:w="0" w:type="dxa"/>
              <w:left w:w="0" w:type="dxa"/>
              <w:bottom w:w="0" w:type="dxa"/>
              <w:right w:w="0" w:type="dxa"/>
            </w:tcMar>
          </w:tcPr>
          <w:p w14:paraId="05D2DDC9">
            <w:pPr>
              <w:pStyle w:val="55"/>
              <w:keepNext w:val="0"/>
              <w:keepLines w:val="0"/>
              <w:widowControl/>
              <w:suppressLineNumbers w:val="0"/>
              <w:spacing w:before="0" w:beforeAutospacing="0" w:afterAutospacing="0"/>
              <w:ind w:right="0"/>
              <w:rPr>
                <w:rFonts w:hint="default"/>
              </w:rPr>
            </w:pPr>
            <w:r>
              <w:rPr>
                <w:rFonts w:hint="default"/>
              </w:rPr>
              <w:t>9.60 ± 0.50</w:t>
            </w:r>
          </w:p>
        </w:tc>
        <w:tc>
          <w:tcPr>
            <w:tcW w:w="1418" w:type="dxa"/>
            <w:tcBorders>
              <w:top w:val="nil"/>
              <w:left w:val="nil"/>
              <w:bottom w:val="nil"/>
              <w:right w:val="nil"/>
            </w:tcBorders>
            <w:shd w:val="clear" w:color="auto" w:fill="FFFFFF"/>
            <w:tcMar>
              <w:top w:w="0" w:type="dxa"/>
              <w:left w:w="0" w:type="dxa"/>
              <w:bottom w:w="0" w:type="dxa"/>
              <w:right w:w="0" w:type="dxa"/>
            </w:tcMar>
          </w:tcPr>
          <w:p w14:paraId="059313DB">
            <w:pPr>
              <w:pStyle w:val="55"/>
              <w:keepNext w:val="0"/>
              <w:keepLines w:val="0"/>
              <w:widowControl/>
              <w:suppressLineNumbers w:val="0"/>
              <w:spacing w:before="0" w:beforeAutospacing="0" w:afterAutospacing="0"/>
              <w:ind w:right="0"/>
              <w:rPr>
                <w:rFonts w:hint="default"/>
              </w:rPr>
            </w:pPr>
            <w:r>
              <w:rPr>
                <w:rFonts w:hint="default"/>
              </w:rPr>
              <w:t>0.89 ± 0.02</w:t>
            </w:r>
          </w:p>
        </w:tc>
        <w:tc>
          <w:tcPr>
            <w:tcW w:w="1134" w:type="dxa"/>
            <w:tcBorders>
              <w:top w:val="nil"/>
              <w:left w:val="nil"/>
              <w:bottom w:val="nil"/>
              <w:right w:val="nil"/>
            </w:tcBorders>
            <w:shd w:val="clear" w:color="auto" w:fill="FFFFFF"/>
            <w:tcMar>
              <w:top w:w="0" w:type="dxa"/>
              <w:left w:w="0" w:type="dxa"/>
              <w:bottom w:w="0" w:type="dxa"/>
              <w:right w:w="0" w:type="dxa"/>
            </w:tcMar>
          </w:tcPr>
          <w:p w14:paraId="766D75FF">
            <w:pPr>
              <w:pStyle w:val="55"/>
              <w:keepNext w:val="0"/>
              <w:keepLines w:val="0"/>
              <w:widowControl/>
              <w:suppressLineNumbers w:val="0"/>
              <w:spacing w:before="0" w:beforeAutospacing="0" w:afterAutospacing="0"/>
              <w:ind w:right="0"/>
              <w:rPr>
                <w:rFonts w:hint="default"/>
              </w:rPr>
            </w:pPr>
            <w:r>
              <w:rPr>
                <w:rFonts w:hint="default"/>
              </w:rPr>
              <w:t>15 ± 3</w:t>
            </w:r>
          </w:p>
        </w:tc>
      </w:tr>
      <w:tr w14:paraId="1215553A">
        <w:tblPrEx>
          <w:tblCellMar>
            <w:top w:w="0" w:type="dxa"/>
            <w:left w:w="108" w:type="dxa"/>
            <w:bottom w:w="0" w:type="dxa"/>
            <w:right w:w="108" w:type="dxa"/>
          </w:tblCellMar>
        </w:tblPrEx>
        <w:tc>
          <w:tcPr>
            <w:tcW w:w="851" w:type="dxa"/>
            <w:tcBorders>
              <w:top w:val="nil"/>
              <w:left w:val="nil"/>
              <w:bottom w:val="nil"/>
              <w:right w:val="nil"/>
            </w:tcBorders>
            <w:shd w:val="clear" w:color="auto" w:fill="FFFFFF"/>
            <w:tcMar>
              <w:top w:w="0" w:type="dxa"/>
              <w:left w:w="0" w:type="dxa"/>
              <w:bottom w:w="0" w:type="dxa"/>
              <w:right w:w="0" w:type="dxa"/>
            </w:tcMar>
          </w:tcPr>
          <w:p w14:paraId="2CCD087A">
            <w:pPr>
              <w:pStyle w:val="55"/>
              <w:keepNext w:val="0"/>
              <w:keepLines w:val="0"/>
              <w:widowControl/>
              <w:suppressLineNumbers w:val="0"/>
              <w:spacing w:before="0" w:beforeAutospacing="0" w:afterAutospacing="0"/>
              <w:ind w:right="0"/>
              <w:rPr>
                <w:rFonts w:hint="default"/>
              </w:rPr>
            </w:pPr>
            <w:r>
              <w:rPr>
                <w:rFonts w:hint="default"/>
              </w:rPr>
              <w:t>8</w:t>
            </w:r>
          </w:p>
        </w:tc>
        <w:tc>
          <w:tcPr>
            <w:tcW w:w="1276" w:type="dxa"/>
            <w:tcBorders>
              <w:top w:val="nil"/>
              <w:left w:val="nil"/>
              <w:bottom w:val="nil"/>
              <w:right w:val="nil"/>
            </w:tcBorders>
            <w:shd w:val="clear" w:color="auto" w:fill="FFFFFF"/>
            <w:tcMar>
              <w:top w:w="0" w:type="dxa"/>
              <w:left w:w="0" w:type="dxa"/>
              <w:bottom w:w="0" w:type="dxa"/>
              <w:right w:w="0" w:type="dxa"/>
            </w:tcMar>
          </w:tcPr>
          <w:p w14:paraId="50CAEA9D">
            <w:pPr>
              <w:pStyle w:val="55"/>
              <w:keepNext w:val="0"/>
              <w:keepLines w:val="0"/>
              <w:widowControl/>
              <w:suppressLineNumbers w:val="0"/>
              <w:spacing w:before="0" w:beforeAutospacing="0" w:afterAutospacing="0"/>
              <w:ind w:right="0"/>
              <w:rPr>
                <w:rFonts w:hint="default"/>
              </w:rPr>
            </w:pPr>
            <w:r>
              <w:rPr>
                <w:rFonts w:hint="default"/>
              </w:rPr>
              <w:t>15</w:t>
            </w:r>
          </w:p>
        </w:tc>
        <w:tc>
          <w:tcPr>
            <w:tcW w:w="1526" w:type="dxa"/>
            <w:tcBorders>
              <w:top w:val="nil"/>
              <w:left w:val="nil"/>
              <w:bottom w:val="nil"/>
              <w:right w:val="nil"/>
            </w:tcBorders>
            <w:shd w:val="clear" w:color="auto" w:fill="FFFFFF"/>
            <w:tcMar>
              <w:top w:w="0" w:type="dxa"/>
              <w:left w:w="0" w:type="dxa"/>
              <w:bottom w:w="0" w:type="dxa"/>
              <w:right w:w="0" w:type="dxa"/>
            </w:tcMar>
          </w:tcPr>
          <w:p w14:paraId="13976F04">
            <w:pPr>
              <w:pStyle w:val="55"/>
              <w:keepNext w:val="0"/>
              <w:keepLines w:val="0"/>
              <w:widowControl/>
              <w:suppressLineNumbers w:val="0"/>
              <w:spacing w:before="0" w:beforeAutospacing="0" w:afterAutospacing="0"/>
              <w:ind w:right="0"/>
              <w:rPr>
                <w:rFonts w:hint="default"/>
              </w:rPr>
            </w:pPr>
            <w:r>
              <w:rPr>
                <w:rFonts w:hint="default"/>
              </w:rPr>
              <w:t>0.05 ± 0.05</w:t>
            </w:r>
          </w:p>
        </w:tc>
        <w:tc>
          <w:tcPr>
            <w:tcW w:w="1559" w:type="dxa"/>
            <w:tcBorders>
              <w:top w:val="nil"/>
              <w:left w:val="nil"/>
              <w:bottom w:val="nil"/>
              <w:right w:val="nil"/>
            </w:tcBorders>
            <w:shd w:val="clear" w:color="auto" w:fill="FFFFFF"/>
            <w:tcMar>
              <w:top w:w="0" w:type="dxa"/>
              <w:left w:w="0" w:type="dxa"/>
              <w:bottom w:w="0" w:type="dxa"/>
              <w:right w:w="0" w:type="dxa"/>
            </w:tcMar>
          </w:tcPr>
          <w:p w14:paraId="338AA819">
            <w:pPr>
              <w:pStyle w:val="55"/>
              <w:keepNext w:val="0"/>
              <w:keepLines w:val="0"/>
              <w:widowControl/>
              <w:suppressLineNumbers w:val="0"/>
              <w:spacing w:before="0" w:beforeAutospacing="0" w:afterAutospacing="0"/>
              <w:ind w:right="0"/>
              <w:rPr>
                <w:rFonts w:hint="default"/>
              </w:rPr>
            </w:pPr>
            <w:r>
              <w:rPr>
                <w:rFonts w:hint="default"/>
              </w:rPr>
              <w:t>3.51 ± 0.07</w:t>
            </w:r>
          </w:p>
        </w:tc>
        <w:tc>
          <w:tcPr>
            <w:tcW w:w="1559" w:type="dxa"/>
            <w:tcBorders>
              <w:top w:val="nil"/>
              <w:left w:val="nil"/>
              <w:bottom w:val="nil"/>
              <w:right w:val="nil"/>
            </w:tcBorders>
            <w:shd w:val="clear" w:color="auto" w:fill="FFFFFF"/>
            <w:tcMar>
              <w:top w:w="0" w:type="dxa"/>
              <w:left w:w="0" w:type="dxa"/>
              <w:bottom w:w="0" w:type="dxa"/>
              <w:right w:w="0" w:type="dxa"/>
            </w:tcMar>
          </w:tcPr>
          <w:p w14:paraId="695F9109">
            <w:pPr>
              <w:pStyle w:val="55"/>
              <w:keepNext w:val="0"/>
              <w:keepLines w:val="0"/>
              <w:widowControl/>
              <w:suppressLineNumbers w:val="0"/>
              <w:spacing w:before="0" w:beforeAutospacing="0" w:afterAutospacing="0"/>
              <w:ind w:right="0"/>
              <w:rPr>
                <w:rFonts w:hint="default"/>
              </w:rPr>
            </w:pPr>
            <w:r>
              <w:rPr>
                <w:rFonts w:hint="default"/>
              </w:rPr>
              <w:t>8.05 ± 0.40</w:t>
            </w:r>
          </w:p>
        </w:tc>
        <w:tc>
          <w:tcPr>
            <w:tcW w:w="1418" w:type="dxa"/>
            <w:tcBorders>
              <w:top w:val="nil"/>
              <w:left w:val="nil"/>
              <w:bottom w:val="nil"/>
              <w:right w:val="nil"/>
            </w:tcBorders>
            <w:shd w:val="clear" w:color="auto" w:fill="FFFFFF"/>
            <w:tcMar>
              <w:top w:w="0" w:type="dxa"/>
              <w:left w:w="0" w:type="dxa"/>
              <w:bottom w:w="0" w:type="dxa"/>
              <w:right w:w="0" w:type="dxa"/>
            </w:tcMar>
          </w:tcPr>
          <w:p w14:paraId="124BEAD4">
            <w:pPr>
              <w:pStyle w:val="55"/>
              <w:keepNext w:val="0"/>
              <w:keepLines w:val="0"/>
              <w:widowControl/>
              <w:suppressLineNumbers w:val="0"/>
              <w:spacing w:before="0" w:beforeAutospacing="0" w:afterAutospacing="0"/>
              <w:ind w:right="0"/>
              <w:rPr>
                <w:rFonts w:hint="default"/>
              </w:rPr>
            </w:pPr>
            <w:r>
              <w:rPr>
                <w:rFonts w:hint="default"/>
              </w:rPr>
              <w:t>0.79 ± 0.02</w:t>
            </w:r>
          </w:p>
        </w:tc>
        <w:tc>
          <w:tcPr>
            <w:tcW w:w="1134" w:type="dxa"/>
            <w:tcBorders>
              <w:top w:val="nil"/>
              <w:left w:val="nil"/>
              <w:bottom w:val="nil"/>
              <w:right w:val="nil"/>
            </w:tcBorders>
            <w:shd w:val="clear" w:color="auto" w:fill="FFFFFF"/>
            <w:tcMar>
              <w:top w:w="0" w:type="dxa"/>
              <w:left w:w="0" w:type="dxa"/>
              <w:bottom w:w="0" w:type="dxa"/>
              <w:right w:w="0" w:type="dxa"/>
            </w:tcMar>
          </w:tcPr>
          <w:p w14:paraId="057C715B">
            <w:pPr>
              <w:pStyle w:val="55"/>
              <w:keepNext w:val="0"/>
              <w:keepLines w:val="0"/>
              <w:widowControl/>
              <w:suppressLineNumbers w:val="0"/>
              <w:spacing w:before="0" w:beforeAutospacing="0" w:afterAutospacing="0"/>
              <w:ind w:right="0"/>
              <w:rPr>
                <w:rFonts w:hint="default"/>
              </w:rPr>
            </w:pPr>
            <w:r>
              <w:rPr>
                <w:rFonts w:hint="default"/>
              </w:rPr>
              <w:t>17 ± 3</w:t>
            </w:r>
          </w:p>
        </w:tc>
      </w:tr>
      <w:tr w14:paraId="646C5991">
        <w:tblPrEx>
          <w:tblCellMar>
            <w:top w:w="0" w:type="dxa"/>
            <w:left w:w="108" w:type="dxa"/>
            <w:bottom w:w="0" w:type="dxa"/>
            <w:right w:w="108" w:type="dxa"/>
          </w:tblCellMar>
        </w:tblPrEx>
        <w:tc>
          <w:tcPr>
            <w:tcW w:w="851" w:type="dxa"/>
            <w:tcBorders>
              <w:top w:val="nil"/>
              <w:left w:val="nil"/>
              <w:bottom w:val="nil"/>
              <w:right w:val="nil"/>
            </w:tcBorders>
            <w:shd w:val="clear" w:color="auto" w:fill="FFFFFF"/>
            <w:tcMar>
              <w:top w:w="0" w:type="dxa"/>
              <w:left w:w="0" w:type="dxa"/>
              <w:bottom w:w="0" w:type="dxa"/>
              <w:right w:w="0" w:type="dxa"/>
            </w:tcMar>
          </w:tcPr>
          <w:p w14:paraId="57734924">
            <w:pPr>
              <w:pStyle w:val="55"/>
              <w:keepNext w:val="0"/>
              <w:keepLines w:val="0"/>
              <w:widowControl/>
              <w:suppressLineNumbers w:val="0"/>
              <w:spacing w:before="0" w:beforeAutospacing="0" w:afterAutospacing="0"/>
              <w:ind w:right="0"/>
              <w:rPr>
                <w:rFonts w:hint="default"/>
              </w:rPr>
            </w:pPr>
            <w:r>
              <w:rPr>
                <w:rFonts w:hint="default"/>
              </w:rPr>
              <w:t>9</w:t>
            </w:r>
          </w:p>
        </w:tc>
        <w:tc>
          <w:tcPr>
            <w:tcW w:w="1276" w:type="dxa"/>
            <w:tcBorders>
              <w:top w:val="nil"/>
              <w:left w:val="nil"/>
              <w:bottom w:val="nil"/>
              <w:right w:val="nil"/>
            </w:tcBorders>
            <w:shd w:val="clear" w:color="auto" w:fill="FFFFFF"/>
            <w:tcMar>
              <w:top w:w="0" w:type="dxa"/>
              <w:left w:w="0" w:type="dxa"/>
              <w:bottom w:w="0" w:type="dxa"/>
              <w:right w:w="0" w:type="dxa"/>
            </w:tcMar>
          </w:tcPr>
          <w:p w14:paraId="7CC9D752">
            <w:pPr>
              <w:pStyle w:val="55"/>
              <w:keepNext w:val="0"/>
              <w:keepLines w:val="0"/>
              <w:widowControl/>
              <w:suppressLineNumbers w:val="0"/>
              <w:spacing w:before="0" w:beforeAutospacing="0" w:afterAutospacing="0"/>
              <w:ind w:right="0"/>
              <w:rPr>
                <w:rFonts w:hint="default"/>
              </w:rPr>
            </w:pPr>
            <w:r>
              <w:rPr>
                <w:rFonts w:hint="default"/>
              </w:rPr>
              <w:t>10</w:t>
            </w:r>
          </w:p>
        </w:tc>
        <w:tc>
          <w:tcPr>
            <w:tcW w:w="1526" w:type="dxa"/>
            <w:tcBorders>
              <w:top w:val="nil"/>
              <w:left w:val="nil"/>
              <w:bottom w:val="nil"/>
              <w:right w:val="nil"/>
            </w:tcBorders>
            <w:shd w:val="clear" w:color="auto" w:fill="FFFFFF"/>
            <w:tcMar>
              <w:top w:w="0" w:type="dxa"/>
              <w:left w:w="0" w:type="dxa"/>
              <w:bottom w:w="0" w:type="dxa"/>
              <w:right w:w="0" w:type="dxa"/>
            </w:tcMar>
          </w:tcPr>
          <w:p w14:paraId="66565E8C">
            <w:pPr>
              <w:pStyle w:val="55"/>
              <w:keepNext w:val="0"/>
              <w:keepLines w:val="0"/>
              <w:widowControl/>
              <w:suppressLineNumbers w:val="0"/>
              <w:spacing w:before="0" w:beforeAutospacing="0" w:afterAutospacing="0"/>
              <w:ind w:right="0"/>
              <w:rPr>
                <w:rFonts w:hint="default"/>
              </w:rPr>
            </w:pPr>
            <w:r>
              <w:rPr>
                <w:rFonts w:hint="default"/>
              </w:rPr>
              <w:t>0.90 ± 0.05</w:t>
            </w:r>
          </w:p>
        </w:tc>
        <w:tc>
          <w:tcPr>
            <w:tcW w:w="1559" w:type="dxa"/>
            <w:tcBorders>
              <w:top w:val="nil"/>
              <w:left w:val="nil"/>
              <w:bottom w:val="nil"/>
              <w:right w:val="nil"/>
            </w:tcBorders>
            <w:shd w:val="clear" w:color="auto" w:fill="FFFFFF"/>
            <w:tcMar>
              <w:top w:w="0" w:type="dxa"/>
              <w:left w:w="0" w:type="dxa"/>
              <w:bottom w:w="0" w:type="dxa"/>
              <w:right w:w="0" w:type="dxa"/>
            </w:tcMar>
          </w:tcPr>
          <w:p w14:paraId="1A760125">
            <w:pPr>
              <w:pStyle w:val="55"/>
              <w:keepNext w:val="0"/>
              <w:keepLines w:val="0"/>
              <w:widowControl/>
              <w:suppressLineNumbers w:val="0"/>
              <w:spacing w:before="0" w:beforeAutospacing="0" w:afterAutospacing="0"/>
              <w:ind w:right="0"/>
              <w:rPr>
                <w:rFonts w:hint="default"/>
              </w:rPr>
            </w:pPr>
            <w:r>
              <w:rPr>
                <w:rFonts w:hint="default"/>
              </w:rPr>
              <w:t>3.66 ± 0.07</w:t>
            </w:r>
          </w:p>
        </w:tc>
        <w:tc>
          <w:tcPr>
            <w:tcW w:w="1559" w:type="dxa"/>
            <w:tcBorders>
              <w:top w:val="nil"/>
              <w:left w:val="nil"/>
              <w:bottom w:val="nil"/>
              <w:right w:val="nil"/>
            </w:tcBorders>
            <w:shd w:val="clear" w:color="auto" w:fill="FFFFFF"/>
            <w:tcMar>
              <w:top w:w="0" w:type="dxa"/>
              <w:left w:w="0" w:type="dxa"/>
              <w:bottom w:w="0" w:type="dxa"/>
              <w:right w:w="0" w:type="dxa"/>
            </w:tcMar>
          </w:tcPr>
          <w:p w14:paraId="3C16AB94">
            <w:pPr>
              <w:pStyle w:val="55"/>
              <w:keepNext w:val="0"/>
              <w:keepLines w:val="0"/>
              <w:widowControl/>
              <w:suppressLineNumbers w:val="0"/>
              <w:spacing w:before="0" w:beforeAutospacing="0" w:afterAutospacing="0"/>
              <w:ind w:right="0"/>
              <w:rPr>
                <w:rFonts w:hint="default"/>
              </w:rPr>
            </w:pPr>
            <w:r>
              <w:rPr>
                <w:rFonts w:hint="default"/>
              </w:rPr>
              <w:t>9.29 ± 0.47</w:t>
            </w:r>
          </w:p>
        </w:tc>
        <w:tc>
          <w:tcPr>
            <w:tcW w:w="1418" w:type="dxa"/>
            <w:tcBorders>
              <w:top w:val="nil"/>
              <w:left w:val="nil"/>
              <w:bottom w:val="nil"/>
              <w:right w:val="nil"/>
            </w:tcBorders>
            <w:shd w:val="clear" w:color="auto" w:fill="FFFFFF"/>
            <w:tcMar>
              <w:top w:w="0" w:type="dxa"/>
              <w:left w:w="0" w:type="dxa"/>
              <w:bottom w:w="0" w:type="dxa"/>
              <w:right w:w="0" w:type="dxa"/>
            </w:tcMar>
          </w:tcPr>
          <w:p w14:paraId="4CC11D03">
            <w:pPr>
              <w:pStyle w:val="55"/>
              <w:keepNext w:val="0"/>
              <w:keepLines w:val="0"/>
              <w:widowControl/>
              <w:suppressLineNumbers w:val="0"/>
              <w:spacing w:before="0" w:beforeAutospacing="0" w:afterAutospacing="0"/>
              <w:ind w:right="0"/>
              <w:rPr>
                <w:rFonts w:hint="default"/>
              </w:rPr>
            </w:pPr>
            <w:r>
              <w:rPr>
                <w:rFonts w:hint="default"/>
              </w:rPr>
              <w:t>0.89 ± 0.01</w:t>
            </w:r>
          </w:p>
        </w:tc>
        <w:tc>
          <w:tcPr>
            <w:tcW w:w="1134" w:type="dxa"/>
            <w:tcBorders>
              <w:top w:val="nil"/>
              <w:left w:val="nil"/>
              <w:bottom w:val="nil"/>
              <w:right w:val="nil"/>
            </w:tcBorders>
            <w:shd w:val="clear" w:color="auto" w:fill="FFFFFF"/>
            <w:tcMar>
              <w:top w:w="0" w:type="dxa"/>
              <w:left w:w="0" w:type="dxa"/>
              <w:bottom w:w="0" w:type="dxa"/>
              <w:right w:w="0" w:type="dxa"/>
            </w:tcMar>
          </w:tcPr>
          <w:p w14:paraId="2782EA89">
            <w:pPr>
              <w:pStyle w:val="55"/>
              <w:keepNext w:val="0"/>
              <w:keepLines w:val="0"/>
              <w:widowControl/>
              <w:suppressLineNumbers w:val="0"/>
              <w:spacing w:before="0" w:beforeAutospacing="0" w:afterAutospacing="0"/>
              <w:ind w:right="0"/>
              <w:rPr>
                <w:rFonts w:hint="default"/>
              </w:rPr>
            </w:pPr>
            <w:r>
              <w:rPr>
                <w:rFonts w:hint="default"/>
              </w:rPr>
              <w:t>40 ± 8</w:t>
            </w:r>
          </w:p>
        </w:tc>
      </w:tr>
      <w:tr w14:paraId="4EDCC0A0">
        <w:tblPrEx>
          <w:tblCellMar>
            <w:top w:w="0" w:type="dxa"/>
            <w:left w:w="108" w:type="dxa"/>
            <w:bottom w:w="0" w:type="dxa"/>
            <w:right w:w="108" w:type="dxa"/>
          </w:tblCellMar>
        </w:tblPrEx>
        <w:tc>
          <w:tcPr>
            <w:tcW w:w="851" w:type="dxa"/>
            <w:tcBorders>
              <w:top w:val="nil"/>
              <w:left w:val="nil"/>
              <w:bottom w:val="nil"/>
              <w:right w:val="nil"/>
            </w:tcBorders>
            <w:shd w:val="clear" w:color="auto" w:fill="FFFFFF"/>
            <w:tcMar>
              <w:top w:w="0" w:type="dxa"/>
              <w:left w:w="0" w:type="dxa"/>
              <w:bottom w:w="0" w:type="dxa"/>
              <w:right w:w="0" w:type="dxa"/>
            </w:tcMar>
          </w:tcPr>
          <w:p w14:paraId="2BB4FAAD">
            <w:pPr>
              <w:pStyle w:val="55"/>
              <w:keepNext w:val="0"/>
              <w:keepLines w:val="0"/>
              <w:widowControl/>
              <w:suppressLineNumbers w:val="0"/>
              <w:spacing w:before="0" w:beforeAutospacing="0" w:afterAutospacing="0"/>
              <w:ind w:right="0"/>
              <w:rPr>
                <w:rFonts w:hint="default"/>
              </w:rPr>
            </w:pPr>
            <w:r>
              <w:rPr>
                <w:rFonts w:hint="default"/>
              </w:rPr>
              <w:t>10</w:t>
            </w:r>
          </w:p>
        </w:tc>
        <w:tc>
          <w:tcPr>
            <w:tcW w:w="1276" w:type="dxa"/>
            <w:tcBorders>
              <w:top w:val="nil"/>
              <w:left w:val="nil"/>
              <w:bottom w:val="nil"/>
              <w:right w:val="nil"/>
            </w:tcBorders>
            <w:shd w:val="clear" w:color="auto" w:fill="FFFFFF"/>
            <w:tcMar>
              <w:top w:w="0" w:type="dxa"/>
              <w:left w:w="0" w:type="dxa"/>
              <w:bottom w:w="0" w:type="dxa"/>
              <w:right w:w="0" w:type="dxa"/>
            </w:tcMar>
          </w:tcPr>
          <w:p w14:paraId="59018102">
            <w:pPr>
              <w:pStyle w:val="55"/>
              <w:keepNext w:val="0"/>
              <w:keepLines w:val="0"/>
              <w:widowControl/>
              <w:suppressLineNumbers w:val="0"/>
              <w:spacing w:before="0" w:beforeAutospacing="0" w:afterAutospacing="0"/>
              <w:ind w:right="0"/>
              <w:rPr>
                <w:rFonts w:hint="default"/>
              </w:rPr>
            </w:pPr>
            <w:r>
              <w:rPr>
                <w:rFonts w:hint="default"/>
              </w:rPr>
              <w:t>7</w:t>
            </w:r>
          </w:p>
        </w:tc>
        <w:tc>
          <w:tcPr>
            <w:tcW w:w="1526" w:type="dxa"/>
            <w:tcBorders>
              <w:top w:val="nil"/>
              <w:left w:val="nil"/>
              <w:bottom w:val="nil"/>
              <w:right w:val="nil"/>
            </w:tcBorders>
            <w:shd w:val="clear" w:color="auto" w:fill="FFFFFF"/>
            <w:tcMar>
              <w:top w:w="0" w:type="dxa"/>
              <w:left w:w="0" w:type="dxa"/>
              <w:bottom w:w="0" w:type="dxa"/>
              <w:right w:w="0" w:type="dxa"/>
            </w:tcMar>
          </w:tcPr>
          <w:p w14:paraId="29BF127A">
            <w:pPr>
              <w:pStyle w:val="55"/>
              <w:keepNext w:val="0"/>
              <w:keepLines w:val="0"/>
              <w:widowControl/>
              <w:suppressLineNumbers w:val="0"/>
              <w:spacing w:before="0" w:beforeAutospacing="0" w:afterAutospacing="0"/>
              <w:ind w:right="0"/>
              <w:rPr>
                <w:rFonts w:hint="default"/>
              </w:rPr>
            </w:pPr>
            <w:r>
              <w:rPr>
                <w:rFonts w:hint="default"/>
              </w:rPr>
              <w:t>0.20 ± 0.05</w:t>
            </w:r>
          </w:p>
        </w:tc>
        <w:tc>
          <w:tcPr>
            <w:tcW w:w="1559" w:type="dxa"/>
            <w:tcBorders>
              <w:top w:val="nil"/>
              <w:left w:val="nil"/>
              <w:bottom w:val="nil"/>
              <w:right w:val="nil"/>
            </w:tcBorders>
            <w:shd w:val="clear" w:color="auto" w:fill="FFFFFF"/>
            <w:tcMar>
              <w:top w:w="0" w:type="dxa"/>
              <w:left w:w="0" w:type="dxa"/>
              <w:bottom w:w="0" w:type="dxa"/>
              <w:right w:w="0" w:type="dxa"/>
            </w:tcMar>
          </w:tcPr>
          <w:p w14:paraId="2234A99D">
            <w:pPr>
              <w:pStyle w:val="55"/>
              <w:keepNext w:val="0"/>
              <w:keepLines w:val="0"/>
              <w:widowControl/>
              <w:suppressLineNumbers w:val="0"/>
              <w:spacing w:before="0" w:beforeAutospacing="0" w:afterAutospacing="0"/>
              <w:ind w:right="0"/>
              <w:rPr>
                <w:rFonts w:hint="default"/>
              </w:rPr>
            </w:pPr>
            <w:r>
              <w:rPr>
                <w:rFonts w:hint="default"/>
              </w:rPr>
              <w:t>4.68 ± 0.09</w:t>
            </w:r>
          </w:p>
        </w:tc>
        <w:tc>
          <w:tcPr>
            <w:tcW w:w="1559" w:type="dxa"/>
            <w:tcBorders>
              <w:top w:val="nil"/>
              <w:left w:val="nil"/>
              <w:bottom w:val="nil"/>
              <w:right w:val="nil"/>
            </w:tcBorders>
            <w:shd w:val="clear" w:color="auto" w:fill="FFFFFF"/>
            <w:tcMar>
              <w:top w:w="0" w:type="dxa"/>
              <w:left w:w="0" w:type="dxa"/>
              <w:bottom w:w="0" w:type="dxa"/>
              <w:right w:w="0" w:type="dxa"/>
            </w:tcMar>
          </w:tcPr>
          <w:p w14:paraId="595BB6F6">
            <w:pPr>
              <w:pStyle w:val="55"/>
              <w:keepNext w:val="0"/>
              <w:keepLines w:val="0"/>
              <w:widowControl/>
              <w:suppressLineNumbers w:val="0"/>
              <w:spacing w:before="0" w:beforeAutospacing="0" w:afterAutospacing="0"/>
              <w:ind w:right="0"/>
              <w:rPr>
                <w:rFonts w:hint="default"/>
              </w:rPr>
            </w:pPr>
            <w:r>
              <w:rPr>
                <w:rFonts w:hint="default"/>
              </w:rPr>
              <w:t>10.23 ± 0.51</w:t>
            </w:r>
          </w:p>
        </w:tc>
        <w:tc>
          <w:tcPr>
            <w:tcW w:w="1418" w:type="dxa"/>
            <w:tcBorders>
              <w:top w:val="nil"/>
              <w:left w:val="nil"/>
              <w:bottom w:val="nil"/>
              <w:right w:val="nil"/>
            </w:tcBorders>
            <w:shd w:val="clear" w:color="auto" w:fill="FFFFFF"/>
            <w:tcMar>
              <w:top w:w="0" w:type="dxa"/>
              <w:left w:w="0" w:type="dxa"/>
              <w:bottom w:w="0" w:type="dxa"/>
              <w:right w:w="0" w:type="dxa"/>
            </w:tcMar>
          </w:tcPr>
          <w:p w14:paraId="2E86EDC9">
            <w:pPr>
              <w:pStyle w:val="55"/>
              <w:keepNext w:val="0"/>
              <w:keepLines w:val="0"/>
              <w:widowControl/>
              <w:suppressLineNumbers w:val="0"/>
              <w:spacing w:before="0" w:beforeAutospacing="0" w:afterAutospacing="0"/>
              <w:ind w:right="0"/>
              <w:rPr>
                <w:rFonts w:hint="default"/>
              </w:rPr>
            </w:pPr>
            <w:r>
              <w:rPr>
                <w:rFonts w:hint="default"/>
              </w:rPr>
              <w:t>0.99 ± 0.02</w:t>
            </w:r>
          </w:p>
        </w:tc>
        <w:tc>
          <w:tcPr>
            <w:tcW w:w="1134" w:type="dxa"/>
            <w:tcBorders>
              <w:top w:val="nil"/>
              <w:left w:val="nil"/>
              <w:bottom w:val="nil"/>
              <w:right w:val="nil"/>
            </w:tcBorders>
            <w:shd w:val="clear" w:color="auto" w:fill="FFFFFF"/>
            <w:tcMar>
              <w:top w:w="0" w:type="dxa"/>
              <w:left w:w="0" w:type="dxa"/>
              <w:bottom w:w="0" w:type="dxa"/>
              <w:right w:w="0" w:type="dxa"/>
            </w:tcMar>
          </w:tcPr>
          <w:p w14:paraId="095CF983">
            <w:pPr>
              <w:pStyle w:val="55"/>
              <w:keepNext w:val="0"/>
              <w:keepLines w:val="0"/>
              <w:widowControl/>
              <w:suppressLineNumbers w:val="0"/>
              <w:spacing w:before="0" w:beforeAutospacing="0" w:afterAutospacing="0"/>
              <w:ind w:right="0"/>
              <w:rPr>
                <w:rFonts w:hint="default"/>
              </w:rPr>
            </w:pPr>
            <w:r>
              <w:rPr>
                <w:rFonts w:hint="default"/>
              </w:rPr>
              <w:t>40 ± 8</w:t>
            </w:r>
          </w:p>
        </w:tc>
      </w:tr>
      <w:tr w14:paraId="22941697">
        <w:tblPrEx>
          <w:tblCellMar>
            <w:top w:w="0" w:type="dxa"/>
            <w:left w:w="108" w:type="dxa"/>
            <w:bottom w:w="0" w:type="dxa"/>
            <w:right w:w="108" w:type="dxa"/>
          </w:tblCellMar>
        </w:tblPrEx>
        <w:tc>
          <w:tcPr>
            <w:tcW w:w="851" w:type="dxa"/>
            <w:tcBorders>
              <w:top w:val="nil"/>
              <w:left w:val="nil"/>
              <w:bottom w:val="nil"/>
              <w:right w:val="nil"/>
            </w:tcBorders>
            <w:shd w:val="clear" w:color="auto" w:fill="FFFFFF"/>
            <w:tcMar>
              <w:top w:w="0" w:type="dxa"/>
              <w:left w:w="0" w:type="dxa"/>
              <w:bottom w:w="0" w:type="dxa"/>
              <w:right w:w="0" w:type="dxa"/>
            </w:tcMar>
          </w:tcPr>
          <w:p w14:paraId="05D69026">
            <w:pPr>
              <w:pStyle w:val="55"/>
              <w:keepNext w:val="0"/>
              <w:keepLines w:val="0"/>
              <w:widowControl/>
              <w:suppressLineNumbers w:val="0"/>
              <w:spacing w:before="0" w:beforeAutospacing="0" w:afterAutospacing="0"/>
              <w:ind w:right="0"/>
              <w:rPr>
                <w:rFonts w:hint="default"/>
              </w:rPr>
            </w:pPr>
            <w:r>
              <w:rPr>
                <w:rFonts w:hint="default"/>
              </w:rPr>
              <w:t>11</w:t>
            </w:r>
          </w:p>
        </w:tc>
        <w:tc>
          <w:tcPr>
            <w:tcW w:w="1276" w:type="dxa"/>
            <w:tcBorders>
              <w:top w:val="nil"/>
              <w:left w:val="nil"/>
              <w:bottom w:val="nil"/>
              <w:right w:val="nil"/>
            </w:tcBorders>
            <w:shd w:val="clear" w:color="auto" w:fill="FFFFFF"/>
            <w:tcMar>
              <w:top w:w="0" w:type="dxa"/>
              <w:left w:w="0" w:type="dxa"/>
              <w:bottom w:w="0" w:type="dxa"/>
              <w:right w:w="0" w:type="dxa"/>
            </w:tcMar>
          </w:tcPr>
          <w:p w14:paraId="1364A300">
            <w:pPr>
              <w:pStyle w:val="55"/>
              <w:keepNext w:val="0"/>
              <w:keepLines w:val="0"/>
              <w:widowControl/>
              <w:suppressLineNumbers w:val="0"/>
              <w:spacing w:before="0" w:beforeAutospacing="0" w:afterAutospacing="0"/>
              <w:ind w:right="0"/>
              <w:rPr>
                <w:rFonts w:hint="default"/>
              </w:rPr>
            </w:pPr>
            <w:r>
              <w:rPr>
                <w:rFonts w:hint="default"/>
              </w:rPr>
              <w:t>28</w:t>
            </w:r>
          </w:p>
        </w:tc>
        <w:tc>
          <w:tcPr>
            <w:tcW w:w="1526" w:type="dxa"/>
            <w:tcBorders>
              <w:top w:val="nil"/>
              <w:left w:val="nil"/>
              <w:bottom w:val="nil"/>
              <w:right w:val="nil"/>
            </w:tcBorders>
            <w:shd w:val="clear" w:color="auto" w:fill="FFFFFF"/>
            <w:tcMar>
              <w:top w:w="0" w:type="dxa"/>
              <w:left w:w="0" w:type="dxa"/>
              <w:bottom w:w="0" w:type="dxa"/>
              <w:right w:w="0" w:type="dxa"/>
            </w:tcMar>
          </w:tcPr>
          <w:p w14:paraId="16CDFC63">
            <w:pPr>
              <w:pStyle w:val="55"/>
              <w:keepNext w:val="0"/>
              <w:keepLines w:val="0"/>
              <w:widowControl/>
              <w:suppressLineNumbers w:val="0"/>
              <w:spacing w:before="0" w:beforeAutospacing="0" w:afterAutospacing="0"/>
              <w:ind w:right="0"/>
              <w:rPr>
                <w:rFonts w:hint="default"/>
              </w:rPr>
            </w:pPr>
            <w:r>
              <w:rPr>
                <w:rFonts w:hint="default"/>
              </w:rPr>
              <w:t>0.90 ± 0.05</w:t>
            </w:r>
          </w:p>
        </w:tc>
        <w:tc>
          <w:tcPr>
            <w:tcW w:w="1559" w:type="dxa"/>
            <w:tcBorders>
              <w:top w:val="nil"/>
              <w:left w:val="nil"/>
              <w:bottom w:val="nil"/>
              <w:right w:val="nil"/>
            </w:tcBorders>
            <w:shd w:val="clear" w:color="auto" w:fill="FFFFFF"/>
            <w:tcMar>
              <w:top w:w="0" w:type="dxa"/>
              <w:left w:w="0" w:type="dxa"/>
              <w:bottom w:w="0" w:type="dxa"/>
              <w:right w:w="0" w:type="dxa"/>
            </w:tcMar>
          </w:tcPr>
          <w:p w14:paraId="77581D15">
            <w:pPr>
              <w:pStyle w:val="55"/>
              <w:keepNext w:val="0"/>
              <w:keepLines w:val="0"/>
              <w:widowControl/>
              <w:suppressLineNumbers w:val="0"/>
              <w:spacing w:before="0" w:beforeAutospacing="0" w:afterAutospacing="0"/>
              <w:ind w:right="0"/>
              <w:rPr>
                <w:rFonts w:hint="default"/>
              </w:rPr>
            </w:pPr>
            <w:r>
              <w:rPr>
                <w:rFonts w:hint="default"/>
              </w:rPr>
              <w:t>3.66 ± 0.07</w:t>
            </w:r>
          </w:p>
        </w:tc>
        <w:tc>
          <w:tcPr>
            <w:tcW w:w="1559" w:type="dxa"/>
            <w:tcBorders>
              <w:top w:val="nil"/>
              <w:left w:val="nil"/>
              <w:bottom w:val="nil"/>
              <w:right w:val="nil"/>
            </w:tcBorders>
            <w:shd w:val="clear" w:color="auto" w:fill="FFFFFF"/>
            <w:tcMar>
              <w:top w:w="0" w:type="dxa"/>
              <w:left w:w="0" w:type="dxa"/>
              <w:bottom w:w="0" w:type="dxa"/>
              <w:right w:w="0" w:type="dxa"/>
            </w:tcMar>
          </w:tcPr>
          <w:p w14:paraId="0A609489">
            <w:pPr>
              <w:pStyle w:val="55"/>
              <w:keepNext w:val="0"/>
              <w:keepLines w:val="0"/>
              <w:widowControl/>
              <w:suppressLineNumbers w:val="0"/>
              <w:spacing w:before="0" w:beforeAutospacing="0" w:afterAutospacing="0"/>
              <w:ind w:right="0"/>
              <w:rPr>
                <w:rFonts w:hint="default"/>
              </w:rPr>
            </w:pPr>
            <w:r>
              <w:rPr>
                <w:rFonts w:hint="default"/>
              </w:rPr>
              <w:t>9.29 ± 0.47</w:t>
            </w:r>
          </w:p>
        </w:tc>
        <w:tc>
          <w:tcPr>
            <w:tcW w:w="1418" w:type="dxa"/>
            <w:tcBorders>
              <w:top w:val="nil"/>
              <w:left w:val="nil"/>
              <w:bottom w:val="nil"/>
              <w:right w:val="nil"/>
            </w:tcBorders>
            <w:shd w:val="clear" w:color="auto" w:fill="FFFFFF"/>
            <w:tcMar>
              <w:top w:w="0" w:type="dxa"/>
              <w:left w:w="0" w:type="dxa"/>
              <w:bottom w:w="0" w:type="dxa"/>
              <w:right w:w="0" w:type="dxa"/>
            </w:tcMar>
          </w:tcPr>
          <w:p w14:paraId="362F0072">
            <w:pPr>
              <w:pStyle w:val="55"/>
              <w:keepNext w:val="0"/>
              <w:keepLines w:val="0"/>
              <w:widowControl/>
              <w:suppressLineNumbers w:val="0"/>
              <w:spacing w:before="0" w:beforeAutospacing="0" w:afterAutospacing="0"/>
              <w:ind w:right="0"/>
              <w:rPr>
                <w:rFonts w:hint="default"/>
              </w:rPr>
            </w:pPr>
            <w:r>
              <w:rPr>
                <w:rFonts w:hint="default"/>
              </w:rPr>
              <w:t>0.89 ± 0.01</w:t>
            </w:r>
          </w:p>
        </w:tc>
        <w:tc>
          <w:tcPr>
            <w:tcW w:w="1134" w:type="dxa"/>
            <w:tcBorders>
              <w:top w:val="nil"/>
              <w:left w:val="nil"/>
              <w:bottom w:val="nil"/>
              <w:right w:val="nil"/>
            </w:tcBorders>
            <w:shd w:val="clear" w:color="auto" w:fill="FFFFFF"/>
            <w:tcMar>
              <w:top w:w="0" w:type="dxa"/>
              <w:left w:w="0" w:type="dxa"/>
              <w:bottom w:w="0" w:type="dxa"/>
              <w:right w:w="0" w:type="dxa"/>
            </w:tcMar>
          </w:tcPr>
          <w:p w14:paraId="4430E37D">
            <w:pPr>
              <w:pStyle w:val="55"/>
              <w:keepNext w:val="0"/>
              <w:keepLines w:val="0"/>
              <w:widowControl/>
              <w:suppressLineNumbers w:val="0"/>
              <w:spacing w:before="0" w:beforeAutospacing="0" w:afterAutospacing="0"/>
              <w:ind w:right="0"/>
              <w:rPr>
                <w:rFonts w:hint="default"/>
              </w:rPr>
            </w:pPr>
            <w:r>
              <w:rPr>
                <w:rFonts w:hint="default"/>
              </w:rPr>
              <w:t>40 ± 8</w:t>
            </w:r>
          </w:p>
        </w:tc>
      </w:tr>
      <w:tr w14:paraId="3BD058C6">
        <w:tblPrEx>
          <w:tblCellMar>
            <w:top w:w="0" w:type="dxa"/>
            <w:left w:w="108" w:type="dxa"/>
            <w:bottom w:w="0" w:type="dxa"/>
            <w:right w:w="108" w:type="dxa"/>
          </w:tblCellMar>
        </w:tblPrEx>
        <w:tc>
          <w:tcPr>
            <w:tcW w:w="851" w:type="dxa"/>
            <w:tcBorders>
              <w:top w:val="nil"/>
              <w:left w:val="nil"/>
              <w:bottom w:val="nil"/>
              <w:right w:val="nil"/>
            </w:tcBorders>
            <w:shd w:val="clear" w:color="auto" w:fill="FFFFFF"/>
            <w:tcMar>
              <w:top w:w="0" w:type="dxa"/>
              <w:left w:w="0" w:type="dxa"/>
              <w:bottom w:w="0" w:type="dxa"/>
              <w:right w:w="0" w:type="dxa"/>
            </w:tcMar>
          </w:tcPr>
          <w:p w14:paraId="26337314">
            <w:pPr>
              <w:pStyle w:val="55"/>
              <w:keepNext w:val="0"/>
              <w:keepLines w:val="0"/>
              <w:widowControl/>
              <w:suppressLineNumbers w:val="0"/>
              <w:spacing w:before="0" w:beforeAutospacing="0" w:afterAutospacing="0"/>
              <w:ind w:right="0"/>
              <w:rPr>
                <w:rFonts w:hint="default"/>
              </w:rPr>
            </w:pPr>
            <w:r>
              <w:rPr>
                <w:rFonts w:hint="default"/>
              </w:rPr>
              <w:t>12</w:t>
            </w:r>
          </w:p>
        </w:tc>
        <w:tc>
          <w:tcPr>
            <w:tcW w:w="1276" w:type="dxa"/>
            <w:tcBorders>
              <w:top w:val="nil"/>
              <w:left w:val="nil"/>
              <w:bottom w:val="nil"/>
              <w:right w:val="nil"/>
            </w:tcBorders>
            <w:shd w:val="clear" w:color="auto" w:fill="FFFFFF"/>
            <w:tcMar>
              <w:top w:w="0" w:type="dxa"/>
              <w:left w:w="0" w:type="dxa"/>
              <w:bottom w:w="0" w:type="dxa"/>
              <w:right w:w="0" w:type="dxa"/>
            </w:tcMar>
          </w:tcPr>
          <w:p w14:paraId="1ED2800A">
            <w:pPr>
              <w:pStyle w:val="55"/>
              <w:keepNext w:val="0"/>
              <w:keepLines w:val="0"/>
              <w:widowControl/>
              <w:suppressLineNumbers w:val="0"/>
              <w:spacing w:before="0" w:beforeAutospacing="0" w:afterAutospacing="0"/>
              <w:ind w:right="0"/>
              <w:rPr>
                <w:rFonts w:hint="default"/>
              </w:rPr>
            </w:pPr>
            <w:r>
              <w:rPr>
                <w:rFonts w:hint="default"/>
              </w:rPr>
              <w:t>12</w:t>
            </w:r>
          </w:p>
        </w:tc>
        <w:tc>
          <w:tcPr>
            <w:tcW w:w="1526" w:type="dxa"/>
            <w:tcBorders>
              <w:top w:val="nil"/>
              <w:left w:val="nil"/>
              <w:bottom w:val="nil"/>
              <w:right w:val="nil"/>
            </w:tcBorders>
            <w:shd w:val="clear" w:color="auto" w:fill="FFFFFF"/>
            <w:tcMar>
              <w:top w:w="0" w:type="dxa"/>
              <w:left w:w="0" w:type="dxa"/>
              <w:bottom w:w="0" w:type="dxa"/>
              <w:right w:w="0" w:type="dxa"/>
            </w:tcMar>
          </w:tcPr>
          <w:p w14:paraId="0C86B4D6">
            <w:pPr>
              <w:pStyle w:val="55"/>
              <w:keepNext w:val="0"/>
              <w:keepLines w:val="0"/>
              <w:widowControl/>
              <w:suppressLineNumbers w:val="0"/>
              <w:spacing w:before="0" w:beforeAutospacing="0" w:afterAutospacing="0"/>
              <w:ind w:right="0"/>
              <w:rPr>
                <w:rFonts w:hint="default"/>
              </w:rPr>
            </w:pPr>
            <w:r>
              <w:rPr>
                <w:rFonts w:hint="default"/>
              </w:rPr>
              <w:t>0.01 ± 0.01</w:t>
            </w:r>
          </w:p>
        </w:tc>
        <w:tc>
          <w:tcPr>
            <w:tcW w:w="1559" w:type="dxa"/>
            <w:tcBorders>
              <w:top w:val="nil"/>
              <w:left w:val="nil"/>
              <w:bottom w:val="nil"/>
              <w:right w:val="nil"/>
            </w:tcBorders>
            <w:shd w:val="clear" w:color="auto" w:fill="FFFFFF"/>
            <w:tcMar>
              <w:top w:w="0" w:type="dxa"/>
              <w:left w:w="0" w:type="dxa"/>
              <w:bottom w:w="0" w:type="dxa"/>
              <w:right w:w="0" w:type="dxa"/>
            </w:tcMar>
          </w:tcPr>
          <w:p w14:paraId="26D427DF">
            <w:pPr>
              <w:pStyle w:val="55"/>
              <w:keepNext w:val="0"/>
              <w:keepLines w:val="0"/>
              <w:widowControl/>
              <w:suppressLineNumbers w:val="0"/>
              <w:spacing w:before="0" w:beforeAutospacing="0" w:afterAutospacing="0"/>
              <w:ind w:right="0"/>
              <w:rPr>
                <w:rFonts w:hint="default"/>
              </w:rPr>
            </w:pPr>
            <w:r>
              <w:rPr>
                <w:rFonts w:hint="default"/>
              </w:rPr>
              <w:t>5.67 ± 0.11</w:t>
            </w:r>
          </w:p>
        </w:tc>
        <w:tc>
          <w:tcPr>
            <w:tcW w:w="1559" w:type="dxa"/>
            <w:tcBorders>
              <w:top w:val="nil"/>
              <w:left w:val="nil"/>
              <w:bottom w:val="nil"/>
              <w:right w:val="nil"/>
            </w:tcBorders>
            <w:shd w:val="clear" w:color="auto" w:fill="FFFFFF"/>
            <w:tcMar>
              <w:top w:w="0" w:type="dxa"/>
              <w:left w:w="0" w:type="dxa"/>
              <w:bottom w:w="0" w:type="dxa"/>
              <w:right w:w="0" w:type="dxa"/>
            </w:tcMar>
          </w:tcPr>
          <w:p w14:paraId="340A5D58">
            <w:pPr>
              <w:pStyle w:val="55"/>
              <w:keepNext w:val="0"/>
              <w:keepLines w:val="0"/>
              <w:widowControl/>
              <w:suppressLineNumbers w:val="0"/>
              <w:spacing w:before="0" w:beforeAutospacing="0" w:afterAutospacing="0"/>
              <w:ind w:right="0"/>
              <w:rPr>
                <w:rFonts w:hint="default"/>
              </w:rPr>
            </w:pPr>
            <w:r>
              <w:rPr>
                <w:rFonts w:hint="default"/>
              </w:rPr>
              <w:t>12.61 ± 0.63</w:t>
            </w:r>
          </w:p>
        </w:tc>
        <w:tc>
          <w:tcPr>
            <w:tcW w:w="1418" w:type="dxa"/>
            <w:tcBorders>
              <w:top w:val="nil"/>
              <w:left w:val="nil"/>
              <w:bottom w:val="nil"/>
              <w:right w:val="nil"/>
            </w:tcBorders>
            <w:shd w:val="clear" w:color="auto" w:fill="FFFFFF"/>
            <w:tcMar>
              <w:top w:w="0" w:type="dxa"/>
              <w:left w:w="0" w:type="dxa"/>
              <w:bottom w:w="0" w:type="dxa"/>
              <w:right w:w="0" w:type="dxa"/>
            </w:tcMar>
          </w:tcPr>
          <w:p w14:paraId="0CABCFD0">
            <w:pPr>
              <w:pStyle w:val="55"/>
              <w:keepNext w:val="0"/>
              <w:keepLines w:val="0"/>
              <w:widowControl/>
              <w:suppressLineNumbers w:val="0"/>
              <w:spacing w:before="0" w:beforeAutospacing="0" w:afterAutospacing="0"/>
              <w:ind w:right="0"/>
              <w:rPr>
                <w:rFonts w:hint="default"/>
              </w:rPr>
            </w:pPr>
            <w:r>
              <w:rPr>
                <w:rFonts w:hint="default"/>
              </w:rPr>
              <w:t>1.10 ± 0.02</w:t>
            </w:r>
          </w:p>
        </w:tc>
        <w:tc>
          <w:tcPr>
            <w:tcW w:w="1134" w:type="dxa"/>
            <w:tcBorders>
              <w:top w:val="nil"/>
              <w:left w:val="nil"/>
              <w:bottom w:val="nil"/>
              <w:right w:val="nil"/>
            </w:tcBorders>
            <w:shd w:val="clear" w:color="auto" w:fill="FFFFFF"/>
            <w:tcMar>
              <w:top w:w="0" w:type="dxa"/>
              <w:left w:w="0" w:type="dxa"/>
              <w:bottom w:w="0" w:type="dxa"/>
              <w:right w:w="0" w:type="dxa"/>
            </w:tcMar>
          </w:tcPr>
          <w:p w14:paraId="3650260C">
            <w:pPr>
              <w:pStyle w:val="55"/>
              <w:keepNext w:val="0"/>
              <w:keepLines w:val="0"/>
              <w:widowControl/>
              <w:suppressLineNumbers w:val="0"/>
              <w:spacing w:before="0" w:beforeAutospacing="0" w:afterAutospacing="0"/>
              <w:ind w:right="0"/>
              <w:rPr>
                <w:rFonts w:hint="default"/>
              </w:rPr>
            </w:pPr>
            <w:r>
              <w:rPr>
                <w:rFonts w:hint="default"/>
              </w:rPr>
              <w:t>37 ± 7</w:t>
            </w:r>
          </w:p>
        </w:tc>
      </w:tr>
      <w:tr w14:paraId="2C1956A5">
        <w:tblPrEx>
          <w:tblCellMar>
            <w:top w:w="0" w:type="dxa"/>
            <w:left w:w="108" w:type="dxa"/>
            <w:bottom w:w="0" w:type="dxa"/>
            <w:right w:w="108" w:type="dxa"/>
          </w:tblCellMar>
        </w:tblPrEx>
        <w:tc>
          <w:tcPr>
            <w:tcW w:w="851" w:type="dxa"/>
            <w:tcBorders>
              <w:top w:val="nil"/>
              <w:left w:val="nil"/>
              <w:bottom w:val="nil"/>
              <w:right w:val="nil"/>
            </w:tcBorders>
            <w:shd w:val="clear" w:color="auto" w:fill="FFFFFF"/>
            <w:tcMar>
              <w:top w:w="0" w:type="dxa"/>
              <w:left w:w="0" w:type="dxa"/>
              <w:bottom w:w="0" w:type="dxa"/>
              <w:right w:w="0" w:type="dxa"/>
            </w:tcMar>
          </w:tcPr>
          <w:p w14:paraId="42EA8988">
            <w:pPr>
              <w:pStyle w:val="55"/>
              <w:keepNext w:val="0"/>
              <w:keepLines w:val="0"/>
              <w:widowControl/>
              <w:suppressLineNumbers w:val="0"/>
              <w:spacing w:before="0" w:beforeAutospacing="0" w:afterAutospacing="0"/>
              <w:ind w:right="0"/>
              <w:rPr>
                <w:rFonts w:hint="default"/>
              </w:rPr>
            </w:pPr>
            <w:r>
              <w:rPr>
                <w:rFonts w:hint="default"/>
              </w:rPr>
              <w:t>13</w:t>
            </w:r>
          </w:p>
        </w:tc>
        <w:tc>
          <w:tcPr>
            <w:tcW w:w="1276" w:type="dxa"/>
            <w:tcBorders>
              <w:top w:val="nil"/>
              <w:left w:val="nil"/>
              <w:bottom w:val="nil"/>
              <w:right w:val="nil"/>
            </w:tcBorders>
            <w:shd w:val="clear" w:color="auto" w:fill="FFFFFF"/>
            <w:tcMar>
              <w:top w:w="0" w:type="dxa"/>
              <w:left w:w="0" w:type="dxa"/>
              <w:bottom w:w="0" w:type="dxa"/>
              <w:right w:w="0" w:type="dxa"/>
            </w:tcMar>
          </w:tcPr>
          <w:p w14:paraId="3AAB0BEF">
            <w:pPr>
              <w:pStyle w:val="55"/>
              <w:keepNext w:val="0"/>
              <w:keepLines w:val="0"/>
              <w:widowControl/>
              <w:suppressLineNumbers w:val="0"/>
              <w:spacing w:before="0" w:beforeAutospacing="0" w:afterAutospacing="0"/>
              <w:ind w:right="0"/>
              <w:rPr>
                <w:rFonts w:hint="default"/>
              </w:rPr>
            </w:pPr>
            <w:r>
              <w:rPr>
                <w:rFonts w:hint="default"/>
              </w:rPr>
              <w:t>13</w:t>
            </w:r>
          </w:p>
        </w:tc>
        <w:tc>
          <w:tcPr>
            <w:tcW w:w="1526" w:type="dxa"/>
            <w:tcBorders>
              <w:top w:val="nil"/>
              <w:left w:val="nil"/>
              <w:bottom w:val="nil"/>
              <w:right w:val="nil"/>
            </w:tcBorders>
            <w:shd w:val="clear" w:color="auto" w:fill="FFFFFF"/>
            <w:tcMar>
              <w:top w:w="0" w:type="dxa"/>
              <w:left w:w="0" w:type="dxa"/>
              <w:bottom w:w="0" w:type="dxa"/>
              <w:right w:w="0" w:type="dxa"/>
            </w:tcMar>
          </w:tcPr>
          <w:p w14:paraId="4EF5AE62">
            <w:pPr>
              <w:pStyle w:val="55"/>
              <w:keepNext w:val="0"/>
              <w:keepLines w:val="0"/>
              <w:widowControl/>
              <w:suppressLineNumbers w:val="0"/>
              <w:spacing w:before="0" w:beforeAutospacing="0" w:afterAutospacing="0"/>
              <w:ind w:right="0"/>
              <w:rPr>
                <w:rFonts w:hint="default"/>
              </w:rPr>
            </w:pPr>
            <w:r>
              <w:rPr>
                <w:rFonts w:hint="default"/>
              </w:rPr>
              <w:t>0.20 ± 0.05</w:t>
            </w:r>
          </w:p>
        </w:tc>
        <w:tc>
          <w:tcPr>
            <w:tcW w:w="1559" w:type="dxa"/>
            <w:tcBorders>
              <w:top w:val="nil"/>
              <w:left w:val="nil"/>
              <w:bottom w:val="nil"/>
              <w:right w:val="nil"/>
            </w:tcBorders>
            <w:shd w:val="clear" w:color="auto" w:fill="FFFFFF"/>
            <w:tcMar>
              <w:top w:w="0" w:type="dxa"/>
              <w:left w:w="0" w:type="dxa"/>
              <w:bottom w:w="0" w:type="dxa"/>
              <w:right w:w="0" w:type="dxa"/>
            </w:tcMar>
          </w:tcPr>
          <w:p w14:paraId="422FC848">
            <w:pPr>
              <w:pStyle w:val="55"/>
              <w:keepNext w:val="0"/>
              <w:keepLines w:val="0"/>
              <w:widowControl/>
              <w:suppressLineNumbers w:val="0"/>
              <w:spacing w:before="0" w:beforeAutospacing="0" w:afterAutospacing="0"/>
              <w:ind w:right="0"/>
              <w:rPr>
                <w:rFonts w:hint="default"/>
              </w:rPr>
            </w:pPr>
            <w:r>
              <w:rPr>
                <w:rFonts w:hint="default"/>
              </w:rPr>
              <w:t>5.59 ± 0.11</w:t>
            </w:r>
          </w:p>
        </w:tc>
        <w:tc>
          <w:tcPr>
            <w:tcW w:w="1559" w:type="dxa"/>
            <w:tcBorders>
              <w:top w:val="nil"/>
              <w:left w:val="nil"/>
              <w:bottom w:val="nil"/>
              <w:right w:val="nil"/>
            </w:tcBorders>
            <w:shd w:val="clear" w:color="auto" w:fill="FFFFFF"/>
            <w:tcMar>
              <w:top w:w="0" w:type="dxa"/>
              <w:left w:w="0" w:type="dxa"/>
              <w:bottom w:w="0" w:type="dxa"/>
              <w:right w:w="0" w:type="dxa"/>
            </w:tcMar>
          </w:tcPr>
          <w:p w14:paraId="3E235476">
            <w:pPr>
              <w:pStyle w:val="55"/>
              <w:keepNext w:val="0"/>
              <w:keepLines w:val="0"/>
              <w:widowControl/>
              <w:suppressLineNumbers w:val="0"/>
              <w:spacing w:before="0" w:beforeAutospacing="0" w:afterAutospacing="0"/>
              <w:ind w:right="0"/>
              <w:rPr>
                <w:rFonts w:hint="default"/>
              </w:rPr>
            </w:pPr>
            <w:r>
              <w:rPr>
                <w:rFonts w:hint="default"/>
              </w:rPr>
              <w:t>11.99 ± 0.60</w:t>
            </w:r>
          </w:p>
        </w:tc>
        <w:tc>
          <w:tcPr>
            <w:tcW w:w="1418" w:type="dxa"/>
            <w:tcBorders>
              <w:top w:val="nil"/>
              <w:left w:val="nil"/>
              <w:bottom w:val="nil"/>
              <w:right w:val="nil"/>
            </w:tcBorders>
            <w:shd w:val="clear" w:color="auto" w:fill="FFFFFF"/>
            <w:tcMar>
              <w:top w:w="0" w:type="dxa"/>
              <w:left w:w="0" w:type="dxa"/>
              <w:bottom w:w="0" w:type="dxa"/>
              <w:right w:w="0" w:type="dxa"/>
            </w:tcMar>
          </w:tcPr>
          <w:p w14:paraId="6C6C18B1">
            <w:pPr>
              <w:pStyle w:val="55"/>
              <w:keepNext w:val="0"/>
              <w:keepLines w:val="0"/>
              <w:widowControl/>
              <w:suppressLineNumbers w:val="0"/>
              <w:spacing w:before="0" w:beforeAutospacing="0" w:afterAutospacing="0"/>
              <w:ind w:right="0"/>
              <w:rPr>
                <w:rFonts w:hint="default"/>
              </w:rPr>
            </w:pPr>
            <w:r>
              <w:rPr>
                <w:rFonts w:hint="default"/>
              </w:rPr>
              <w:t>0.97 ± 0.02</w:t>
            </w:r>
          </w:p>
        </w:tc>
        <w:tc>
          <w:tcPr>
            <w:tcW w:w="1134" w:type="dxa"/>
            <w:tcBorders>
              <w:top w:val="nil"/>
              <w:left w:val="nil"/>
              <w:bottom w:val="nil"/>
              <w:right w:val="nil"/>
            </w:tcBorders>
            <w:shd w:val="clear" w:color="auto" w:fill="FFFFFF"/>
            <w:tcMar>
              <w:top w:w="0" w:type="dxa"/>
              <w:left w:w="0" w:type="dxa"/>
              <w:bottom w:w="0" w:type="dxa"/>
              <w:right w:w="0" w:type="dxa"/>
            </w:tcMar>
          </w:tcPr>
          <w:p w14:paraId="09FC38BD">
            <w:pPr>
              <w:pStyle w:val="55"/>
              <w:keepNext w:val="0"/>
              <w:keepLines w:val="0"/>
              <w:widowControl/>
              <w:suppressLineNumbers w:val="0"/>
              <w:spacing w:before="0" w:beforeAutospacing="0" w:afterAutospacing="0"/>
              <w:ind w:right="0"/>
              <w:rPr>
                <w:rFonts w:hint="default"/>
              </w:rPr>
            </w:pPr>
            <w:r>
              <w:rPr>
                <w:rFonts w:hint="default"/>
              </w:rPr>
              <w:t>40 ± 8</w:t>
            </w:r>
          </w:p>
        </w:tc>
      </w:tr>
      <w:tr w14:paraId="079A0CDC">
        <w:tblPrEx>
          <w:tblCellMar>
            <w:top w:w="0" w:type="dxa"/>
            <w:left w:w="108" w:type="dxa"/>
            <w:bottom w:w="0" w:type="dxa"/>
            <w:right w:w="108" w:type="dxa"/>
          </w:tblCellMar>
        </w:tblPrEx>
        <w:tc>
          <w:tcPr>
            <w:tcW w:w="851" w:type="dxa"/>
            <w:tcBorders>
              <w:top w:val="nil"/>
              <w:left w:val="nil"/>
              <w:bottom w:val="nil"/>
              <w:right w:val="nil"/>
            </w:tcBorders>
            <w:shd w:val="clear" w:color="auto" w:fill="FFFFFF"/>
            <w:tcMar>
              <w:top w:w="0" w:type="dxa"/>
              <w:left w:w="0" w:type="dxa"/>
              <w:bottom w:w="0" w:type="dxa"/>
              <w:right w:w="0" w:type="dxa"/>
            </w:tcMar>
          </w:tcPr>
          <w:p w14:paraId="631DC351">
            <w:pPr>
              <w:pStyle w:val="55"/>
              <w:keepNext w:val="0"/>
              <w:keepLines w:val="0"/>
              <w:widowControl/>
              <w:suppressLineNumbers w:val="0"/>
              <w:spacing w:before="0" w:beforeAutospacing="0" w:afterAutospacing="0"/>
              <w:ind w:right="0"/>
              <w:rPr>
                <w:rFonts w:hint="default"/>
              </w:rPr>
            </w:pPr>
            <w:r>
              <w:rPr>
                <w:rFonts w:hint="default"/>
              </w:rPr>
              <w:t>14</w:t>
            </w:r>
          </w:p>
        </w:tc>
        <w:tc>
          <w:tcPr>
            <w:tcW w:w="1276" w:type="dxa"/>
            <w:tcBorders>
              <w:top w:val="nil"/>
              <w:left w:val="nil"/>
              <w:bottom w:val="nil"/>
              <w:right w:val="nil"/>
            </w:tcBorders>
            <w:shd w:val="clear" w:color="auto" w:fill="FFFFFF"/>
            <w:tcMar>
              <w:top w:w="0" w:type="dxa"/>
              <w:left w:w="0" w:type="dxa"/>
              <w:bottom w:w="0" w:type="dxa"/>
              <w:right w:w="0" w:type="dxa"/>
            </w:tcMar>
          </w:tcPr>
          <w:p w14:paraId="07DAF04B">
            <w:pPr>
              <w:pStyle w:val="55"/>
              <w:keepNext w:val="0"/>
              <w:keepLines w:val="0"/>
              <w:widowControl/>
              <w:suppressLineNumbers w:val="0"/>
              <w:spacing w:before="0" w:beforeAutospacing="0" w:afterAutospacing="0"/>
              <w:ind w:right="0"/>
              <w:rPr>
                <w:rFonts w:hint="default"/>
              </w:rPr>
            </w:pPr>
            <w:r>
              <w:rPr>
                <w:rFonts w:hint="default"/>
              </w:rPr>
              <w:t>21</w:t>
            </w:r>
          </w:p>
        </w:tc>
        <w:tc>
          <w:tcPr>
            <w:tcW w:w="1526" w:type="dxa"/>
            <w:tcBorders>
              <w:top w:val="nil"/>
              <w:left w:val="nil"/>
              <w:bottom w:val="nil"/>
              <w:right w:val="nil"/>
            </w:tcBorders>
            <w:shd w:val="clear" w:color="auto" w:fill="FFFFFF"/>
            <w:tcMar>
              <w:top w:w="0" w:type="dxa"/>
              <w:left w:w="0" w:type="dxa"/>
              <w:bottom w:w="0" w:type="dxa"/>
              <w:right w:w="0" w:type="dxa"/>
            </w:tcMar>
          </w:tcPr>
          <w:p w14:paraId="75411601">
            <w:pPr>
              <w:pStyle w:val="55"/>
              <w:keepNext w:val="0"/>
              <w:keepLines w:val="0"/>
              <w:widowControl/>
              <w:suppressLineNumbers w:val="0"/>
              <w:spacing w:before="0" w:beforeAutospacing="0" w:afterAutospacing="0"/>
              <w:ind w:right="0"/>
              <w:rPr>
                <w:rFonts w:hint="default"/>
              </w:rPr>
            </w:pPr>
            <w:r>
              <w:rPr>
                <w:rFonts w:hint="default"/>
              </w:rPr>
              <w:t>0</w:t>
            </w:r>
          </w:p>
        </w:tc>
        <w:tc>
          <w:tcPr>
            <w:tcW w:w="1559" w:type="dxa"/>
            <w:tcBorders>
              <w:top w:val="nil"/>
              <w:left w:val="nil"/>
              <w:bottom w:val="nil"/>
              <w:right w:val="nil"/>
            </w:tcBorders>
            <w:shd w:val="clear" w:color="auto" w:fill="FFFFFF"/>
            <w:tcMar>
              <w:top w:w="0" w:type="dxa"/>
              <w:left w:w="0" w:type="dxa"/>
              <w:bottom w:w="0" w:type="dxa"/>
              <w:right w:w="0" w:type="dxa"/>
            </w:tcMar>
          </w:tcPr>
          <w:p w14:paraId="5CF61D5F">
            <w:pPr>
              <w:pStyle w:val="55"/>
              <w:keepNext w:val="0"/>
              <w:keepLines w:val="0"/>
              <w:widowControl/>
              <w:suppressLineNumbers w:val="0"/>
              <w:spacing w:before="0" w:beforeAutospacing="0" w:afterAutospacing="0"/>
              <w:ind w:right="0"/>
              <w:rPr>
                <w:rFonts w:hint="default"/>
              </w:rPr>
            </w:pPr>
            <w:r>
              <w:rPr>
                <w:rFonts w:hint="default"/>
              </w:rPr>
              <w:t>6.73 ± 0.13</w:t>
            </w:r>
          </w:p>
        </w:tc>
        <w:tc>
          <w:tcPr>
            <w:tcW w:w="1559" w:type="dxa"/>
            <w:tcBorders>
              <w:top w:val="nil"/>
              <w:left w:val="nil"/>
              <w:bottom w:val="nil"/>
              <w:right w:val="nil"/>
            </w:tcBorders>
            <w:shd w:val="clear" w:color="auto" w:fill="FFFFFF"/>
            <w:tcMar>
              <w:top w:w="0" w:type="dxa"/>
              <w:left w:w="0" w:type="dxa"/>
              <w:bottom w:w="0" w:type="dxa"/>
              <w:right w:w="0" w:type="dxa"/>
            </w:tcMar>
          </w:tcPr>
          <w:p w14:paraId="68D1ACD6">
            <w:pPr>
              <w:pStyle w:val="55"/>
              <w:keepNext w:val="0"/>
              <w:keepLines w:val="0"/>
              <w:widowControl/>
              <w:suppressLineNumbers w:val="0"/>
              <w:spacing w:before="0" w:beforeAutospacing="0" w:afterAutospacing="0"/>
              <w:ind w:right="0"/>
              <w:rPr>
                <w:rFonts w:hint="default"/>
              </w:rPr>
            </w:pPr>
            <w:r>
              <w:rPr>
                <w:rFonts w:hint="default"/>
              </w:rPr>
              <w:t>16.21 ± 0.81</w:t>
            </w:r>
          </w:p>
        </w:tc>
        <w:tc>
          <w:tcPr>
            <w:tcW w:w="1418" w:type="dxa"/>
            <w:tcBorders>
              <w:top w:val="nil"/>
              <w:left w:val="nil"/>
              <w:bottom w:val="nil"/>
              <w:right w:val="nil"/>
            </w:tcBorders>
            <w:shd w:val="clear" w:color="auto" w:fill="FFFFFF"/>
            <w:tcMar>
              <w:top w:w="0" w:type="dxa"/>
              <w:left w:w="0" w:type="dxa"/>
              <w:bottom w:w="0" w:type="dxa"/>
              <w:right w:w="0" w:type="dxa"/>
            </w:tcMar>
          </w:tcPr>
          <w:p w14:paraId="4EE07A17">
            <w:pPr>
              <w:pStyle w:val="55"/>
              <w:keepNext w:val="0"/>
              <w:keepLines w:val="0"/>
              <w:widowControl/>
              <w:suppressLineNumbers w:val="0"/>
              <w:spacing w:before="0" w:beforeAutospacing="0" w:afterAutospacing="0"/>
              <w:ind w:right="0"/>
              <w:rPr>
                <w:rFonts w:hint="default"/>
              </w:rPr>
            </w:pPr>
            <w:r>
              <w:rPr>
                <w:rFonts w:hint="default"/>
              </w:rPr>
              <w:t>0.84 ± 0.02</w:t>
            </w:r>
          </w:p>
        </w:tc>
        <w:tc>
          <w:tcPr>
            <w:tcW w:w="1134" w:type="dxa"/>
            <w:tcBorders>
              <w:top w:val="nil"/>
              <w:left w:val="nil"/>
              <w:bottom w:val="nil"/>
              <w:right w:val="nil"/>
            </w:tcBorders>
            <w:shd w:val="clear" w:color="auto" w:fill="FFFFFF"/>
            <w:tcMar>
              <w:top w:w="0" w:type="dxa"/>
              <w:left w:w="0" w:type="dxa"/>
              <w:bottom w:w="0" w:type="dxa"/>
              <w:right w:w="0" w:type="dxa"/>
            </w:tcMar>
          </w:tcPr>
          <w:p w14:paraId="14B890DC">
            <w:pPr>
              <w:pStyle w:val="55"/>
              <w:keepNext w:val="0"/>
              <w:keepLines w:val="0"/>
              <w:widowControl/>
              <w:suppressLineNumbers w:val="0"/>
              <w:spacing w:before="0" w:beforeAutospacing="0" w:afterAutospacing="0"/>
              <w:ind w:right="0"/>
              <w:rPr>
                <w:rFonts w:hint="default"/>
              </w:rPr>
            </w:pPr>
            <w:r>
              <w:rPr>
                <w:rFonts w:hint="default"/>
              </w:rPr>
              <w:t>48 ± 10</w:t>
            </w:r>
          </w:p>
        </w:tc>
      </w:tr>
      <w:tr w14:paraId="10BC52BB">
        <w:tblPrEx>
          <w:tblCellMar>
            <w:top w:w="0" w:type="dxa"/>
            <w:left w:w="108" w:type="dxa"/>
            <w:bottom w:w="0" w:type="dxa"/>
            <w:right w:w="108" w:type="dxa"/>
          </w:tblCellMar>
        </w:tblPrEx>
        <w:tc>
          <w:tcPr>
            <w:tcW w:w="851" w:type="dxa"/>
            <w:tcBorders>
              <w:top w:val="nil"/>
              <w:left w:val="nil"/>
              <w:bottom w:val="nil"/>
              <w:right w:val="nil"/>
            </w:tcBorders>
            <w:shd w:val="clear" w:color="auto" w:fill="FFFFFF"/>
            <w:tcMar>
              <w:top w:w="0" w:type="dxa"/>
              <w:left w:w="0" w:type="dxa"/>
              <w:bottom w:w="0" w:type="dxa"/>
              <w:right w:w="0" w:type="dxa"/>
            </w:tcMar>
          </w:tcPr>
          <w:p w14:paraId="3BEC0B98">
            <w:pPr>
              <w:pStyle w:val="55"/>
              <w:keepNext w:val="0"/>
              <w:keepLines w:val="0"/>
              <w:widowControl/>
              <w:suppressLineNumbers w:val="0"/>
              <w:spacing w:before="0" w:beforeAutospacing="0" w:afterAutospacing="0"/>
              <w:ind w:right="0"/>
              <w:rPr>
                <w:rFonts w:hint="default"/>
              </w:rPr>
            </w:pPr>
            <w:r>
              <w:rPr>
                <w:rFonts w:hint="default"/>
              </w:rPr>
              <w:t>15</w:t>
            </w:r>
          </w:p>
        </w:tc>
        <w:tc>
          <w:tcPr>
            <w:tcW w:w="1276" w:type="dxa"/>
            <w:tcBorders>
              <w:top w:val="nil"/>
              <w:left w:val="nil"/>
              <w:bottom w:val="nil"/>
              <w:right w:val="nil"/>
            </w:tcBorders>
            <w:shd w:val="clear" w:color="auto" w:fill="FFFFFF"/>
            <w:tcMar>
              <w:top w:w="0" w:type="dxa"/>
              <w:left w:w="0" w:type="dxa"/>
              <w:bottom w:w="0" w:type="dxa"/>
              <w:right w:w="0" w:type="dxa"/>
            </w:tcMar>
          </w:tcPr>
          <w:p w14:paraId="69859E7B">
            <w:pPr>
              <w:pStyle w:val="55"/>
              <w:keepNext w:val="0"/>
              <w:keepLines w:val="0"/>
              <w:widowControl/>
              <w:suppressLineNumbers w:val="0"/>
              <w:spacing w:before="0" w:beforeAutospacing="0" w:afterAutospacing="0"/>
              <w:ind w:right="0"/>
              <w:rPr>
                <w:rFonts w:hint="default"/>
              </w:rPr>
            </w:pPr>
            <w:r>
              <w:rPr>
                <w:rFonts w:hint="default"/>
              </w:rPr>
              <w:t>24</w:t>
            </w:r>
          </w:p>
        </w:tc>
        <w:tc>
          <w:tcPr>
            <w:tcW w:w="1526" w:type="dxa"/>
            <w:tcBorders>
              <w:top w:val="nil"/>
              <w:left w:val="nil"/>
              <w:bottom w:val="nil"/>
              <w:right w:val="nil"/>
            </w:tcBorders>
            <w:shd w:val="clear" w:color="auto" w:fill="FFFFFF"/>
            <w:tcMar>
              <w:top w:w="0" w:type="dxa"/>
              <w:left w:w="0" w:type="dxa"/>
              <w:bottom w:w="0" w:type="dxa"/>
              <w:right w:w="0" w:type="dxa"/>
            </w:tcMar>
          </w:tcPr>
          <w:p w14:paraId="461DD3D6">
            <w:pPr>
              <w:pStyle w:val="55"/>
              <w:keepNext w:val="0"/>
              <w:keepLines w:val="0"/>
              <w:widowControl/>
              <w:suppressLineNumbers w:val="0"/>
              <w:spacing w:before="0" w:beforeAutospacing="0" w:afterAutospacing="0"/>
              <w:ind w:right="0"/>
              <w:rPr>
                <w:rFonts w:hint="default"/>
              </w:rPr>
            </w:pPr>
            <w:r>
              <w:rPr>
                <w:rFonts w:hint="default"/>
              </w:rPr>
              <w:t>0</w:t>
            </w:r>
          </w:p>
        </w:tc>
        <w:tc>
          <w:tcPr>
            <w:tcW w:w="1559" w:type="dxa"/>
            <w:tcBorders>
              <w:top w:val="nil"/>
              <w:left w:val="nil"/>
              <w:bottom w:val="nil"/>
              <w:right w:val="nil"/>
            </w:tcBorders>
            <w:shd w:val="clear" w:color="auto" w:fill="FFFFFF"/>
            <w:tcMar>
              <w:top w:w="0" w:type="dxa"/>
              <w:left w:w="0" w:type="dxa"/>
              <w:bottom w:w="0" w:type="dxa"/>
              <w:right w:w="0" w:type="dxa"/>
            </w:tcMar>
          </w:tcPr>
          <w:p w14:paraId="01549BF4">
            <w:pPr>
              <w:pStyle w:val="55"/>
              <w:keepNext w:val="0"/>
              <w:keepLines w:val="0"/>
              <w:widowControl/>
              <w:suppressLineNumbers w:val="0"/>
              <w:spacing w:before="0" w:beforeAutospacing="0" w:afterAutospacing="0"/>
              <w:ind w:right="0"/>
              <w:rPr>
                <w:rFonts w:hint="default"/>
              </w:rPr>
            </w:pPr>
            <w:r>
              <w:rPr>
                <w:rFonts w:hint="default"/>
              </w:rPr>
              <w:t>6.31 ± 0.13</w:t>
            </w:r>
          </w:p>
        </w:tc>
        <w:tc>
          <w:tcPr>
            <w:tcW w:w="1559" w:type="dxa"/>
            <w:tcBorders>
              <w:top w:val="nil"/>
              <w:left w:val="nil"/>
              <w:bottom w:val="nil"/>
              <w:right w:val="nil"/>
            </w:tcBorders>
            <w:shd w:val="clear" w:color="auto" w:fill="FFFFFF"/>
            <w:tcMar>
              <w:top w:w="0" w:type="dxa"/>
              <w:left w:w="0" w:type="dxa"/>
              <w:bottom w:w="0" w:type="dxa"/>
              <w:right w:w="0" w:type="dxa"/>
            </w:tcMar>
          </w:tcPr>
          <w:p w14:paraId="25EF7FA3">
            <w:pPr>
              <w:pStyle w:val="55"/>
              <w:keepNext w:val="0"/>
              <w:keepLines w:val="0"/>
              <w:widowControl/>
              <w:suppressLineNumbers w:val="0"/>
              <w:spacing w:before="0" w:beforeAutospacing="0" w:afterAutospacing="0"/>
              <w:ind w:right="0"/>
              <w:rPr>
                <w:rFonts w:hint="default"/>
              </w:rPr>
            </w:pPr>
            <w:r>
              <w:rPr>
                <w:rFonts w:hint="default"/>
              </w:rPr>
              <w:t>12.46 ± 0.62</w:t>
            </w:r>
          </w:p>
        </w:tc>
        <w:tc>
          <w:tcPr>
            <w:tcW w:w="1418" w:type="dxa"/>
            <w:tcBorders>
              <w:top w:val="nil"/>
              <w:left w:val="nil"/>
              <w:bottom w:val="nil"/>
              <w:right w:val="nil"/>
            </w:tcBorders>
            <w:shd w:val="clear" w:color="auto" w:fill="FFFFFF"/>
            <w:tcMar>
              <w:top w:w="0" w:type="dxa"/>
              <w:left w:w="0" w:type="dxa"/>
              <w:bottom w:w="0" w:type="dxa"/>
              <w:right w:w="0" w:type="dxa"/>
            </w:tcMar>
          </w:tcPr>
          <w:p w14:paraId="70005932">
            <w:pPr>
              <w:pStyle w:val="55"/>
              <w:keepNext w:val="0"/>
              <w:keepLines w:val="0"/>
              <w:widowControl/>
              <w:suppressLineNumbers w:val="0"/>
              <w:spacing w:before="0" w:beforeAutospacing="0" w:afterAutospacing="0"/>
              <w:ind w:right="0"/>
              <w:rPr>
                <w:rFonts w:hint="default"/>
              </w:rPr>
            </w:pPr>
            <w:r>
              <w:rPr>
                <w:rFonts w:hint="default"/>
              </w:rPr>
              <w:t>0.68 ± 0.01</w:t>
            </w:r>
          </w:p>
        </w:tc>
        <w:tc>
          <w:tcPr>
            <w:tcW w:w="1134" w:type="dxa"/>
            <w:tcBorders>
              <w:top w:val="nil"/>
              <w:left w:val="nil"/>
              <w:bottom w:val="nil"/>
              <w:right w:val="nil"/>
            </w:tcBorders>
            <w:shd w:val="clear" w:color="auto" w:fill="FFFFFF"/>
            <w:tcMar>
              <w:top w:w="0" w:type="dxa"/>
              <w:left w:w="0" w:type="dxa"/>
              <w:bottom w:w="0" w:type="dxa"/>
              <w:right w:w="0" w:type="dxa"/>
            </w:tcMar>
          </w:tcPr>
          <w:p w14:paraId="586AB55B">
            <w:pPr>
              <w:pStyle w:val="55"/>
              <w:keepNext w:val="0"/>
              <w:keepLines w:val="0"/>
              <w:widowControl/>
              <w:suppressLineNumbers w:val="0"/>
              <w:spacing w:before="0" w:beforeAutospacing="0" w:afterAutospacing="0"/>
              <w:ind w:right="0"/>
              <w:rPr>
                <w:rFonts w:hint="default"/>
              </w:rPr>
            </w:pPr>
            <w:r>
              <w:rPr>
                <w:rFonts w:hint="default"/>
              </w:rPr>
              <w:t>44 ± 9</w:t>
            </w:r>
          </w:p>
        </w:tc>
      </w:tr>
      <w:tr w14:paraId="1C7F4DDF">
        <w:tblPrEx>
          <w:tblCellMar>
            <w:top w:w="0" w:type="dxa"/>
            <w:left w:w="108" w:type="dxa"/>
            <w:bottom w:w="0" w:type="dxa"/>
            <w:right w:w="108" w:type="dxa"/>
          </w:tblCellMar>
        </w:tblPrEx>
        <w:tc>
          <w:tcPr>
            <w:tcW w:w="851" w:type="dxa"/>
            <w:tcBorders>
              <w:top w:val="nil"/>
              <w:left w:val="nil"/>
              <w:bottom w:val="single" w:color="666666" w:sz="12" w:space="0"/>
              <w:right w:val="nil"/>
            </w:tcBorders>
            <w:shd w:val="clear" w:color="auto" w:fill="FFFFFF"/>
            <w:tcMar>
              <w:top w:w="0" w:type="dxa"/>
              <w:left w:w="0" w:type="dxa"/>
              <w:bottom w:w="0" w:type="dxa"/>
              <w:right w:w="0" w:type="dxa"/>
            </w:tcMar>
          </w:tcPr>
          <w:p w14:paraId="23BE8E47">
            <w:pPr>
              <w:pStyle w:val="55"/>
              <w:keepNext w:val="0"/>
              <w:keepLines w:val="0"/>
              <w:widowControl/>
              <w:suppressLineNumbers w:val="0"/>
              <w:spacing w:before="0" w:beforeAutospacing="0" w:afterAutospacing="0"/>
              <w:ind w:right="0"/>
              <w:rPr>
                <w:rFonts w:hint="default"/>
              </w:rPr>
            </w:pPr>
            <w:r>
              <w:rPr>
                <w:rFonts w:hint="default"/>
              </w:rPr>
              <w:t>16</w:t>
            </w:r>
          </w:p>
        </w:tc>
        <w:tc>
          <w:tcPr>
            <w:tcW w:w="1276" w:type="dxa"/>
            <w:tcBorders>
              <w:top w:val="nil"/>
              <w:left w:val="nil"/>
              <w:bottom w:val="single" w:color="666666" w:sz="12" w:space="0"/>
              <w:right w:val="nil"/>
            </w:tcBorders>
            <w:shd w:val="clear" w:color="auto" w:fill="FFFFFF"/>
            <w:tcMar>
              <w:top w:w="0" w:type="dxa"/>
              <w:left w:w="0" w:type="dxa"/>
              <w:bottom w:w="0" w:type="dxa"/>
              <w:right w:w="0" w:type="dxa"/>
            </w:tcMar>
          </w:tcPr>
          <w:p w14:paraId="6064F210">
            <w:pPr>
              <w:pStyle w:val="55"/>
              <w:keepNext w:val="0"/>
              <w:keepLines w:val="0"/>
              <w:widowControl/>
              <w:suppressLineNumbers w:val="0"/>
              <w:spacing w:before="0" w:beforeAutospacing="0" w:afterAutospacing="0"/>
              <w:ind w:right="0"/>
              <w:rPr>
                <w:rFonts w:hint="default"/>
              </w:rPr>
            </w:pPr>
            <w:r>
              <w:rPr>
                <w:rFonts w:hint="default"/>
              </w:rPr>
              <w:t>50</w:t>
            </w:r>
          </w:p>
        </w:tc>
        <w:tc>
          <w:tcPr>
            <w:tcW w:w="1526" w:type="dxa"/>
            <w:tcBorders>
              <w:top w:val="nil"/>
              <w:left w:val="nil"/>
              <w:bottom w:val="single" w:color="666666" w:sz="12" w:space="0"/>
              <w:right w:val="nil"/>
            </w:tcBorders>
            <w:shd w:val="clear" w:color="auto" w:fill="FFFFFF"/>
            <w:tcMar>
              <w:top w:w="0" w:type="dxa"/>
              <w:left w:w="0" w:type="dxa"/>
              <w:bottom w:w="0" w:type="dxa"/>
              <w:right w:w="0" w:type="dxa"/>
            </w:tcMar>
          </w:tcPr>
          <w:p w14:paraId="1BA73977">
            <w:pPr>
              <w:pStyle w:val="55"/>
              <w:keepNext w:val="0"/>
              <w:keepLines w:val="0"/>
              <w:widowControl/>
              <w:suppressLineNumbers w:val="0"/>
              <w:spacing w:before="0" w:beforeAutospacing="0" w:afterAutospacing="0"/>
              <w:ind w:right="0"/>
              <w:rPr>
                <w:rFonts w:hint="default"/>
              </w:rPr>
            </w:pPr>
            <w:r>
              <w:rPr>
                <w:rFonts w:hint="default"/>
              </w:rPr>
              <w:t>0</w:t>
            </w:r>
          </w:p>
        </w:tc>
        <w:tc>
          <w:tcPr>
            <w:tcW w:w="1559" w:type="dxa"/>
            <w:tcBorders>
              <w:top w:val="nil"/>
              <w:left w:val="nil"/>
              <w:bottom w:val="single" w:color="666666" w:sz="12" w:space="0"/>
              <w:right w:val="nil"/>
            </w:tcBorders>
            <w:shd w:val="clear" w:color="auto" w:fill="FFFFFF"/>
            <w:tcMar>
              <w:top w:w="0" w:type="dxa"/>
              <w:left w:w="0" w:type="dxa"/>
              <w:bottom w:w="0" w:type="dxa"/>
              <w:right w:w="0" w:type="dxa"/>
            </w:tcMar>
          </w:tcPr>
          <w:p w14:paraId="7954420D">
            <w:pPr>
              <w:pStyle w:val="55"/>
              <w:keepNext w:val="0"/>
              <w:keepLines w:val="0"/>
              <w:widowControl/>
              <w:suppressLineNumbers w:val="0"/>
              <w:spacing w:before="0" w:beforeAutospacing="0" w:afterAutospacing="0"/>
              <w:ind w:right="0"/>
              <w:rPr>
                <w:rFonts w:hint="default"/>
              </w:rPr>
            </w:pPr>
            <w:r>
              <w:rPr>
                <w:rFonts w:hint="default"/>
              </w:rPr>
              <w:t>6.31 ± 0.13</w:t>
            </w:r>
          </w:p>
        </w:tc>
        <w:tc>
          <w:tcPr>
            <w:tcW w:w="1559" w:type="dxa"/>
            <w:tcBorders>
              <w:top w:val="nil"/>
              <w:left w:val="nil"/>
              <w:bottom w:val="single" w:color="666666" w:sz="12" w:space="0"/>
              <w:right w:val="nil"/>
            </w:tcBorders>
            <w:shd w:val="clear" w:color="auto" w:fill="FFFFFF"/>
            <w:tcMar>
              <w:top w:w="0" w:type="dxa"/>
              <w:left w:w="0" w:type="dxa"/>
              <w:bottom w:w="0" w:type="dxa"/>
              <w:right w:w="0" w:type="dxa"/>
            </w:tcMar>
          </w:tcPr>
          <w:p w14:paraId="3076D2ED">
            <w:pPr>
              <w:pStyle w:val="55"/>
              <w:keepNext w:val="0"/>
              <w:keepLines w:val="0"/>
              <w:widowControl/>
              <w:suppressLineNumbers w:val="0"/>
              <w:spacing w:before="0" w:beforeAutospacing="0" w:afterAutospacing="0"/>
              <w:ind w:right="0"/>
              <w:rPr>
                <w:rFonts w:hint="default"/>
              </w:rPr>
            </w:pPr>
            <w:r>
              <w:rPr>
                <w:rFonts w:hint="default"/>
              </w:rPr>
              <w:t>12.46 ± 0.62</w:t>
            </w:r>
          </w:p>
        </w:tc>
        <w:tc>
          <w:tcPr>
            <w:tcW w:w="1418" w:type="dxa"/>
            <w:tcBorders>
              <w:top w:val="nil"/>
              <w:left w:val="nil"/>
              <w:bottom w:val="single" w:color="666666" w:sz="12" w:space="0"/>
              <w:right w:val="nil"/>
            </w:tcBorders>
            <w:shd w:val="clear" w:color="auto" w:fill="FFFFFF"/>
            <w:tcMar>
              <w:top w:w="0" w:type="dxa"/>
              <w:left w:w="0" w:type="dxa"/>
              <w:bottom w:w="0" w:type="dxa"/>
              <w:right w:w="0" w:type="dxa"/>
            </w:tcMar>
          </w:tcPr>
          <w:p w14:paraId="59869EA5">
            <w:pPr>
              <w:pStyle w:val="55"/>
              <w:keepNext w:val="0"/>
              <w:keepLines w:val="0"/>
              <w:widowControl/>
              <w:suppressLineNumbers w:val="0"/>
              <w:spacing w:before="0" w:beforeAutospacing="0" w:afterAutospacing="0"/>
              <w:ind w:right="0"/>
              <w:rPr>
                <w:rFonts w:hint="default"/>
              </w:rPr>
            </w:pPr>
            <w:r>
              <w:rPr>
                <w:rFonts w:hint="default"/>
              </w:rPr>
              <w:t>0.68 ± 0.01</w:t>
            </w:r>
          </w:p>
        </w:tc>
        <w:tc>
          <w:tcPr>
            <w:tcW w:w="1134" w:type="dxa"/>
            <w:tcBorders>
              <w:top w:val="nil"/>
              <w:left w:val="nil"/>
              <w:bottom w:val="single" w:color="666666" w:sz="12" w:space="0"/>
              <w:right w:val="nil"/>
            </w:tcBorders>
            <w:shd w:val="clear" w:color="auto" w:fill="FFFFFF"/>
            <w:tcMar>
              <w:top w:w="0" w:type="dxa"/>
              <w:left w:w="0" w:type="dxa"/>
              <w:bottom w:w="0" w:type="dxa"/>
              <w:right w:w="0" w:type="dxa"/>
            </w:tcMar>
          </w:tcPr>
          <w:p w14:paraId="1C8103E6">
            <w:pPr>
              <w:pStyle w:val="55"/>
              <w:keepNext w:val="0"/>
              <w:keepLines w:val="0"/>
              <w:widowControl/>
              <w:suppressLineNumbers w:val="0"/>
              <w:spacing w:before="0" w:beforeAutospacing="0" w:afterAutospacing="0"/>
              <w:ind w:right="0"/>
              <w:rPr>
                <w:rFonts w:hint="default"/>
              </w:rPr>
            </w:pPr>
            <w:r>
              <w:rPr>
                <w:rFonts w:hint="default"/>
              </w:rPr>
              <w:t>44 ± 9</w:t>
            </w:r>
          </w:p>
        </w:tc>
      </w:tr>
    </w:tbl>
    <w:p w14:paraId="5ADB2A25">
      <w:pPr>
        <w:pStyle w:val="56"/>
      </w:pPr>
    </w:p>
    <w:p w14:paraId="24ECA7E2">
      <w:pPr>
        <w:pStyle w:val="56"/>
      </w:pPr>
    </w:p>
    <w:p w14:paraId="25F145CC">
      <w:pPr>
        <w:pStyle w:val="7"/>
      </w:pPr>
      <w:r>
        <w:rPr>
          <w:rFonts w:eastAsia="Times New Roman"/>
        </w:rPr>
        <w:br w:type="column"/>
      </w:r>
      <w:bookmarkStart w:id="22" w:name="_Ref208053383"/>
      <w:bookmarkStart w:id="23" w:name="_Ref202882747"/>
      <w:r>
        <w:rPr>
          <w:b/>
          <w:bCs w:val="0"/>
        </w:rPr>
        <w:t xml:space="preserve">Supplementary Table </w:t>
      </w:r>
      <w:r>
        <w:rPr>
          <w:b/>
          <w:bCs w:val="0"/>
        </w:rPr>
        <w:fldChar w:fldCharType="begin"/>
      </w:r>
      <w:r>
        <w:rPr>
          <w:b/>
          <w:bCs w:val="0"/>
        </w:rPr>
        <w:instrText xml:space="preserve"> SEQ Supplementary_Table \* ARABIC </w:instrText>
      </w:r>
      <w:r>
        <w:rPr>
          <w:b/>
          <w:bCs w:val="0"/>
        </w:rPr>
        <w:fldChar w:fldCharType="separate"/>
      </w:r>
      <w:r>
        <w:rPr>
          <w:b/>
          <w:bCs w:val="0"/>
        </w:rPr>
        <w:t>2</w:t>
      </w:r>
      <w:r>
        <w:rPr>
          <w:b/>
          <w:bCs w:val="0"/>
        </w:rPr>
        <w:fldChar w:fldCharType="end"/>
      </w:r>
      <w:bookmarkEnd w:id="22"/>
      <w:r>
        <w:t xml:space="preserve"> |</w:t>
      </w:r>
      <w:bookmarkEnd w:id="23"/>
      <w:r>
        <w:rPr>
          <w:szCs w:val="24"/>
        </w:rPr>
        <w:t xml:space="preserve"> Summary of dosimetry data for the OSL samples. </w:t>
      </w:r>
    </w:p>
    <w:tbl>
      <w:tblPr>
        <w:tblStyle w:val="24"/>
        <w:tblW w:w="5000" w:type="pct"/>
        <w:jc w:val="center"/>
        <w:tblLayout w:type="autofit"/>
        <w:tblCellMar>
          <w:top w:w="0" w:type="dxa"/>
          <w:left w:w="108" w:type="dxa"/>
          <w:bottom w:w="0" w:type="dxa"/>
          <w:right w:w="108" w:type="dxa"/>
        </w:tblCellMar>
      </w:tblPr>
      <w:tblGrid>
        <w:gridCol w:w="1370"/>
        <w:gridCol w:w="808"/>
        <w:gridCol w:w="1196"/>
        <w:gridCol w:w="1697"/>
        <w:gridCol w:w="1238"/>
        <w:gridCol w:w="1346"/>
        <w:gridCol w:w="1238"/>
        <w:gridCol w:w="1240"/>
        <w:gridCol w:w="1238"/>
        <w:gridCol w:w="1238"/>
        <w:gridCol w:w="1235"/>
      </w:tblGrid>
      <w:tr w14:paraId="7EDD936D">
        <w:tblPrEx>
          <w:tblCellMar>
            <w:top w:w="0" w:type="dxa"/>
            <w:left w:w="108" w:type="dxa"/>
            <w:bottom w:w="0" w:type="dxa"/>
            <w:right w:w="108" w:type="dxa"/>
          </w:tblCellMar>
        </w:tblPrEx>
        <w:trPr>
          <w:tblHeader/>
          <w:jc w:val="center"/>
        </w:trPr>
        <w:tc>
          <w:tcPr>
            <w:tcW w:w="3660" w:type="pct"/>
            <w:gridSpan w:val="8"/>
            <w:tcBorders>
              <w:top w:val="single" w:color="666666" w:sz="12" w:space="0"/>
            </w:tcBorders>
            <w:shd w:val="clear" w:color="auto" w:fill="FFFFFF"/>
            <w:tcMar>
              <w:top w:w="0" w:type="dxa"/>
              <w:left w:w="0" w:type="dxa"/>
              <w:bottom w:w="0" w:type="dxa"/>
              <w:right w:w="0" w:type="dxa"/>
            </w:tcMar>
            <w:vAlign w:val="center"/>
          </w:tcPr>
          <w:p w14:paraId="340F5B88">
            <w:pPr>
              <w:pStyle w:val="55"/>
              <w:keepNext w:val="0"/>
              <w:keepLines w:val="0"/>
              <w:widowControl/>
              <w:suppressLineNumbers w:val="0"/>
              <w:spacing w:before="0" w:beforeAutospacing="0" w:afterAutospacing="0"/>
              <w:ind w:right="0"/>
              <w:rPr>
                <w:rFonts w:hint="default"/>
              </w:rPr>
            </w:pPr>
          </w:p>
        </w:tc>
        <w:tc>
          <w:tcPr>
            <w:tcW w:w="1340" w:type="pct"/>
            <w:gridSpan w:val="3"/>
            <w:tcBorders>
              <w:top w:val="single" w:color="666666" w:sz="12" w:space="0"/>
              <w:left w:val="nil"/>
              <w:bottom w:val="single" w:color="666666" w:sz="12" w:space="0"/>
              <w:right w:val="nil"/>
            </w:tcBorders>
            <w:shd w:val="clear" w:color="auto" w:fill="FFFFFF"/>
            <w:tcMar>
              <w:top w:w="0" w:type="dxa"/>
              <w:left w:w="0" w:type="dxa"/>
              <w:bottom w:w="0" w:type="dxa"/>
              <w:right w:w="0" w:type="dxa"/>
            </w:tcMar>
          </w:tcPr>
          <w:p w14:paraId="4C3741A1">
            <w:pPr>
              <w:pStyle w:val="55"/>
              <w:keepNext w:val="0"/>
              <w:keepLines w:val="0"/>
              <w:widowControl/>
              <w:suppressLineNumbers w:val="0"/>
              <w:spacing w:before="0" w:beforeAutospacing="0" w:afterAutospacing="0"/>
              <w:ind w:right="0"/>
              <w:rPr>
                <w:rFonts w:hint="default"/>
              </w:rPr>
            </w:pPr>
            <w:r>
              <w:rPr>
                <w:rFonts w:hint="default"/>
              </w:rPr>
              <w:t>Dose rate (Gy/ka)</w:t>
            </w:r>
          </w:p>
        </w:tc>
      </w:tr>
      <w:tr w14:paraId="297535DF">
        <w:tblPrEx>
          <w:tblCellMar>
            <w:top w:w="0" w:type="dxa"/>
            <w:left w:w="108" w:type="dxa"/>
            <w:bottom w:w="0" w:type="dxa"/>
            <w:right w:w="108" w:type="dxa"/>
          </w:tblCellMar>
        </w:tblPrEx>
        <w:trPr>
          <w:tblHeader/>
          <w:jc w:val="center"/>
        </w:trPr>
        <w:tc>
          <w:tcPr>
            <w:tcW w:w="495" w:type="pct"/>
            <w:tcBorders>
              <w:bottom w:val="single" w:color="666666" w:sz="12" w:space="0"/>
            </w:tcBorders>
            <w:shd w:val="clear" w:color="auto" w:fill="FFFFFF"/>
            <w:tcMar>
              <w:top w:w="0" w:type="dxa"/>
              <w:left w:w="0" w:type="dxa"/>
              <w:bottom w:w="0" w:type="dxa"/>
              <w:right w:w="0" w:type="dxa"/>
            </w:tcMar>
            <w:vAlign w:val="center"/>
          </w:tcPr>
          <w:p w14:paraId="156DC9EA">
            <w:pPr>
              <w:pStyle w:val="55"/>
              <w:keepNext w:val="0"/>
              <w:keepLines w:val="0"/>
              <w:widowControl/>
              <w:suppressLineNumbers w:val="0"/>
              <w:spacing w:before="0" w:beforeAutospacing="0" w:afterAutospacing="0"/>
              <w:ind w:right="0"/>
              <w:rPr>
                <w:rFonts w:hint="default"/>
              </w:rPr>
            </w:pPr>
            <w:r>
              <w:rPr>
                <w:rFonts w:hint="default"/>
              </w:rPr>
              <w:t>Sample</w:t>
            </w:r>
          </w:p>
        </w:tc>
        <w:tc>
          <w:tcPr>
            <w:tcW w:w="292" w:type="pct"/>
            <w:tcBorders>
              <w:bottom w:val="single" w:color="666666" w:sz="12" w:space="0"/>
            </w:tcBorders>
            <w:shd w:val="clear" w:color="auto" w:fill="FFFFFF"/>
            <w:tcMar>
              <w:top w:w="0" w:type="dxa"/>
              <w:left w:w="0" w:type="dxa"/>
              <w:bottom w:w="0" w:type="dxa"/>
              <w:right w:w="0" w:type="dxa"/>
            </w:tcMar>
            <w:vAlign w:val="center"/>
          </w:tcPr>
          <w:p w14:paraId="2FE7DFAA">
            <w:pPr>
              <w:pStyle w:val="55"/>
              <w:keepNext w:val="0"/>
              <w:keepLines w:val="0"/>
              <w:widowControl/>
              <w:suppressLineNumbers w:val="0"/>
              <w:spacing w:before="0" w:beforeAutospacing="0" w:afterAutospacing="0"/>
              <w:ind w:right="0"/>
              <w:rPr>
                <w:rFonts w:hint="default"/>
              </w:rPr>
            </w:pPr>
            <w:r>
              <w:rPr>
                <w:rFonts w:hint="default"/>
              </w:rPr>
              <w:t>Layer</w:t>
            </w:r>
          </w:p>
        </w:tc>
        <w:tc>
          <w:tcPr>
            <w:tcW w:w="432" w:type="pct"/>
            <w:tcBorders>
              <w:bottom w:val="single" w:color="666666" w:sz="12" w:space="0"/>
            </w:tcBorders>
            <w:shd w:val="clear" w:color="auto" w:fill="FFFFFF"/>
            <w:tcMar>
              <w:top w:w="0" w:type="dxa"/>
              <w:left w:w="0" w:type="dxa"/>
              <w:bottom w:w="0" w:type="dxa"/>
              <w:right w:w="0" w:type="dxa"/>
            </w:tcMar>
            <w:vAlign w:val="center"/>
          </w:tcPr>
          <w:p w14:paraId="6D7C4570">
            <w:pPr>
              <w:pStyle w:val="55"/>
              <w:keepNext w:val="0"/>
              <w:keepLines w:val="0"/>
              <w:widowControl/>
              <w:suppressLineNumbers w:val="0"/>
              <w:spacing w:before="0" w:beforeAutospacing="0" w:afterAutospacing="0"/>
              <w:ind w:right="0"/>
              <w:rPr>
                <w:rFonts w:hint="default"/>
              </w:rPr>
            </w:pPr>
            <w:r>
              <w:rPr>
                <w:rFonts w:hint="default"/>
              </w:rPr>
              <w:t>Depth (m)</w:t>
            </w:r>
          </w:p>
        </w:tc>
        <w:tc>
          <w:tcPr>
            <w:tcW w:w="613" w:type="pct"/>
            <w:tcBorders>
              <w:bottom w:val="single" w:color="666666" w:sz="12" w:space="0"/>
            </w:tcBorders>
            <w:shd w:val="clear" w:color="auto" w:fill="FFFFFF"/>
            <w:tcMar>
              <w:top w:w="0" w:type="dxa"/>
              <w:left w:w="0" w:type="dxa"/>
              <w:bottom w:w="0" w:type="dxa"/>
              <w:right w:w="0" w:type="dxa"/>
            </w:tcMar>
            <w:vAlign w:val="center"/>
          </w:tcPr>
          <w:p w14:paraId="5380BADE">
            <w:pPr>
              <w:pStyle w:val="55"/>
              <w:keepNext w:val="0"/>
              <w:keepLines w:val="0"/>
              <w:widowControl/>
              <w:suppressLineNumbers w:val="0"/>
              <w:spacing w:before="0" w:beforeAutospacing="0" w:afterAutospacing="0"/>
              <w:ind w:right="0"/>
              <w:rPr>
                <w:rFonts w:hint="default"/>
              </w:rPr>
            </w:pPr>
            <w:r>
              <w:rPr>
                <w:rFonts w:hint="default"/>
              </w:rPr>
              <w:t>Grain size (µm)</w:t>
            </w:r>
          </w:p>
        </w:tc>
        <w:tc>
          <w:tcPr>
            <w:tcW w:w="447" w:type="pct"/>
            <w:tcBorders>
              <w:bottom w:val="single" w:color="666666" w:sz="12" w:space="0"/>
            </w:tcBorders>
            <w:shd w:val="clear" w:color="auto" w:fill="FFFFFF"/>
            <w:tcMar>
              <w:top w:w="0" w:type="dxa"/>
              <w:left w:w="0" w:type="dxa"/>
              <w:bottom w:w="0" w:type="dxa"/>
              <w:right w:w="0" w:type="dxa"/>
            </w:tcMar>
            <w:vAlign w:val="center"/>
          </w:tcPr>
          <w:p w14:paraId="0C8DC71F">
            <w:pPr>
              <w:pStyle w:val="55"/>
              <w:keepNext w:val="0"/>
              <w:keepLines w:val="0"/>
              <w:widowControl/>
              <w:suppressLineNumbers w:val="0"/>
              <w:spacing w:before="0" w:beforeAutospacing="0" w:afterAutospacing="0"/>
              <w:ind w:right="0"/>
              <w:rPr>
                <w:rFonts w:hint="default"/>
              </w:rPr>
            </w:pPr>
            <w:r>
              <w:rPr>
                <w:rFonts w:hint="default"/>
              </w:rPr>
              <w:t>U (ppm)</w:t>
            </w:r>
          </w:p>
        </w:tc>
        <w:tc>
          <w:tcPr>
            <w:tcW w:w="486" w:type="pct"/>
            <w:tcBorders>
              <w:bottom w:val="single" w:color="666666" w:sz="12" w:space="0"/>
            </w:tcBorders>
            <w:shd w:val="clear" w:color="auto" w:fill="FFFFFF"/>
            <w:tcMar>
              <w:top w:w="0" w:type="dxa"/>
              <w:left w:w="0" w:type="dxa"/>
              <w:bottom w:w="0" w:type="dxa"/>
              <w:right w:w="0" w:type="dxa"/>
            </w:tcMar>
            <w:vAlign w:val="center"/>
          </w:tcPr>
          <w:p w14:paraId="361C9607">
            <w:pPr>
              <w:pStyle w:val="55"/>
              <w:keepNext w:val="0"/>
              <w:keepLines w:val="0"/>
              <w:widowControl/>
              <w:suppressLineNumbers w:val="0"/>
              <w:spacing w:before="0" w:beforeAutospacing="0" w:afterAutospacing="0"/>
              <w:ind w:right="0"/>
              <w:rPr>
                <w:rFonts w:hint="default"/>
              </w:rPr>
            </w:pPr>
            <w:r>
              <w:rPr>
                <w:rFonts w:hint="default"/>
              </w:rPr>
              <w:t>Th (ppm)</w:t>
            </w:r>
          </w:p>
        </w:tc>
        <w:tc>
          <w:tcPr>
            <w:tcW w:w="447" w:type="pct"/>
            <w:tcBorders>
              <w:bottom w:val="single" w:color="666666" w:sz="12" w:space="0"/>
            </w:tcBorders>
            <w:shd w:val="clear" w:color="auto" w:fill="FFFFFF"/>
            <w:tcMar>
              <w:top w:w="0" w:type="dxa"/>
              <w:left w:w="0" w:type="dxa"/>
              <w:bottom w:w="0" w:type="dxa"/>
              <w:right w:w="0" w:type="dxa"/>
            </w:tcMar>
            <w:vAlign w:val="center"/>
          </w:tcPr>
          <w:p w14:paraId="01B45301">
            <w:pPr>
              <w:pStyle w:val="55"/>
              <w:keepNext w:val="0"/>
              <w:keepLines w:val="0"/>
              <w:widowControl/>
              <w:suppressLineNumbers w:val="0"/>
              <w:spacing w:before="0" w:beforeAutospacing="0" w:afterAutospacing="0"/>
              <w:ind w:right="0"/>
              <w:rPr>
                <w:rFonts w:hint="default"/>
              </w:rPr>
            </w:pPr>
            <w:r>
              <w:rPr>
                <w:rFonts w:hint="default"/>
              </w:rPr>
              <w:t>K (%)</w:t>
            </w:r>
          </w:p>
        </w:tc>
        <w:tc>
          <w:tcPr>
            <w:tcW w:w="448" w:type="pct"/>
            <w:tcBorders>
              <w:bottom w:val="single" w:color="666666" w:sz="12" w:space="0"/>
            </w:tcBorders>
            <w:shd w:val="clear" w:color="auto" w:fill="FFFFFF"/>
            <w:tcMar>
              <w:top w:w="0" w:type="dxa"/>
              <w:left w:w="0" w:type="dxa"/>
              <w:bottom w:w="0" w:type="dxa"/>
              <w:right w:w="0" w:type="dxa"/>
            </w:tcMar>
            <w:vAlign w:val="center"/>
          </w:tcPr>
          <w:p w14:paraId="7DE0F346">
            <w:pPr>
              <w:pStyle w:val="55"/>
              <w:keepNext w:val="0"/>
              <w:keepLines w:val="0"/>
              <w:widowControl/>
              <w:suppressLineNumbers w:val="0"/>
              <w:spacing w:before="0" w:beforeAutospacing="0" w:afterAutospacing="0"/>
              <w:ind w:right="0"/>
              <w:rPr>
                <w:rFonts w:hint="default"/>
              </w:rPr>
            </w:pPr>
            <w:r>
              <w:rPr>
                <w:rFonts w:hint="default"/>
              </w:rPr>
              <w:t>Water (%)</w:t>
            </w:r>
          </w:p>
        </w:tc>
        <w:tc>
          <w:tcPr>
            <w:tcW w:w="447" w:type="pct"/>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39E1C130">
            <w:pPr>
              <w:pStyle w:val="55"/>
              <w:keepNext w:val="0"/>
              <w:keepLines w:val="0"/>
              <w:widowControl/>
              <w:suppressLineNumbers w:val="0"/>
              <w:spacing w:before="0" w:beforeAutospacing="0" w:afterAutospacing="0"/>
              <w:ind w:right="0"/>
              <w:rPr>
                <w:rFonts w:hint="default"/>
              </w:rPr>
            </w:pPr>
            <w:r>
              <w:rPr>
                <w:rFonts w:hint="default"/>
              </w:rPr>
              <w:t>Beta</w:t>
            </w:r>
          </w:p>
        </w:tc>
        <w:tc>
          <w:tcPr>
            <w:tcW w:w="447" w:type="pct"/>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24BD297A">
            <w:pPr>
              <w:pStyle w:val="55"/>
              <w:keepNext w:val="0"/>
              <w:keepLines w:val="0"/>
              <w:widowControl/>
              <w:suppressLineNumbers w:val="0"/>
              <w:spacing w:before="0" w:beforeAutospacing="0" w:afterAutospacing="0"/>
              <w:ind w:right="0"/>
              <w:rPr>
                <w:rFonts w:hint="default"/>
                <w:vertAlign w:val="superscript"/>
              </w:rPr>
            </w:pPr>
            <w:r>
              <w:rPr>
                <w:rFonts w:hint="default"/>
              </w:rPr>
              <w:t>Gamma</w:t>
            </w:r>
            <w:r>
              <w:rPr>
                <w:rFonts w:hint="default"/>
                <w:vertAlign w:val="superscript"/>
              </w:rPr>
              <w:t>a</w:t>
            </w:r>
          </w:p>
        </w:tc>
        <w:tc>
          <w:tcPr>
            <w:tcW w:w="447" w:type="pct"/>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07ECFB66">
            <w:pPr>
              <w:pStyle w:val="55"/>
              <w:keepNext w:val="0"/>
              <w:keepLines w:val="0"/>
              <w:widowControl/>
              <w:suppressLineNumbers w:val="0"/>
              <w:spacing w:before="0" w:beforeAutospacing="0" w:afterAutospacing="0"/>
              <w:ind w:right="0"/>
              <w:rPr>
                <w:rFonts w:hint="default"/>
              </w:rPr>
            </w:pPr>
            <w:r>
              <w:rPr>
                <w:rFonts w:hint="default"/>
              </w:rPr>
              <w:t>Total</w:t>
            </w:r>
          </w:p>
        </w:tc>
      </w:tr>
      <w:tr w14:paraId="7A0A3590">
        <w:tblPrEx>
          <w:tblCellMar>
            <w:top w:w="0" w:type="dxa"/>
            <w:left w:w="108" w:type="dxa"/>
            <w:bottom w:w="0" w:type="dxa"/>
            <w:right w:w="108" w:type="dxa"/>
          </w:tblCellMar>
        </w:tblPrEx>
        <w:trPr>
          <w:jc w:val="center"/>
        </w:trPr>
        <w:tc>
          <w:tcPr>
            <w:tcW w:w="495" w:type="pct"/>
            <w:tcBorders>
              <w:top w:val="single" w:color="666666" w:sz="12" w:space="0"/>
              <w:left w:val="nil"/>
              <w:bottom w:val="single" w:color="666666" w:sz="6" w:space="0"/>
              <w:right w:val="nil"/>
            </w:tcBorders>
            <w:shd w:val="clear" w:color="auto" w:fill="FFFFFF"/>
            <w:tcMar>
              <w:top w:w="0" w:type="dxa"/>
              <w:left w:w="0" w:type="dxa"/>
              <w:bottom w:w="0" w:type="dxa"/>
              <w:right w:w="0" w:type="dxa"/>
            </w:tcMar>
            <w:vAlign w:val="center"/>
          </w:tcPr>
          <w:p w14:paraId="10A0803C">
            <w:pPr>
              <w:pStyle w:val="55"/>
              <w:keepNext w:val="0"/>
              <w:keepLines w:val="0"/>
              <w:widowControl/>
              <w:suppressLineNumbers w:val="0"/>
              <w:spacing w:before="0" w:beforeAutospacing="0" w:afterAutospacing="0"/>
              <w:ind w:right="0"/>
              <w:rPr>
                <w:rFonts w:hint="default"/>
              </w:rPr>
            </w:pPr>
            <w:r>
              <w:rPr>
                <w:rFonts w:hint="default"/>
              </w:rPr>
              <w:t>BFD-OSL2</w:t>
            </w:r>
          </w:p>
        </w:tc>
        <w:tc>
          <w:tcPr>
            <w:tcW w:w="292" w:type="pct"/>
            <w:tcBorders>
              <w:top w:val="single" w:color="666666" w:sz="12" w:space="0"/>
              <w:left w:val="nil"/>
              <w:bottom w:val="single" w:color="666666" w:sz="6" w:space="0"/>
              <w:right w:val="nil"/>
            </w:tcBorders>
            <w:shd w:val="clear" w:color="auto" w:fill="FFFFFF"/>
            <w:tcMar>
              <w:top w:w="0" w:type="dxa"/>
              <w:left w:w="0" w:type="dxa"/>
              <w:bottom w:w="0" w:type="dxa"/>
              <w:right w:w="0" w:type="dxa"/>
            </w:tcMar>
            <w:vAlign w:val="center"/>
          </w:tcPr>
          <w:p w14:paraId="78643790">
            <w:pPr>
              <w:pStyle w:val="55"/>
              <w:keepNext w:val="0"/>
              <w:keepLines w:val="0"/>
              <w:widowControl/>
              <w:suppressLineNumbers w:val="0"/>
              <w:spacing w:before="0" w:beforeAutospacing="0" w:afterAutospacing="0"/>
              <w:ind w:right="0"/>
              <w:rPr>
                <w:rFonts w:hint="default"/>
              </w:rPr>
            </w:pPr>
            <w:r>
              <w:rPr>
                <w:rFonts w:hint="default"/>
              </w:rPr>
              <w:t>4</w:t>
            </w:r>
          </w:p>
        </w:tc>
        <w:tc>
          <w:tcPr>
            <w:tcW w:w="432" w:type="pct"/>
            <w:tcBorders>
              <w:top w:val="single" w:color="666666" w:sz="12" w:space="0"/>
              <w:left w:val="nil"/>
              <w:bottom w:val="single" w:color="666666" w:sz="6" w:space="0"/>
              <w:right w:val="nil"/>
            </w:tcBorders>
            <w:shd w:val="clear" w:color="auto" w:fill="FFFFFF"/>
            <w:tcMar>
              <w:top w:w="0" w:type="dxa"/>
              <w:left w:w="0" w:type="dxa"/>
              <w:bottom w:w="0" w:type="dxa"/>
              <w:right w:w="0" w:type="dxa"/>
            </w:tcMar>
            <w:vAlign w:val="center"/>
          </w:tcPr>
          <w:p w14:paraId="37B4913D">
            <w:pPr>
              <w:pStyle w:val="55"/>
              <w:keepNext w:val="0"/>
              <w:keepLines w:val="0"/>
              <w:widowControl/>
              <w:suppressLineNumbers w:val="0"/>
              <w:spacing w:before="0" w:beforeAutospacing="0" w:afterAutospacing="0"/>
              <w:ind w:right="0"/>
              <w:rPr>
                <w:rFonts w:hint="default"/>
              </w:rPr>
            </w:pPr>
            <w:r>
              <w:rPr>
                <w:rFonts w:hint="default"/>
              </w:rPr>
              <w:t>0.40</w:t>
            </w:r>
          </w:p>
        </w:tc>
        <w:tc>
          <w:tcPr>
            <w:tcW w:w="613" w:type="pct"/>
            <w:tcBorders>
              <w:top w:val="single" w:color="666666" w:sz="12" w:space="0"/>
              <w:left w:val="nil"/>
              <w:bottom w:val="single" w:color="666666" w:sz="6" w:space="0"/>
              <w:right w:val="nil"/>
            </w:tcBorders>
            <w:shd w:val="clear" w:color="auto" w:fill="FFFFFF"/>
            <w:tcMar>
              <w:top w:w="0" w:type="dxa"/>
              <w:left w:w="0" w:type="dxa"/>
              <w:bottom w:w="0" w:type="dxa"/>
              <w:right w:w="0" w:type="dxa"/>
            </w:tcMar>
            <w:vAlign w:val="center"/>
          </w:tcPr>
          <w:p w14:paraId="2534A9CD">
            <w:pPr>
              <w:pStyle w:val="55"/>
              <w:keepNext w:val="0"/>
              <w:keepLines w:val="0"/>
              <w:widowControl/>
              <w:suppressLineNumbers w:val="0"/>
              <w:spacing w:before="0" w:beforeAutospacing="0" w:afterAutospacing="0"/>
              <w:ind w:right="0"/>
              <w:rPr>
                <w:rFonts w:hint="default"/>
              </w:rPr>
            </w:pPr>
            <w:r>
              <w:rPr>
                <w:rFonts w:hint="default"/>
              </w:rPr>
              <w:t>150 - 250</w:t>
            </w:r>
          </w:p>
        </w:tc>
        <w:tc>
          <w:tcPr>
            <w:tcW w:w="447" w:type="pct"/>
            <w:tcBorders>
              <w:top w:val="single" w:color="666666" w:sz="12" w:space="0"/>
              <w:left w:val="nil"/>
              <w:bottom w:val="single" w:color="666666" w:sz="6" w:space="0"/>
              <w:right w:val="nil"/>
            </w:tcBorders>
            <w:shd w:val="clear" w:color="auto" w:fill="FFFFFF"/>
            <w:tcMar>
              <w:top w:w="0" w:type="dxa"/>
              <w:left w:w="0" w:type="dxa"/>
              <w:bottom w:w="0" w:type="dxa"/>
              <w:right w:w="0" w:type="dxa"/>
            </w:tcMar>
            <w:vAlign w:val="center"/>
          </w:tcPr>
          <w:p w14:paraId="7062F2BD">
            <w:pPr>
              <w:pStyle w:val="55"/>
              <w:keepNext w:val="0"/>
              <w:keepLines w:val="0"/>
              <w:widowControl/>
              <w:suppressLineNumbers w:val="0"/>
              <w:spacing w:before="0" w:beforeAutospacing="0" w:afterAutospacing="0"/>
              <w:ind w:right="0"/>
              <w:rPr>
                <w:rFonts w:hint="default"/>
              </w:rPr>
            </w:pPr>
            <w:r>
              <w:rPr>
                <w:rFonts w:hint="default"/>
              </w:rPr>
              <w:t>4.66 ± 0.09</w:t>
            </w:r>
          </w:p>
        </w:tc>
        <w:tc>
          <w:tcPr>
            <w:tcW w:w="486" w:type="pct"/>
            <w:tcBorders>
              <w:top w:val="single" w:color="666666" w:sz="12" w:space="0"/>
              <w:left w:val="nil"/>
              <w:bottom w:val="single" w:color="666666" w:sz="6" w:space="0"/>
              <w:right w:val="nil"/>
            </w:tcBorders>
            <w:shd w:val="clear" w:color="auto" w:fill="FFFFFF"/>
            <w:tcMar>
              <w:top w:w="0" w:type="dxa"/>
              <w:left w:w="0" w:type="dxa"/>
              <w:bottom w:w="0" w:type="dxa"/>
              <w:right w:w="0" w:type="dxa"/>
            </w:tcMar>
            <w:vAlign w:val="center"/>
          </w:tcPr>
          <w:p w14:paraId="1F0731A0">
            <w:pPr>
              <w:pStyle w:val="55"/>
              <w:keepNext w:val="0"/>
              <w:keepLines w:val="0"/>
              <w:widowControl/>
              <w:suppressLineNumbers w:val="0"/>
              <w:spacing w:before="0" w:beforeAutospacing="0" w:afterAutospacing="0"/>
              <w:ind w:right="0"/>
              <w:rPr>
                <w:rFonts w:hint="default"/>
              </w:rPr>
            </w:pPr>
            <w:r>
              <w:rPr>
                <w:rFonts w:hint="default"/>
              </w:rPr>
              <w:t>14.14 ± 0.71</w:t>
            </w:r>
          </w:p>
        </w:tc>
        <w:tc>
          <w:tcPr>
            <w:tcW w:w="447" w:type="pct"/>
            <w:tcBorders>
              <w:top w:val="single" w:color="666666" w:sz="12" w:space="0"/>
              <w:left w:val="nil"/>
              <w:bottom w:val="single" w:color="666666" w:sz="6" w:space="0"/>
              <w:right w:val="nil"/>
            </w:tcBorders>
            <w:shd w:val="clear" w:color="auto" w:fill="FFFFFF"/>
            <w:tcMar>
              <w:top w:w="0" w:type="dxa"/>
              <w:left w:w="0" w:type="dxa"/>
              <w:bottom w:w="0" w:type="dxa"/>
              <w:right w:w="0" w:type="dxa"/>
            </w:tcMar>
            <w:vAlign w:val="center"/>
          </w:tcPr>
          <w:p w14:paraId="72078F6E">
            <w:pPr>
              <w:pStyle w:val="55"/>
              <w:keepNext w:val="0"/>
              <w:keepLines w:val="0"/>
              <w:widowControl/>
              <w:suppressLineNumbers w:val="0"/>
              <w:spacing w:before="0" w:beforeAutospacing="0" w:afterAutospacing="0"/>
              <w:ind w:right="0"/>
              <w:rPr>
                <w:rFonts w:hint="default"/>
              </w:rPr>
            </w:pPr>
            <w:r>
              <w:rPr>
                <w:rFonts w:hint="default"/>
              </w:rPr>
              <w:t>1.07 ± 0.02</w:t>
            </w:r>
          </w:p>
        </w:tc>
        <w:tc>
          <w:tcPr>
            <w:tcW w:w="448" w:type="pct"/>
            <w:tcBorders>
              <w:top w:val="single" w:color="666666" w:sz="12" w:space="0"/>
              <w:left w:val="nil"/>
              <w:bottom w:val="single" w:color="666666" w:sz="6" w:space="0"/>
              <w:right w:val="nil"/>
            </w:tcBorders>
            <w:shd w:val="clear" w:color="auto" w:fill="FFFFFF"/>
            <w:tcMar>
              <w:top w:w="0" w:type="dxa"/>
              <w:left w:w="0" w:type="dxa"/>
              <w:bottom w:w="0" w:type="dxa"/>
              <w:right w:w="0" w:type="dxa"/>
            </w:tcMar>
            <w:vAlign w:val="center"/>
          </w:tcPr>
          <w:p w14:paraId="271653AB">
            <w:pPr>
              <w:pStyle w:val="55"/>
              <w:keepNext w:val="0"/>
              <w:keepLines w:val="0"/>
              <w:widowControl/>
              <w:suppressLineNumbers w:val="0"/>
              <w:spacing w:before="0" w:beforeAutospacing="0" w:afterAutospacing="0"/>
              <w:ind w:right="0"/>
              <w:rPr>
                <w:rFonts w:hint="default"/>
              </w:rPr>
            </w:pPr>
            <w:r>
              <w:rPr>
                <w:rFonts w:hint="default"/>
              </w:rPr>
              <w:t>23 ± 6</w:t>
            </w:r>
          </w:p>
        </w:tc>
        <w:tc>
          <w:tcPr>
            <w:tcW w:w="447" w:type="pct"/>
            <w:tcBorders>
              <w:top w:val="single" w:color="666666" w:sz="12" w:space="0"/>
              <w:left w:val="nil"/>
              <w:bottom w:val="single" w:color="666666" w:sz="6" w:space="0"/>
              <w:right w:val="nil"/>
            </w:tcBorders>
            <w:shd w:val="clear" w:color="auto" w:fill="FFFFFF"/>
            <w:tcMar>
              <w:top w:w="0" w:type="dxa"/>
              <w:left w:w="0" w:type="dxa"/>
              <w:bottom w:w="0" w:type="dxa"/>
              <w:right w:w="0" w:type="dxa"/>
            </w:tcMar>
            <w:vAlign w:val="center"/>
          </w:tcPr>
          <w:p w14:paraId="1E947F65">
            <w:pPr>
              <w:pStyle w:val="55"/>
              <w:keepNext w:val="0"/>
              <w:keepLines w:val="0"/>
              <w:widowControl/>
              <w:suppressLineNumbers w:val="0"/>
              <w:spacing w:before="0" w:beforeAutospacing="0" w:afterAutospacing="0"/>
              <w:ind w:right="0"/>
              <w:rPr>
                <w:rFonts w:hint="default"/>
              </w:rPr>
            </w:pPr>
            <w:r>
              <w:rPr>
                <w:rFonts w:hint="default"/>
              </w:rPr>
              <w:t>1.32 ± 0.08</w:t>
            </w:r>
          </w:p>
        </w:tc>
        <w:tc>
          <w:tcPr>
            <w:tcW w:w="447" w:type="pct"/>
            <w:tcBorders>
              <w:top w:val="single" w:color="666666" w:sz="12" w:space="0"/>
              <w:left w:val="nil"/>
              <w:bottom w:val="single" w:color="666666" w:sz="6" w:space="0"/>
              <w:right w:val="nil"/>
            </w:tcBorders>
            <w:shd w:val="clear" w:color="auto" w:fill="FFFFFF"/>
            <w:tcMar>
              <w:top w:w="0" w:type="dxa"/>
              <w:left w:w="0" w:type="dxa"/>
              <w:bottom w:w="0" w:type="dxa"/>
              <w:right w:w="0" w:type="dxa"/>
            </w:tcMar>
            <w:vAlign w:val="center"/>
          </w:tcPr>
          <w:p w14:paraId="41E808FA">
            <w:pPr>
              <w:pStyle w:val="55"/>
              <w:keepNext w:val="0"/>
              <w:keepLines w:val="0"/>
              <w:widowControl/>
              <w:suppressLineNumbers w:val="0"/>
              <w:spacing w:before="0" w:beforeAutospacing="0" w:afterAutospacing="0"/>
              <w:ind w:right="0"/>
              <w:rPr>
                <w:rFonts w:hint="default"/>
              </w:rPr>
            </w:pPr>
            <w:r>
              <w:rPr>
                <w:rFonts w:hint="default"/>
              </w:rPr>
              <w:t>0.85 ± 0.05</w:t>
            </w:r>
          </w:p>
        </w:tc>
        <w:tc>
          <w:tcPr>
            <w:tcW w:w="447" w:type="pct"/>
            <w:tcBorders>
              <w:top w:val="single" w:color="666666" w:sz="12" w:space="0"/>
              <w:left w:val="nil"/>
              <w:bottom w:val="single" w:color="666666" w:sz="6" w:space="0"/>
              <w:right w:val="nil"/>
            </w:tcBorders>
            <w:shd w:val="clear" w:color="auto" w:fill="FFFFFF"/>
            <w:tcMar>
              <w:top w:w="0" w:type="dxa"/>
              <w:left w:w="0" w:type="dxa"/>
              <w:bottom w:w="0" w:type="dxa"/>
              <w:right w:w="0" w:type="dxa"/>
            </w:tcMar>
            <w:vAlign w:val="center"/>
          </w:tcPr>
          <w:p w14:paraId="7DAD3D00">
            <w:pPr>
              <w:pStyle w:val="55"/>
              <w:keepNext w:val="0"/>
              <w:keepLines w:val="0"/>
              <w:widowControl/>
              <w:suppressLineNumbers w:val="0"/>
              <w:spacing w:before="0" w:beforeAutospacing="0" w:afterAutospacing="0"/>
              <w:ind w:right="0"/>
              <w:rPr>
                <w:rFonts w:hint="default"/>
              </w:rPr>
            </w:pPr>
            <w:r>
              <w:rPr>
                <w:rFonts w:hint="default"/>
              </w:rPr>
              <w:t>2.17 ± 0.09</w:t>
            </w:r>
          </w:p>
        </w:tc>
      </w:tr>
      <w:tr w14:paraId="7524E35D">
        <w:tblPrEx>
          <w:tblCellMar>
            <w:top w:w="0" w:type="dxa"/>
            <w:left w:w="108" w:type="dxa"/>
            <w:bottom w:w="0" w:type="dxa"/>
            <w:right w:w="108" w:type="dxa"/>
          </w:tblCellMar>
        </w:tblPrEx>
        <w:trPr>
          <w:jc w:val="center"/>
        </w:trPr>
        <w:tc>
          <w:tcPr>
            <w:tcW w:w="495"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74B5CC39">
            <w:pPr>
              <w:pStyle w:val="55"/>
              <w:keepNext w:val="0"/>
              <w:keepLines w:val="0"/>
              <w:widowControl/>
              <w:suppressLineNumbers w:val="0"/>
              <w:spacing w:before="0" w:beforeAutospacing="0" w:afterAutospacing="0"/>
              <w:ind w:right="0"/>
              <w:rPr>
                <w:rFonts w:hint="default"/>
              </w:rPr>
            </w:pPr>
            <w:r>
              <w:rPr>
                <w:rFonts w:hint="default"/>
              </w:rPr>
              <w:t>BFD-OSL3</w:t>
            </w:r>
          </w:p>
        </w:tc>
        <w:tc>
          <w:tcPr>
            <w:tcW w:w="292"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7D688ABC">
            <w:pPr>
              <w:pStyle w:val="55"/>
              <w:keepNext w:val="0"/>
              <w:keepLines w:val="0"/>
              <w:widowControl/>
              <w:suppressLineNumbers w:val="0"/>
              <w:spacing w:before="0" w:beforeAutospacing="0" w:afterAutospacing="0"/>
              <w:ind w:right="0"/>
              <w:rPr>
                <w:rFonts w:hint="default"/>
              </w:rPr>
            </w:pPr>
            <w:r>
              <w:rPr>
                <w:rFonts w:hint="default"/>
              </w:rPr>
              <w:t>4</w:t>
            </w:r>
          </w:p>
        </w:tc>
        <w:tc>
          <w:tcPr>
            <w:tcW w:w="432"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2E9F3B05">
            <w:pPr>
              <w:pStyle w:val="55"/>
              <w:keepNext w:val="0"/>
              <w:keepLines w:val="0"/>
              <w:widowControl/>
              <w:suppressLineNumbers w:val="0"/>
              <w:spacing w:before="0" w:beforeAutospacing="0" w:afterAutospacing="0"/>
              <w:ind w:right="0"/>
              <w:rPr>
                <w:rFonts w:hint="default"/>
              </w:rPr>
            </w:pPr>
            <w:r>
              <w:rPr>
                <w:rFonts w:hint="default"/>
              </w:rPr>
              <w:t>0.32</w:t>
            </w:r>
          </w:p>
        </w:tc>
        <w:tc>
          <w:tcPr>
            <w:tcW w:w="61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2DA7F7DF">
            <w:pPr>
              <w:pStyle w:val="55"/>
              <w:keepNext w:val="0"/>
              <w:keepLines w:val="0"/>
              <w:widowControl/>
              <w:suppressLineNumbers w:val="0"/>
              <w:spacing w:before="0" w:beforeAutospacing="0" w:afterAutospacing="0"/>
              <w:ind w:right="0"/>
              <w:rPr>
                <w:rFonts w:hint="default"/>
              </w:rPr>
            </w:pPr>
            <w:r>
              <w:rPr>
                <w:rFonts w:hint="default"/>
              </w:rPr>
              <w:t>150 - 250</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1FDD03AD">
            <w:pPr>
              <w:pStyle w:val="55"/>
              <w:keepNext w:val="0"/>
              <w:keepLines w:val="0"/>
              <w:widowControl/>
              <w:suppressLineNumbers w:val="0"/>
              <w:spacing w:before="0" w:beforeAutospacing="0" w:afterAutospacing="0"/>
              <w:ind w:right="0"/>
              <w:rPr>
                <w:rFonts w:hint="default"/>
              </w:rPr>
            </w:pPr>
            <w:r>
              <w:rPr>
                <w:rFonts w:hint="default"/>
              </w:rPr>
              <w:t>5.31 ± 0.11</w:t>
            </w:r>
          </w:p>
        </w:tc>
        <w:tc>
          <w:tcPr>
            <w:tcW w:w="486"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7CE2B945">
            <w:pPr>
              <w:pStyle w:val="55"/>
              <w:keepNext w:val="0"/>
              <w:keepLines w:val="0"/>
              <w:widowControl/>
              <w:suppressLineNumbers w:val="0"/>
              <w:spacing w:before="0" w:beforeAutospacing="0" w:afterAutospacing="0"/>
              <w:ind w:right="0"/>
              <w:rPr>
                <w:rFonts w:hint="default"/>
              </w:rPr>
            </w:pPr>
            <w:r>
              <w:rPr>
                <w:rFonts w:hint="default"/>
              </w:rPr>
              <w:t>13.87 ± 0.69</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20EA7977">
            <w:pPr>
              <w:pStyle w:val="55"/>
              <w:keepNext w:val="0"/>
              <w:keepLines w:val="0"/>
              <w:widowControl/>
              <w:suppressLineNumbers w:val="0"/>
              <w:spacing w:before="0" w:beforeAutospacing="0" w:afterAutospacing="0"/>
              <w:ind w:right="0"/>
              <w:rPr>
                <w:rFonts w:hint="default"/>
              </w:rPr>
            </w:pPr>
            <w:r>
              <w:rPr>
                <w:rFonts w:hint="default"/>
              </w:rPr>
              <w:t>1.02 ± 0.02</w:t>
            </w:r>
          </w:p>
        </w:tc>
        <w:tc>
          <w:tcPr>
            <w:tcW w:w="448"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5E428533">
            <w:pPr>
              <w:pStyle w:val="55"/>
              <w:keepNext w:val="0"/>
              <w:keepLines w:val="0"/>
              <w:widowControl/>
              <w:suppressLineNumbers w:val="0"/>
              <w:spacing w:before="0" w:beforeAutospacing="0" w:afterAutospacing="0"/>
              <w:ind w:right="0"/>
              <w:rPr>
                <w:rFonts w:hint="default"/>
              </w:rPr>
            </w:pPr>
            <w:r>
              <w:rPr>
                <w:rFonts w:hint="default"/>
              </w:rPr>
              <w:t>25 ± 6</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38FCCD7E">
            <w:pPr>
              <w:pStyle w:val="55"/>
              <w:keepNext w:val="0"/>
              <w:keepLines w:val="0"/>
              <w:widowControl/>
              <w:suppressLineNumbers w:val="0"/>
              <w:spacing w:before="0" w:beforeAutospacing="0" w:afterAutospacing="0"/>
              <w:ind w:right="0"/>
              <w:rPr>
                <w:rFonts w:hint="default"/>
              </w:rPr>
            </w:pPr>
            <w:r>
              <w:rPr>
                <w:rFonts w:hint="default"/>
              </w:rPr>
              <w:t>1.33 ± 0.08</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55643E0D">
            <w:pPr>
              <w:pStyle w:val="55"/>
              <w:keepNext w:val="0"/>
              <w:keepLines w:val="0"/>
              <w:widowControl/>
              <w:suppressLineNumbers w:val="0"/>
              <w:spacing w:before="0" w:beforeAutospacing="0" w:afterAutospacing="0"/>
              <w:ind w:right="0"/>
              <w:rPr>
                <w:rFonts w:hint="default"/>
              </w:rPr>
            </w:pPr>
            <w:r>
              <w:rPr>
                <w:rFonts w:hint="default"/>
              </w:rPr>
              <w:t>0.83 ± 0.05</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01AD6C6B">
            <w:pPr>
              <w:pStyle w:val="55"/>
              <w:keepNext w:val="0"/>
              <w:keepLines w:val="0"/>
              <w:widowControl/>
              <w:suppressLineNumbers w:val="0"/>
              <w:spacing w:before="0" w:beforeAutospacing="0" w:afterAutospacing="0"/>
              <w:ind w:right="0"/>
              <w:rPr>
                <w:rFonts w:hint="default"/>
              </w:rPr>
            </w:pPr>
            <w:r>
              <w:rPr>
                <w:rFonts w:hint="default"/>
              </w:rPr>
              <w:t>2.16 ± 0.09</w:t>
            </w:r>
          </w:p>
        </w:tc>
      </w:tr>
      <w:tr w14:paraId="57C8C212">
        <w:tblPrEx>
          <w:tblCellMar>
            <w:top w:w="0" w:type="dxa"/>
            <w:left w:w="108" w:type="dxa"/>
            <w:bottom w:w="0" w:type="dxa"/>
            <w:right w:w="108" w:type="dxa"/>
          </w:tblCellMar>
        </w:tblPrEx>
        <w:trPr>
          <w:jc w:val="center"/>
        </w:trPr>
        <w:tc>
          <w:tcPr>
            <w:tcW w:w="495"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23336438">
            <w:pPr>
              <w:pStyle w:val="55"/>
              <w:keepNext w:val="0"/>
              <w:keepLines w:val="0"/>
              <w:widowControl/>
              <w:suppressLineNumbers w:val="0"/>
              <w:spacing w:before="0" w:beforeAutospacing="0" w:afterAutospacing="0"/>
              <w:ind w:right="0"/>
              <w:rPr>
                <w:rFonts w:hint="default"/>
              </w:rPr>
            </w:pPr>
            <w:r>
              <w:rPr>
                <w:rFonts w:hint="default"/>
              </w:rPr>
              <w:t>BFD-OSL4</w:t>
            </w:r>
          </w:p>
        </w:tc>
        <w:tc>
          <w:tcPr>
            <w:tcW w:w="292"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05988573">
            <w:pPr>
              <w:pStyle w:val="55"/>
              <w:keepNext w:val="0"/>
              <w:keepLines w:val="0"/>
              <w:widowControl/>
              <w:suppressLineNumbers w:val="0"/>
              <w:spacing w:before="0" w:beforeAutospacing="0" w:afterAutospacing="0"/>
              <w:ind w:right="0"/>
              <w:rPr>
                <w:rFonts w:hint="default"/>
              </w:rPr>
            </w:pPr>
            <w:r>
              <w:rPr>
                <w:rFonts w:hint="default"/>
              </w:rPr>
              <w:t>5</w:t>
            </w:r>
          </w:p>
        </w:tc>
        <w:tc>
          <w:tcPr>
            <w:tcW w:w="432"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47443CBB">
            <w:pPr>
              <w:pStyle w:val="55"/>
              <w:keepNext w:val="0"/>
              <w:keepLines w:val="0"/>
              <w:widowControl/>
              <w:suppressLineNumbers w:val="0"/>
              <w:spacing w:before="0" w:beforeAutospacing="0" w:afterAutospacing="0"/>
              <w:ind w:right="0"/>
              <w:rPr>
                <w:rFonts w:hint="default"/>
              </w:rPr>
            </w:pPr>
            <w:r>
              <w:rPr>
                <w:rFonts w:hint="default"/>
              </w:rPr>
              <w:t>0.52</w:t>
            </w:r>
          </w:p>
        </w:tc>
        <w:tc>
          <w:tcPr>
            <w:tcW w:w="61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1FDAB55E">
            <w:pPr>
              <w:pStyle w:val="55"/>
              <w:keepNext w:val="0"/>
              <w:keepLines w:val="0"/>
              <w:widowControl/>
              <w:suppressLineNumbers w:val="0"/>
              <w:spacing w:before="0" w:beforeAutospacing="0" w:afterAutospacing="0"/>
              <w:ind w:right="0"/>
              <w:rPr>
                <w:rFonts w:hint="default"/>
              </w:rPr>
            </w:pPr>
            <w:r>
              <w:rPr>
                <w:rFonts w:hint="default"/>
              </w:rPr>
              <w:t>150 - 250</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246C8C0D">
            <w:pPr>
              <w:pStyle w:val="55"/>
              <w:keepNext w:val="0"/>
              <w:keepLines w:val="0"/>
              <w:widowControl/>
              <w:suppressLineNumbers w:val="0"/>
              <w:spacing w:before="0" w:beforeAutospacing="0" w:afterAutospacing="0"/>
              <w:ind w:right="0"/>
              <w:rPr>
                <w:rFonts w:hint="default"/>
              </w:rPr>
            </w:pPr>
            <w:r>
              <w:rPr>
                <w:rFonts w:hint="default"/>
              </w:rPr>
              <w:t>4.55 ± 0.09</w:t>
            </w:r>
          </w:p>
        </w:tc>
        <w:tc>
          <w:tcPr>
            <w:tcW w:w="486"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73458B56">
            <w:pPr>
              <w:pStyle w:val="55"/>
              <w:keepNext w:val="0"/>
              <w:keepLines w:val="0"/>
              <w:widowControl/>
              <w:suppressLineNumbers w:val="0"/>
              <w:spacing w:before="0" w:beforeAutospacing="0" w:afterAutospacing="0"/>
              <w:ind w:right="0"/>
              <w:rPr>
                <w:rFonts w:hint="default"/>
              </w:rPr>
            </w:pPr>
            <w:r>
              <w:rPr>
                <w:rFonts w:hint="default"/>
              </w:rPr>
              <w:t>8.24 ± 0.41</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4DFF606C">
            <w:pPr>
              <w:pStyle w:val="55"/>
              <w:keepNext w:val="0"/>
              <w:keepLines w:val="0"/>
              <w:widowControl/>
              <w:suppressLineNumbers w:val="0"/>
              <w:spacing w:before="0" w:beforeAutospacing="0" w:afterAutospacing="0"/>
              <w:ind w:right="0"/>
              <w:rPr>
                <w:rFonts w:hint="default"/>
              </w:rPr>
            </w:pPr>
            <w:r>
              <w:rPr>
                <w:rFonts w:hint="default"/>
              </w:rPr>
              <w:t>0.81 ± 0.02</w:t>
            </w:r>
          </w:p>
        </w:tc>
        <w:tc>
          <w:tcPr>
            <w:tcW w:w="448"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5922E494">
            <w:pPr>
              <w:pStyle w:val="55"/>
              <w:keepNext w:val="0"/>
              <w:keepLines w:val="0"/>
              <w:widowControl/>
              <w:suppressLineNumbers w:val="0"/>
              <w:spacing w:before="0" w:beforeAutospacing="0" w:afterAutospacing="0"/>
              <w:ind w:right="0"/>
              <w:rPr>
                <w:rFonts w:hint="default"/>
              </w:rPr>
            </w:pPr>
            <w:r>
              <w:rPr>
                <w:rFonts w:hint="default"/>
              </w:rPr>
              <w:t>15 ± 4</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2AA7D756">
            <w:pPr>
              <w:pStyle w:val="55"/>
              <w:keepNext w:val="0"/>
              <w:keepLines w:val="0"/>
              <w:widowControl/>
              <w:suppressLineNumbers w:val="0"/>
              <w:spacing w:before="0" w:beforeAutospacing="0" w:afterAutospacing="0"/>
              <w:ind w:right="0"/>
              <w:rPr>
                <w:rFonts w:hint="default"/>
              </w:rPr>
            </w:pPr>
            <w:r>
              <w:rPr>
                <w:rFonts w:hint="default"/>
              </w:rPr>
              <w:t>1.14 ± 0.05</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03FCC25B">
            <w:pPr>
              <w:pStyle w:val="55"/>
              <w:keepNext w:val="0"/>
              <w:keepLines w:val="0"/>
              <w:widowControl/>
              <w:suppressLineNumbers w:val="0"/>
              <w:spacing w:before="0" w:beforeAutospacing="0" w:afterAutospacing="0"/>
              <w:ind w:right="0"/>
              <w:rPr>
                <w:rFonts w:hint="default"/>
              </w:rPr>
            </w:pPr>
            <w:r>
              <w:rPr>
                <w:rFonts w:hint="default"/>
              </w:rPr>
              <w:t>0.74 ± 0.05</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12B8D4CF">
            <w:pPr>
              <w:pStyle w:val="55"/>
              <w:keepNext w:val="0"/>
              <w:keepLines w:val="0"/>
              <w:widowControl/>
              <w:suppressLineNumbers w:val="0"/>
              <w:spacing w:before="0" w:beforeAutospacing="0" w:afterAutospacing="0"/>
              <w:ind w:right="0"/>
              <w:rPr>
                <w:rFonts w:hint="default"/>
              </w:rPr>
            </w:pPr>
            <w:r>
              <w:rPr>
                <w:rFonts w:hint="default"/>
              </w:rPr>
              <w:t>1.88 ± 0.07</w:t>
            </w:r>
          </w:p>
        </w:tc>
      </w:tr>
      <w:tr w14:paraId="18D3AE2A">
        <w:tblPrEx>
          <w:tblCellMar>
            <w:top w:w="0" w:type="dxa"/>
            <w:left w:w="108" w:type="dxa"/>
            <w:bottom w:w="0" w:type="dxa"/>
            <w:right w:w="108" w:type="dxa"/>
          </w:tblCellMar>
        </w:tblPrEx>
        <w:trPr>
          <w:jc w:val="center"/>
        </w:trPr>
        <w:tc>
          <w:tcPr>
            <w:tcW w:w="495"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4BCA0135">
            <w:pPr>
              <w:pStyle w:val="55"/>
              <w:keepNext w:val="0"/>
              <w:keepLines w:val="0"/>
              <w:widowControl/>
              <w:suppressLineNumbers w:val="0"/>
              <w:spacing w:before="0" w:beforeAutospacing="0" w:afterAutospacing="0"/>
              <w:ind w:right="0"/>
              <w:rPr>
                <w:rFonts w:hint="default"/>
              </w:rPr>
            </w:pPr>
            <w:r>
              <w:rPr>
                <w:rFonts w:hint="default"/>
              </w:rPr>
              <w:t>BFD-OSL5</w:t>
            </w:r>
          </w:p>
        </w:tc>
        <w:tc>
          <w:tcPr>
            <w:tcW w:w="292"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1F9D31D6">
            <w:pPr>
              <w:pStyle w:val="55"/>
              <w:keepNext w:val="0"/>
              <w:keepLines w:val="0"/>
              <w:widowControl/>
              <w:suppressLineNumbers w:val="0"/>
              <w:spacing w:before="0" w:beforeAutospacing="0" w:afterAutospacing="0"/>
              <w:ind w:right="0"/>
              <w:rPr>
                <w:rFonts w:hint="default"/>
              </w:rPr>
            </w:pPr>
            <w:r>
              <w:rPr>
                <w:rFonts w:hint="default"/>
              </w:rPr>
              <w:t>5</w:t>
            </w:r>
          </w:p>
        </w:tc>
        <w:tc>
          <w:tcPr>
            <w:tcW w:w="432"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6C8DA193">
            <w:pPr>
              <w:pStyle w:val="55"/>
              <w:keepNext w:val="0"/>
              <w:keepLines w:val="0"/>
              <w:widowControl/>
              <w:suppressLineNumbers w:val="0"/>
              <w:spacing w:before="0" w:beforeAutospacing="0" w:afterAutospacing="0"/>
              <w:ind w:right="0"/>
              <w:rPr>
                <w:rFonts w:hint="default"/>
              </w:rPr>
            </w:pPr>
            <w:r>
              <w:rPr>
                <w:rFonts w:hint="default"/>
              </w:rPr>
              <w:t>0.71</w:t>
            </w:r>
          </w:p>
        </w:tc>
        <w:tc>
          <w:tcPr>
            <w:tcW w:w="61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107C8582">
            <w:pPr>
              <w:pStyle w:val="55"/>
              <w:keepNext w:val="0"/>
              <w:keepLines w:val="0"/>
              <w:widowControl/>
              <w:suppressLineNumbers w:val="0"/>
              <w:spacing w:before="0" w:beforeAutospacing="0" w:afterAutospacing="0"/>
              <w:ind w:right="0"/>
              <w:rPr>
                <w:rFonts w:hint="default"/>
              </w:rPr>
            </w:pPr>
            <w:r>
              <w:rPr>
                <w:rFonts w:hint="default"/>
              </w:rPr>
              <w:t>150 - 250</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141A7E82">
            <w:pPr>
              <w:pStyle w:val="55"/>
              <w:keepNext w:val="0"/>
              <w:keepLines w:val="0"/>
              <w:widowControl/>
              <w:suppressLineNumbers w:val="0"/>
              <w:spacing w:before="0" w:beforeAutospacing="0" w:afterAutospacing="0"/>
              <w:ind w:right="0"/>
              <w:rPr>
                <w:rFonts w:hint="default"/>
              </w:rPr>
            </w:pPr>
            <w:r>
              <w:rPr>
                <w:rFonts w:hint="default"/>
              </w:rPr>
              <w:t>4.74 ± 0.09</w:t>
            </w:r>
          </w:p>
        </w:tc>
        <w:tc>
          <w:tcPr>
            <w:tcW w:w="486"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5773F021">
            <w:pPr>
              <w:pStyle w:val="55"/>
              <w:keepNext w:val="0"/>
              <w:keepLines w:val="0"/>
              <w:widowControl/>
              <w:suppressLineNumbers w:val="0"/>
              <w:spacing w:before="0" w:beforeAutospacing="0" w:afterAutospacing="0"/>
              <w:ind w:right="0"/>
              <w:rPr>
                <w:rFonts w:hint="default"/>
              </w:rPr>
            </w:pPr>
            <w:r>
              <w:rPr>
                <w:rFonts w:hint="default"/>
              </w:rPr>
              <w:t>9.17 ± 0.46</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15D016F4">
            <w:pPr>
              <w:pStyle w:val="55"/>
              <w:keepNext w:val="0"/>
              <w:keepLines w:val="0"/>
              <w:widowControl/>
              <w:suppressLineNumbers w:val="0"/>
              <w:spacing w:before="0" w:beforeAutospacing="0" w:afterAutospacing="0"/>
              <w:ind w:right="0"/>
              <w:rPr>
                <w:rFonts w:hint="default"/>
              </w:rPr>
            </w:pPr>
            <w:r>
              <w:rPr>
                <w:rFonts w:hint="default"/>
              </w:rPr>
              <w:t>0.84 ± 0.02</w:t>
            </w:r>
          </w:p>
        </w:tc>
        <w:tc>
          <w:tcPr>
            <w:tcW w:w="448"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6B0D56DF">
            <w:pPr>
              <w:pStyle w:val="55"/>
              <w:keepNext w:val="0"/>
              <w:keepLines w:val="0"/>
              <w:widowControl/>
              <w:suppressLineNumbers w:val="0"/>
              <w:spacing w:before="0" w:beforeAutospacing="0" w:afterAutospacing="0"/>
              <w:ind w:right="0"/>
              <w:rPr>
                <w:rFonts w:hint="default"/>
              </w:rPr>
            </w:pPr>
            <w:r>
              <w:rPr>
                <w:rFonts w:hint="default"/>
              </w:rPr>
              <w:t>16 ± 4</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79CA86BE">
            <w:pPr>
              <w:pStyle w:val="55"/>
              <w:keepNext w:val="0"/>
              <w:keepLines w:val="0"/>
              <w:widowControl/>
              <w:suppressLineNumbers w:val="0"/>
              <w:spacing w:before="0" w:beforeAutospacing="0" w:afterAutospacing="0"/>
              <w:ind w:right="0"/>
              <w:rPr>
                <w:rFonts w:hint="default"/>
              </w:rPr>
            </w:pPr>
            <w:r>
              <w:rPr>
                <w:rFonts w:hint="default"/>
              </w:rPr>
              <w:t>1.18 ± 0.05</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69A03037">
            <w:pPr>
              <w:pStyle w:val="55"/>
              <w:keepNext w:val="0"/>
              <w:keepLines w:val="0"/>
              <w:widowControl/>
              <w:suppressLineNumbers w:val="0"/>
              <w:spacing w:before="0" w:beforeAutospacing="0" w:afterAutospacing="0"/>
              <w:ind w:right="0"/>
              <w:rPr>
                <w:rFonts w:hint="default"/>
              </w:rPr>
            </w:pPr>
            <w:r>
              <w:rPr>
                <w:rFonts w:hint="default"/>
              </w:rPr>
              <w:t>0.71 ± 0.04</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41669E4C">
            <w:pPr>
              <w:pStyle w:val="55"/>
              <w:keepNext w:val="0"/>
              <w:keepLines w:val="0"/>
              <w:widowControl/>
              <w:suppressLineNumbers w:val="0"/>
              <w:spacing w:before="0" w:beforeAutospacing="0" w:afterAutospacing="0"/>
              <w:ind w:right="0"/>
              <w:rPr>
                <w:rFonts w:hint="default"/>
              </w:rPr>
            </w:pPr>
            <w:r>
              <w:rPr>
                <w:rFonts w:hint="default"/>
              </w:rPr>
              <w:t>1.89 ± 0.07</w:t>
            </w:r>
          </w:p>
        </w:tc>
      </w:tr>
      <w:tr w14:paraId="7AB293A4">
        <w:tblPrEx>
          <w:tblCellMar>
            <w:top w:w="0" w:type="dxa"/>
            <w:left w:w="108" w:type="dxa"/>
            <w:bottom w:w="0" w:type="dxa"/>
            <w:right w:w="108" w:type="dxa"/>
          </w:tblCellMar>
        </w:tblPrEx>
        <w:trPr>
          <w:jc w:val="center"/>
        </w:trPr>
        <w:tc>
          <w:tcPr>
            <w:tcW w:w="495"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0BCD51F6">
            <w:pPr>
              <w:pStyle w:val="55"/>
              <w:keepNext w:val="0"/>
              <w:keepLines w:val="0"/>
              <w:widowControl/>
              <w:suppressLineNumbers w:val="0"/>
              <w:spacing w:before="0" w:beforeAutospacing="0" w:afterAutospacing="0"/>
              <w:ind w:right="0"/>
              <w:rPr>
                <w:rFonts w:hint="default"/>
              </w:rPr>
            </w:pPr>
            <w:r>
              <w:rPr>
                <w:rFonts w:hint="default"/>
              </w:rPr>
              <w:t>BFD-OSL6</w:t>
            </w:r>
          </w:p>
        </w:tc>
        <w:tc>
          <w:tcPr>
            <w:tcW w:w="292"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5ECDEF88">
            <w:pPr>
              <w:pStyle w:val="55"/>
              <w:keepNext w:val="0"/>
              <w:keepLines w:val="0"/>
              <w:widowControl/>
              <w:suppressLineNumbers w:val="0"/>
              <w:spacing w:before="0" w:beforeAutospacing="0" w:afterAutospacing="0"/>
              <w:ind w:right="0"/>
              <w:rPr>
                <w:rFonts w:hint="default"/>
              </w:rPr>
            </w:pPr>
            <w:r>
              <w:rPr>
                <w:rFonts w:hint="default"/>
              </w:rPr>
              <w:t>6</w:t>
            </w:r>
          </w:p>
        </w:tc>
        <w:tc>
          <w:tcPr>
            <w:tcW w:w="432"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1D6B11D8">
            <w:pPr>
              <w:pStyle w:val="55"/>
              <w:keepNext w:val="0"/>
              <w:keepLines w:val="0"/>
              <w:widowControl/>
              <w:suppressLineNumbers w:val="0"/>
              <w:spacing w:before="0" w:beforeAutospacing="0" w:afterAutospacing="0"/>
              <w:ind w:right="0"/>
              <w:rPr>
                <w:rFonts w:hint="default"/>
              </w:rPr>
            </w:pPr>
            <w:r>
              <w:rPr>
                <w:rFonts w:hint="default"/>
              </w:rPr>
              <w:t>0.81</w:t>
            </w:r>
          </w:p>
        </w:tc>
        <w:tc>
          <w:tcPr>
            <w:tcW w:w="61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2F98525A">
            <w:pPr>
              <w:pStyle w:val="55"/>
              <w:keepNext w:val="0"/>
              <w:keepLines w:val="0"/>
              <w:widowControl/>
              <w:suppressLineNumbers w:val="0"/>
              <w:spacing w:before="0" w:beforeAutospacing="0" w:afterAutospacing="0"/>
              <w:ind w:right="0"/>
              <w:rPr>
                <w:rFonts w:hint="default"/>
              </w:rPr>
            </w:pPr>
            <w:r>
              <w:rPr>
                <w:rFonts w:hint="default"/>
              </w:rPr>
              <w:t>150 - 250</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019C1A18">
            <w:pPr>
              <w:pStyle w:val="55"/>
              <w:keepNext w:val="0"/>
              <w:keepLines w:val="0"/>
              <w:widowControl/>
              <w:suppressLineNumbers w:val="0"/>
              <w:spacing w:before="0" w:beforeAutospacing="0" w:afterAutospacing="0"/>
              <w:ind w:right="0"/>
              <w:rPr>
                <w:rFonts w:hint="default"/>
              </w:rPr>
            </w:pPr>
            <w:r>
              <w:rPr>
                <w:rFonts w:hint="default"/>
              </w:rPr>
              <w:t>5.10 ± 0.10</w:t>
            </w:r>
          </w:p>
        </w:tc>
        <w:tc>
          <w:tcPr>
            <w:tcW w:w="486"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5CA1C490">
            <w:pPr>
              <w:pStyle w:val="55"/>
              <w:keepNext w:val="0"/>
              <w:keepLines w:val="0"/>
              <w:widowControl/>
              <w:suppressLineNumbers w:val="0"/>
              <w:spacing w:before="0" w:beforeAutospacing="0" w:afterAutospacing="0"/>
              <w:ind w:right="0"/>
              <w:rPr>
                <w:rFonts w:hint="default"/>
              </w:rPr>
            </w:pPr>
            <w:r>
              <w:rPr>
                <w:rFonts w:hint="default"/>
              </w:rPr>
              <w:t>10.62 ± 0.53</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44FEAAD8">
            <w:pPr>
              <w:pStyle w:val="55"/>
              <w:keepNext w:val="0"/>
              <w:keepLines w:val="0"/>
              <w:widowControl/>
              <w:suppressLineNumbers w:val="0"/>
              <w:spacing w:before="0" w:beforeAutospacing="0" w:afterAutospacing="0"/>
              <w:ind w:right="0"/>
              <w:rPr>
                <w:rFonts w:hint="default"/>
              </w:rPr>
            </w:pPr>
            <w:r>
              <w:rPr>
                <w:rFonts w:hint="default"/>
              </w:rPr>
              <w:t>0.96 ± 0.02</w:t>
            </w:r>
          </w:p>
        </w:tc>
        <w:tc>
          <w:tcPr>
            <w:tcW w:w="448"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78ED004D">
            <w:pPr>
              <w:pStyle w:val="55"/>
              <w:keepNext w:val="0"/>
              <w:keepLines w:val="0"/>
              <w:widowControl/>
              <w:suppressLineNumbers w:val="0"/>
              <w:spacing w:before="0" w:beforeAutospacing="0" w:afterAutospacing="0"/>
              <w:ind w:right="0"/>
              <w:rPr>
                <w:rFonts w:hint="default"/>
              </w:rPr>
            </w:pPr>
            <w:r>
              <w:rPr>
                <w:rFonts w:hint="default"/>
              </w:rPr>
              <w:t>40 ± 10</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37317007">
            <w:pPr>
              <w:pStyle w:val="55"/>
              <w:keepNext w:val="0"/>
              <w:keepLines w:val="0"/>
              <w:widowControl/>
              <w:suppressLineNumbers w:val="0"/>
              <w:spacing w:before="0" w:beforeAutospacing="0" w:afterAutospacing="0"/>
              <w:ind w:right="0"/>
              <w:rPr>
                <w:rFonts w:hint="default"/>
              </w:rPr>
            </w:pPr>
            <w:r>
              <w:rPr>
                <w:rFonts w:hint="default"/>
              </w:rPr>
              <w:t>1.07 ± 0.09</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7EA37F4D">
            <w:pPr>
              <w:pStyle w:val="55"/>
              <w:keepNext w:val="0"/>
              <w:keepLines w:val="0"/>
              <w:widowControl/>
              <w:suppressLineNumbers w:val="0"/>
              <w:spacing w:before="0" w:beforeAutospacing="0" w:afterAutospacing="0"/>
              <w:ind w:right="0"/>
              <w:rPr>
                <w:rFonts w:hint="default"/>
              </w:rPr>
            </w:pPr>
            <w:r>
              <w:rPr>
                <w:rFonts w:hint="default"/>
              </w:rPr>
              <w:t>0.68 ± 0.04</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6157A71B">
            <w:pPr>
              <w:pStyle w:val="55"/>
              <w:keepNext w:val="0"/>
              <w:keepLines w:val="0"/>
              <w:widowControl/>
              <w:suppressLineNumbers w:val="0"/>
              <w:spacing w:before="0" w:beforeAutospacing="0" w:afterAutospacing="0"/>
              <w:ind w:right="0"/>
              <w:rPr>
                <w:rFonts w:hint="default"/>
              </w:rPr>
            </w:pPr>
            <w:r>
              <w:rPr>
                <w:rFonts w:hint="default"/>
              </w:rPr>
              <w:t>1.75 ± 0.10</w:t>
            </w:r>
          </w:p>
        </w:tc>
      </w:tr>
      <w:tr w14:paraId="709583A1">
        <w:tblPrEx>
          <w:tblCellMar>
            <w:top w:w="0" w:type="dxa"/>
            <w:left w:w="108" w:type="dxa"/>
            <w:bottom w:w="0" w:type="dxa"/>
            <w:right w:w="108" w:type="dxa"/>
          </w:tblCellMar>
        </w:tblPrEx>
        <w:trPr>
          <w:jc w:val="center"/>
        </w:trPr>
        <w:tc>
          <w:tcPr>
            <w:tcW w:w="495"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2FD6FCCE">
            <w:pPr>
              <w:pStyle w:val="55"/>
              <w:keepNext w:val="0"/>
              <w:keepLines w:val="0"/>
              <w:widowControl/>
              <w:suppressLineNumbers w:val="0"/>
              <w:spacing w:before="0" w:beforeAutospacing="0" w:afterAutospacing="0"/>
              <w:ind w:right="0"/>
              <w:rPr>
                <w:rFonts w:hint="default"/>
              </w:rPr>
            </w:pPr>
            <w:r>
              <w:rPr>
                <w:rFonts w:hint="default"/>
              </w:rPr>
              <w:t>BFD-OSL7</w:t>
            </w:r>
          </w:p>
        </w:tc>
        <w:tc>
          <w:tcPr>
            <w:tcW w:w="292"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65AD38FC">
            <w:pPr>
              <w:pStyle w:val="55"/>
              <w:keepNext w:val="0"/>
              <w:keepLines w:val="0"/>
              <w:widowControl/>
              <w:suppressLineNumbers w:val="0"/>
              <w:spacing w:before="0" w:beforeAutospacing="0" w:afterAutospacing="0"/>
              <w:ind w:right="0"/>
              <w:rPr>
                <w:rFonts w:hint="default"/>
              </w:rPr>
            </w:pPr>
            <w:r>
              <w:rPr>
                <w:rFonts w:hint="default"/>
              </w:rPr>
              <w:t>7</w:t>
            </w:r>
          </w:p>
        </w:tc>
        <w:tc>
          <w:tcPr>
            <w:tcW w:w="432"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417006B2">
            <w:pPr>
              <w:pStyle w:val="55"/>
              <w:keepNext w:val="0"/>
              <w:keepLines w:val="0"/>
              <w:widowControl/>
              <w:suppressLineNumbers w:val="0"/>
              <w:spacing w:before="0" w:beforeAutospacing="0" w:afterAutospacing="0"/>
              <w:ind w:right="0"/>
              <w:rPr>
                <w:rFonts w:hint="default"/>
              </w:rPr>
            </w:pPr>
            <w:r>
              <w:rPr>
                <w:rFonts w:hint="default"/>
              </w:rPr>
              <w:t>0.90</w:t>
            </w:r>
          </w:p>
        </w:tc>
        <w:tc>
          <w:tcPr>
            <w:tcW w:w="61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01BDAAC4">
            <w:pPr>
              <w:pStyle w:val="55"/>
              <w:keepNext w:val="0"/>
              <w:keepLines w:val="0"/>
              <w:widowControl/>
              <w:suppressLineNumbers w:val="0"/>
              <w:spacing w:before="0" w:beforeAutospacing="0" w:afterAutospacing="0"/>
              <w:ind w:right="0"/>
              <w:rPr>
                <w:rFonts w:hint="default"/>
              </w:rPr>
            </w:pPr>
            <w:r>
              <w:rPr>
                <w:rFonts w:hint="default"/>
              </w:rPr>
              <w:t>150 - 250</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644CDB58">
            <w:pPr>
              <w:pStyle w:val="55"/>
              <w:keepNext w:val="0"/>
              <w:keepLines w:val="0"/>
              <w:widowControl/>
              <w:suppressLineNumbers w:val="0"/>
              <w:spacing w:before="0" w:beforeAutospacing="0" w:afterAutospacing="0"/>
              <w:ind w:right="0"/>
              <w:rPr>
                <w:rFonts w:hint="default"/>
              </w:rPr>
            </w:pPr>
            <w:r>
              <w:rPr>
                <w:rFonts w:hint="default"/>
              </w:rPr>
              <w:t>2.80 ± 0.06</w:t>
            </w:r>
          </w:p>
        </w:tc>
        <w:tc>
          <w:tcPr>
            <w:tcW w:w="486"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7387BD5F">
            <w:pPr>
              <w:pStyle w:val="55"/>
              <w:keepNext w:val="0"/>
              <w:keepLines w:val="0"/>
              <w:widowControl/>
              <w:suppressLineNumbers w:val="0"/>
              <w:spacing w:before="0" w:beforeAutospacing="0" w:afterAutospacing="0"/>
              <w:ind w:right="0"/>
              <w:rPr>
                <w:rFonts w:hint="default"/>
              </w:rPr>
            </w:pPr>
            <w:r>
              <w:rPr>
                <w:rFonts w:hint="default"/>
              </w:rPr>
              <w:t>9.60 ± 0.50</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3978E6C4">
            <w:pPr>
              <w:pStyle w:val="55"/>
              <w:keepNext w:val="0"/>
              <w:keepLines w:val="0"/>
              <w:widowControl/>
              <w:suppressLineNumbers w:val="0"/>
              <w:spacing w:before="0" w:beforeAutospacing="0" w:afterAutospacing="0"/>
              <w:ind w:right="0"/>
              <w:rPr>
                <w:rFonts w:hint="default"/>
              </w:rPr>
            </w:pPr>
            <w:r>
              <w:rPr>
                <w:rFonts w:hint="default"/>
              </w:rPr>
              <w:t>0.89 ± 0.02</w:t>
            </w:r>
          </w:p>
        </w:tc>
        <w:tc>
          <w:tcPr>
            <w:tcW w:w="448"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6E39AD6A">
            <w:pPr>
              <w:pStyle w:val="55"/>
              <w:keepNext w:val="0"/>
              <w:keepLines w:val="0"/>
              <w:widowControl/>
              <w:suppressLineNumbers w:val="0"/>
              <w:spacing w:before="0" w:beforeAutospacing="0" w:afterAutospacing="0"/>
              <w:ind w:right="0"/>
              <w:rPr>
                <w:rFonts w:hint="default"/>
              </w:rPr>
            </w:pPr>
            <w:r>
              <w:rPr>
                <w:rFonts w:hint="default"/>
              </w:rPr>
              <w:t>15 ± 5</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35BEAEE6">
            <w:pPr>
              <w:pStyle w:val="55"/>
              <w:keepNext w:val="0"/>
              <w:keepLines w:val="0"/>
              <w:widowControl/>
              <w:suppressLineNumbers w:val="0"/>
              <w:spacing w:before="0" w:beforeAutospacing="0" w:afterAutospacing="0"/>
              <w:ind w:right="0"/>
              <w:rPr>
                <w:rFonts w:hint="default"/>
              </w:rPr>
            </w:pPr>
            <w:r>
              <w:rPr>
                <w:rFonts w:hint="default"/>
              </w:rPr>
              <w:t>1.09 ± 0.04</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6F487CE7">
            <w:pPr>
              <w:pStyle w:val="55"/>
              <w:keepNext w:val="0"/>
              <w:keepLines w:val="0"/>
              <w:widowControl/>
              <w:suppressLineNumbers w:val="0"/>
              <w:spacing w:before="0" w:beforeAutospacing="0" w:afterAutospacing="0"/>
              <w:ind w:right="0"/>
              <w:rPr>
                <w:rFonts w:hint="default"/>
              </w:rPr>
            </w:pPr>
            <w:r>
              <w:rPr>
                <w:rFonts w:hint="default"/>
              </w:rPr>
              <w:t>0.22 ± 0.03</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4AEC9178">
            <w:pPr>
              <w:pStyle w:val="55"/>
              <w:keepNext w:val="0"/>
              <w:keepLines w:val="0"/>
              <w:widowControl/>
              <w:suppressLineNumbers w:val="0"/>
              <w:spacing w:before="0" w:beforeAutospacing="0" w:afterAutospacing="0"/>
              <w:ind w:right="0"/>
              <w:rPr>
                <w:rFonts w:hint="default"/>
              </w:rPr>
            </w:pPr>
            <w:r>
              <w:rPr>
                <w:rFonts w:hint="default"/>
              </w:rPr>
              <w:t>1.31 ± 0.06</w:t>
            </w:r>
          </w:p>
        </w:tc>
      </w:tr>
      <w:tr w14:paraId="11421C9C">
        <w:tblPrEx>
          <w:tblCellMar>
            <w:top w:w="0" w:type="dxa"/>
            <w:left w:w="108" w:type="dxa"/>
            <w:bottom w:w="0" w:type="dxa"/>
            <w:right w:w="108" w:type="dxa"/>
          </w:tblCellMar>
        </w:tblPrEx>
        <w:trPr>
          <w:jc w:val="center"/>
        </w:trPr>
        <w:tc>
          <w:tcPr>
            <w:tcW w:w="495"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32E7ABEE">
            <w:pPr>
              <w:pStyle w:val="55"/>
              <w:keepNext w:val="0"/>
              <w:keepLines w:val="0"/>
              <w:widowControl/>
              <w:suppressLineNumbers w:val="0"/>
              <w:spacing w:before="0" w:beforeAutospacing="0" w:afterAutospacing="0"/>
              <w:ind w:right="0"/>
              <w:rPr>
                <w:rFonts w:hint="default"/>
              </w:rPr>
            </w:pPr>
            <w:r>
              <w:rPr>
                <w:rFonts w:hint="default"/>
              </w:rPr>
              <w:t>BFD-OSL8</w:t>
            </w:r>
          </w:p>
        </w:tc>
        <w:tc>
          <w:tcPr>
            <w:tcW w:w="292"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7CBB876C">
            <w:pPr>
              <w:pStyle w:val="55"/>
              <w:keepNext w:val="0"/>
              <w:keepLines w:val="0"/>
              <w:widowControl/>
              <w:suppressLineNumbers w:val="0"/>
              <w:spacing w:before="0" w:beforeAutospacing="0" w:afterAutospacing="0"/>
              <w:ind w:right="0"/>
              <w:rPr>
                <w:rFonts w:hint="default"/>
              </w:rPr>
            </w:pPr>
            <w:r>
              <w:rPr>
                <w:rFonts w:hint="default"/>
              </w:rPr>
              <w:t>8</w:t>
            </w:r>
          </w:p>
        </w:tc>
        <w:tc>
          <w:tcPr>
            <w:tcW w:w="432"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414742C1">
            <w:pPr>
              <w:pStyle w:val="55"/>
              <w:keepNext w:val="0"/>
              <w:keepLines w:val="0"/>
              <w:widowControl/>
              <w:suppressLineNumbers w:val="0"/>
              <w:spacing w:before="0" w:beforeAutospacing="0" w:afterAutospacing="0"/>
              <w:ind w:right="0"/>
              <w:rPr>
                <w:rFonts w:hint="default"/>
              </w:rPr>
            </w:pPr>
            <w:r>
              <w:rPr>
                <w:rFonts w:hint="default"/>
              </w:rPr>
              <w:t>1.23</w:t>
            </w:r>
          </w:p>
        </w:tc>
        <w:tc>
          <w:tcPr>
            <w:tcW w:w="61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65D8BE27">
            <w:pPr>
              <w:pStyle w:val="55"/>
              <w:keepNext w:val="0"/>
              <w:keepLines w:val="0"/>
              <w:widowControl/>
              <w:suppressLineNumbers w:val="0"/>
              <w:spacing w:before="0" w:beforeAutospacing="0" w:afterAutospacing="0"/>
              <w:ind w:right="0"/>
              <w:rPr>
                <w:rFonts w:hint="default"/>
              </w:rPr>
            </w:pPr>
            <w:r>
              <w:rPr>
                <w:rFonts w:hint="default"/>
              </w:rPr>
              <w:t>150 - 250</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4703C86B">
            <w:pPr>
              <w:pStyle w:val="55"/>
              <w:keepNext w:val="0"/>
              <w:keepLines w:val="0"/>
              <w:widowControl/>
              <w:suppressLineNumbers w:val="0"/>
              <w:spacing w:before="0" w:beforeAutospacing="0" w:afterAutospacing="0"/>
              <w:ind w:right="0"/>
              <w:rPr>
                <w:rFonts w:hint="default"/>
              </w:rPr>
            </w:pPr>
            <w:r>
              <w:rPr>
                <w:rFonts w:hint="default"/>
              </w:rPr>
              <w:t>3.51 ± 0.07</w:t>
            </w:r>
          </w:p>
        </w:tc>
        <w:tc>
          <w:tcPr>
            <w:tcW w:w="486"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772C7A13">
            <w:pPr>
              <w:pStyle w:val="55"/>
              <w:keepNext w:val="0"/>
              <w:keepLines w:val="0"/>
              <w:widowControl/>
              <w:suppressLineNumbers w:val="0"/>
              <w:spacing w:before="0" w:beforeAutospacing="0" w:afterAutospacing="0"/>
              <w:ind w:right="0"/>
              <w:rPr>
                <w:rFonts w:hint="default"/>
              </w:rPr>
            </w:pPr>
            <w:r>
              <w:rPr>
                <w:rFonts w:hint="default"/>
              </w:rPr>
              <w:t>8.05 ± 0.40</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00541681">
            <w:pPr>
              <w:pStyle w:val="55"/>
              <w:keepNext w:val="0"/>
              <w:keepLines w:val="0"/>
              <w:widowControl/>
              <w:suppressLineNumbers w:val="0"/>
              <w:spacing w:before="0" w:beforeAutospacing="0" w:afterAutospacing="0"/>
              <w:ind w:right="0"/>
              <w:rPr>
                <w:rFonts w:hint="default"/>
              </w:rPr>
            </w:pPr>
            <w:r>
              <w:rPr>
                <w:rFonts w:hint="default"/>
              </w:rPr>
              <w:t>0.79 ± 0.02</w:t>
            </w:r>
          </w:p>
        </w:tc>
        <w:tc>
          <w:tcPr>
            <w:tcW w:w="448"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34F0000C">
            <w:pPr>
              <w:pStyle w:val="55"/>
              <w:keepNext w:val="0"/>
              <w:keepLines w:val="0"/>
              <w:widowControl/>
              <w:suppressLineNumbers w:val="0"/>
              <w:spacing w:before="0" w:beforeAutospacing="0" w:afterAutospacing="0"/>
              <w:ind w:right="0"/>
              <w:rPr>
                <w:rFonts w:hint="default"/>
              </w:rPr>
            </w:pPr>
            <w:r>
              <w:rPr>
                <w:rFonts w:hint="default"/>
              </w:rPr>
              <w:t>17 ± 4</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763E9424">
            <w:pPr>
              <w:pStyle w:val="55"/>
              <w:keepNext w:val="0"/>
              <w:keepLines w:val="0"/>
              <w:widowControl/>
              <w:suppressLineNumbers w:val="0"/>
              <w:spacing w:before="0" w:beforeAutospacing="0" w:afterAutospacing="0"/>
              <w:ind w:right="0"/>
              <w:rPr>
                <w:rFonts w:hint="default"/>
              </w:rPr>
            </w:pPr>
            <w:r>
              <w:rPr>
                <w:rFonts w:hint="default"/>
              </w:rPr>
              <w:t>1.01 ± 0.04</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59C611C0">
            <w:pPr>
              <w:pStyle w:val="55"/>
              <w:keepNext w:val="0"/>
              <w:keepLines w:val="0"/>
              <w:widowControl/>
              <w:suppressLineNumbers w:val="0"/>
              <w:spacing w:before="0" w:beforeAutospacing="0" w:afterAutospacing="0"/>
              <w:ind w:right="0"/>
              <w:rPr>
                <w:rFonts w:hint="default"/>
              </w:rPr>
            </w:pPr>
            <w:r>
              <w:rPr>
                <w:rFonts w:hint="default"/>
              </w:rPr>
              <w:t>0.54 ± 0.03</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1EA3E984">
            <w:pPr>
              <w:pStyle w:val="55"/>
              <w:keepNext w:val="0"/>
              <w:keepLines w:val="0"/>
              <w:widowControl/>
              <w:suppressLineNumbers w:val="0"/>
              <w:spacing w:before="0" w:beforeAutospacing="0" w:afterAutospacing="0"/>
              <w:ind w:right="0"/>
              <w:rPr>
                <w:rFonts w:hint="default"/>
              </w:rPr>
            </w:pPr>
            <w:r>
              <w:rPr>
                <w:rFonts w:hint="default"/>
              </w:rPr>
              <w:t>1.54 ± 0.05</w:t>
            </w:r>
          </w:p>
        </w:tc>
      </w:tr>
      <w:tr w14:paraId="730131AE">
        <w:tblPrEx>
          <w:tblCellMar>
            <w:top w:w="0" w:type="dxa"/>
            <w:left w:w="108" w:type="dxa"/>
            <w:bottom w:w="0" w:type="dxa"/>
            <w:right w:w="108" w:type="dxa"/>
          </w:tblCellMar>
        </w:tblPrEx>
        <w:trPr>
          <w:jc w:val="center"/>
        </w:trPr>
        <w:tc>
          <w:tcPr>
            <w:tcW w:w="495"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3050543B">
            <w:pPr>
              <w:pStyle w:val="55"/>
              <w:keepNext w:val="0"/>
              <w:keepLines w:val="0"/>
              <w:widowControl/>
              <w:suppressLineNumbers w:val="0"/>
              <w:spacing w:before="0" w:beforeAutospacing="0" w:afterAutospacing="0"/>
              <w:ind w:right="0"/>
              <w:rPr>
                <w:rFonts w:hint="default"/>
              </w:rPr>
            </w:pPr>
            <w:r>
              <w:rPr>
                <w:rFonts w:hint="default"/>
              </w:rPr>
              <w:t>BFD-OSL9</w:t>
            </w:r>
          </w:p>
        </w:tc>
        <w:tc>
          <w:tcPr>
            <w:tcW w:w="292"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14BC20D2">
            <w:pPr>
              <w:pStyle w:val="55"/>
              <w:keepNext w:val="0"/>
              <w:keepLines w:val="0"/>
              <w:widowControl/>
              <w:suppressLineNumbers w:val="0"/>
              <w:spacing w:before="0" w:beforeAutospacing="0" w:afterAutospacing="0"/>
              <w:ind w:right="0"/>
              <w:rPr>
                <w:rFonts w:hint="default"/>
              </w:rPr>
            </w:pPr>
            <w:r>
              <w:rPr>
                <w:rFonts w:hint="default"/>
              </w:rPr>
              <w:t>10</w:t>
            </w:r>
          </w:p>
        </w:tc>
        <w:tc>
          <w:tcPr>
            <w:tcW w:w="432"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1043D369">
            <w:pPr>
              <w:pStyle w:val="55"/>
              <w:keepNext w:val="0"/>
              <w:keepLines w:val="0"/>
              <w:widowControl/>
              <w:suppressLineNumbers w:val="0"/>
              <w:spacing w:before="0" w:beforeAutospacing="0" w:afterAutospacing="0"/>
              <w:ind w:right="0"/>
              <w:rPr>
                <w:rFonts w:hint="default"/>
              </w:rPr>
            </w:pPr>
            <w:r>
              <w:rPr>
                <w:rFonts w:hint="default"/>
              </w:rPr>
              <w:t>1.30</w:t>
            </w:r>
          </w:p>
        </w:tc>
        <w:tc>
          <w:tcPr>
            <w:tcW w:w="61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151222B0">
            <w:pPr>
              <w:pStyle w:val="55"/>
              <w:keepNext w:val="0"/>
              <w:keepLines w:val="0"/>
              <w:widowControl/>
              <w:suppressLineNumbers w:val="0"/>
              <w:spacing w:before="0" w:beforeAutospacing="0" w:afterAutospacing="0"/>
              <w:ind w:right="0"/>
              <w:rPr>
                <w:rFonts w:hint="default"/>
              </w:rPr>
            </w:pPr>
            <w:r>
              <w:rPr>
                <w:rFonts w:hint="default"/>
              </w:rPr>
              <w:t>150 - 250</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73C96E9C">
            <w:pPr>
              <w:pStyle w:val="55"/>
              <w:keepNext w:val="0"/>
              <w:keepLines w:val="0"/>
              <w:widowControl/>
              <w:suppressLineNumbers w:val="0"/>
              <w:spacing w:before="0" w:beforeAutospacing="0" w:afterAutospacing="0"/>
              <w:ind w:right="0"/>
              <w:rPr>
                <w:rFonts w:hint="default"/>
              </w:rPr>
            </w:pPr>
            <w:r>
              <w:rPr>
                <w:rFonts w:hint="default"/>
              </w:rPr>
              <w:t>4.68 ± 0.09</w:t>
            </w:r>
          </w:p>
        </w:tc>
        <w:tc>
          <w:tcPr>
            <w:tcW w:w="486"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11A54B1D">
            <w:pPr>
              <w:pStyle w:val="55"/>
              <w:keepNext w:val="0"/>
              <w:keepLines w:val="0"/>
              <w:widowControl/>
              <w:suppressLineNumbers w:val="0"/>
              <w:spacing w:before="0" w:beforeAutospacing="0" w:afterAutospacing="0"/>
              <w:ind w:right="0"/>
              <w:rPr>
                <w:rFonts w:hint="default"/>
              </w:rPr>
            </w:pPr>
            <w:r>
              <w:rPr>
                <w:rFonts w:hint="default"/>
              </w:rPr>
              <w:t>10.23 ± 0.51</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0D3F5581">
            <w:pPr>
              <w:pStyle w:val="55"/>
              <w:keepNext w:val="0"/>
              <w:keepLines w:val="0"/>
              <w:widowControl/>
              <w:suppressLineNumbers w:val="0"/>
              <w:spacing w:before="0" w:beforeAutospacing="0" w:afterAutospacing="0"/>
              <w:ind w:right="0"/>
              <w:rPr>
                <w:rFonts w:hint="default"/>
              </w:rPr>
            </w:pPr>
            <w:r>
              <w:rPr>
                <w:rFonts w:hint="default"/>
              </w:rPr>
              <w:t>0.99 ± 0.02</w:t>
            </w:r>
          </w:p>
        </w:tc>
        <w:tc>
          <w:tcPr>
            <w:tcW w:w="448"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51BFF1A8">
            <w:pPr>
              <w:pStyle w:val="55"/>
              <w:keepNext w:val="0"/>
              <w:keepLines w:val="0"/>
              <w:widowControl/>
              <w:suppressLineNumbers w:val="0"/>
              <w:spacing w:before="0" w:beforeAutospacing="0" w:afterAutospacing="0"/>
              <w:ind w:right="0"/>
              <w:rPr>
                <w:rFonts w:hint="default"/>
              </w:rPr>
            </w:pPr>
            <w:r>
              <w:rPr>
                <w:rFonts w:hint="default"/>
              </w:rPr>
              <w:t>36 ± 9</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4BA691EC">
            <w:pPr>
              <w:pStyle w:val="55"/>
              <w:keepNext w:val="0"/>
              <w:keepLines w:val="0"/>
              <w:widowControl/>
              <w:suppressLineNumbers w:val="0"/>
              <w:spacing w:before="0" w:beforeAutospacing="0" w:afterAutospacing="0"/>
              <w:ind w:right="0"/>
              <w:rPr>
                <w:rFonts w:hint="default"/>
              </w:rPr>
            </w:pPr>
            <w:r>
              <w:rPr>
                <w:rFonts w:hint="default"/>
              </w:rPr>
              <w:t>1.20 ± 0.07</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5038E70C">
            <w:pPr>
              <w:pStyle w:val="55"/>
              <w:keepNext w:val="0"/>
              <w:keepLines w:val="0"/>
              <w:widowControl/>
              <w:suppressLineNumbers w:val="0"/>
              <w:spacing w:before="0" w:beforeAutospacing="0" w:afterAutospacing="0"/>
              <w:ind w:right="0"/>
              <w:rPr>
                <w:rFonts w:hint="default"/>
              </w:rPr>
            </w:pPr>
            <w:r>
              <w:rPr>
                <w:rFonts w:hint="default"/>
              </w:rPr>
              <w:t>0.39 ± 0.03</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320488CF">
            <w:pPr>
              <w:pStyle w:val="55"/>
              <w:keepNext w:val="0"/>
              <w:keepLines w:val="0"/>
              <w:widowControl/>
              <w:suppressLineNumbers w:val="0"/>
              <w:spacing w:before="0" w:beforeAutospacing="0" w:afterAutospacing="0"/>
              <w:ind w:right="0"/>
              <w:rPr>
                <w:rFonts w:hint="default"/>
              </w:rPr>
            </w:pPr>
            <w:r>
              <w:rPr>
                <w:rFonts w:hint="default"/>
              </w:rPr>
              <w:t>1.59 ± 0.08</w:t>
            </w:r>
          </w:p>
        </w:tc>
      </w:tr>
      <w:tr w14:paraId="4BE7405E">
        <w:tblPrEx>
          <w:tblCellMar>
            <w:top w:w="0" w:type="dxa"/>
            <w:left w:w="108" w:type="dxa"/>
            <w:bottom w:w="0" w:type="dxa"/>
            <w:right w:w="108" w:type="dxa"/>
          </w:tblCellMar>
        </w:tblPrEx>
        <w:trPr>
          <w:jc w:val="center"/>
        </w:trPr>
        <w:tc>
          <w:tcPr>
            <w:tcW w:w="495"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0FDBE12A">
            <w:pPr>
              <w:pStyle w:val="55"/>
              <w:keepNext w:val="0"/>
              <w:keepLines w:val="0"/>
              <w:widowControl/>
              <w:suppressLineNumbers w:val="0"/>
              <w:spacing w:before="0" w:beforeAutospacing="0" w:afterAutospacing="0"/>
              <w:ind w:right="0"/>
              <w:rPr>
                <w:rFonts w:hint="default"/>
              </w:rPr>
            </w:pPr>
            <w:r>
              <w:rPr>
                <w:rFonts w:hint="default"/>
              </w:rPr>
              <w:t>BFD-OSL10</w:t>
            </w:r>
          </w:p>
        </w:tc>
        <w:tc>
          <w:tcPr>
            <w:tcW w:w="292"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0159D2F7">
            <w:pPr>
              <w:pStyle w:val="55"/>
              <w:keepNext w:val="0"/>
              <w:keepLines w:val="0"/>
              <w:widowControl/>
              <w:suppressLineNumbers w:val="0"/>
              <w:spacing w:before="0" w:beforeAutospacing="0" w:afterAutospacing="0"/>
              <w:ind w:right="0"/>
              <w:rPr>
                <w:rFonts w:hint="default"/>
              </w:rPr>
            </w:pPr>
            <w:r>
              <w:rPr>
                <w:rFonts w:hint="default"/>
              </w:rPr>
              <w:t>12</w:t>
            </w:r>
          </w:p>
        </w:tc>
        <w:tc>
          <w:tcPr>
            <w:tcW w:w="432"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6DFF04E0">
            <w:pPr>
              <w:pStyle w:val="55"/>
              <w:keepNext w:val="0"/>
              <w:keepLines w:val="0"/>
              <w:widowControl/>
              <w:suppressLineNumbers w:val="0"/>
              <w:spacing w:before="0" w:beforeAutospacing="0" w:afterAutospacing="0"/>
              <w:ind w:right="0"/>
              <w:rPr>
                <w:rFonts w:hint="default"/>
              </w:rPr>
            </w:pPr>
            <w:r>
              <w:rPr>
                <w:rFonts w:hint="default"/>
              </w:rPr>
              <w:t>1.72</w:t>
            </w:r>
          </w:p>
        </w:tc>
        <w:tc>
          <w:tcPr>
            <w:tcW w:w="61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6B6AF996">
            <w:pPr>
              <w:pStyle w:val="55"/>
              <w:keepNext w:val="0"/>
              <w:keepLines w:val="0"/>
              <w:widowControl/>
              <w:suppressLineNumbers w:val="0"/>
              <w:spacing w:before="0" w:beforeAutospacing="0" w:afterAutospacing="0"/>
              <w:ind w:right="0"/>
              <w:rPr>
                <w:rFonts w:hint="default"/>
              </w:rPr>
            </w:pPr>
            <w:r>
              <w:rPr>
                <w:rFonts w:hint="default"/>
              </w:rPr>
              <w:t>150 - 250</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01F5F0BF">
            <w:pPr>
              <w:pStyle w:val="55"/>
              <w:keepNext w:val="0"/>
              <w:keepLines w:val="0"/>
              <w:widowControl/>
              <w:suppressLineNumbers w:val="0"/>
              <w:spacing w:before="0" w:beforeAutospacing="0" w:afterAutospacing="0"/>
              <w:ind w:right="0"/>
              <w:rPr>
                <w:rFonts w:hint="default"/>
              </w:rPr>
            </w:pPr>
            <w:r>
              <w:rPr>
                <w:rFonts w:hint="default"/>
              </w:rPr>
              <w:t>5.67 ± 0.11</w:t>
            </w:r>
          </w:p>
        </w:tc>
        <w:tc>
          <w:tcPr>
            <w:tcW w:w="486"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53218F99">
            <w:pPr>
              <w:pStyle w:val="55"/>
              <w:keepNext w:val="0"/>
              <w:keepLines w:val="0"/>
              <w:widowControl/>
              <w:suppressLineNumbers w:val="0"/>
              <w:spacing w:before="0" w:beforeAutospacing="0" w:afterAutospacing="0"/>
              <w:ind w:right="0"/>
              <w:rPr>
                <w:rFonts w:hint="default"/>
              </w:rPr>
            </w:pPr>
            <w:r>
              <w:rPr>
                <w:rFonts w:hint="default"/>
              </w:rPr>
              <w:t>12.61 ± 0.63</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498ED3F9">
            <w:pPr>
              <w:pStyle w:val="55"/>
              <w:keepNext w:val="0"/>
              <w:keepLines w:val="0"/>
              <w:widowControl/>
              <w:suppressLineNumbers w:val="0"/>
              <w:spacing w:before="0" w:beforeAutospacing="0" w:afterAutospacing="0"/>
              <w:ind w:right="0"/>
              <w:rPr>
                <w:rFonts w:hint="default"/>
              </w:rPr>
            </w:pPr>
            <w:r>
              <w:rPr>
                <w:rFonts w:hint="default"/>
              </w:rPr>
              <w:t>1.1 ± 0.02</w:t>
            </w:r>
          </w:p>
        </w:tc>
        <w:tc>
          <w:tcPr>
            <w:tcW w:w="448"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0766DDD0">
            <w:pPr>
              <w:pStyle w:val="55"/>
              <w:keepNext w:val="0"/>
              <w:keepLines w:val="0"/>
              <w:widowControl/>
              <w:suppressLineNumbers w:val="0"/>
              <w:spacing w:before="0" w:beforeAutospacing="0" w:afterAutospacing="0"/>
              <w:ind w:right="0"/>
              <w:rPr>
                <w:rFonts w:hint="default"/>
              </w:rPr>
            </w:pPr>
            <w:r>
              <w:rPr>
                <w:rFonts w:hint="default"/>
              </w:rPr>
              <w:t>37 ± 9</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10582CB0">
            <w:pPr>
              <w:pStyle w:val="55"/>
              <w:keepNext w:val="0"/>
              <w:keepLines w:val="0"/>
              <w:widowControl/>
              <w:suppressLineNumbers w:val="0"/>
              <w:spacing w:before="0" w:beforeAutospacing="0" w:afterAutospacing="0"/>
              <w:ind w:right="0"/>
              <w:rPr>
                <w:rFonts w:hint="default"/>
              </w:rPr>
            </w:pPr>
            <w:r>
              <w:rPr>
                <w:rFonts w:hint="default"/>
              </w:rPr>
              <w:t>1.25 ± 0.10</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21B7114A">
            <w:pPr>
              <w:pStyle w:val="55"/>
              <w:keepNext w:val="0"/>
              <w:keepLines w:val="0"/>
              <w:widowControl/>
              <w:suppressLineNumbers w:val="0"/>
              <w:spacing w:before="0" w:beforeAutospacing="0" w:afterAutospacing="0"/>
              <w:ind w:right="0"/>
              <w:rPr>
                <w:rFonts w:hint="default"/>
              </w:rPr>
            </w:pPr>
            <w:r>
              <w:rPr>
                <w:rFonts w:hint="default"/>
              </w:rPr>
              <w:t>0.85 ± 0.04</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071F03F3">
            <w:pPr>
              <w:pStyle w:val="55"/>
              <w:keepNext w:val="0"/>
              <w:keepLines w:val="0"/>
              <w:widowControl/>
              <w:suppressLineNumbers w:val="0"/>
              <w:spacing w:before="0" w:beforeAutospacing="0" w:afterAutospacing="0"/>
              <w:ind w:right="0"/>
              <w:rPr>
                <w:rFonts w:hint="default"/>
              </w:rPr>
            </w:pPr>
            <w:r>
              <w:rPr>
                <w:rFonts w:hint="default"/>
              </w:rPr>
              <w:t>2.10 ± 0.11</w:t>
            </w:r>
          </w:p>
        </w:tc>
      </w:tr>
      <w:tr w14:paraId="5658940A">
        <w:tblPrEx>
          <w:tblCellMar>
            <w:top w:w="0" w:type="dxa"/>
            <w:left w:w="108" w:type="dxa"/>
            <w:bottom w:w="0" w:type="dxa"/>
            <w:right w:w="108" w:type="dxa"/>
          </w:tblCellMar>
        </w:tblPrEx>
        <w:trPr>
          <w:jc w:val="center"/>
        </w:trPr>
        <w:tc>
          <w:tcPr>
            <w:tcW w:w="495"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019D2DBE">
            <w:pPr>
              <w:pStyle w:val="55"/>
              <w:keepNext w:val="0"/>
              <w:keepLines w:val="0"/>
              <w:widowControl/>
              <w:suppressLineNumbers w:val="0"/>
              <w:spacing w:before="0" w:beforeAutospacing="0" w:afterAutospacing="0"/>
              <w:ind w:right="0"/>
              <w:rPr>
                <w:rFonts w:hint="default"/>
              </w:rPr>
            </w:pPr>
            <w:r>
              <w:rPr>
                <w:rFonts w:hint="default"/>
              </w:rPr>
              <w:t>BFD-OSL11</w:t>
            </w:r>
          </w:p>
        </w:tc>
        <w:tc>
          <w:tcPr>
            <w:tcW w:w="292"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05F09277">
            <w:pPr>
              <w:pStyle w:val="55"/>
              <w:keepNext w:val="0"/>
              <w:keepLines w:val="0"/>
              <w:widowControl/>
              <w:suppressLineNumbers w:val="0"/>
              <w:spacing w:before="0" w:beforeAutospacing="0" w:afterAutospacing="0"/>
              <w:ind w:right="0"/>
              <w:rPr>
                <w:rFonts w:hint="default"/>
              </w:rPr>
            </w:pPr>
            <w:r>
              <w:rPr>
                <w:rFonts w:hint="default"/>
              </w:rPr>
              <w:t>13</w:t>
            </w:r>
          </w:p>
        </w:tc>
        <w:tc>
          <w:tcPr>
            <w:tcW w:w="432"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792F9ACC">
            <w:pPr>
              <w:pStyle w:val="55"/>
              <w:keepNext w:val="0"/>
              <w:keepLines w:val="0"/>
              <w:widowControl/>
              <w:suppressLineNumbers w:val="0"/>
              <w:spacing w:before="0" w:beforeAutospacing="0" w:afterAutospacing="0"/>
              <w:ind w:right="0"/>
              <w:rPr>
                <w:rFonts w:hint="default"/>
              </w:rPr>
            </w:pPr>
            <w:r>
              <w:rPr>
                <w:rFonts w:hint="default"/>
              </w:rPr>
              <w:t>1.82</w:t>
            </w:r>
          </w:p>
        </w:tc>
        <w:tc>
          <w:tcPr>
            <w:tcW w:w="61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325278F5">
            <w:pPr>
              <w:pStyle w:val="55"/>
              <w:keepNext w:val="0"/>
              <w:keepLines w:val="0"/>
              <w:widowControl/>
              <w:suppressLineNumbers w:val="0"/>
              <w:spacing w:before="0" w:beforeAutospacing="0" w:afterAutospacing="0"/>
              <w:ind w:right="0"/>
              <w:rPr>
                <w:rFonts w:hint="default"/>
              </w:rPr>
            </w:pPr>
            <w:r>
              <w:rPr>
                <w:rFonts w:hint="default"/>
              </w:rPr>
              <w:t>150 - 250</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20F7185C">
            <w:pPr>
              <w:pStyle w:val="55"/>
              <w:keepNext w:val="0"/>
              <w:keepLines w:val="0"/>
              <w:widowControl/>
              <w:suppressLineNumbers w:val="0"/>
              <w:spacing w:before="0" w:beforeAutospacing="0" w:afterAutospacing="0"/>
              <w:ind w:right="0"/>
              <w:rPr>
                <w:rFonts w:hint="default"/>
              </w:rPr>
            </w:pPr>
            <w:r>
              <w:rPr>
                <w:rFonts w:hint="default"/>
              </w:rPr>
              <w:t>5.59 ± 0.11</w:t>
            </w:r>
          </w:p>
        </w:tc>
        <w:tc>
          <w:tcPr>
            <w:tcW w:w="486"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426E5498">
            <w:pPr>
              <w:pStyle w:val="55"/>
              <w:keepNext w:val="0"/>
              <w:keepLines w:val="0"/>
              <w:widowControl/>
              <w:suppressLineNumbers w:val="0"/>
              <w:spacing w:before="0" w:beforeAutospacing="0" w:afterAutospacing="0"/>
              <w:ind w:right="0"/>
              <w:rPr>
                <w:rFonts w:hint="default"/>
              </w:rPr>
            </w:pPr>
            <w:r>
              <w:rPr>
                <w:rFonts w:hint="default"/>
              </w:rPr>
              <w:t>11.99 ± 0.6</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1DB01686">
            <w:pPr>
              <w:pStyle w:val="55"/>
              <w:keepNext w:val="0"/>
              <w:keepLines w:val="0"/>
              <w:widowControl/>
              <w:suppressLineNumbers w:val="0"/>
              <w:spacing w:before="0" w:beforeAutospacing="0" w:afterAutospacing="0"/>
              <w:ind w:right="0"/>
              <w:rPr>
                <w:rFonts w:hint="default"/>
              </w:rPr>
            </w:pPr>
            <w:r>
              <w:rPr>
                <w:rFonts w:hint="default"/>
              </w:rPr>
              <w:t>0.97 ± 0.02</w:t>
            </w:r>
          </w:p>
        </w:tc>
        <w:tc>
          <w:tcPr>
            <w:tcW w:w="448"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075CDB37">
            <w:pPr>
              <w:pStyle w:val="55"/>
              <w:keepNext w:val="0"/>
              <w:keepLines w:val="0"/>
              <w:widowControl/>
              <w:suppressLineNumbers w:val="0"/>
              <w:spacing w:before="0" w:beforeAutospacing="0" w:afterAutospacing="0"/>
              <w:ind w:right="0"/>
              <w:rPr>
                <w:rFonts w:hint="default"/>
              </w:rPr>
            </w:pPr>
            <w:r>
              <w:rPr>
                <w:rFonts w:hint="default"/>
              </w:rPr>
              <w:t>40 ± 10</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105279DE">
            <w:pPr>
              <w:pStyle w:val="55"/>
              <w:keepNext w:val="0"/>
              <w:keepLines w:val="0"/>
              <w:widowControl/>
              <w:suppressLineNumbers w:val="0"/>
              <w:spacing w:before="0" w:beforeAutospacing="0" w:afterAutospacing="0"/>
              <w:ind w:right="0"/>
              <w:rPr>
                <w:rFonts w:hint="default"/>
              </w:rPr>
            </w:pPr>
            <w:r>
              <w:rPr>
                <w:rFonts w:hint="default"/>
              </w:rPr>
              <w:t>1.15 ± 0.09</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4719E58E">
            <w:pPr>
              <w:pStyle w:val="55"/>
              <w:keepNext w:val="0"/>
              <w:keepLines w:val="0"/>
              <w:widowControl/>
              <w:suppressLineNumbers w:val="0"/>
              <w:spacing w:before="0" w:beforeAutospacing="0" w:afterAutospacing="0"/>
              <w:ind w:right="0"/>
              <w:rPr>
                <w:rFonts w:hint="default"/>
              </w:rPr>
            </w:pPr>
            <w:r>
              <w:rPr>
                <w:rFonts w:hint="default"/>
              </w:rPr>
              <w:t>0.85 ± 0.05</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4788635C">
            <w:pPr>
              <w:pStyle w:val="55"/>
              <w:keepNext w:val="0"/>
              <w:keepLines w:val="0"/>
              <w:widowControl/>
              <w:suppressLineNumbers w:val="0"/>
              <w:spacing w:before="0" w:beforeAutospacing="0" w:afterAutospacing="0"/>
              <w:ind w:right="0"/>
              <w:rPr>
                <w:rFonts w:hint="default"/>
              </w:rPr>
            </w:pPr>
            <w:r>
              <w:rPr>
                <w:rFonts w:hint="default"/>
              </w:rPr>
              <w:t>1.99 ± 0.11</w:t>
            </w:r>
          </w:p>
        </w:tc>
      </w:tr>
      <w:tr w14:paraId="5D882053">
        <w:tblPrEx>
          <w:tblCellMar>
            <w:top w:w="0" w:type="dxa"/>
            <w:left w:w="108" w:type="dxa"/>
            <w:bottom w:w="0" w:type="dxa"/>
            <w:right w:w="108" w:type="dxa"/>
          </w:tblCellMar>
        </w:tblPrEx>
        <w:trPr>
          <w:jc w:val="center"/>
        </w:trPr>
        <w:tc>
          <w:tcPr>
            <w:tcW w:w="495"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1F3438C0">
            <w:pPr>
              <w:pStyle w:val="55"/>
              <w:keepNext w:val="0"/>
              <w:keepLines w:val="0"/>
              <w:widowControl/>
              <w:suppressLineNumbers w:val="0"/>
              <w:spacing w:before="0" w:beforeAutospacing="0" w:afterAutospacing="0"/>
              <w:ind w:right="0"/>
              <w:rPr>
                <w:rFonts w:hint="default"/>
              </w:rPr>
            </w:pPr>
            <w:r>
              <w:rPr>
                <w:rFonts w:hint="default"/>
              </w:rPr>
              <w:t>BFD-OSL12</w:t>
            </w:r>
          </w:p>
        </w:tc>
        <w:tc>
          <w:tcPr>
            <w:tcW w:w="292"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3171CD8E">
            <w:pPr>
              <w:pStyle w:val="55"/>
              <w:keepNext w:val="0"/>
              <w:keepLines w:val="0"/>
              <w:widowControl/>
              <w:suppressLineNumbers w:val="0"/>
              <w:spacing w:before="0" w:beforeAutospacing="0" w:afterAutospacing="0"/>
              <w:ind w:right="0"/>
              <w:rPr>
                <w:rFonts w:hint="default"/>
              </w:rPr>
            </w:pPr>
            <w:r>
              <w:rPr>
                <w:rFonts w:hint="default"/>
              </w:rPr>
              <w:t>14</w:t>
            </w:r>
          </w:p>
        </w:tc>
        <w:tc>
          <w:tcPr>
            <w:tcW w:w="432"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75E79613">
            <w:pPr>
              <w:pStyle w:val="55"/>
              <w:keepNext w:val="0"/>
              <w:keepLines w:val="0"/>
              <w:widowControl/>
              <w:suppressLineNumbers w:val="0"/>
              <w:spacing w:before="0" w:beforeAutospacing="0" w:afterAutospacing="0"/>
              <w:ind w:right="0"/>
              <w:rPr>
                <w:rFonts w:hint="default"/>
              </w:rPr>
            </w:pPr>
            <w:r>
              <w:rPr>
                <w:rFonts w:hint="default"/>
              </w:rPr>
              <w:t>1.99</w:t>
            </w:r>
          </w:p>
        </w:tc>
        <w:tc>
          <w:tcPr>
            <w:tcW w:w="61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507560C5">
            <w:pPr>
              <w:pStyle w:val="55"/>
              <w:keepNext w:val="0"/>
              <w:keepLines w:val="0"/>
              <w:widowControl/>
              <w:suppressLineNumbers w:val="0"/>
              <w:spacing w:before="0" w:beforeAutospacing="0" w:afterAutospacing="0"/>
              <w:ind w:right="0"/>
              <w:rPr>
                <w:rFonts w:hint="default"/>
              </w:rPr>
            </w:pPr>
            <w:r>
              <w:rPr>
                <w:rFonts w:hint="default"/>
              </w:rPr>
              <w:t>150 - 250</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420E47CC">
            <w:pPr>
              <w:pStyle w:val="55"/>
              <w:keepNext w:val="0"/>
              <w:keepLines w:val="0"/>
              <w:widowControl/>
              <w:suppressLineNumbers w:val="0"/>
              <w:spacing w:before="0" w:beforeAutospacing="0" w:afterAutospacing="0"/>
              <w:ind w:right="0"/>
              <w:rPr>
                <w:rFonts w:hint="default"/>
              </w:rPr>
            </w:pPr>
            <w:r>
              <w:rPr>
                <w:rFonts w:hint="default"/>
              </w:rPr>
              <w:t>6.73 ± 0.13</w:t>
            </w:r>
          </w:p>
        </w:tc>
        <w:tc>
          <w:tcPr>
            <w:tcW w:w="486"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38E53BF8">
            <w:pPr>
              <w:pStyle w:val="55"/>
              <w:keepNext w:val="0"/>
              <w:keepLines w:val="0"/>
              <w:widowControl/>
              <w:suppressLineNumbers w:val="0"/>
              <w:spacing w:before="0" w:beforeAutospacing="0" w:afterAutospacing="0"/>
              <w:ind w:right="0"/>
              <w:rPr>
                <w:rFonts w:hint="default"/>
              </w:rPr>
            </w:pPr>
            <w:r>
              <w:rPr>
                <w:rFonts w:hint="default"/>
              </w:rPr>
              <w:t>16.21 ± 0.81</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4D3A7149">
            <w:pPr>
              <w:pStyle w:val="55"/>
              <w:keepNext w:val="0"/>
              <w:keepLines w:val="0"/>
              <w:widowControl/>
              <w:suppressLineNumbers w:val="0"/>
              <w:spacing w:before="0" w:beforeAutospacing="0" w:afterAutospacing="0"/>
              <w:ind w:right="0"/>
              <w:rPr>
                <w:rFonts w:hint="default"/>
              </w:rPr>
            </w:pPr>
            <w:r>
              <w:rPr>
                <w:rFonts w:hint="default"/>
              </w:rPr>
              <w:t>0.84 ± 0.02</w:t>
            </w:r>
          </w:p>
        </w:tc>
        <w:tc>
          <w:tcPr>
            <w:tcW w:w="448"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5618CF57">
            <w:pPr>
              <w:pStyle w:val="55"/>
              <w:keepNext w:val="0"/>
              <w:keepLines w:val="0"/>
              <w:widowControl/>
              <w:suppressLineNumbers w:val="0"/>
              <w:spacing w:before="0" w:beforeAutospacing="0" w:afterAutospacing="0"/>
              <w:ind w:right="0"/>
              <w:rPr>
                <w:rFonts w:hint="default"/>
              </w:rPr>
            </w:pPr>
            <w:r>
              <w:rPr>
                <w:rFonts w:hint="default"/>
              </w:rPr>
              <w:t>48 ± 12</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10D723EF">
            <w:pPr>
              <w:pStyle w:val="55"/>
              <w:keepNext w:val="0"/>
              <w:keepLines w:val="0"/>
              <w:widowControl/>
              <w:suppressLineNumbers w:val="0"/>
              <w:spacing w:before="0" w:beforeAutospacing="0" w:afterAutospacing="0"/>
              <w:ind w:right="0"/>
              <w:rPr>
                <w:rFonts w:hint="default"/>
              </w:rPr>
            </w:pPr>
            <w:r>
              <w:rPr>
                <w:rFonts w:hint="default"/>
              </w:rPr>
              <w:t>1.16 ± 0.1</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288A4DCF">
            <w:pPr>
              <w:pStyle w:val="55"/>
              <w:keepNext w:val="0"/>
              <w:keepLines w:val="0"/>
              <w:widowControl/>
              <w:suppressLineNumbers w:val="0"/>
              <w:spacing w:before="0" w:beforeAutospacing="0" w:afterAutospacing="0"/>
              <w:ind w:right="0"/>
              <w:rPr>
                <w:rFonts w:hint="default"/>
              </w:rPr>
            </w:pPr>
            <w:r>
              <w:rPr>
                <w:rFonts w:hint="default"/>
              </w:rPr>
              <w:t>1.11 ± 0.06</w:t>
            </w:r>
          </w:p>
        </w:tc>
        <w:tc>
          <w:tcPr>
            <w:tcW w:w="44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5CD7CAB3">
            <w:pPr>
              <w:pStyle w:val="55"/>
              <w:keepNext w:val="0"/>
              <w:keepLines w:val="0"/>
              <w:widowControl/>
              <w:suppressLineNumbers w:val="0"/>
              <w:spacing w:before="0" w:beforeAutospacing="0" w:afterAutospacing="0"/>
              <w:ind w:right="0"/>
              <w:rPr>
                <w:rFonts w:hint="default"/>
              </w:rPr>
            </w:pPr>
            <w:r>
              <w:rPr>
                <w:rFonts w:hint="default"/>
              </w:rPr>
              <w:t>2.27 ± 0.12</w:t>
            </w:r>
          </w:p>
        </w:tc>
      </w:tr>
      <w:tr w14:paraId="530937B9">
        <w:tblPrEx>
          <w:tblCellMar>
            <w:top w:w="0" w:type="dxa"/>
            <w:left w:w="108" w:type="dxa"/>
            <w:bottom w:w="0" w:type="dxa"/>
            <w:right w:w="108" w:type="dxa"/>
          </w:tblCellMar>
        </w:tblPrEx>
        <w:trPr>
          <w:jc w:val="center"/>
        </w:trPr>
        <w:tc>
          <w:tcPr>
            <w:tcW w:w="495" w:type="pct"/>
            <w:tcBorders>
              <w:top w:val="single" w:color="666666" w:sz="6" w:space="0"/>
              <w:left w:val="nil"/>
              <w:bottom w:val="single" w:color="666666" w:sz="12" w:space="0"/>
              <w:right w:val="nil"/>
            </w:tcBorders>
            <w:shd w:val="clear" w:color="auto" w:fill="FFFFFF"/>
            <w:tcMar>
              <w:top w:w="0" w:type="dxa"/>
              <w:left w:w="0" w:type="dxa"/>
              <w:bottom w:w="0" w:type="dxa"/>
              <w:right w:w="0" w:type="dxa"/>
            </w:tcMar>
            <w:vAlign w:val="center"/>
          </w:tcPr>
          <w:p w14:paraId="4A4CEE30">
            <w:pPr>
              <w:pStyle w:val="55"/>
              <w:keepNext w:val="0"/>
              <w:keepLines w:val="0"/>
              <w:widowControl/>
              <w:suppressLineNumbers w:val="0"/>
              <w:spacing w:before="0" w:beforeAutospacing="0" w:afterAutospacing="0"/>
              <w:ind w:right="0"/>
              <w:rPr>
                <w:rFonts w:hint="default"/>
              </w:rPr>
            </w:pPr>
            <w:r>
              <w:rPr>
                <w:rFonts w:hint="default"/>
              </w:rPr>
              <w:t>BFD-OSL13</w:t>
            </w:r>
          </w:p>
        </w:tc>
        <w:tc>
          <w:tcPr>
            <w:tcW w:w="292" w:type="pct"/>
            <w:tcBorders>
              <w:top w:val="single" w:color="666666" w:sz="6" w:space="0"/>
              <w:left w:val="nil"/>
              <w:bottom w:val="single" w:color="666666" w:sz="12" w:space="0"/>
              <w:right w:val="nil"/>
            </w:tcBorders>
            <w:shd w:val="clear" w:color="auto" w:fill="FFFFFF"/>
            <w:tcMar>
              <w:top w:w="0" w:type="dxa"/>
              <w:left w:w="0" w:type="dxa"/>
              <w:bottom w:w="0" w:type="dxa"/>
              <w:right w:w="0" w:type="dxa"/>
            </w:tcMar>
            <w:vAlign w:val="center"/>
          </w:tcPr>
          <w:p w14:paraId="045A7FB5">
            <w:pPr>
              <w:pStyle w:val="55"/>
              <w:keepNext w:val="0"/>
              <w:keepLines w:val="0"/>
              <w:widowControl/>
              <w:suppressLineNumbers w:val="0"/>
              <w:spacing w:before="0" w:beforeAutospacing="0" w:afterAutospacing="0"/>
              <w:ind w:right="0"/>
              <w:rPr>
                <w:rFonts w:hint="default"/>
              </w:rPr>
            </w:pPr>
            <w:r>
              <w:rPr>
                <w:rFonts w:hint="default"/>
              </w:rPr>
              <w:t>15</w:t>
            </w:r>
          </w:p>
        </w:tc>
        <w:tc>
          <w:tcPr>
            <w:tcW w:w="432" w:type="pct"/>
            <w:tcBorders>
              <w:top w:val="single" w:color="666666" w:sz="6" w:space="0"/>
              <w:left w:val="nil"/>
              <w:bottom w:val="single" w:color="666666" w:sz="12" w:space="0"/>
              <w:right w:val="nil"/>
            </w:tcBorders>
            <w:shd w:val="clear" w:color="auto" w:fill="FFFFFF"/>
            <w:tcMar>
              <w:top w:w="0" w:type="dxa"/>
              <w:left w:w="0" w:type="dxa"/>
              <w:bottom w:w="0" w:type="dxa"/>
              <w:right w:w="0" w:type="dxa"/>
            </w:tcMar>
            <w:vAlign w:val="center"/>
          </w:tcPr>
          <w:p w14:paraId="1EE1F52F">
            <w:pPr>
              <w:pStyle w:val="55"/>
              <w:keepNext w:val="0"/>
              <w:keepLines w:val="0"/>
              <w:widowControl/>
              <w:suppressLineNumbers w:val="0"/>
              <w:spacing w:before="0" w:beforeAutospacing="0" w:afterAutospacing="0"/>
              <w:ind w:right="0"/>
              <w:rPr>
                <w:rFonts w:hint="default"/>
              </w:rPr>
            </w:pPr>
            <w:r>
              <w:rPr>
                <w:rFonts w:hint="default"/>
              </w:rPr>
              <w:t>2.23</w:t>
            </w:r>
          </w:p>
        </w:tc>
        <w:tc>
          <w:tcPr>
            <w:tcW w:w="613" w:type="pct"/>
            <w:tcBorders>
              <w:top w:val="single" w:color="666666" w:sz="6" w:space="0"/>
              <w:left w:val="nil"/>
              <w:bottom w:val="single" w:color="666666" w:sz="12" w:space="0"/>
              <w:right w:val="nil"/>
            </w:tcBorders>
            <w:shd w:val="clear" w:color="auto" w:fill="FFFFFF"/>
            <w:tcMar>
              <w:top w:w="0" w:type="dxa"/>
              <w:left w:w="0" w:type="dxa"/>
              <w:bottom w:w="0" w:type="dxa"/>
              <w:right w:w="0" w:type="dxa"/>
            </w:tcMar>
            <w:vAlign w:val="center"/>
          </w:tcPr>
          <w:p w14:paraId="5D87C8EA">
            <w:pPr>
              <w:pStyle w:val="55"/>
              <w:keepNext w:val="0"/>
              <w:keepLines w:val="0"/>
              <w:widowControl/>
              <w:suppressLineNumbers w:val="0"/>
              <w:spacing w:before="0" w:beforeAutospacing="0" w:afterAutospacing="0"/>
              <w:ind w:right="0"/>
              <w:rPr>
                <w:rFonts w:hint="default"/>
              </w:rPr>
            </w:pPr>
            <w:r>
              <w:rPr>
                <w:rFonts w:hint="default"/>
              </w:rPr>
              <w:t>150 - 250</w:t>
            </w:r>
          </w:p>
        </w:tc>
        <w:tc>
          <w:tcPr>
            <w:tcW w:w="447" w:type="pct"/>
            <w:tcBorders>
              <w:top w:val="single" w:color="666666" w:sz="6" w:space="0"/>
              <w:left w:val="nil"/>
              <w:bottom w:val="single" w:color="666666" w:sz="12" w:space="0"/>
              <w:right w:val="nil"/>
            </w:tcBorders>
            <w:shd w:val="clear" w:color="auto" w:fill="FFFFFF"/>
            <w:tcMar>
              <w:top w:w="0" w:type="dxa"/>
              <w:left w:w="0" w:type="dxa"/>
              <w:bottom w:w="0" w:type="dxa"/>
              <w:right w:w="0" w:type="dxa"/>
            </w:tcMar>
            <w:vAlign w:val="center"/>
          </w:tcPr>
          <w:p w14:paraId="3D33A5BB">
            <w:pPr>
              <w:pStyle w:val="55"/>
              <w:keepNext w:val="0"/>
              <w:keepLines w:val="0"/>
              <w:widowControl/>
              <w:suppressLineNumbers w:val="0"/>
              <w:spacing w:before="0" w:beforeAutospacing="0" w:afterAutospacing="0"/>
              <w:ind w:right="0"/>
              <w:rPr>
                <w:rFonts w:hint="default"/>
              </w:rPr>
            </w:pPr>
            <w:r>
              <w:rPr>
                <w:rFonts w:hint="default"/>
              </w:rPr>
              <w:t>6.31 ± 0.13</w:t>
            </w:r>
          </w:p>
        </w:tc>
        <w:tc>
          <w:tcPr>
            <w:tcW w:w="486" w:type="pct"/>
            <w:tcBorders>
              <w:top w:val="single" w:color="666666" w:sz="6" w:space="0"/>
              <w:left w:val="nil"/>
              <w:bottom w:val="single" w:color="666666" w:sz="12" w:space="0"/>
              <w:right w:val="nil"/>
            </w:tcBorders>
            <w:shd w:val="clear" w:color="auto" w:fill="FFFFFF"/>
            <w:tcMar>
              <w:top w:w="0" w:type="dxa"/>
              <w:left w:w="0" w:type="dxa"/>
              <w:bottom w:w="0" w:type="dxa"/>
              <w:right w:w="0" w:type="dxa"/>
            </w:tcMar>
            <w:vAlign w:val="center"/>
          </w:tcPr>
          <w:p w14:paraId="0169BFEB">
            <w:pPr>
              <w:pStyle w:val="55"/>
              <w:keepNext w:val="0"/>
              <w:keepLines w:val="0"/>
              <w:widowControl/>
              <w:suppressLineNumbers w:val="0"/>
              <w:spacing w:before="0" w:beforeAutospacing="0" w:afterAutospacing="0"/>
              <w:ind w:right="0"/>
              <w:rPr>
                <w:rFonts w:hint="default"/>
              </w:rPr>
            </w:pPr>
            <w:r>
              <w:rPr>
                <w:rFonts w:hint="default"/>
              </w:rPr>
              <w:t>12.46 ± 0.62</w:t>
            </w:r>
          </w:p>
        </w:tc>
        <w:tc>
          <w:tcPr>
            <w:tcW w:w="447" w:type="pct"/>
            <w:tcBorders>
              <w:top w:val="single" w:color="666666" w:sz="6" w:space="0"/>
              <w:left w:val="nil"/>
              <w:bottom w:val="single" w:color="666666" w:sz="12" w:space="0"/>
              <w:right w:val="nil"/>
            </w:tcBorders>
            <w:shd w:val="clear" w:color="auto" w:fill="FFFFFF"/>
            <w:tcMar>
              <w:top w:w="0" w:type="dxa"/>
              <w:left w:w="0" w:type="dxa"/>
              <w:bottom w:w="0" w:type="dxa"/>
              <w:right w:w="0" w:type="dxa"/>
            </w:tcMar>
            <w:vAlign w:val="center"/>
          </w:tcPr>
          <w:p w14:paraId="50F44AB3">
            <w:pPr>
              <w:pStyle w:val="55"/>
              <w:keepNext w:val="0"/>
              <w:keepLines w:val="0"/>
              <w:widowControl/>
              <w:suppressLineNumbers w:val="0"/>
              <w:spacing w:before="0" w:beforeAutospacing="0" w:afterAutospacing="0"/>
              <w:ind w:right="0"/>
              <w:rPr>
                <w:rFonts w:hint="default"/>
              </w:rPr>
            </w:pPr>
            <w:r>
              <w:rPr>
                <w:rFonts w:hint="default"/>
              </w:rPr>
              <w:t>0.68 ± 0.01</w:t>
            </w:r>
          </w:p>
        </w:tc>
        <w:tc>
          <w:tcPr>
            <w:tcW w:w="448" w:type="pct"/>
            <w:tcBorders>
              <w:top w:val="single" w:color="666666" w:sz="6" w:space="0"/>
              <w:left w:val="nil"/>
              <w:bottom w:val="single" w:color="666666" w:sz="12" w:space="0"/>
              <w:right w:val="nil"/>
            </w:tcBorders>
            <w:shd w:val="clear" w:color="auto" w:fill="FFFFFF"/>
            <w:tcMar>
              <w:top w:w="0" w:type="dxa"/>
              <w:left w:w="0" w:type="dxa"/>
              <w:bottom w:w="0" w:type="dxa"/>
              <w:right w:w="0" w:type="dxa"/>
            </w:tcMar>
            <w:vAlign w:val="center"/>
          </w:tcPr>
          <w:p w14:paraId="46E294F0">
            <w:pPr>
              <w:pStyle w:val="55"/>
              <w:keepNext w:val="0"/>
              <w:keepLines w:val="0"/>
              <w:widowControl/>
              <w:suppressLineNumbers w:val="0"/>
              <w:spacing w:before="0" w:beforeAutospacing="0" w:afterAutospacing="0"/>
              <w:ind w:right="0"/>
              <w:rPr>
                <w:rFonts w:hint="default"/>
              </w:rPr>
            </w:pPr>
            <w:r>
              <w:rPr>
                <w:rFonts w:hint="default"/>
              </w:rPr>
              <w:t>44 ± 11</w:t>
            </w:r>
          </w:p>
        </w:tc>
        <w:tc>
          <w:tcPr>
            <w:tcW w:w="447" w:type="pct"/>
            <w:tcBorders>
              <w:top w:val="single" w:color="666666" w:sz="6" w:space="0"/>
              <w:left w:val="nil"/>
              <w:bottom w:val="single" w:color="666666" w:sz="12" w:space="0"/>
              <w:right w:val="nil"/>
            </w:tcBorders>
            <w:shd w:val="clear" w:color="auto" w:fill="FFFFFF"/>
            <w:tcMar>
              <w:top w:w="0" w:type="dxa"/>
              <w:left w:w="0" w:type="dxa"/>
              <w:bottom w:w="0" w:type="dxa"/>
              <w:right w:w="0" w:type="dxa"/>
            </w:tcMar>
            <w:vAlign w:val="center"/>
          </w:tcPr>
          <w:p w14:paraId="7D788D4E">
            <w:pPr>
              <w:pStyle w:val="55"/>
              <w:keepNext w:val="0"/>
              <w:keepLines w:val="0"/>
              <w:widowControl/>
              <w:suppressLineNumbers w:val="0"/>
              <w:spacing w:before="0" w:beforeAutospacing="0" w:afterAutospacing="0"/>
              <w:ind w:right="0"/>
              <w:rPr>
                <w:rFonts w:hint="default"/>
              </w:rPr>
            </w:pPr>
            <w:r>
              <w:rPr>
                <w:rFonts w:hint="default"/>
              </w:rPr>
              <w:t>1.03 ± 0.09</w:t>
            </w:r>
          </w:p>
        </w:tc>
        <w:tc>
          <w:tcPr>
            <w:tcW w:w="447" w:type="pct"/>
            <w:tcBorders>
              <w:top w:val="single" w:color="666666" w:sz="6" w:space="0"/>
              <w:left w:val="nil"/>
              <w:bottom w:val="single" w:color="666666" w:sz="12" w:space="0"/>
              <w:right w:val="nil"/>
            </w:tcBorders>
            <w:shd w:val="clear" w:color="auto" w:fill="FFFFFF"/>
            <w:tcMar>
              <w:top w:w="0" w:type="dxa"/>
              <w:left w:w="0" w:type="dxa"/>
              <w:bottom w:w="0" w:type="dxa"/>
              <w:right w:w="0" w:type="dxa"/>
            </w:tcMar>
            <w:vAlign w:val="center"/>
          </w:tcPr>
          <w:p w14:paraId="14D1EC8A">
            <w:pPr>
              <w:pStyle w:val="55"/>
              <w:keepNext w:val="0"/>
              <w:keepLines w:val="0"/>
              <w:widowControl/>
              <w:suppressLineNumbers w:val="0"/>
              <w:spacing w:before="0" w:beforeAutospacing="0" w:afterAutospacing="0"/>
              <w:ind w:right="0"/>
              <w:rPr>
                <w:rFonts w:hint="default"/>
              </w:rPr>
            </w:pPr>
            <w:r>
              <w:rPr>
                <w:rFonts w:hint="default"/>
              </w:rPr>
              <w:t>1.02 ± 0.05</w:t>
            </w:r>
          </w:p>
        </w:tc>
        <w:tc>
          <w:tcPr>
            <w:tcW w:w="447" w:type="pct"/>
            <w:tcBorders>
              <w:top w:val="single" w:color="666666" w:sz="6" w:space="0"/>
              <w:left w:val="nil"/>
              <w:bottom w:val="single" w:color="666666" w:sz="12" w:space="0"/>
              <w:right w:val="nil"/>
            </w:tcBorders>
            <w:shd w:val="clear" w:color="auto" w:fill="FFFFFF"/>
            <w:tcMar>
              <w:top w:w="0" w:type="dxa"/>
              <w:left w:w="0" w:type="dxa"/>
              <w:bottom w:w="0" w:type="dxa"/>
              <w:right w:w="0" w:type="dxa"/>
            </w:tcMar>
            <w:vAlign w:val="center"/>
          </w:tcPr>
          <w:p w14:paraId="546C1FB5">
            <w:pPr>
              <w:pStyle w:val="55"/>
              <w:keepNext w:val="0"/>
              <w:keepLines w:val="0"/>
              <w:widowControl/>
              <w:suppressLineNumbers w:val="0"/>
              <w:spacing w:before="0" w:beforeAutospacing="0" w:afterAutospacing="0"/>
              <w:ind w:right="0"/>
              <w:rPr>
                <w:rFonts w:hint="default"/>
              </w:rPr>
            </w:pPr>
            <w:r>
              <w:rPr>
                <w:rFonts w:hint="default"/>
              </w:rPr>
              <w:t>2.05 ± 0.10</w:t>
            </w:r>
          </w:p>
        </w:tc>
      </w:tr>
    </w:tbl>
    <w:p w14:paraId="23AB8D4C">
      <w:pPr>
        <w:pStyle w:val="56"/>
      </w:pPr>
    </w:p>
    <w:p w14:paraId="07587554">
      <w:pPr>
        <w:pStyle w:val="56"/>
      </w:pPr>
      <w:r>
        <w:t>a</w:t>
      </w:r>
      <w:r>
        <w:rPr>
          <w:vertAlign w:val="baseline"/>
        </w:rPr>
        <w:t xml:space="preserve"> The gamma dose rates are based on the modelled gamma gradient (</w:t>
      </w:r>
      <w:r>
        <w:rPr>
          <w:vertAlign w:val="baseline"/>
        </w:rPr>
        <w:fldChar w:fldCharType="begin"/>
      </w:r>
      <w:r>
        <w:rPr>
          <w:vertAlign w:val="baseline"/>
        </w:rPr>
        <w:instrText xml:space="preserve"> REF _Ref208053139 \h  \* MERGEFORMAT </w:instrText>
      </w:r>
      <w:r>
        <w:rPr>
          <w:vertAlign w:val="baseline"/>
        </w:rPr>
        <w:fldChar w:fldCharType="separate"/>
      </w:r>
      <w:r>
        <w:rPr>
          <w:rFonts w:hint="eastAsia"/>
          <w:vertAlign w:val="baseline"/>
          <w:lang w:eastAsia="zh-CN"/>
        </w:rPr>
        <w:t>Supplementary Fig.</w:t>
      </w:r>
      <w:r>
        <w:rPr>
          <w:vertAlign w:val="baseline"/>
        </w:rPr>
        <w:t xml:space="preserve"> </w:t>
      </w:r>
      <w:r>
        <w:rPr>
          <w:rFonts w:hint="eastAsia"/>
          <w:vertAlign w:val="baseline"/>
          <w:lang w:val="en-US" w:eastAsia="zh-CN"/>
        </w:rPr>
        <w:t>1</w:t>
      </w:r>
      <w:r>
        <w:rPr>
          <w:vertAlign w:val="baseline"/>
        </w:rPr>
        <w:fldChar w:fldCharType="end"/>
      </w:r>
      <w:r>
        <w:rPr>
          <w:vertAlign w:val="baseline"/>
        </w:rPr>
        <w:t xml:space="preserve">). </w:t>
      </w:r>
    </w:p>
    <w:p w14:paraId="6799CD63">
      <w:pPr>
        <w:pStyle w:val="7"/>
      </w:pPr>
      <w:r>
        <w:rPr>
          <w:sz w:val="22"/>
        </w:rPr>
        <w:br w:type="column"/>
      </w:r>
      <w:bookmarkStart w:id="24" w:name="_Ref208053860"/>
      <w:r>
        <w:rPr>
          <w:b/>
          <w:bCs w:val="0"/>
        </w:rPr>
        <w:t xml:space="preserve">Supplementary Table </w:t>
      </w:r>
      <w:r>
        <w:rPr>
          <w:b/>
          <w:bCs w:val="0"/>
        </w:rPr>
        <w:fldChar w:fldCharType="begin"/>
      </w:r>
      <w:r>
        <w:rPr>
          <w:b/>
          <w:bCs w:val="0"/>
        </w:rPr>
        <w:instrText xml:space="preserve"> SEQ Supplementary_Table \* ARABIC </w:instrText>
      </w:r>
      <w:r>
        <w:rPr>
          <w:b/>
          <w:bCs w:val="0"/>
        </w:rPr>
        <w:fldChar w:fldCharType="separate"/>
      </w:r>
      <w:r>
        <w:rPr>
          <w:b/>
          <w:bCs w:val="0"/>
        </w:rPr>
        <w:t>3</w:t>
      </w:r>
      <w:r>
        <w:rPr>
          <w:b/>
          <w:bCs w:val="0"/>
        </w:rPr>
        <w:fldChar w:fldCharType="end"/>
      </w:r>
      <w:bookmarkEnd w:id="24"/>
      <w:r>
        <w:t xml:space="preserve"> | Number of single quartz grains measured, rejected and accepted for each sample, together with the reasons for their rejection.</w:t>
      </w:r>
    </w:p>
    <w:tbl>
      <w:tblPr>
        <w:tblStyle w:val="24"/>
        <w:tblW w:w="0" w:type="auto"/>
        <w:tblInd w:w="0" w:type="dxa"/>
        <w:tblLayout w:type="fixed"/>
        <w:tblCellMar>
          <w:top w:w="0" w:type="dxa"/>
          <w:left w:w="108" w:type="dxa"/>
          <w:bottom w:w="0" w:type="dxa"/>
          <w:right w:w="108" w:type="dxa"/>
        </w:tblCellMar>
      </w:tblPr>
      <w:tblGrid>
        <w:gridCol w:w="1418"/>
        <w:gridCol w:w="1080"/>
        <w:gridCol w:w="1080"/>
        <w:gridCol w:w="1296"/>
        <w:gridCol w:w="2178"/>
        <w:gridCol w:w="1080"/>
        <w:gridCol w:w="1329"/>
        <w:gridCol w:w="1080"/>
        <w:gridCol w:w="1188"/>
      </w:tblGrid>
      <w:tr w14:paraId="55A1C736">
        <w:tblPrEx>
          <w:tblCellMar>
            <w:top w:w="0" w:type="dxa"/>
            <w:left w:w="108" w:type="dxa"/>
            <w:bottom w:w="0" w:type="dxa"/>
            <w:right w:w="108" w:type="dxa"/>
          </w:tblCellMar>
        </w:tblPrEx>
        <w:trPr>
          <w:tblHeader/>
        </w:trPr>
        <w:tc>
          <w:tcPr>
            <w:tcW w:w="1418"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tcPr>
          <w:p w14:paraId="12693FCF">
            <w:pPr>
              <w:pStyle w:val="55"/>
              <w:keepNext w:val="0"/>
              <w:keepLines w:val="0"/>
              <w:widowControl/>
              <w:suppressLineNumbers w:val="0"/>
              <w:spacing w:before="0" w:beforeAutospacing="0" w:afterAutospacing="0"/>
              <w:ind w:right="0"/>
              <w:rPr>
                <w:rFonts w:hint="default"/>
              </w:rPr>
            </w:pPr>
            <w:r>
              <w:rPr>
                <w:rFonts w:hint="default"/>
              </w:rPr>
              <w:t>Sample</w:t>
            </w:r>
          </w:p>
        </w:tc>
        <w:tc>
          <w:tcPr>
            <w:tcW w:w="1080"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tcPr>
          <w:p w14:paraId="6AC1B0CD">
            <w:pPr>
              <w:pStyle w:val="55"/>
              <w:keepNext w:val="0"/>
              <w:keepLines w:val="0"/>
              <w:widowControl/>
              <w:suppressLineNumbers w:val="0"/>
              <w:spacing w:before="0" w:beforeAutospacing="0" w:afterAutospacing="0"/>
              <w:ind w:right="0"/>
              <w:rPr>
                <w:rFonts w:hint="default"/>
              </w:rPr>
            </w:pPr>
            <w:r>
              <w:rPr>
                <w:rFonts w:hint="default"/>
              </w:rPr>
              <w:t>Total</w:t>
            </w:r>
          </w:p>
        </w:tc>
        <w:tc>
          <w:tcPr>
            <w:tcW w:w="1080"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tcPr>
          <w:p w14:paraId="23A8A90D">
            <w:pPr>
              <w:pStyle w:val="55"/>
              <w:keepNext w:val="0"/>
              <w:keepLines w:val="0"/>
              <w:widowControl/>
              <w:suppressLineNumbers w:val="0"/>
              <w:spacing w:before="0" w:beforeAutospacing="0" w:afterAutospacing="0"/>
              <w:ind w:right="0"/>
              <w:rPr>
                <w:rFonts w:hint="default"/>
              </w:rPr>
            </w:pPr>
            <w:r>
              <w:rPr>
                <w:rFonts w:hint="default"/>
              </w:rPr>
              <w:t>Dim T</w:t>
            </w:r>
            <w:r>
              <w:rPr>
                <w:rFonts w:hint="default"/>
                <w:vertAlign w:val="subscript"/>
              </w:rPr>
              <w:t>n</w:t>
            </w:r>
          </w:p>
        </w:tc>
        <w:tc>
          <w:tcPr>
            <w:tcW w:w="1296"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tcPr>
          <w:p w14:paraId="186A25E0">
            <w:pPr>
              <w:pStyle w:val="55"/>
              <w:keepNext w:val="0"/>
              <w:keepLines w:val="0"/>
              <w:widowControl/>
              <w:suppressLineNumbers w:val="0"/>
              <w:spacing w:before="0" w:beforeAutospacing="0" w:afterAutospacing="0"/>
              <w:ind w:right="0"/>
              <w:rPr>
                <w:rFonts w:hint="default"/>
              </w:rPr>
            </w:pPr>
            <w:r>
              <w:rPr>
                <w:rFonts w:hint="default"/>
              </w:rPr>
              <w:t>Poor recycling</w:t>
            </w:r>
          </w:p>
        </w:tc>
        <w:tc>
          <w:tcPr>
            <w:tcW w:w="2178"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tcPr>
          <w:p w14:paraId="3B3BC729">
            <w:pPr>
              <w:pStyle w:val="55"/>
              <w:keepNext w:val="0"/>
              <w:keepLines w:val="0"/>
              <w:widowControl/>
              <w:suppressLineNumbers w:val="0"/>
              <w:spacing w:before="0" w:beforeAutospacing="0" w:afterAutospacing="0"/>
              <w:ind w:right="0"/>
              <w:rPr>
                <w:rFonts w:hint="default"/>
              </w:rPr>
            </w:pPr>
            <w:r>
              <w:rPr>
                <w:rFonts w:hint="default"/>
              </w:rPr>
              <w:t>Recuperation &gt; 5%</w:t>
            </w:r>
          </w:p>
        </w:tc>
        <w:tc>
          <w:tcPr>
            <w:tcW w:w="1080"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tcPr>
          <w:p w14:paraId="7F543FFD">
            <w:pPr>
              <w:pStyle w:val="55"/>
              <w:keepNext w:val="0"/>
              <w:keepLines w:val="0"/>
              <w:widowControl/>
              <w:suppressLineNumbers w:val="0"/>
              <w:spacing w:before="0" w:beforeAutospacing="0" w:afterAutospacing="0"/>
              <w:ind w:right="0"/>
              <w:rPr>
                <w:rFonts w:hint="default"/>
              </w:rPr>
            </w:pPr>
            <w:r>
              <w:rPr>
                <w:rFonts w:hint="default"/>
              </w:rPr>
              <w:t>Poor DRC</w:t>
            </w:r>
          </w:p>
        </w:tc>
        <w:tc>
          <w:tcPr>
            <w:tcW w:w="1329"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tcPr>
          <w:p w14:paraId="5E27D3C8">
            <w:pPr>
              <w:pStyle w:val="55"/>
              <w:keepNext w:val="0"/>
              <w:keepLines w:val="0"/>
              <w:widowControl/>
              <w:suppressLineNumbers w:val="0"/>
              <w:spacing w:before="0" w:beforeAutospacing="0" w:afterAutospacing="0"/>
              <w:ind w:right="0"/>
              <w:rPr>
                <w:rFonts w:hint="default"/>
              </w:rPr>
            </w:pPr>
            <w:r>
              <w:rPr>
                <w:rFonts w:hint="default"/>
              </w:rPr>
              <w:t>Saturated</w:t>
            </w:r>
          </w:p>
        </w:tc>
        <w:tc>
          <w:tcPr>
            <w:tcW w:w="1080"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tcPr>
          <w:p w14:paraId="38F477B3">
            <w:pPr>
              <w:pStyle w:val="55"/>
              <w:keepNext w:val="0"/>
              <w:keepLines w:val="0"/>
              <w:widowControl/>
              <w:suppressLineNumbers w:val="0"/>
              <w:spacing w:before="0" w:beforeAutospacing="0" w:afterAutospacing="0"/>
              <w:ind w:right="0"/>
              <w:rPr>
                <w:rFonts w:hint="default"/>
              </w:rPr>
            </w:pPr>
            <w:r>
              <w:rPr>
                <w:rFonts w:hint="default"/>
              </w:rPr>
              <w:t>Rejected</w:t>
            </w:r>
          </w:p>
        </w:tc>
        <w:tc>
          <w:tcPr>
            <w:tcW w:w="1188" w:type="dxa"/>
            <w:tcBorders>
              <w:top w:val="single" w:color="666666" w:sz="12" w:space="0"/>
              <w:left w:val="nil"/>
              <w:bottom w:val="single" w:color="666666" w:sz="12" w:space="0"/>
              <w:right w:val="nil"/>
            </w:tcBorders>
            <w:shd w:val="clear" w:color="auto" w:fill="FFFFFF"/>
            <w:tcMar>
              <w:top w:w="0" w:type="dxa"/>
              <w:left w:w="0" w:type="dxa"/>
              <w:bottom w:w="0" w:type="dxa"/>
              <w:right w:w="0" w:type="dxa"/>
            </w:tcMar>
          </w:tcPr>
          <w:p w14:paraId="15A0D1EA">
            <w:pPr>
              <w:pStyle w:val="55"/>
              <w:keepNext w:val="0"/>
              <w:keepLines w:val="0"/>
              <w:widowControl/>
              <w:suppressLineNumbers w:val="0"/>
              <w:spacing w:before="0" w:beforeAutospacing="0" w:afterAutospacing="0"/>
              <w:ind w:right="0"/>
              <w:rPr>
                <w:rFonts w:hint="default"/>
              </w:rPr>
            </w:pPr>
            <w:r>
              <w:rPr>
                <w:rFonts w:hint="default"/>
              </w:rPr>
              <w:t>Accepted</w:t>
            </w:r>
          </w:p>
        </w:tc>
      </w:tr>
      <w:tr w14:paraId="65389E7A">
        <w:tblPrEx>
          <w:tblCellMar>
            <w:top w:w="0" w:type="dxa"/>
            <w:left w:w="108" w:type="dxa"/>
            <w:bottom w:w="0" w:type="dxa"/>
            <w:right w:w="108" w:type="dxa"/>
          </w:tblCellMar>
        </w:tblPrEx>
        <w:tc>
          <w:tcPr>
            <w:tcW w:w="1418" w:type="dxa"/>
            <w:tcBorders>
              <w:top w:val="single" w:color="666666" w:sz="12" w:space="0"/>
            </w:tcBorders>
            <w:shd w:val="clear" w:color="auto" w:fill="FFFFFF"/>
            <w:tcMar>
              <w:top w:w="0" w:type="dxa"/>
              <w:left w:w="0" w:type="dxa"/>
              <w:bottom w:w="0" w:type="dxa"/>
              <w:right w:w="0" w:type="dxa"/>
            </w:tcMar>
          </w:tcPr>
          <w:p w14:paraId="3A644E37">
            <w:pPr>
              <w:pStyle w:val="55"/>
              <w:keepNext w:val="0"/>
              <w:keepLines w:val="0"/>
              <w:widowControl/>
              <w:suppressLineNumbers w:val="0"/>
              <w:spacing w:before="0" w:beforeAutospacing="0" w:afterAutospacing="0"/>
              <w:ind w:right="0"/>
              <w:rPr>
                <w:rFonts w:hint="default"/>
              </w:rPr>
            </w:pPr>
            <w:r>
              <w:rPr>
                <w:rFonts w:hint="default"/>
              </w:rPr>
              <w:t>BFD-OSL2</w:t>
            </w:r>
          </w:p>
        </w:tc>
        <w:tc>
          <w:tcPr>
            <w:tcW w:w="1080" w:type="dxa"/>
            <w:tcBorders>
              <w:top w:val="single" w:color="666666" w:sz="12" w:space="0"/>
            </w:tcBorders>
            <w:shd w:val="clear" w:color="auto" w:fill="FFFFFF"/>
            <w:tcMar>
              <w:top w:w="0" w:type="dxa"/>
              <w:left w:w="0" w:type="dxa"/>
              <w:bottom w:w="0" w:type="dxa"/>
              <w:right w:w="0" w:type="dxa"/>
            </w:tcMar>
          </w:tcPr>
          <w:p w14:paraId="35196787">
            <w:pPr>
              <w:pStyle w:val="55"/>
              <w:keepNext w:val="0"/>
              <w:keepLines w:val="0"/>
              <w:widowControl/>
              <w:suppressLineNumbers w:val="0"/>
              <w:spacing w:before="0" w:beforeAutospacing="0" w:afterAutospacing="0"/>
              <w:ind w:right="0"/>
              <w:rPr>
                <w:rFonts w:hint="default"/>
              </w:rPr>
            </w:pPr>
            <w:r>
              <w:rPr>
                <w:rFonts w:hint="default"/>
              </w:rPr>
              <w:t>500</w:t>
            </w:r>
          </w:p>
        </w:tc>
        <w:tc>
          <w:tcPr>
            <w:tcW w:w="1080" w:type="dxa"/>
            <w:tcBorders>
              <w:top w:val="single" w:color="666666" w:sz="12" w:space="0"/>
            </w:tcBorders>
            <w:shd w:val="clear" w:color="auto" w:fill="FFFFFF"/>
            <w:tcMar>
              <w:top w:w="0" w:type="dxa"/>
              <w:left w:w="0" w:type="dxa"/>
              <w:bottom w:w="0" w:type="dxa"/>
              <w:right w:w="0" w:type="dxa"/>
            </w:tcMar>
          </w:tcPr>
          <w:p w14:paraId="2AA56DD3">
            <w:pPr>
              <w:pStyle w:val="55"/>
              <w:keepNext w:val="0"/>
              <w:keepLines w:val="0"/>
              <w:widowControl/>
              <w:suppressLineNumbers w:val="0"/>
              <w:spacing w:before="0" w:beforeAutospacing="0" w:afterAutospacing="0"/>
              <w:ind w:right="0"/>
              <w:rPr>
                <w:rFonts w:hint="default"/>
              </w:rPr>
            </w:pPr>
            <w:r>
              <w:rPr>
                <w:rFonts w:hint="default"/>
              </w:rPr>
              <w:t>268</w:t>
            </w:r>
          </w:p>
        </w:tc>
        <w:tc>
          <w:tcPr>
            <w:tcW w:w="1296" w:type="dxa"/>
            <w:tcBorders>
              <w:top w:val="single" w:color="666666" w:sz="12" w:space="0"/>
            </w:tcBorders>
            <w:shd w:val="clear" w:color="auto" w:fill="FFFFFF"/>
            <w:tcMar>
              <w:top w:w="0" w:type="dxa"/>
              <w:left w:w="0" w:type="dxa"/>
              <w:bottom w:w="0" w:type="dxa"/>
              <w:right w:w="0" w:type="dxa"/>
            </w:tcMar>
          </w:tcPr>
          <w:p w14:paraId="277311F1">
            <w:pPr>
              <w:pStyle w:val="55"/>
              <w:keepNext w:val="0"/>
              <w:keepLines w:val="0"/>
              <w:widowControl/>
              <w:suppressLineNumbers w:val="0"/>
              <w:spacing w:before="0" w:beforeAutospacing="0" w:afterAutospacing="0"/>
              <w:ind w:right="0"/>
              <w:rPr>
                <w:rFonts w:hint="default"/>
              </w:rPr>
            </w:pPr>
            <w:r>
              <w:rPr>
                <w:rFonts w:hint="default"/>
              </w:rPr>
              <w:t>37</w:t>
            </w:r>
          </w:p>
        </w:tc>
        <w:tc>
          <w:tcPr>
            <w:tcW w:w="2178" w:type="dxa"/>
            <w:tcBorders>
              <w:top w:val="single" w:color="666666" w:sz="12" w:space="0"/>
            </w:tcBorders>
            <w:shd w:val="clear" w:color="auto" w:fill="FFFFFF"/>
            <w:tcMar>
              <w:top w:w="0" w:type="dxa"/>
              <w:left w:w="0" w:type="dxa"/>
              <w:bottom w:w="0" w:type="dxa"/>
              <w:right w:w="0" w:type="dxa"/>
            </w:tcMar>
          </w:tcPr>
          <w:p w14:paraId="04841FAC">
            <w:pPr>
              <w:pStyle w:val="55"/>
              <w:keepNext w:val="0"/>
              <w:keepLines w:val="0"/>
              <w:widowControl/>
              <w:suppressLineNumbers w:val="0"/>
              <w:spacing w:before="0" w:beforeAutospacing="0" w:afterAutospacing="0"/>
              <w:ind w:right="0"/>
              <w:rPr>
                <w:rFonts w:hint="default"/>
              </w:rPr>
            </w:pPr>
            <w:r>
              <w:rPr>
                <w:rFonts w:hint="default"/>
              </w:rPr>
              <w:t>2</w:t>
            </w:r>
          </w:p>
        </w:tc>
        <w:tc>
          <w:tcPr>
            <w:tcW w:w="1080" w:type="dxa"/>
            <w:tcBorders>
              <w:top w:val="single" w:color="666666" w:sz="12" w:space="0"/>
            </w:tcBorders>
            <w:shd w:val="clear" w:color="auto" w:fill="FFFFFF"/>
            <w:tcMar>
              <w:top w:w="0" w:type="dxa"/>
              <w:left w:w="0" w:type="dxa"/>
              <w:bottom w:w="0" w:type="dxa"/>
              <w:right w:w="0" w:type="dxa"/>
            </w:tcMar>
          </w:tcPr>
          <w:p w14:paraId="5BBFCA25">
            <w:pPr>
              <w:pStyle w:val="55"/>
              <w:keepNext w:val="0"/>
              <w:keepLines w:val="0"/>
              <w:widowControl/>
              <w:suppressLineNumbers w:val="0"/>
              <w:spacing w:before="0" w:beforeAutospacing="0" w:afterAutospacing="0"/>
              <w:ind w:right="0"/>
              <w:rPr>
                <w:rFonts w:hint="default"/>
              </w:rPr>
            </w:pPr>
            <w:r>
              <w:rPr>
                <w:rFonts w:hint="default"/>
              </w:rPr>
              <w:t>79</w:t>
            </w:r>
          </w:p>
        </w:tc>
        <w:tc>
          <w:tcPr>
            <w:tcW w:w="1329" w:type="dxa"/>
            <w:tcBorders>
              <w:top w:val="single" w:color="666666" w:sz="12" w:space="0"/>
            </w:tcBorders>
            <w:shd w:val="clear" w:color="auto" w:fill="FFFFFF"/>
            <w:tcMar>
              <w:top w:w="0" w:type="dxa"/>
              <w:left w:w="0" w:type="dxa"/>
              <w:bottom w:w="0" w:type="dxa"/>
              <w:right w:w="0" w:type="dxa"/>
            </w:tcMar>
          </w:tcPr>
          <w:p w14:paraId="67BAE447">
            <w:pPr>
              <w:pStyle w:val="55"/>
              <w:keepNext w:val="0"/>
              <w:keepLines w:val="0"/>
              <w:widowControl/>
              <w:suppressLineNumbers w:val="0"/>
              <w:spacing w:before="0" w:beforeAutospacing="0" w:afterAutospacing="0"/>
              <w:ind w:right="0"/>
              <w:rPr>
                <w:rFonts w:hint="default"/>
              </w:rPr>
            </w:pPr>
            <w:r>
              <w:rPr>
                <w:rFonts w:hint="default"/>
              </w:rPr>
              <w:t>31</w:t>
            </w:r>
          </w:p>
        </w:tc>
        <w:tc>
          <w:tcPr>
            <w:tcW w:w="1080" w:type="dxa"/>
            <w:tcBorders>
              <w:top w:val="single" w:color="666666" w:sz="12" w:space="0"/>
            </w:tcBorders>
            <w:shd w:val="clear" w:color="auto" w:fill="FFFFFF"/>
            <w:tcMar>
              <w:top w:w="0" w:type="dxa"/>
              <w:left w:w="0" w:type="dxa"/>
              <w:bottom w:w="0" w:type="dxa"/>
              <w:right w:w="0" w:type="dxa"/>
            </w:tcMar>
          </w:tcPr>
          <w:p w14:paraId="07D454C8">
            <w:pPr>
              <w:pStyle w:val="55"/>
              <w:keepNext w:val="0"/>
              <w:keepLines w:val="0"/>
              <w:widowControl/>
              <w:suppressLineNumbers w:val="0"/>
              <w:spacing w:before="0" w:beforeAutospacing="0" w:afterAutospacing="0"/>
              <w:ind w:right="0"/>
              <w:rPr>
                <w:rFonts w:hint="default"/>
              </w:rPr>
            </w:pPr>
            <w:r>
              <w:rPr>
                <w:rFonts w:hint="default"/>
              </w:rPr>
              <w:t>417</w:t>
            </w:r>
          </w:p>
        </w:tc>
        <w:tc>
          <w:tcPr>
            <w:tcW w:w="1188" w:type="dxa"/>
            <w:tcBorders>
              <w:top w:val="single" w:color="666666" w:sz="12" w:space="0"/>
            </w:tcBorders>
            <w:shd w:val="clear" w:color="auto" w:fill="FFFFFF"/>
            <w:tcMar>
              <w:top w:w="0" w:type="dxa"/>
              <w:left w:w="0" w:type="dxa"/>
              <w:bottom w:w="0" w:type="dxa"/>
              <w:right w:w="0" w:type="dxa"/>
            </w:tcMar>
          </w:tcPr>
          <w:p w14:paraId="77C54017">
            <w:pPr>
              <w:pStyle w:val="55"/>
              <w:keepNext w:val="0"/>
              <w:keepLines w:val="0"/>
              <w:widowControl/>
              <w:suppressLineNumbers w:val="0"/>
              <w:spacing w:before="0" w:beforeAutospacing="0" w:afterAutospacing="0"/>
              <w:ind w:right="0"/>
              <w:rPr>
                <w:rFonts w:hint="default"/>
              </w:rPr>
            </w:pPr>
            <w:r>
              <w:rPr>
                <w:rFonts w:hint="default"/>
              </w:rPr>
              <w:t>83</w:t>
            </w:r>
          </w:p>
        </w:tc>
      </w:tr>
      <w:tr w14:paraId="0A64E352">
        <w:tblPrEx>
          <w:tblCellMar>
            <w:top w:w="0" w:type="dxa"/>
            <w:left w:w="108" w:type="dxa"/>
            <w:bottom w:w="0" w:type="dxa"/>
            <w:right w:w="108" w:type="dxa"/>
          </w:tblCellMar>
        </w:tblPrEx>
        <w:tc>
          <w:tcPr>
            <w:tcW w:w="1418" w:type="dxa"/>
            <w:shd w:val="clear" w:color="auto" w:fill="FFFFFF"/>
            <w:tcMar>
              <w:top w:w="0" w:type="dxa"/>
              <w:left w:w="0" w:type="dxa"/>
              <w:bottom w:w="0" w:type="dxa"/>
              <w:right w:w="0" w:type="dxa"/>
            </w:tcMar>
          </w:tcPr>
          <w:p w14:paraId="48248C5B">
            <w:pPr>
              <w:pStyle w:val="55"/>
              <w:keepNext w:val="0"/>
              <w:keepLines w:val="0"/>
              <w:widowControl/>
              <w:suppressLineNumbers w:val="0"/>
              <w:spacing w:before="0" w:beforeAutospacing="0" w:afterAutospacing="0"/>
              <w:ind w:right="0"/>
              <w:rPr>
                <w:rFonts w:hint="default"/>
              </w:rPr>
            </w:pPr>
            <w:r>
              <w:rPr>
                <w:rFonts w:hint="default"/>
              </w:rPr>
              <w:t>BFD-OSL3</w:t>
            </w:r>
          </w:p>
        </w:tc>
        <w:tc>
          <w:tcPr>
            <w:tcW w:w="1080" w:type="dxa"/>
            <w:shd w:val="clear" w:color="auto" w:fill="FFFFFF"/>
            <w:tcMar>
              <w:top w:w="0" w:type="dxa"/>
              <w:left w:w="0" w:type="dxa"/>
              <w:bottom w:w="0" w:type="dxa"/>
              <w:right w:w="0" w:type="dxa"/>
            </w:tcMar>
          </w:tcPr>
          <w:p w14:paraId="3D295753">
            <w:pPr>
              <w:pStyle w:val="55"/>
              <w:keepNext w:val="0"/>
              <w:keepLines w:val="0"/>
              <w:widowControl/>
              <w:suppressLineNumbers w:val="0"/>
              <w:spacing w:before="0" w:beforeAutospacing="0" w:afterAutospacing="0"/>
              <w:ind w:right="0"/>
              <w:rPr>
                <w:rFonts w:hint="default"/>
              </w:rPr>
            </w:pPr>
            <w:r>
              <w:rPr>
                <w:rFonts w:hint="default"/>
              </w:rPr>
              <w:t>400</w:t>
            </w:r>
          </w:p>
        </w:tc>
        <w:tc>
          <w:tcPr>
            <w:tcW w:w="1080" w:type="dxa"/>
            <w:shd w:val="clear" w:color="auto" w:fill="FFFFFF"/>
            <w:tcMar>
              <w:top w:w="0" w:type="dxa"/>
              <w:left w:w="0" w:type="dxa"/>
              <w:bottom w:w="0" w:type="dxa"/>
              <w:right w:w="0" w:type="dxa"/>
            </w:tcMar>
          </w:tcPr>
          <w:p w14:paraId="7607E3F0">
            <w:pPr>
              <w:pStyle w:val="55"/>
              <w:keepNext w:val="0"/>
              <w:keepLines w:val="0"/>
              <w:widowControl/>
              <w:suppressLineNumbers w:val="0"/>
              <w:spacing w:before="0" w:beforeAutospacing="0" w:afterAutospacing="0"/>
              <w:ind w:right="0"/>
              <w:rPr>
                <w:rFonts w:hint="default"/>
              </w:rPr>
            </w:pPr>
            <w:r>
              <w:rPr>
                <w:rFonts w:hint="default"/>
              </w:rPr>
              <w:t>199</w:t>
            </w:r>
          </w:p>
        </w:tc>
        <w:tc>
          <w:tcPr>
            <w:tcW w:w="1296" w:type="dxa"/>
            <w:shd w:val="clear" w:color="auto" w:fill="FFFFFF"/>
            <w:tcMar>
              <w:top w:w="0" w:type="dxa"/>
              <w:left w:w="0" w:type="dxa"/>
              <w:bottom w:w="0" w:type="dxa"/>
              <w:right w:w="0" w:type="dxa"/>
            </w:tcMar>
          </w:tcPr>
          <w:p w14:paraId="27C077C2">
            <w:pPr>
              <w:pStyle w:val="55"/>
              <w:keepNext w:val="0"/>
              <w:keepLines w:val="0"/>
              <w:widowControl/>
              <w:suppressLineNumbers w:val="0"/>
              <w:spacing w:before="0" w:beforeAutospacing="0" w:afterAutospacing="0"/>
              <w:ind w:right="0"/>
              <w:rPr>
                <w:rFonts w:hint="default"/>
              </w:rPr>
            </w:pPr>
            <w:r>
              <w:rPr>
                <w:rFonts w:hint="default"/>
              </w:rPr>
              <w:t>25</w:t>
            </w:r>
          </w:p>
        </w:tc>
        <w:tc>
          <w:tcPr>
            <w:tcW w:w="2178" w:type="dxa"/>
            <w:shd w:val="clear" w:color="auto" w:fill="FFFFFF"/>
            <w:tcMar>
              <w:top w:w="0" w:type="dxa"/>
              <w:left w:w="0" w:type="dxa"/>
              <w:bottom w:w="0" w:type="dxa"/>
              <w:right w:w="0" w:type="dxa"/>
            </w:tcMar>
          </w:tcPr>
          <w:p w14:paraId="1DBF13D6">
            <w:pPr>
              <w:pStyle w:val="55"/>
              <w:keepNext w:val="0"/>
              <w:keepLines w:val="0"/>
              <w:widowControl/>
              <w:suppressLineNumbers w:val="0"/>
              <w:spacing w:before="0" w:beforeAutospacing="0" w:afterAutospacing="0"/>
              <w:ind w:right="0"/>
              <w:rPr>
                <w:rFonts w:hint="default"/>
              </w:rPr>
            </w:pPr>
            <w:r>
              <w:rPr>
                <w:rFonts w:hint="default"/>
              </w:rPr>
              <w:t>4</w:t>
            </w:r>
          </w:p>
        </w:tc>
        <w:tc>
          <w:tcPr>
            <w:tcW w:w="1080" w:type="dxa"/>
            <w:shd w:val="clear" w:color="auto" w:fill="FFFFFF"/>
            <w:tcMar>
              <w:top w:w="0" w:type="dxa"/>
              <w:left w:w="0" w:type="dxa"/>
              <w:bottom w:w="0" w:type="dxa"/>
              <w:right w:w="0" w:type="dxa"/>
            </w:tcMar>
          </w:tcPr>
          <w:p w14:paraId="4668C1B9">
            <w:pPr>
              <w:pStyle w:val="55"/>
              <w:keepNext w:val="0"/>
              <w:keepLines w:val="0"/>
              <w:widowControl/>
              <w:suppressLineNumbers w:val="0"/>
              <w:spacing w:before="0" w:beforeAutospacing="0" w:afterAutospacing="0"/>
              <w:ind w:right="0"/>
              <w:rPr>
                <w:rFonts w:hint="default"/>
              </w:rPr>
            </w:pPr>
            <w:r>
              <w:rPr>
                <w:rFonts w:hint="default"/>
              </w:rPr>
              <w:t>33</w:t>
            </w:r>
          </w:p>
        </w:tc>
        <w:tc>
          <w:tcPr>
            <w:tcW w:w="1329" w:type="dxa"/>
            <w:shd w:val="clear" w:color="auto" w:fill="FFFFFF"/>
            <w:tcMar>
              <w:top w:w="0" w:type="dxa"/>
              <w:left w:w="0" w:type="dxa"/>
              <w:bottom w:w="0" w:type="dxa"/>
              <w:right w:w="0" w:type="dxa"/>
            </w:tcMar>
          </w:tcPr>
          <w:p w14:paraId="3BDCACE6">
            <w:pPr>
              <w:pStyle w:val="55"/>
              <w:keepNext w:val="0"/>
              <w:keepLines w:val="0"/>
              <w:widowControl/>
              <w:suppressLineNumbers w:val="0"/>
              <w:spacing w:before="0" w:beforeAutospacing="0" w:afterAutospacing="0"/>
              <w:ind w:right="0"/>
              <w:rPr>
                <w:rFonts w:hint="default"/>
              </w:rPr>
            </w:pPr>
            <w:r>
              <w:rPr>
                <w:rFonts w:hint="default"/>
              </w:rPr>
              <w:t>30</w:t>
            </w:r>
          </w:p>
        </w:tc>
        <w:tc>
          <w:tcPr>
            <w:tcW w:w="1080" w:type="dxa"/>
            <w:shd w:val="clear" w:color="auto" w:fill="FFFFFF"/>
            <w:tcMar>
              <w:top w:w="0" w:type="dxa"/>
              <w:left w:w="0" w:type="dxa"/>
              <w:bottom w:w="0" w:type="dxa"/>
              <w:right w:w="0" w:type="dxa"/>
            </w:tcMar>
          </w:tcPr>
          <w:p w14:paraId="1BE1D377">
            <w:pPr>
              <w:pStyle w:val="55"/>
              <w:keepNext w:val="0"/>
              <w:keepLines w:val="0"/>
              <w:widowControl/>
              <w:suppressLineNumbers w:val="0"/>
              <w:spacing w:before="0" w:beforeAutospacing="0" w:afterAutospacing="0"/>
              <w:ind w:right="0"/>
              <w:rPr>
                <w:rFonts w:hint="default"/>
              </w:rPr>
            </w:pPr>
            <w:r>
              <w:rPr>
                <w:rFonts w:hint="default"/>
              </w:rPr>
              <w:t>291</w:t>
            </w:r>
          </w:p>
        </w:tc>
        <w:tc>
          <w:tcPr>
            <w:tcW w:w="1188" w:type="dxa"/>
            <w:shd w:val="clear" w:color="auto" w:fill="FFFFFF"/>
            <w:tcMar>
              <w:top w:w="0" w:type="dxa"/>
              <w:left w:w="0" w:type="dxa"/>
              <w:bottom w:w="0" w:type="dxa"/>
              <w:right w:w="0" w:type="dxa"/>
            </w:tcMar>
          </w:tcPr>
          <w:p w14:paraId="417A42E3">
            <w:pPr>
              <w:pStyle w:val="55"/>
              <w:keepNext w:val="0"/>
              <w:keepLines w:val="0"/>
              <w:widowControl/>
              <w:suppressLineNumbers w:val="0"/>
              <w:spacing w:before="0" w:beforeAutospacing="0" w:afterAutospacing="0"/>
              <w:ind w:right="0"/>
              <w:rPr>
                <w:rFonts w:hint="default"/>
              </w:rPr>
            </w:pPr>
            <w:r>
              <w:rPr>
                <w:rFonts w:hint="default"/>
              </w:rPr>
              <w:t>109</w:t>
            </w:r>
          </w:p>
        </w:tc>
      </w:tr>
      <w:tr w14:paraId="160B504E">
        <w:tblPrEx>
          <w:tblCellMar>
            <w:top w:w="0" w:type="dxa"/>
            <w:left w:w="108" w:type="dxa"/>
            <w:bottom w:w="0" w:type="dxa"/>
            <w:right w:w="108" w:type="dxa"/>
          </w:tblCellMar>
        </w:tblPrEx>
        <w:tc>
          <w:tcPr>
            <w:tcW w:w="1418" w:type="dxa"/>
            <w:shd w:val="clear" w:color="auto" w:fill="FFFFFF"/>
            <w:tcMar>
              <w:top w:w="0" w:type="dxa"/>
              <w:left w:w="0" w:type="dxa"/>
              <w:bottom w:w="0" w:type="dxa"/>
              <w:right w:w="0" w:type="dxa"/>
            </w:tcMar>
          </w:tcPr>
          <w:p w14:paraId="5B7186FF">
            <w:pPr>
              <w:pStyle w:val="55"/>
              <w:keepNext w:val="0"/>
              <w:keepLines w:val="0"/>
              <w:widowControl/>
              <w:suppressLineNumbers w:val="0"/>
              <w:spacing w:before="0" w:beforeAutospacing="0" w:afterAutospacing="0"/>
              <w:ind w:right="0"/>
              <w:rPr>
                <w:rFonts w:hint="default"/>
              </w:rPr>
            </w:pPr>
            <w:r>
              <w:rPr>
                <w:rFonts w:hint="default"/>
              </w:rPr>
              <w:t>BFD-OSL4</w:t>
            </w:r>
          </w:p>
        </w:tc>
        <w:tc>
          <w:tcPr>
            <w:tcW w:w="1080" w:type="dxa"/>
            <w:shd w:val="clear" w:color="auto" w:fill="FFFFFF"/>
            <w:tcMar>
              <w:top w:w="0" w:type="dxa"/>
              <w:left w:w="0" w:type="dxa"/>
              <w:bottom w:w="0" w:type="dxa"/>
              <w:right w:w="0" w:type="dxa"/>
            </w:tcMar>
          </w:tcPr>
          <w:p w14:paraId="2D54C60C">
            <w:pPr>
              <w:pStyle w:val="55"/>
              <w:keepNext w:val="0"/>
              <w:keepLines w:val="0"/>
              <w:widowControl/>
              <w:suppressLineNumbers w:val="0"/>
              <w:spacing w:before="0" w:beforeAutospacing="0" w:afterAutospacing="0"/>
              <w:ind w:right="0"/>
              <w:rPr>
                <w:rFonts w:hint="default"/>
              </w:rPr>
            </w:pPr>
            <w:r>
              <w:rPr>
                <w:rFonts w:hint="default"/>
              </w:rPr>
              <w:t>400</w:t>
            </w:r>
          </w:p>
        </w:tc>
        <w:tc>
          <w:tcPr>
            <w:tcW w:w="1080" w:type="dxa"/>
            <w:shd w:val="clear" w:color="auto" w:fill="FFFFFF"/>
            <w:tcMar>
              <w:top w:w="0" w:type="dxa"/>
              <w:left w:w="0" w:type="dxa"/>
              <w:bottom w:w="0" w:type="dxa"/>
              <w:right w:w="0" w:type="dxa"/>
            </w:tcMar>
          </w:tcPr>
          <w:p w14:paraId="283E72EF">
            <w:pPr>
              <w:pStyle w:val="55"/>
              <w:keepNext w:val="0"/>
              <w:keepLines w:val="0"/>
              <w:widowControl/>
              <w:suppressLineNumbers w:val="0"/>
              <w:spacing w:before="0" w:beforeAutospacing="0" w:afterAutospacing="0"/>
              <w:ind w:right="0"/>
              <w:rPr>
                <w:rFonts w:hint="default"/>
              </w:rPr>
            </w:pPr>
            <w:r>
              <w:rPr>
                <w:rFonts w:hint="default"/>
              </w:rPr>
              <w:t>194</w:t>
            </w:r>
          </w:p>
        </w:tc>
        <w:tc>
          <w:tcPr>
            <w:tcW w:w="1296" w:type="dxa"/>
            <w:shd w:val="clear" w:color="auto" w:fill="FFFFFF"/>
            <w:tcMar>
              <w:top w:w="0" w:type="dxa"/>
              <w:left w:w="0" w:type="dxa"/>
              <w:bottom w:w="0" w:type="dxa"/>
              <w:right w:w="0" w:type="dxa"/>
            </w:tcMar>
          </w:tcPr>
          <w:p w14:paraId="7ECBF39E">
            <w:pPr>
              <w:pStyle w:val="55"/>
              <w:keepNext w:val="0"/>
              <w:keepLines w:val="0"/>
              <w:widowControl/>
              <w:suppressLineNumbers w:val="0"/>
              <w:spacing w:before="0" w:beforeAutospacing="0" w:afterAutospacing="0"/>
              <w:ind w:right="0"/>
              <w:rPr>
                <w:rFonts w:hint="default"/>
              </w:rPr>
            </w:pPr>
            <w:r>
              <w:rPr>
                <w:rFonts w:hint="default"/>
              </w:rPr>
              <w:t>29</w:t>
            </w:r>
          </w:p>
        </w:tc>
        <w:tc>
          <w:tcPr>
            <w:tcW w:w="2178" w:type="dxa"/>
            <w:shd w:val="clear" w:color="auto" w:fill="FFFFFF"/>
            <w:tcMar>
              <w:top w:w="0" w:type="dxa"/>
              <w:left w:w="0" w:type="dxa"/>
              <w:bottom w:w="0" w:type="dxa"/>
              <w:right w:w="0" w:type="dxa"/>
            </w:tcMar>
          </w:tcPr>
          <w:p w14:paraId="714DE876">
            <w:pPr>
              <w:pStyle w:val="55"/>
              <w:keepNext w:val="0"/>
              <w:keepLines w:val="0"/>
              <w:widowControl/>
              <w:suppressLineNumbers w:val="0"/>
              <w:spacing w:before="0" w:beforeAutospacing="0" w:afterAutospacing="0"/>
              <w:ind w:right="0"/>
              <w:rPr>
                <w:rFonts w:hint="default"/>
              </w:rPr>
            </w:pPr>
            <w:r>
              <w:rPr>
                <w:rFonts w:hint="default"/>
              </w:rPr>
              <w:t>1</w:t>
            </w:r>
          </w:p>
        </w:tc>
        <w:tc>
          <w:tcPr>
            <w:tcW w:w="1080" w:type="dxa"/>
            <w:shd w:val="clear" w:color="auto" w:fill="FFFFFF"/>
            <w:tcMar>
              <w:top w:w="0" w:type="dxa"/>
              <w:left w:w="0" w:type="dxa"/>
              <w:bottom w:w="0" w:type="dxa"/>
              <w:right w:w="0" w:type="dxa"/>
            </w:tcMar>
          </w:tcPr>
          <w:p w14:paraId="54DBDEA4">
            <w:pPr>
              <w:pStyle w:val="55"/>
              <w:keepNext w:val="0"/>
              <w:keepLines w:val="0"/>
              <w:widowControl/>
              <w:suppressLineNumbers w:val="0"/>
              <w:spacing w:before="0" w:beforeAutospacing="0" w:afterAutospacing="0"/>
              <w:ind w:right="0"/>
              <w:rPr>
                <w:rFonts w:hint="default"/>
              </w:rPr>
            </w:pPr>
            <w:r>
              <w:rPr>
                <w:rFonts w:hint="default"/>
              </w:rPr>
              <w:t>44</w:t>
            </w:r>
          </w:p>
        </w:tc>
        <w:tc>
          <w:tcPr>
            <w:tcW w:w="1329" w:type="dxa"/>
            <w:shd w:val="clear" w:color="auto" w:fill="FFFFFF"/>
            <w:tcMar>
              <w:top w:w="0" w:type="dxa"/>
              <w:left w:w="0" w:type="dxa"/>
              <w:bottom w:w="0" w:type="dxa"/>
              <w:right w:w="0" w:type="dxa"/>
            </w:tcMar>
          </w:tcPr>
          <w:p w14:paraId="11F92973">
            <w:pPr>
              <w:pStyle w:val="55"/>
              <w:keepNext w:val="0"/>
              <w:keepLines w:val="0"/>
              <w:widowControl/>
              <w:suppressLineNumbers w:val="0"/>
              <w:spacing w:before="0" w:beforeAutospacing="0" w:afterAutospacing="0"/>
              <w:ind w:right="0"/>
              <w:rPr>
                <w:rFonts w:hint="default"/>
              </w:rPr>
            </w:pPr>
            <w:r>
              <w:rPr>
                <w:rFonts w:hint="default"/>
              </w:rPr>
              <w:t>38</w:t>
            </w:r>
          </w:p>
        </w:tc>
        <w:tc>
          <w:tcPr>
            <w:tcW w:w="1080" w:type="dxa"/>
            <w:shd w:val="clear" w:color="auto" w:fill="FFFFFF"/>
            <w:tcMar>
              <w:top w:w="0" w:type="dxa"/>
              <w:left w:w="0" w:type="dxa"/>
              <w:bottom w:w="0" w:type="dxa"/>
              <w:right w:w="0" w:type="dxa"/>
            </w:tcMar>
          </w:tcPr>
          <w:p w14:paraId="1EB7DB86">
            <w:pPr>
              <w:pStyle w:val="55"/>
              <w:keepNext w:val="0"/>
              <w:keepLines w:val="0"/>
              <w:widowControl/>
              <w:suppressLineNumbers w:val="0"/>
              <w:spacing w:before="0" w:beforeAutospacing="0" w:afterAutospacing="0"/>
              <w:ind w:right="0"/>
              <w:rPr>
                <w:rFonts w:hint="default"/>
              </w:rPr>
            </w:pPr>
            <w:r>
              <w:rPr>
                <w:rFonts w:hint="default"/>
              </w:rPr>
              <w:t>306</w:t>
            </w:r>
          </w:p>
        </w:tc>
        <w:tc>
          <w:tcPr>
            <w:tcW w:w="1188" w:type="dxa"/>
            <w:shd w:val="clear" w:color="auto" w:fill="FFFFFF"/>
            <w:tcMar>
              <w:top w:w="0" w:type="dxa"/>
              <w:left w:w="0" w:type="dxa"/>
              <w:bottom w:w="0" w:type="dxa"/>
              <w:right w:w="0" w:type="dxa"/>
            </w:tcMar>
          </w:tcPr>
          <w:p w14:paraId="0E6D66BE">
            <w:pPr>
              <w:pStyle w:val="55"/>
              <w:keepNext w:val="0"/>
              <w:keepLines w:val="0"/>
              <w:widowControl/>
              <w:suppressLineNumbers w:val="0"/>
              <w:spacing w:before="0" w:beforeAutospacing="0" w:afterAutospacing="0"/>
              <w:ind w:right="0"/>
              <w:rPr>
                <w:rFonts w:hint="default"/>
              </w:rPr>
            </w:pPr>
            <w:r>
              <w:rPr>
                <w:rFonts w:hint="default"/>
              </w:rPr>
              <w:t>94</w:t>
            </w:r>
          </w:p>
        </w:tc>
      </w:tr>
      <w:tr w14:paraId="4C596DBC">
        <w:tblPrEx>
          <w:tblCellMar>
            <w:top w:w="0" w:type="dxa"/>
            <w:left w:w="108" w:type="dxa"/>
            <w:bottom w:w="0" w:type="dxa"/>
            <w:right w:w="108" w:type="dxa"/>
          </w:tblCellMar>
        </w:tblPrEx>
        <w:tc>
          <w:tcPr>
            <w:tcW w:w="1418" w:type="dxa"/>
            <w:shd w:val="clear" w:color="auto" w:fill="FFFFFF"/>
            <w:tcMar>
              <w:top w:w="0" w:type="dxa"/>
              <w:left w:w="0" w:type="dxa"/>
              <w:bottom w:w="0" w:type="dxa"/>
              <w:right w:w="0" w:type="dxa"/>
            </w:tcMar>
          </w:tcPr>
          <w:p w14:paraId="4B148C8A">
            <w:pPr>
              <w:pStyle w:val="55"/>
              <w:keepNext w:val="0"/>
              <w:keepLines w:val="0"/>
              <w:widowControl/>
              <w:suppressLineNumbers w:val="0"/>
              <w:spacing w:before="0" w:beforeAutospacing="0" w:afterAutospacing="0"/>
              <w:ind w:right="0"/>
              <w:rPr>
                <w:rFonts w:hint="default"/>
              </w:rPr>
            </w:pPr>
            <w:r>
              <w:rPr>
                <w:rFonts w:hint="default"/>
              </w:rPr>
              <w:t>BFD-OSL5</w:t>
            </w:r>
          </w:p>
        </w:tc>
        <w:tc>
          <w:tcPr>
            <w:tcW w:w="1080" w:type="dxa"/>
            <w:shd w:val="clear" w:color="auto" w:fill="FFFFFF"/>
            <w:tcMar>
              <w:top w:w="0" w:type="dxa"/>
              <w:left w:w="0" w:type="dxa"/>
              <w:bottom w:w="0" w:type="dxa"/>
              <w:right w:w="0" w:type="dxa"/>
            </w:tcMar>
          </w:tcPr>
          <w:p w14:paraId="6E60598E">
            <w:pPr>
              <w:pStyle w:val="55"/>
              <w:keepNext w:val="0"/>
              <w:keepLines w:val="0"/>
              <w:widowControl/>
              <w:suppressLineNumbers w:val="0"/>
              <w:spacing w:before="0" w:beforeAutospacing="0" w:afterAutospacing="0"/>
              <w:ind w:right="0"/>
              <w:rPr>
                <w:rFonts w:hint="default"/>
              </w:rPr>
            </w:pPr>
            <w:r>
              <w:rPr>
                <w:rFonts w:hint="default"/>
              </w:rPr>
              <w:t>1,200</w:t>
            </w:r>
          </w:p>
        </w:tc>
        <w:tc>
          <w:tcPr>
            <w:tcW w:w="1080" w:type="dxa"/>
            <w:shd w:val="clear" w:color="auto" w:fill="FFFFFF"/>
            <w:tcMar>
              <w:top w:w="0" w:type="dxa"/>
              <w:left w:w="0" w:type="dxa"/>
              <w:bottom w:w="0" w:type="dxa"/>
              <w:right w:w="0" w:type="dxa"/>
            </w:tcMar>
          </w:tcPr>
          <w:p w14:paraId="01588B1C">
            <w:pPr>
              <w:pStyle w:val="55"/>
              <w:keepNext w:val="0"/>
              <w:keepLines w:val="0"/>
              <w:widowControl/>
              <w:suppressLineNumbers w:val="0"/>
              <w:spacing w:before="0" w:beforeAutospacing="0" w:afterAutospacing="0"/>
              <w:ind w:right="0"/>
              <w:rPr>
                <w:rFonts w:hint="default"/>
              </w:rPr>
            </w:pPr>
            <w:r>
              <w:rPr>
                <w:rFonts w:hint="default"/>
              </w:rPr>
              <w:t>670</w:t>
            </w:r>
          </w:p>
        </w:tc>
        <w:tc>
          <w:tcPr>
            <w:tcW w:w="1296" w:type="dxa"/>
            <w:shd w:val="clear" w:color="auto" w:fill="FFFFFF"/>
            <w:tcMar>
              <w:top w:w="0" w:type="dxa"/>
              <w:left w:w="0" w:type="dxa"/>
              <w:bottom w:w="0" w:type="dxa"/>
              <w:right w:w="0" w:type="dxa"/>
            </w:tcMar>
          </w:tcPr>
          <w:p w14:paraId="3CDD61A7">
            <w:pPr>
              <w:pStyle w:val="55"/>
              <w:keepNext w:val="0"/>
              <w:keepLines w:val="0"/>
              <w:widowControl/>
              <w:suppressLineNumbers w:val="0"/>
              <w:spacing w:before="0" w:beforeAutospacing="0" w:afterAutospacing="0"/>
              <w:ind w:right="0"/>
              <w:rPr>
                <w:rFonts w:hint="default"/>
              </w:rPr>
            </w:pPr>
            <w:r>
              <w:rPr>
                <w:rFonts w:hint="default"/>
              </w:rPr>
              <w:t>52</w:t>
            </w:r>
          </w:p>
        </w:tc>
        <w:tc>
          <w:tcPr>
            <w:tcW w:w="2178" w:type="dxa"/>
            <w:shd w:val="clear" w:color="auto" w:fill="FFFFFF"/>
            <w:tcMar>
              <w:top w:w="0" w:type="dxa"/>
              <w:left w:w="0" w:type="dxa"/>
              <w:bottom w:w="0" w:type="dxa"/>
              <w:right w:w="0" w:type="dxa"/>
            </w:tcMar>
          </w:tcPr>
          <w:p w14:paraId="13F80B27">
            <w:pPr>
              <w:pStyle w:val="55"/>
              <w:keepNext w:val="0"/>
              <w:keepLines w:val="0"/>
              <w:widowControl/>
              <w:suppressLineNumbers w:val="0"/>
              <w:spacing w:before="0" w:beforeAutospacing="0" w:afterAutospacing="0"/>
              <w:ind w:right="0"/>
              <w:rPr>
                <w:rFonts w:hint="default"/>
              </w:rPr>
            </w:pPr>
            <w:r>
              <w:rPr>
                <w:rFonts w:hint="default"/>
              </w:rPr>
              <w:t>20</w:t>
            </w:r>
          </w:p>
        </w:tc>
        <w:tc>
          <w:tcPr>
            <w:tcW w:w="1080" w:type="dxa"/>
            <w:shd w:val="clear" w:color="auto" w:fill="FFFFFF"/>
            <w:tcMar>
              <w:top w:w="0" w:type="dxa"/>
              <w:left w:w="0" w:type="dxa"/>
              <w:bottom w:w="0" w:type="dxa"/>
              <w:right w:w="0" w:type="dxa"/>
            </w:tcMar>
          </w:tcPr>
          <w:p w14:paraId="2DD0A10C">
            <w:pPr>
              <w:pStyle w:val="55"/>
              <w:keepNext w:val="0"/>
              <w:keepLines w:val="0"/>
              <w:widowControl/>
              <w:suppressLineNumbers w:val="0"/>
              <w:spacing w:before="0" w:beforeAutospacing="0" w:afterAutospacing="0"/>
              <w:ind w:right="0"/>
              <w:rPr>
                <w:rFonts w:hint="default"/>
              </w:rPr>
            </w:pPr>
            <w:r>
              <w:rPr>
                <w:rFonts w:hint="default"/>
              </w:rPr>
              <w:t>162</w:t>
            </w:r>
          </w:p>
        </w:tc>
        <w:tc>
          <w:tcPr>
            <w:tcW w:w="1329" w:type="dxa"/>
            <w:shd w:val="clear" w:color="auto" w:fill="FFFFFF"/>
            <w:tcMar>
              <w:top w:w="0" w:type="dxa"/>
              <w:left w:w="0" w:type="dxa"/>
              <w:bottom w:w="0" w:type="dxa"/>
              <w:right w:w="0" w:type="dxa"/>
            </w:tcMar>
          </w:tcPr>
          <w:p w14:paraId="37BF26F2">
            <w:pPr>
              <w:pStyle w:val="55"/>
              <w:keepNext w:val="0"/>
              <w:keepLines w:val="0"/>
              <w:widowControl/>
              <w:suppressLineNumbers w:val="0"/>
              <w:spacing w:before="0" w:beforeAutospacing="0" w:afterAutospacing="0"/>
              <w:ind w:right="0"/>
              <w:rPr>
                <w:rFonts w:hint="default"/>
              </w:rPr>
            </w:pPr>
            <w:r>
              <w:rPr>
                <w:rFonts w:hint="default"/>
              </w:rPr>
              <w:t>156</w:t>
            </w:r>
          </w:p>
        </w:tc>
        <w:tc>
          <w:tcPr>
            <w:tcW w:w="1080" w:type="dxa"/>
            <w:shd w:val="clear" w:color="auto" w:fill="FFFFFF"/>
            <w:tcMar>
              <w:top w:w="0" w:type="dxa"/>
              <w:left w:w="0" w:type="dxa"/>
              <w:bottom w:w="0" w:type="dxa"/>
              <w:right w:w="0" w:type="dxa"/>
            </w:tcMar>
          </w:tcPr>
          <w:p w14:paraId="3B45E6BC">
            <w:pPr>
              <w:pStyle w:val="55"/>
              <w:keepNext w:val="0"/>
              <w:keepLines w:val="0"/>
              <w:widowControl/>
              <w:suppressLineNumbers w:val="0"/>
              <w:spacing w:before="0" w:beforeAutospacing="0" w:afterAutospacing="0"/>
              <w:ind w:right="0"/>
              <w:rPr>
                <w:rFonts w:hint="default"/>
              </w:rPr>
            </w:pPr>
            <w:r>
              <w:rPr>
                <w:rFonts w:hint="default"/>
              </w:rPr>
              <w:t>1,060</w:t>
            </w:r>
          </w:p>
        </w:tc>
        <w:tc>
          <w:tcPr>
            <w:tcW w:w="1188" w:type="dxa"/>
            <w:shd w:val="clear" w:color="auto" w:fill="FFFFFF"/>
            <w:tcMar>
              <w:top w:w="0" w:type="dxa"/>
              <w:left w:w="0" w:type="dxa"/>
              <w:bottom w:w="0" w:type="dxa"/>
              <w:right w:w="0" w:type="dxa"/>
            </w:tcMar>
          </w:tcPr>
          <w:p w14:paraId="03B18574">
            <w:pPr>
              <w:pStyle w:val="55"/>
              <w:keepNext w:val="0"/>
              <w:keepLines w:val="0"/>
              <w:widowControl/>
              <w:suppressLineNumbers w:val="0"/>
              <w:spacing w:before="0" w:beforeAutospacing="0" w:afterAutospacing="0"/>
              <w:ind w:right="0"/>
              <w:rPr>
                <w:rFonts w:hint="default"/>
              </w:rPr>
            </w:pPr>
            <w:r>
              <w:rPr>
                <w:rFonts w:hint="default"/>
              </w:rPr>
              <w:t>140</w:t>
            </w:r>
          </w:p>
        </w:tc>
      </w:tr>
      <w:tr w14:paraId="75946339">
        <w:tblPrEx>
          <w:tblCellMar>
            <w:top w:w="0" w:type="dxa"/>
            <w:left w:w="108" w:type="dxa"/>
            <w:bottom w:w="0" w:type="dxa"/>
            <w:right w:w="108" w:type="dxa"/>
          </w:tblCellMar>
        </w:tblPrEx>
        <w:tc>
          <w:tcPr>
            <w:tcW w:w="1418" w:type="dxa"/>
            <w:shd w:val="clear" w:color="auto" w:fill="FFFFFF"/>
            <w:tcMar>
              <w:top w:w="0" w:type="dxa"/>
              <w:left w:w="0" w:type="dxa"/>
              <w:bottom w:w="0" w:type="dxa"/>
              <w:right w:w="0" w:type="dxa"/>
            </w:tcMar>
          </w:tcPr>
          <w:p w14:paraId="1DD3A0C9">
            <w:pPr>
              <w:pStyle w:val="55"/>
              <w:keepNext w:val="0"/>
              <w:keepLines w:val="0"/>
              <w:widowControl/>
              <w:suppressLineNumbers w:val="0"/>
              <w:spacing w:before="0" w:beforeAutospacing="0" w:afterAutospacing="0"/>
              <w:ind w:right="0"/>
              <w:rPr>
                <w:rFonts w:hint="default"/>
              </w:rPr>
            </w:pPr>
            <w:r>
              <w:rPr>
                <w:rFonts w:hint="default"/>
              </w:rPr>
              <w:t>BFD-OSL6</w:t>
            </w:r>
          </w:p>
        </w:tc>
        <w:tc>
          <w:tcPr>
            <w:tcW w:w="1080" w:type="dxa"/>
            <w:shd w:val="clear" w:color="auto" w:fill="FFFFFF"/>
            <w:tcMar>
              <w:top w:w="0" w:type="dxa"/>
              <w:left w:w="0" w:type="dxa"/>
              <w:bottom w:w="0" w:type="dxa"/>
              <w:right w:w="0" w:type="dxa"/>
            </w:tcMar>
          </w:tcPr>
          <w:p w14:paraId="5ACC108A">
            <w:pPr>
              <w:pStyle w:val="55"/>
              <w:keepNext w:val="0"/>
              <w:keepLines w:val="0"/>
              <w:widowControl/>
              <w:suppressLineNumbers w:val="0"/>
              <w:spacing w:before="0" w:beforeAutospacing="0" w:afterAutospacing="0"/>
              <w:ind w:right="0"/>
              <w:rPr>
                <w:rFonts w:hint="default"/>
              </w:rPr>
            </w:pPr>
            <w:r>
              <w:rPr>
                <w:rFonts w:hint="default"/>
              </w:rPr>
              <w:t>1,000</w:t>
            </w:r>
          </w:p>
        </w:tc>
        <w:tc>
          <w:tcPr>
            <w:tcW w:w="1080" w:type="dxa"/>
            <w:shd w:val="clear" w:color="auto" w:fill="FFFFFF"/>
            <w:tcMar>
              <w:top w:w="0" w:type="dxa"/>
              <w:left w:w="0" w:type="dxa"/>
              <w:bottom w:w="0" w:type="dxa"/>
              <w:right w:w="0" w:type="dxa"/>
            </w:tcMar>
          </w:tcPr>
          <w:p w14:paraId="61A36FF2">
            <w:pPr>
              <w:pStyle w:val="55"/>
              <w:keepNext w:val="0"/>
              <w:keepLines w:val="0"/>
              <w:widowControl/>
              <w:suppressLineNumbers w:val="0"/>
              <w:spacing w:before="0" w:beforeAutospacing="0" w:afterAutospacing="0"/>
              <w:ind w:right="0"/>
              <w:rPr>
                <w:rFonts w:hint="default"/>
              </w:rPr>
            </w:pPr>
            <w:r>
              <w:rPr>
                <w:rFonts w:hint="default"/>
              </w:rPr>
              <w:t>310</w:t>
            </w:r>
          </w:p>
        </w:tc>
        <w:tc>
          <w:tcPr>
            <w:tcW w:w="1296" w:type="dxa"/>
            <w:shd w:val="clear" w:color="auto" w:fill="FFFFFF"/>
            <w:tcMar>
              <w:top w:w="0" w:type="dxa"/>
              <w:left w:w="0" w:type="dxa"/>
              <w:bottom w:w="0" w:type="dxa"/>
              <w:right w:w="0" w:type="dxa"/>
            </w:tcMar>
          </w:tcPr>
          <w:p w14:paraId="560A93BE">
            <w:pPr>
              <w:pStyle w:val="55"/>
              <w:keepNext w:val="0"/>
              <w:keepLines w:val="0"/>
              <w:widowControl/>
              <w:suppressLineNumbers w:val="0"/>
              <w:spacing w:before="0" w:beforeAutospacing="0" w:afterAutospacing="0"/>
              <w:ind w:right="0"/>
              <w:rPr>
                <w:rFonts w:hint="default"/>
              </w:rPr>
            </w:pPr>
            <w:r>
              <w:rPr>
                <w:rFonts w:hint="default"/>
              </w:rPr>
              <w:t>109</w:t>
            </w:r>
          </w:p>
        </w:tc>
        <w:tc>
          <w:tcPr>
            <w:tcW w:w="2178" w:type="dxa"/>
            <w:shd w:val="clear" w:color="auto" w:fill="FFFFFF"/>
            <w:tcMar>
              <w:top w:w="0" w:type="dxa"/>
              <w:left w:w="0" w:type="dxa"/>
              <w:bottom w:w="0" w:type="dxa"/>
              <w:right w:w="0" w:type="dxa"/>
            </w:tcMar>
          </w:tcPr>
          <w:p w14:paraId="6ED2D163">
            <w:pPr>
              <w:pStyle w:val="55"/>
              <w:keepNext w:val="0"/>
              <w:keepLines w:val="0"/>
              <w:widowControl/>
              <w:suppressLineNumbers w:val="0"/>
              <w:spacing w:before="0" w:beforeAutospacing="0" w:afterAutospacing="0"/>
              <w:ind w:right="0"/>
              <w:rPr>
                <w:rFonts w:hint="default"/>
              </w:rPr>
            </w:pPr>
            <w:r>
              <w:rPr>
                <w:rFonts w:hint="default"/>
              </w:rPr>
              <w:t>1</w:t>
            </w:r>
          </w:p>
        </w:tc>
        <w:tc>
          <w:tcPr>
            <w:tcW w:w="1080" w:type="dxa"/>
            <w:shd w:val="clear" w:color="auto" w:fill="FFFFFF"/>
            <w:tcMar>
              <w:top w:w="0" w:type="dxa"/>
              <w:left w:w="0" w:type="dxa"/>
              <w:bottom w:w="0" w:type="dxa"/>
              <w:right w:w="0" w:type="dxa"/>
            </w:tcMar>
          </w:tcPr>
          <w:p w14:paraId="28B7BC5A">
            <w:pPr>
              <w:pStyle w:val="55"/>
              <w:keepNext w:val="0"/>
              <w:keepLines w:val="0"/>
              <w:widowControl/>
              <w:suppressLineNumbers w:val="0"/>
              <w:spacing w:before="0" w:beforeAutospacing="0" w:afterAutospacing="0"/>
              <w:ind w:right="0"/>
              <w:rPr>
                <w:rFonts w:hint="default"/>
              </w:rPr>
            </w:pPr>
            <w:r>
              <w:rPr>
                <w:rFonts w:hint="default"/>
              </w:rPr>
              <w:t>216</w:t>
            </w:r>
          </w:p>
        </w:tc>
        <w:tc>
          <w:tcPr>
            <w:tcW w:w="1329" w:type="dxa"/>
            <w:shd w:val="clear" w:color="auto" w:fill="FFFFFF"/>
            <w:tcMar>
              <w:top w:w="0" w:type="dxa"/>
              <w:left w:w="0" w:type="dxa"/>
              <w:bottom w:w="0" w:type="dxa"/>
              <w:right w:w="0" w:type="dxa"/>
            </w:tcMar>
          </w:tcPr>
          <w:p w14:paraId="2BC18610">
            <w:pPr>
              <w:pStyle w:val="55"/>
              <w:keepNext w:val="0"/>
              <w:keepLines w:val="0"/>
              <w:widowControl/>
              <w:suppressLineNumbers w:val="0"/>
              <w:spacing w:before="0" w:beforeAutospacing="0" w:afterAutospacing="0"/>
              <w:ind w:right="0"/>
              <w:rPr>
                <w:rFonts w:hint="default"/>
              </w:rPr>
            </w:pPr>
            <w:r>
              <w:rPr>
                <w:rFonts w:hint="default"/>
              </w:rPr>
              <w:t>131</w:t>
            </w:r>
          </w:p>
        </w:tc>
        <w:tc>
          <w:tcPr>
            <w:tcW w:w="1080" w:type="dxa"/>
            <w:shd w:val="clear" w:color="auto" w:fill="FFFFFF"/>
            <w:tcMar>
              <w:top w:w="0" w:type="dxa"/>
              <w:left w:w="0" w:type="dxa"/>
              <w:bottom w:w="0" w:type="dxa"/>
              <w:right w:w="0" w:type="dxa"/>
            </w:tcMar>
          </w:tcPr>
          <w:p w14:paraId="3A40E496">
            <w:pPr>
              <w:pStyle w:val="55"/>
              <w:keepNext w:val="0"/>
              <w:keepLines w:val="0"/>
              <w:widowControl/>
              <w:suppressLineNumbers w:val="0"/>
              <w:spacing w:before="0" w:beforeAutospacing="0" w:afterAutospacing="0"/>
              <w:ind w:right="0"/>
              <w:rPr>
                <w:rFonts w:hint="default"/>
              </w:rPr>
            </w:pPr>
            <w:r>
              <w:rPr>
                <w:rFonts w:hint="default"/>
              </w:rPr>
              <w:t>767</w:t>
            </w:r>
          </w:p>
        </w:tc>
        <w:tc>
          <w:tcPr>
            <w:tcW w:w="1188" w:type="dxa"/>
            <w:shd w:val="clear" w:color="auto" w:fill="FFFFFF"/>
            <w:tcMar>
              <w:top w:w="0" w:type="dxa"/>
              <w:left w:w="0" w:type="dxa"/>
              <w:bottom w:w="0" w:type="dxa"/>
              <w:right w:w="0" w:type="dxa"/>
            </w:tcMar>
          </w:tcPr>
          <w:p w14:paraId="668E20FC">
            <w:pPr>
              <w:pStyle w:val="55"/>
              <w:keepNext w:val="0"/>
              <w:keepLines w:val="0"/>
              <w:widowControl/>
              <w:suppressLineNumbers w:val="0"/>
              <w:spacing w:before="0" w:beforeAutospacing="0" w:afterAutospacing="0"/>
              <w:ind w:right="0"/>
              <w:rPr>
                <w:rFonts w:hint="default"/>
              </w:rPr>
            </w:pPr>
            <w:r>
              <w:rPr>
                <w:rFonts w:hint="default"/>
              </w:rPr>
              <w:t>233</w:t>
            </w:r>
          </w:p>
        </w:tc>
      </w:tr>
      <w:tr w14:paraId="7124EB57">
        <w:tblPrEx>
          <w:tblCellMar>
            <w:top w:w="0" w:type="dxa"/>
            <w:left w:w="108" w:type="dxa"/>
            <w:bottom w:w="0" w:type="dxa"/>
            <w:right w:w="108" w:type="dxa"/>
          </w:tblCellMar>
        </w:tblPrEx>
        <w:tc>
          <w:tcPr>
            <w:tcW w:w="1418" w:type="dxa"/>
            <w:shd w:val="clear" w:color="auto" w:fill="FFFFFF"/>
            <w:tcMar>
              <w:top w:w="0" w:type="dxa"/>
              <w:left w:w="0" w:type="dxa"/>
              <w:bottom w:w="0" w:type="dxa"/>
              <w:right w:w="0" w:type="dxa"/>
            </w:tcMar>
          </w:tcPr>
          <w:p w14:paraId="58AF6F53">
            <w:pPr>
              <w:pStyle w:val="55"/>
              <w:keepNext w:val="0"/>
              <w:keepLines w:val="0"/>
              <w:widowControl/>
              <w:suppressLineNumbers w:val="0"/>
              <w:spacing w:before="0" w:beforeAutospacing="0" w:afterAutospacing="0"/>
              <w:ind w:right="0"/>
              <w:rPr>
                <w:rFonts w:hint="default"/>
              </w:rPr>
            </w:pPr>
            <w:r>
              <w:rPr>
                <w:rFonts w:hint="default"/>
              </w:rPr>
              <w:t>BFD-OSL7</w:t>
            </w:r>
          </w:p>
        </w:tc>
        <w:tc>
          <w:tcPr>
            <w:tcW w:w="1080" w:type="dxa"/>
            <w:shd w:val="clear" w:color="auto" w:fill="FFFFFF"/>
            <w:tcMar>
              <w:top w:w="0" w:type="dxa"/>
              <w:left w:w="0" w:type="dxa"/>
              <w:bottom w:w="0" w:type="dxa"/>
              <w:right w:w="0" w:type="dxa"/>
            </w:tcMar>
          </w:tcPr>
          <w:p w14:paraId="5D4EB976">
            <w:pPr>
              <w:pStyle w:val="55"/>
              <w:keepNext w:val="0"/>
              <w:keepLines w:val="0"/>
              <w:widowControl/>
              <w:suppressLineNumbers w:val="0"/>
              <w:spacing w:before="0" w:beforeAutospacing="0" w:afterAutospacing="0"/>
              <w:ind w:right="0"/>
              <w:rPr>
                <w:rFonts w:hint="default"/>
              </w:rPr>
            </w:pPr>
            <w:r>
              <w:rPr>
                <w:rFonts w:hint="default"/>
              </w:rPr>
              <w:t>300</w:t>
            </w:r>
          </w:p>
        </w:tc>
        <w:tc>
          <w:tcPr>
            <w:tcW w:w="1080" w:type="dxa"/>
            <w:shd w:val="clear" w:color="auto" w:fill="FFFFFF"/>
            <w:tcMar>
              <w:top w:w="0" w:type="dxa"/>
              <w:left w:w="0" w:type="dxa"/>
              <w:bottom w:w="0" w:type="dxa"/>
              <w:right w:w="0" w:type="dxa"/>
            </w:tcMar>
          </w:tcPr>
          <w:p w14:paraId="302DDCCE">
            <w:pPr>
              <w:pStyle w:val="55"/>
              <w:keepNext w:val="0"/>
              <w:keepLines w:val="0"/>
              <w:widowControl/>
              <w:suppressLineNumbers w:val="0"/>
              <w:spacing w:before="0" w:beforeAutospacing="0" w:afterAutospacing="0"/>
              <w:ind w:right="0"/>
              <w:rPr>
                <w:rFonts w:hint="default"/>
              </w:rPr>
            </w:pPr>
            <w:r>
              <w:rPr>
                <w:rFonts w:hint="default"/>
              </w:rPr>
              <w:t>148</w:t>
            </w:r>
          </w:p>
        </w:tc>
        <w:tc>
          <w:tcPr>
            <w:tcW w:w="1296" w:type="dxa"/>
            <w:shd w:val="clear" w:color="auto" w:fill="FFFFFF"/>
            <w:tcMar>
              <w:top w:w="0" w:type="dxa"/>
              <w:left w:w="0" w:type="dxa"/>
              <w:bottom w:w="0" w:type="dxa"/>
              <w:right w:w="0" w:type="dxa"/>
            </w:tcMar>
          </w:tcPr>
          <w:p w14:paraId="6A7C84C1">
            <w:pPr>
              <w:pStyle w:val="55"/>
              <w:keepNext w:val="0"/>
              <w:keepLines w:val="0"/>
              <w:widowControl/>
              <w:suppressLineNumbers w:val="0"/>
              <w:spacing w:before="0" w:beforeAutospacing="0" w:afterAutospacing="0"/>
              <w:ind w:right="0"/>
              <w:rPr>
                <w:rFonts w:hint="default"/>
              </w:rPr>
            </w:pPr>
            <w:r>
              <w:rPr>
                <w:rFonts w:hint="default"/>
              </w:rPr>
              <w:t>14</w:t>
            </w:r>
          </w:p>
        </w:tc>
        <w:tc>
          <w:tcPr>
            <w:tcW w:w="2178" w:type="dxa"/>
            <w:shd w:val="clear" w:color="auto" w:fill="FFFFFF"/>
            <w:tcMar>
              <w:top w:w="0" w:type="dxa"/>
              <w:left w:w="0" w:type="dxa"/>
              <w:bottom w:w="0" w:type="dxa"/>
              <w:right w:w="0" w:type="dxa"/>
            </w:tcMar>
          </w:tcPr>
          <w:p w14:paraId="45FDC99D">
            <w:pPr>
              <w:pStyle w:val="55"/>
              <w:keepNext w:val="0"/>
              <w:keepLines w:val="0"/>
              <w:widowControl/>
              <w:suppressLineNumbers w:val="0"/>
              <w:spacing w:before="0" w:beforeAutospacing="0" w:afterAutospacing="0"/>
              <w:ind w:right="0"/>
              <w:rPr>
                <w:rFonts w:hint="default"/>
              </w:rPr>
            </w:pPr>
            <w:r>
              <w:rPr>
                <w:rFonts w:hint="default"/>
              </w:rPr>
              <w:t>4</w:t>
            </w:r>
          </w:p>
        </w:tc>
        <w:tc>
          <w:tcPr>
            <w:tcW w:w="1080" w:type="dxa"/>
            <w:shd w:val="clear" w:color="auto" w:fill="FFFFFF"/>
            <w:tcMar>
              <w:top w:w="0" w:type="dxa"/>
              <w:left w:w="0" w:type="dxa"/>
              <w:bottom w:w="0" w:type="dxa"/>
              <w:right w:w="0" w:type="dxa"/>
            </w:tcMar>
          </w:tcPr>
          <w:p w14:paraId="342C5C49">
            <w:pPr>
              <w:pStyle w:val="55"/>
              <w:keepNext w:val="0"/>
              <w:keepLines w:val="0"/>
              <w:widowControl/>
              <w:suppressLineNumbers w:val="0"/>
              <w:spacing w:before="0" w:beforeAutospacing="0" w:afterAutospacing="0"/>
              <w:ind w:right="0"/>
              <w:rPr>
                <w:rFonts w:hint="default"/>
              </w:rPr>
            </w:pPr>
            <w:r>
              <w:rPr>
                <w:rFonts w:hint="default"/>
              </w:rPr>
              <w:t>43</w:t>
            </w:r>
          </w:p>
        </w:tc>
        <w:tc>
          <w:tcPr>
            <w:tcW w:w="1329" w:type="dxa"/>
            <w:shd w:val="clear" w:color="auto" w:fill="FFFFFF"/>
            <w:tcMar>
              <w:top w:w="0" w:type="dxa"/>
              <w:left w:w="0" w:type="dxa"/>
              <w:bottom w:w="0" w:type="dxa"/>
              <w:right w:w="0" w:type="dxa"/>
            </w:tcMar>
          </w:tcPr>
          <w:p w14:paraId="24DD249A">
            <w:pPr>
              <w:pStyle w:val="55"/>
              <w:keepNext w:val="0"/>
              <w:keepLines w:val="0"/>
              <w:widowControl/>
              <w:suppressLineNumbers w:val="0"/>
              <w:spacing w:before="0" w:beforeAutospacing="0" w:afterAutospacing="0"/>
              <w:ind w:right="0"/>
              <w:rPr>
                <w:rFonts w:hint="default"/>
              </w:rPr>
            </w:pPr>
            <w:r>
              <w:rPr>
                <w:rFonts w:hint="default"/>
              </w:rPr>
              <w:t>24</w:t>
            </w:r>
          </w:p>
        </w:tc>
        <w:tc>
          <w:tcPr>
            <w:tcW w:w="1080" w:type="dxa"/>
            <w:shd w:val="clear" w:color="auto" w:fill="FFFFFF"/>
            <w:tcMar>
              <w:top w:w="0" w:type="dxa"/>
              <w:left w:w="0" w:type="dxa"/>
              <w:bottom w:w="0" w:type="dxa"/>
              <w:right w:w="0" w:type="dxa"/>
            </w:tcMar>
          </w:tcPr>
          <w:p w14:paraId="52D1F7BE">
            <w:pPr>
              <w:pStyle w:val="55"/>
              <w:keepNext w:val="0"/>
              <w:keepLines w:val="0"/>
              <w:widowControl/>
              <w:suppressLineNumbers w:val="0"/>
              <w:spacing w:before="0" w:beforeAutospacing="0" w:afterAutospacing="0"/>
              <w:ind w:right="0"/>
              <w:rPr>
                <w:rFonts w:hint="default"/>
              </w:rPr>
            </w:pPr>
            <w:r>
              <w:rPr>
                <w:rFonts w:hint="default"/>
              </w:rPr>
              <w:t>233</w:t>
            </w:r>
          </w:p>
        </w:tc>
        <w:tc>
          <w:tcPr>
            <w:tcW w:w="1188" w:type="dxa"/>
            <w:shd w:val="clear" w:color="auto" w:fill="FFFFFF"/>
            <w:tcMar>
              <w:top w:w="0" w:type="dxa"/>
              <w:left w:w="0" w:type="dxa"/>
              <w:bottom w:w="0" w:type="dxa"/>
              <w:right w:w="0" w:type="dxa"/>
            </w:tcMar>
          </w:tcPr>
          <w:p w14:paraId="5C1A1F05">
            <w:pPr>
              <w:pStyle w:val="55"/>
              <w:keepNext w:val="0"/>
              <w:keepLines w:val="0"/>
              <w:widowControl/>
              <w:suppressLineNumbers w:val="0"/>
              <w:spacing w:before="0" w:beforeAutospacing="0" w:afterAutospacing="0"/>
              <w:ind w:right="0"/>
              <w:rPr>
                <w:rFonts w:hint="default"/>
              </w:rPr>
            </w:pPr>
            <w:r>
              <w:rPr>
                <w:rFonts w:hint="default"/>
              </w:rPr>
              <w:t>67</w:t>
            </w:r>
          </w:p>
        </w:tc>
      </w:tr>
      <w:tr w14:paraId="6E8C0852">
        <w:tblPrEx>
          <w:tblCellMar>
            <w:top w:w="0" w:type="dxa"/>
            <w:left w:w="108" w:type="dxa"/>
            <w:bottom w:w="0" w:type="dxa"/>
            <w:right w:w="108" w:type="dxa"/>
          </w:tblCellMar>
        </w:tblPrEx>
        <w:tc>
          <w:tcPr>
            <w:tcW w:w="1418" w:type="dxa"/>
            <w:shd w:val="clear" w:color="auto" w:fill="FFFFFF"/>
            <w:tcMar>
              <w:top w:w="0" w:type="dxa"/>
              <w:left w:w="0" w:type="dxa"/>
              <w:bottom w:w="0" w:type="dxa"/>
              <w:right w:w="0" w:type="dxa"/>
            </w:tcMar>
          </w:tcPr>
          <w:p w14:paraId="3065515B">
            <w:pPr>
              <w:pStyle w:val="55"/>
              <w:keepNext w:val="0"/>
              <w:keepLines w:val="0"/>
              <w:widowControl/>
              <w:suppressLineNumbers w:val="0"/>
              <w:spacing w:before="0" w:beforeAutospacing="0" w:afterAutospacing="0"/>
              <w:ind w:right="0"/>
              <w:rPr>
                <w:rFonts w:hint="default"/>
              </w:rPr>
            </w:pPr>
            <w:r>
              <w:rPr>
                <w:rFonts w:hint="default"/>
              </w:rPr>
              <w:t>BFD-OSL8</w:t>
            </w:r>
          </w:p>
        </w:tc>
        <w:tc>
          <w:tcPr>
            <w:tcW w:w="1080" w:type="dxa"/>
            <w:shd w:val="clear" w:color="auto" w:fill="FFFFFF"/>
            <w:tcMar>
              <w:top w:w="0" w:type="dxa"/>
              <w:left w:w="0" w:type="dxa"/>
              <w:bottom w:w="0" w:type="dxa"/>
              <w:right w:w="0" w:type="dxa"/>
            </w:tcMar>
          </w:tcPr>
          <w:p w14:paraId="39EEE780">
            <w:pPr>
              <w:pStyle w:val="55"/>
              <w:keepNext w:val="0"/>
              <w:keepLines w:val="0"/>
              <w:widowControl/>
              <w:suppressLineNumbers w:val="0"/>
              <w:spacing w:before="0" w:beforeAutospacing="0" w:afterAutospacing="0"/>
              <w:ind w:right="0"/>
              <w:rPr>
                <w:rFonts w:hint="default"/>
              </w:rPr>
            </w:pPr>
            <w:r>
              <w:rPr>
                <w:rFonts w:hint="default"/>
              </w:rPr>
              <w:t>500</w:t>
            </w:r>
          </w:p>
        </w:tc>
        <w:tc>
          <w:tcPr>
            <w:tcW w:w="1080" w:type="dxa"/>
            <w:shd w:val="clear" w:color="auto" w:fill="FFFFFF"/>
            <w:tcMar>
              <w:top w:w="0" w:type="dxa"/>
              <w:left w:w="0" w:type="dxa"/>
              <w:bottom w:w="0" w:type="dxa"/>
              <w:right w:w="0" w:type="dxa"/>
            </w:tcMar>
          </w:tcPr>
          <w:p w14:paraId="1D33F25E">
            <w:pPr>
              <w:pStyle w:val="55"/>
              <w:keepNext w:val="0"/>
              <w:keepLines w:val="0"/>
              <w:widowControl/>
              <w:suppressLineNumbers w:val="0"/>
              <w:spacing w:before="0" w:beforeAutospacing="0" w:afterAutospacing="0"/>
              <w:ind w:right="0"/>
              <w:rPr>
                <w:rFonts w:hint="default"/>
              </w:rPr>
            </w:pPr>
            <w:r>
              <w:rPr>
                <w:rFonts w:hint="default"/>
              </w:rPr>
              <w:t>267</w:t>
            </w:r>
          </w:p>
        </w:tc>
        <w:tc>
          <w:tcPr>
            <w:tcW w:w="1296" w:type="dxa"/>
            <w:shd w:val="clear" w:color="auto" w:fill="FFFFFF"/>
            <w:tcMar>
              <w:top w:w="0" w:type="dxa"/>
              <w:left w:w="0" w:type="dxa"/>
              <w:bottom w:w="0" w:type="dxa"/>
              <w:right w:w="0" w:type="dxa"/>
            </w:tcMar>
          </w:tcPr>
          <w:p w14:paraId="6CE5C3F5">
            <w:pPr>
              <w:pStyle w:val="55"/>
              <w:keepNext w:val="0"/>
              <w:keepLines w:val="0"/>
              <w:widowControl/>
              <w:suppressLineNumbers w:val="0"/>
              <w:spacing w:before="0" w:beforeAutospacing="0" w:afterAutospacing="0"/>
              <w:ind w:right="0"/>
              <w:rPr>
                <w:rFonts w:hint="default"/>
              </w:rPr>
            </w:pPr>
            <w:r>
              <w:rPr>
                <w:rFonts w:hint="default"/>
              </w:rPr>
              <w:t>67</w:t>
            </w:r>
          </w:p>
        </w:tc>
        <w:tc>
          <w:tcPr>
            <w:tcW w:w="2178" w:type="dxa"/>
            <w:shd w:val="clear" w:color="auto" w:fill="FFFFFF"/>
            <w:tcMar>
              <w:top w:w="0" w:type="dxa"/>
              <w:left w:w="0" w:type="dxa"/>
              <w:bottom w:w="0" w:type="dxa"/>
              <w:right w:w="0" w:type="dxa"/>
            </w:tcMar>
          </w:tcPr>
          <w:p w14:paraId="459B769B">
            <w:pPr>
              <w:pStyle w:val="55"/>
              <w:keepNext w:val="0"/>
              <w:keepLines w:val="0"/>
              <w:widowControl/>
              <w:suppressLineNumbers w:val="0"/>
              <w:spacing w:before="0" w:beforeAutospacing="0" w:afterAutospacing="0"/>
              <w:ind w:right="0"/>
              <w:rPr>
                <w:rFonts w:hint="default"/>
              </w:rPr>
            </w:pPr>
            <w:r>
              <w:rPr>
                <w:rFonts w:hint="default"/>
              </w:rPr>
              <w:t>0</w:t>
            </w:r>
          </w:p>
        </w:tc>
        <w:tc>
          <w:tcPr>
            <w:tcW w:w="1080" w:type="dxa"/>
            <w:shd w:val="clear" w:color="auto" w:fill="FFFFFF"/>
            <w:tcMar>
              <w:top w:w="0" w:type="dxa"/>
              <w:left w:w="0" w:type="dxa"/>
              <w:bottom w:w="0" w:type="dxa"/>
              <w:right w:w="0" w:type="dxa"/>
            </w:tcMar>
          </w:tcPr>
          <w:p w14:paraId="7821E1A9">
            <w:pPr>
              <w:pStyle w:val="55"/>
              <w:keepNext w:val="0"/>
              <w:keepLines w:val="0"/>
              <w:widowControl/>
              <w:suppressLineNumbers w:val="0"/>
              <w:spacing w:before="0" w:beforeAutospacing="0" w:afterAutospacing="0"/>
              <w:ind w:right="0"/>
              <w:rPr>
                <w:rFonts w:hint="default"/>
              </w:rPr>
            </w:pPr>
            <w:r>
              <w:rPr>
                <w:rFonts w:hint="default"/>
              </w:rPr>
              <w:t>73</w:t>
            </w:r>
          </w:p>
        </w:tc>
        <w:tc>
          <w:tcPr>
            <w:tcW w:w="1329" w:type="dxa"/>
            <w:shd w:val="clear" w:color="auto" w:fill="FFFFFF"/>
            <w:tcMar>
              <w:top w:w="0" w:type="dxa"/>
              <w:left w:w="0" w:type="dxa"/>
              <w:bottom w:w="0" w:type="dxa"/>
              <w:right w:w="0" w:type="dxa"/>
            </w:tcMar>
          </w:tcPr>
          <w:p w14:paraId="46DB09EE">
            <w:pPr>
              <w:pStyle w:val="55"/>
              <w:keepNext w:val="0"/>
              <w:keepLines w:val="0"/>
              <w:widowControl/>
              <w:suppressLineNumbers w:val="0"/>
              <w:spacing w:before="0" w:beforeAutospacing="0" w:afterAutospacing="0"/>
              <w:ind w:right="0"/>
              <w:rPr>
                <w:rFonts w:hint="default"/>
              </w:rPr>
            </w:pPr>
            <w:r>
              <w:rPr>
                <w:rFonts w:hint="default"/>
              </w:rPr>
              <w:t>39</w:t>
            </w:r>
          </w:p>
        </w:tc>
        <w:tc>
          <w:tcPr>
            <w:tcW w:w="1080" w:type="dxa"/>
            <w:shd w:val="clear" w:color="auto" w:fill="FFFFFF"/>
            <w:tcMar>
              <w:top w:w="0" w:type="dxa"/>
              <w:left w:w="0" w:type="dxa"/>
              <w:bottom w:w="0" w:type="dxa"/>
              <w:right w:w="0" w:type="dxa"/>
            </w:tcMar>
          </w:tcPr>
          <w:p w14:paraId="5C18BAEA">
            <w:pPr>
              <w:pStyle w:val="55"/>
              <w:keepNext w:val="0"/>
              <w:keepLines w:val="0"/>
              <w:widowControl/>
              <w:suppressLineNumbers w:val="0"/>
              <w:spacing w:before="0" w:beforeAutospacing="0" w:afterAutospacing="0"/>
              <w:ind w:right="0"/>
              <w:rPr>
                <w:rFonts w:hint="default"/>
              </w:rPr>
            </w:pPr>
            <w:r>
              <w:rPr>
                <w:rFonts w:hint="default"/>
              </w:rPr>
              <w:t>446</w:t>
            </w:r>
          </w:p>
        </w:tc>
        <w:tc>
          <w:tcPr>
            <w:tcW w:w="1188" w:type="dxa"/>
            <w:shd w:val="clear" w:color="auto" w:fill="FFFFFF"/>
            <w:tcMar>
              <w:top w:w="0" w:type="dxa"/>
              <w:left w:w="0" w:type="dxa"/>
              <w:bottom w:w="0" w:type="dxa"/>
              <w:right w:w="0" w:type="dxa"/>
            </w:tcMar>
          </w:tcPr>
          <w:p w14:paraId="3BC7797A">
            <w:pPr>
              <w:pStyle w:val="55"/>
              <w:keepNext w:val="0"/>
              <w:keepLines w:val="0"/>
              <w:widowControl/>
              <w:suppressLineNumbers w:val="0"/>
              <w:spacing w:before="0" w:beforeAutospacing="0" w:afterAutospacing="0"/>
              <w:ind w:right="0"/>
              <w:rPr>
                <w:rFonts w:hint="default"/>
              </w:rPr>
            </w:pPr>
            <w:r>
              <w:rPr>
                <w:rFonts w:hint="default"/>
              </w:rPr>
              <w:t>54</w:t>
            </w:r>
          </w:p>
        </w:tc>
      </w:tr>
      <w:tr w14:paraId="6BB5DE6F">
        <w:tblPrEx>
          <w:tblCellMar>
            <w:top w:w="0" w:type="dxa"/>
            <w:left w:w="108" w:type="dxa"/>
            <w:bottom w:w="0" w:type="dxa"/>
            <w:right w:w="108" w:type="dxa"/>
          </w:tblCellMar>
        </w:tblPrEx>
        <w:tc>
          <w:tcPr>
            <w:tcW w:w="1418" w:type="dxa"/>
            <w:shd w:val="clear" w:color="auto" w:fill="FFFFFF"/>
            <w:tcMar>
              <w:top w:w="0" w:type="dxa"/>
              <w:left w:w="0" w:type="dxa"/>
              <w:bottom w:w="0" w:type="dxa"/>
              <w:right w:w="0" w:type="dxa"/>
            </w:tcMar>
          </w:tcPr>
          <w:p w14:paraId="0D282B2D">
            <w:pPr>
              <w:pStyle w:val="55"/>
              <w:keepNext w:val="0"/>
              <w:keepLines w:val="0"/>
              <w:widowControl/>
              <w:suppressLineNumbers w:val="0"/>
              <w:spacing w:before="0" w:beforeAutospacing="0" w:afterAutospacing="0"/>
              <w:ind w:right="0"/>
              <w:rPr>
                <w:rFonts w:hint="default"/>
              </w:rPr>
            </w:pPr>
            <w:r>
              <w:rPr>
                <w:rFonts w:hint="default"/>
              </w:rPr>
              <w:t>BFD-OSL9</w:t>
            </w:r>
          </w:p>
        </w:tc>
        <w:tc>
          <w:tcPr>
            <w:tcW w:w="1080" w:type="dxa"/>
            <w:shd w:val="clear" w:color="auto" w:fill="FFFFFF"/>
            <w:tcMar>
              <w:top w:w="0" w:type="dxa"/>
              <w:left w:w="0" w:type="dxa"/>
              <w:bottom w:w="0" w:type="dxa"/>
              <w:right w:w="0" w:type="dxa"/>
            </w:tcMar>
          </w:tcPr>
          <w:p w14:paraId="590D1AB6">
            <w:pPr>
              <w:pStyle w:val="55"/>
              <w:keepNext w:val="0"/>
              <w:keepLines w:val="0"/>
              <w:widowControl/>
              <w:suppressLineNumbers w:val="0"/>
              <w:spacing w:before="0" w:beforeAutospacing="0" w:afterAutospacing="0"/>
              <w:ind w:right="0"/>
              <w:rPr>
                <w:rFonts w:hint="default"/>
              </w:rPr>
            </w:pPr>
            <w:r>
              <w:rPr>
                <w:rFonts w:hint="default"/>
              </w:rPr>
              <w:t>500</w:t>
            </w:r>
          </w:p>
        </w:tc>
        <w:tc>
          <w:tcPr>
            <w:tcW w:w="1080" w:type="dxa"/>
            <w:shd w:val="clear" w:color="auto" w:fill="FFFFFF"/>
            <w:tcMar>
              <w:top w:w="0" w:type="dxa"/>
              <w:left w:w="0" w:type="dxa"/>
              <w:bottom w:w="0" w:type="dxa"/>
              <w:right w:w="0" w:type="dxa"/>
            </w:tcMar>
          </w:tcPr>
          <w:p w14:paraId="66C6AF40">
            <w:pPr>
              <w:pStyle w:val="55"/>
              <w:keepNext w:val="0"/>
              <w:keepLines w:val="0"/>
              <w:widowControl/>
              <w:suppressLineNumbers w:val="0"/>
              <w:spacing w:before="0" w:beforeAutospacing="0" w:afterAutospacing="0"/>
              <w:ind w:right="0"/>
              <w:rPr>
                <w:rFonts w:hint="default"/>
              </w:rPr>
            </w:pPr>
            <w:r>
              <w:rPr>
                <w:rFonts w:hint="default"/>
              </w:rPr>
              <w:t>229</w:t>
            </w:r>
          </w:p>
        </w:tc>
        <w:tc>
          <w:tcPr>
            <w:tcW w:w="1296" w:type="dxa"/>
            <w:shd w:val="clear" w:color="auto" w:fill="FFFFFF"/>
            <w:tcMar>
              <w:top w:w="0" w:type="dxa"/>
              <w:left w:w="0" w:type="dxa"/>
              <w:bottom w:w="0" w:type="dxa"/>
              <w:right w:w="0" w:type="dxa"/>
            </w:tcMar>
          </w:tcPr>
          <w:p w14:paraId="6F3E231B">
            <w:pPr>
              <w:pStyle w:val="55"/>
              <w:keepNext w:val="0"/>
              <w:keepLines w:val="0"/>
              <w:widowControl/>
              <w:suppressLineNumbers w:val="0"/>
              <w:spacing w:before="0" w:beforeAutospacing="0" w:afterAutospacing="0"/>
              <w:ind w:right="0"/>
              <w:rPr>
                <w:rFonts w:hint="default"/>
              </w:rPr>
            </w:pPr>
            <w:r>
              <w:rPr>
                <w:rFonts w:hint="default"/>
              </w:rPr>
              <w:t>67</w:t>
            </w:r>
          </w:p>
        </w:tc>
        <w:tc>
          <w:tcPr>
            <w:tcW w:w="2178" w:type="dxa"/>
            <w:shd w:val="clear" w:color="auto" w:fill="FFFFFF"/>
            <w:tcMar>
              <w:top w:w="0" w:type="dxa"/>
              <w:left w:w="0" w:type="dxa"/>
              <w:bottom w:w="0" w:type="dxa"/>
              <w:right w:w="0" w:type="dxa"/>
            </w:tcMar>
          </w:tcPr>
          <w:p w14:paraId="3DD5C27D">
            <w:pPr>
              <w:pStyle w:val="55"/>
              <w:keepNext w:val="0"/>
              <w:keepLines w:val="0"/>
              <w:widowControl/>
              <w:suppressLineNumbers w:val="0"/>
              <w:spacing w:before="0" w:beforeAutospacing="0" w:afterAutospacing="0"/>
              <w:ind w:right="0"/>
              <w:rPr>
                <w:rFonts w:hint="default"/>
              </w:rPr>
            </w:pPr>
            <w:r>
              <w:rPr>
                <w:rFonts w:hint="default"/>
              </w:rPr>
              <w:t>10</w:t>
            </w:r>
          </w:p>
        </w:tc>
        <w:tc>
          <w:tcPr>
            <w:tcW w:w="1080" w:type="dxa"/>
            <w:shd w:val="clear" w:color="auto" w:fill="FFFFFF"/>
            <w:tcMar>
              <w:top w:w="0" w:type="dxa"/>
              <w:left w:w="0" w:type="dxa"/>
              <w:bottom w:w="0" w:type="dxa"/>
              <w:right w:w="0" w:type="dxa"/>
            </w:tcMar>
          </w:tcPr>
          <w:p w14:paraId="4C92FCAB">
            <w:pPr>
              <w:pStyle w:val="55"/>
              <w:keepNext w:val="0"/>
              <w:keepLines w:val="0"/>
              <w:widowControl/>
              <w:suppressLineNumbers w:val="0"/>
              <w:spacing w:before="0" w:beforeAutospacing="0" w:afterAutospacing="0"/>
              <w:ind w:right="0"/>
              <w:rPr>
                <w:rFonts w:hint="default"/>
              </w:rPr>
            </w:pPr>
            <w:r>
              <w:rPr>
                <w:rFonts w:hint="default"/>
              </w:rPr>
              <w:t>90</w:t>
            </w:r>
          </w:p>
        </w:tc>
        <w:tc>
          <w:tcPr>
            <w:tcW w:w="1329" w:type="dxa"/>
            <w:shd w:val="clear" w:color="auto" w:fill="FFFFFF"/>
            <w:tcMar>
              <w:top w:w="0" w:type="dxa"/>
              <w:left w:w="0" w:type="dxa"/>
              <w:bottom w:w="0" w:type="dxa"/>
              <w:right w:w="0" w:type="dxa"/>
            </w:tcMar>
          </w:tcPr>
          <w:p w14:paraId="3DF3FBFF">
            <w:pPr>
              <w:pStyle w:val="55"/>
              <w:keepNext w:val="0"/>
              <w:keepLines w:val="0"/>
              <w:widowControl/>
              <w:suppressLineNumbers w:val="0"/>
              <w:spacing w:before="0" w:beforeAutospacing="0" w:afterAutospacing="0"/>
              <w:ind w:right="0"/>
              <w:rPr>
                <w:rFonts w:hint="default"/>
              </w:rPr>
            </w:pPr>
            <w:r>
              <w:rPr>
                <w:rFonts w:hint="default"/>
              </w:rPr>
              <w:t>22</w:t>
            </w:r>
          </w:p>
        </w:tc>
        <w:tc>
          <w:tcPr>
            <w:tcW w:w="1080" w:type="dxa"/>
            <w:shd w:val="clear" w:color="auto" w:fill="FFFFFF"/>
            <w:tcMar>
              <w:top w:w="0" w:type="dxa"/>
              <w:left w:w="0" w:type="dxa"/>
              <w:bottom w:w="0" w:type="dxa"/>
              <w:right w:w="0" w:type="dxa"/>
            </w:tcMar>
          </w:tcPr>
          <w:p w14:paraId="5417313D">
            <w:pPr>
              <w:pStyle w:val="55"/>
              <w:keepNext w:val="0"/>
              <w:keepLines w:val="0"/>
              <w:widowControl/>
              <w:suppressLineNumbers w:val="0"/>
              <w:spacing w:before="0" w:beforeAutospacing="0" w:afterAutospacing="0"/>
              <w:ind w:right="0"/>
              <w:rPr>
                <w:rFonts w:hint="default"/>
              </w:rPr>
            </w:pPr>
            <w:r>
              <w:rPr>
                <w:rFonts w:hint="default"/>
              </w:rPr>
              <w:t>418</w:t>
            </w:r>
          </w:p>
        </w:tc>
        <w:tc>
          <w:tcPr>
            <w:tcW w:w="1188" w:type="dxa"/>
            <w:shd w:val="clear" w:color="auto" w:fill="FFFFFF"/>
            <w:tcMar>
              <w:top w:w="0" w:type="dxa"/>
              <w:left w:w="0" w:type="dxa"/>
              <w:bottom w:w="0" w:type="dxa"/>
              <w:right w:w="0" w:type="dxa"/>
            </w:tcMar>
          </w:tcPr>
          <w:p w14:paraId="18C8D591">
            <w:pPr>
              <w:pStyle w:val="55"/>
              <w:keepNext w:val="0"/>
              <w:keepLines w:val="0"/>
              <w:widowControl/>
              <w:suppressLineNumbers w:val="0"/>
              <w:spacing w:before="0" w:beforeAutospacing="0" w:afterAutospacing="0"/>
              <w:ind w:right="0"/>
              <w:rPr>
                <w:rFonts w:hint="default"/>
              </w:rPr>
            </w:pPr>
            <w:r>
              <w:rPr>
                <w:rFonts w:hint="default"/>
              </w:rPr>
              <w:t>82</w:t>
            </w:r>
          </w:p>
        </w:tc>
      </w:tr>
      <w:tr w14:paraId="6BA6DF8D">
        <w:tblPrEx>
          <w:tblCellMar>
            <w:top w:w="0" w:type="dxa"/>
            <w:left w:w="108" w:type="dxa"/>
            <w:bottom w:w="0" w:type="dxa"/>
            <w:right w:w="108" w:type="dxa"/>
          </w:tblCellMar>
        </w:tblPrEx>
        <w:tc>
          <w:tcPr>
            <w:tcW w:w="1418" w:type="dxa"/>
            <w:shd w:val="clear" w:color="auto" w:fill="FFFFFF"/>
            <w:tcMar>
              <w:top w:w="0" w:type="dxa"/>
              <w:left w:w="0" w:type="dxa"/>
              <w:bottom w:w="0" w:type="dxa"/>
              <w:right w:w="0" w:type="dxa"/>
            </w:tcMar>
          </w:tcPr>
          <w:p w14:paraId="3B234275">
            <w:pPr>
              <w:pStyle w:val="55"/>
              <w:keepNext w:val="0"/>
              <w:keepLines w:val="0"/>
              <w:widowControl/>
              <w:suppressLineNumbers w:val="0"/>
              <w:spacing w:before="0" w:beforeAutospacing="0" w:afterAutospacing="0"/>
              <w:ind w:right="0"/>
              <w:rPr>
                <w:rFonts w:hint="default"/>
              </w:rPr>
            </w:pPr>
            <w:r>
              <w:rPr>
                <w:rFonts w:hint="default"/>
              </w:rPr>
              <w:t>BFD-OSL10</w:t>
            </w:r>
          </w:p>
        </w:tc>
        <w:tc>
          <w:tcPr>
            <w:tcW w:w="1080" w:type="dxa"/>
            <w:shd w:val="clear" w:color="auto" w:fill="FFFFFF"/>
            <w:tcMar>
              <w:top w:w="0" w:type="dxa"/>
              <w:left w:w="0" w:type="dxa"/>
              <w:bottom w:w="0" w:type="dxa"/>
              <w:right w:w="0" w:type="dxa"/>
            </w:tcMar>
          </w:tcPr>
          <w:p w14:paraId="52B95F57">
            <w:pPr>
              <w:pStyle w:val="55"/>
              <w:keepNext w:val="0"/>
              <w:keepLines w:val="0"/>
              <w:widowControl/>
              <w:suppressLineNumbers w:val="0"/>
              <w:spacing w:before="0" w:beforeAutospacing="0" w:afterAutospacing="0"/>
              <w:ind w:right="0"/>
              <w:rPr>
                <w:rFonts w:hint="default"/>
              </w:rPr>
            </w:pPr>
            <w:r>
              <w:rPr>
                <w:rFonts w:hint="default"/>
              </w:rPr>
              <w:t>300</w:t>
            </w:r>
          </w:p>
        </w:tc>
        <w:tc>
          <w:tcPr>
            <w:tcW w:w="1080" w:type="dxa"/>
            <w:shd w:val="clear" w:color="auto" w:fill="FFFFFF"/>
            <w:tcMar>
              <w:top w:w="0" w:type="dxa"/>
              <w:left w:w="0" w:type="dxa"/>
              <w:bottom w:w="0" w:type="dxa"/>
              <w:right w:w="0" w:type="dxa"/>
            </w:tcMar>
          </w:tcPr>
          <w:p w14:paraId="2C8B6878">
            <w:pPr>
              <w:pStyle w:val="55"/>
              <w:keepNext w:val="0"/>
              <w:keepLines w:val="0"/>
              <w:widowControl/>
              <w:suppressLineNumbers w:val="0"/>
              <w:spacing w:before="0" w:beforeAutospacing="0" w:afterAutospacing="0"/>
              <w:ind w:right="0"/>
              <w:rPr>
                <w:rFonts w:hint="default"/>
              </w:rPr>
            </w:pPr>
            <w:r>
              <w:rPr>
                <w:rFonts w:hint="default"/>
              </w:rPr>
              <w:t>153</w:t>
            </w:r>
          </w:p>
        </w:tc>
        <w:tc>
          <w:tcPr>
            <w:tcW w:w="1296" w:type="dxa"/>
            <w:shd w:val="clear" w:color="auto" w:fill="FFFFFF"/>
            <w:tcMar>
              <w:top w:w="0" w:type="dxa"/>
              <w:left w:w="0" w:type="dxa"/>
              <w:bottom w:w="0" w:type="dxa"/>
              <w:right w:w="0" w:type="dxa"/>
            </w:tcMar>
          </w:tcPr>
          <w:p w14:paraId="7B339197">
            <w:pPr>
              <w:pStyle w:val="55"/>
              <w:keepNext w:val="0"/>
              <w:keepLines w:val="0"/>
              <w:widowControl/>
              <w:suppressLineNumbers w:val="0"/>
              <w:spacing w:before="0" w:beforeAutospacing="0" w:afterAutospacing="0"/>
              <w:ind w:right="0"/>
              <w:rPr>
                <w:rFonts w:hint="default"/>
              </w:rPr>
            </w:pPr>
            <w:r>
              <w:rPr>
                <w:rFonts w:hint="default"/>
              </w:rPr>
              <w:t>13</w:t>
            </w:r>
          </w:p>
        </w:tc>
        <w:tc>
          <w:tcPr>
            <w:tcW w:w="2178" w:type="dxa"/>
            <w:shd w:val="clear" w:color="auto" w:fill="FFFFFF"/>
            <w:tcMar>
              <w:top w:w="0" w:type="dxa"/>
              <w:left w:w="0" w:type="dxa"/>
              <w:bottom w:w="0" w:type="dxa"/>
              <w:right w:w="0" w:type="dxa"/>
            </w:tcMar>
          </w:tcPr>
          <w:p w14:paraId="0465516F">
            <w:pPr>
              <w:pStyle w:val="55"/>
              <w:keepNext w:val="0"/>
              <w:keepLines w:val="0"/>
              <w:widowControl/>
              <w:suppressLineNumbers w:val="0"/>
              <w:spacing w:before="0" w:beforeAutospacing="0" w:afterAutospacing="0"/>
              <w:ind w:right="0"/>
              <w:rPr>
                <w:rFonts w:hint="default"/>
              </w:rPr>
            </w:pPr>
            <w:r>
              <w:rPr>
                <w:rFonts w:hint="default"/>
              </w:rPr>
              <w:t>0</w:t>
            </w:r>
          </w:p>
        </w:tc>
        <w:tc>
          <w:tcPr>
            <w:tcW w:w="1080" w:type="dxa"/>
            <w:shd w:val="clear" w:color="auto" w:fill="FFFFFF"/>
            <w:tcMar>
              <w:top w:w="0" w:type="dxa"/>
              <w:left w:w="0" w:type="dxa"/>
              <w:bottom w:w="0" w:type="dxa"/>
              <w:right w:w="0" w:type="dxa"/>
            </w:tcMar>
          </w:tcPr>
          <w:p w14:paraId="3DF1C14D">
            <w:pPr>
              <w:pStyle w:val="55"/>
              <w:keepNext w:val="0"/>
              <w:keepLines w:val="0"/>
              <w:widowControl/>
              <w:suppressLineNumbers w:val="0"/>
              <w:spacing w:before="0" w:beforeAutospacing="0" w:afterAutospacing="0"/>
              <w:ind w:right="0"/>
              <w:rPr>
                <w:rFonts w:hint="default"/>
              </w:rPr>
            </w:pPr>
            <w:r>
              <w:rPr>
                <w:rFonts w:hint="default"/>
              </w:rPr>
              <w:t>28</w:t>
            </w:r>
          </w:p>
        </w:tc>
        <w:tc>
          <w:tcPr>
            <w:tcW w:w="1329" w:type="dxa"/>
            <w:shd w:val="clear" w:color="auto" w:fill="FFFFFF"/>
            <w:tcMar>
              <w:top w:w="0" w:type="dxa"/>
              <w:left w:w="0" w:type="dxa"/>
              <w:bottom w:w="0" w:type="dxa"/>
              <w:right w:w="0" w:type="dxa"/>
            </w:tcMar>
          </w:tcPr>
          <w:p w14:paraId="7E9186BA">
            <w:pPr>
              <w:pStyle w:val="55"/>
              <w:keepNext w:val="0"/>
              <w:keepLines w:val="0"/>
              <w:widowControl/>
              <w:suppressLineNumbers w:val="0"/>
              <w:spacing w:before="0" w:beforeAutospacing="0" w:afterAutospacing="0"/>
              <w:ind w:right="0"/>
              <w:rPr>
                <w:rFonts w:hint="default"/>
              </w:rPr>
            </w:pPr>
            <w:r>
              <w:rPr>
                <w:rFonts w:hint="default"/>
              </w:rPr>
              <w:t>62</w:t>
            </w:r>
          </w:p>
        </w:tc>
        <w:tc>
          <w:tcPr>
            <w:tcW w:w="1080" w:type="dxa"/>
            <w:shd w:val="clear" w:color="auto" w:fill="FFFFFF"/>
            <w:tcMar>
              <w:top w:w="0" w:type="dxa"/>
              <w:left w:w="0" w:type="dxa"/>
              <w:bottom w:w="0" w:type="dxa"/>
              <w:right w:w="0" w:type="dxa"/>
            </w:tcMar>
          </w:tcPr>
          <w:p w14:paraId="2FEA9305">
            <w:pPr>
              <w:pStyle w:val="55"/>
              <w:keepNext w:val="0"/>
              <w:keepLines w:val="0"/>
              <w:widowControl/>
              <w:suppressLineNumbers w:val="0"/>
              <w:spacing w:before="0" w:beforeAutospacing="0" w:afterAutospacing="0"/>
              <w:ind w:right="0"/>
              <w:rPr>
                <w:rFonts w:hint="default"/>
              </w:rPr>
            </w:pPr>
            <w:r>
              <w:rPr>
                <w:rFonts w:hint="default"/>
              </w:rPr>
              <w:t>256</w:t>
            </w:r>
          </w:p>
        </w:tc>
        <w:tc>
          <w:tcPr>
            <w:tcW w:w="1188" w:type="dxa"/>
            <w:shd w:val="clear" w:color="auto" w:fill="FFFFFF"/>
            <w:tcMar>
              <w:top w:w="0" w:type="dxa"/>
              <w:left w:w="0" w:type="dxa"/>
              <w:bottom w:w="0" w:type="dxa"/>
              <w:right w:w="0" w:type="dxa"/>
            </w:tcMar>
          </w:tcPr>
          <w:p w14:paraId="5516ED9F">
            <w:pPr>
              <w:pStyle w:val="55"/>
              <w:keepNext w:val="0"/>
              <w:keepLines w:val="0"/>
              <w:widowControl/>
              <w:suppressLineNumbers w:val="0"/>
              <w:spacing w:before="0" w:beforeAutospacing="0" w:afterAutospacing="0"/>
              <w:ind w:right="0"/>
              <w:rPr>
                <w:rFonts w:hint="default"/>
              </w:rPr>
            </w:pPr>
            <w:r>
              <w:rPr>
                <w:rFonts w:hint="default"/>
              </w:rPr>
              <w:t>44</w:t>
            </w:r>
          </w:p>
        </w:tc>
      </w:tr>
      <w:tr w14:paraId="4602CD94">
        <w:tblPrEx>
          <w:tblCellMar>
            <w:top w:w="0" w:type="dxa"/>
            <w:left w:w="108" w:type="dxa"/>
            <w:bottom w:w="0" w:type="dxa"/>
            <w:right w:w="108" w:type="dxa"/>
          </w:tblCellMar>
        </w:tblPrEx>
        <w:tc>
          <w:tcPr>
            <w:tcW w:w="1418" w:type="dxa"/>
            <w:shd w:val="clear" w:color="auto" w:fill="FFFFFF"/>
            <w:tcMar>
              <w:top w:w="0" w:type="dxa"/>
              <w:left w:w="0" w:type="dxa"/>
              <w:bottom w:w="0" w:type="dxa"/>
              <w:right w:w="0" w:type="dxa"/>
            </w:tcMar>
          </w:tcPr>
          <w:p w14:paraId="7BDB088C">
            <w:pPr>
              <w:pStyle w:val="55"/>
              <w:keepNext w:val="0"/>
              <w:keepLines w:val="0"/>
              <w:widowControl/>
              <w:suppressLineNumbers w:val="0"/>
              <w:spacing w:before="0" w:beforeAutospacing="0" w:afterAutospacing="0"/>
              <w:ind w:right="0"/>
              <w:rPr>
                <w:rFonts w:hint="default"/>
              </w:rPr>
            </w:pPr>
            <w:r>
              <w:rPr>
                <w:rFonts w:hint="default"/>
              </w:rPr>
              <w:t>BFD-OSL11</w:t>
            </w:r>
          </w:p>
        </w:tc>
        <w:tc>
          <w:tcPr>
            <w:tcW w:w="1080" w:type="dxa"/>
            <w:shd w:val="clear" w:color="auto" w:fill="FFFFFF"/>
            <w:tcMar>
              <w:top w:w="0" w:type="dxa"/>
              <w:left w:w="0" w:type="dxa"/>
              <w:bottom w:w="0" w:type="dxa"/>
              <w:right w:w="0" w:type="dxa"/>
            </w:tcMar>
          </w:tcPr>
          <w:p w14:paraId="1CE3EB75">
            <w:pPr>
              <w:pStyle w:val="55"/>
              <w:keepNext w:val="0"/>
              <w:keepLines w:val="0"/>
              <w:widowControl/>
              <w:suppressLineNumbers w:val="0"/>
              <w:spacing w:before="0" w:beforeAutospacing="0" w:afterAutospacing="0"/>
              <w:ind w:right="0"/>
              <w:rPr>
                <w:rFonts w:hint="default"/>
              </w:rPr>
            </w:pPr>
            <w:r>
              <w:rPr>
                <w:rFonts w:hint="default"/>
              </w:rPr>
              <w:t>500</w:t>
            </w:r>
          </w:p>
        </w:tc>
        <w:tc>
          <w:tcPr>
            <w:tcW w:w="1080" w:type="dxa"/>
            <w:shd w:val="clear" w:color="auto" w:fill="FFFFFF"/>
            <w:tcMar>
              <w:top w:w="0" w:type="dxa"/>
              <w:left w:w="0" w:type="dxa"/>
              <w:bottom w:w="0" w:type="dxa"/>
              <w:right w:w="0" w:type="dxa"/>
            </w:tcMar>
          </w:tcPr>
          <w:p w14:paraId="6ECCA012">
            <w:pPr>
              <w:pStyle w:val="55"/>
              <w:keepNext w:val="0"/>
              <w:keepLines w:val="0"/>
              <w:widowControl/>
              <w:suppressLineNumbers w:val="0"/>
              <w:spacing w:before="0" w:beforeAutospacing="0" w:afterAutospacing="0"/>
              <w:ind w:right="0"/>
              <w:rPr>
                <w:rFonts w:hint="default"/>
              </w:rPr>
            </w:pPr>
            <w:r>
              <w:rPr>
                <w:rFonts w:hint="default"/>
              </w:rPr>
              <w:t>222</w:t>
            </w:r>
          </w:p>
        </w:tc>
        <w:tc>
          <w:tcPr>
            <w:tcW w:w="1296" w:type="dxa"/>
            <w:shd w:val="clear" w:color="auto" w:fill="FFFFFF"/>
            <w:tcMar>
              <w:top w:w="0" w:type="dxa"/>
              <w:left w:w="0" w:type="dxa"/>
              <w:bottom w:w="0" w:type="dxa"/>
              <w:right w:w="0" w:type="dxa"/>
            </w:tcMar>
          </w:tcPr>
          <w:p w14:paraId="3B25D810">
            <w:pPr>
              <w:pStyle w:val="55"/>
              <w:keepNext w:val="0"/>
              <w:keepLines w:val="0"/>
              <w:widowControl/>
              <w:suppressLineNumbers w:val="0"/>
              <w:spacing w:before="0" w:beforeAutospacing="0" w:afterAutospacing="0"/>
              <w:ind w:right="0"/>
              <w:rPr>
                <w:rFonts w:hint="default"/>
              </w:rPr>
            </w:pPr>
            <w:r>
              <w:rPr>
                <w:rFonts w:hint="default"/>
              </w:rPr>
              <w:t>59</w:t>
            </w:r>
          </w:p>
        </w:tc>
        <w:tc>
          <w:tcPr>
            <w:tcW w:w="2178" w:type="dxa"/>
            <w:shd w:val="clear" w:color="auto" w:fill="FFFFFF"/>
            <w:tcMar>
              <w:top w:w="0" w:type="dxa"/>
              <w:left w:w="0" w:type="dxa"/>
              <w:bottom w:w="0" w:type="dxa"/>
              <w:right w:w="0" w:type="dxa"/>
            </w:tcMar>
          </w:tcPr>
          <w:p w14:paraId="35DEABAA">
            <w:pPr>
              <w:pStyle w:val="55"/>
              <w:keepNext w:val="0"/>
              <w:keepLines w:val="0"/>
              <w:widowControl/>
              <w:suppressLineNumbers w:val="0"/>
              <w:spacing w:before="0" w:beforeAutospacing="0" w:afterAutospacing="0"/>
              <w:ind w:right="0"/>
              <w:rPr>
                <w:rFonts w:hint="default"/>
              </w:rPr>
            </w:pPr>
            <w:r>
              <w:rPr>
                <w:rFonts w:hint="default"/>
              </w:rPr>
              <w:t>0</w:t>
            </w:r>
          </w:p>
        </w:tc>
        <w:tc>
          <w:tcPr>
            <w:tcW w:w="1080" w:type="dxa"/>
            <w:shd w:val="clear" w:color="auto" w:fill="FFFFFF"/>
            <w:tcMar>
              <w:top w:w="0" w:type="dxa"/>
              <w:left w:w="0" w:type="dxa"/>
              <w:bottom w:w="0" w:type="dxa"/>
              <w:right w:w="0" w:type="dxa"/>
            </w:tcMar>
          </w:tcPr>
          <w:p w14:paraId="3A6C6808">
            <w:pPr>
              <w:pStyle w:val="55"/>
              <w:keepNext w:val="0"/>
              <w:keepLines w:val="0"/>
              <w:widowControl/>
              <w:suppressLineNumbers w:val="0"/>
              <w:spacing w:before="0" w:beforeAutospacing="0" w:afterAutospacing="0"/>
              <w:ind w:right="0"/>
              <w:rPr>
                <w:rFonts w:hint="default"/>
              </w:rPr>
            </w:pPr>
            <w:r>
              <w:rPr>
                <w:rFonts w:hint="default"/>
              </w:rPr>
              <w:t>80</w:t>
            </w:r>
          </w:p>
        </w:tc>
        <w:tc>
          <w:tcPr>
            <w:tcW w:w="1329" w:type="dxa"/>
            <w:shd w:val="clear" w:color="auto" w:fill="FFFFFF"/>
            <w:tcMar>
              <w:top w:w="0" w:type="dxa"/>
              <w:left w:w="0" w:type="dxa"/>
              <w:bottom w:w="0" w:type="dxa"/>
              <w:right w:w="0" w:type="dxa"/>
            </w:tcMar>
          </w:tcPr>
          <w:p w14:paraId="6BDFDB7D">
            <w:pPr>
              <w:pStyle w:val="55"/>
              <w:keepNext w:val="0"/>
              <w:keepLines w:val="0"/>
              <w:widowControl/>
              <w:suppressLineNumbers w:val="0"/>
              <w:spacing w:before="0" w:beforeAutospacing="0" w:afterAutospacing="0"/>
              <w:ind w:right="0"/>
              <w:rPr>
                <w:rFonts w:hint="default"/>
              </w:rPr>
            </w:pPr>
            <w:r>
              <w:rPr>
                <w:rFonts w:hint="default"/>
              </w:rPr>
              <w:t>77</w:t>
            </w:r>
          </w:p>
        </w:tc>
        <w:tc>
          <w:tcPr>
            <w:tcW w:w="1080" w:type="dxa"/>
            <w:shd w:val="clear" w:color="auto" w:fill="FFFFFF"/>
            <w:tcMar>
              <w:top w:w="0" w:type="dxa"/>
              <w:left w:w="0" w:type="dxa"/>
              <w:bottom w:w="0" w:type="dxa"/>
              <w:right w:w="0" w:type="dxa"/>
            </w:tcMar>
          </w:tcPr>
          <w:p w14:paraId="05F4296C">
            <w:pPr>
              <w:pStyle w:val="55"/>
              <w:keepNext w:val="0"/>
              <w:keepLines w:val="0"/>
              <w:widowControl/>
              <w:suppressLineNumbers w:val="0"/>
              <w:spacing w:before="0" w:beforeAutospacing="0" w:afterAutospacing="0"/>
              <w:ind w:right="0"/>
              <w:rPr>
                <w:rFonts w:hint="default"/>
              </w:rPr>
            </w:pPr>
            <w:r>
              <w:rPr>
                <w:rFonts w:hint="default"/>
              </w:rPr>
              <w:t>438</w:t>
            </w:r>
          </w:p>
        </w:tc>
        <w:tc>
          <w:tcPr>
            <w:tcW w:w="1188" w:type="dxa"/>
            <w:shd w:val="clear" w:color="auto" w:fill="FFFFFF"/>
            <w:tcMar>
              <w:top w:w="0" w:type="dxa"/>
              <w:left w:w="0" w:type="dxa"/>
              <w:bottom w:w="0" w:type="dxa"/>
              <w:right w:w="0" w:type="dxa"/>
            </w:tcMar>
          </w:tcPr>
          <w:p w14:paraId="02E5D401">
            <w:pPr>
              <w:pStyle w:val="55"/>
              <w:keepNext w:val="0"/>
              <w:keepLines w:val="0"/>
              <w:widowControl/>
              <w:suppressLineNumbers w:val="0"/>
              <w:spacing w:before="0" w:beforeAutospacing="0" w:afterAutospacing="0"/>
              <w:ind w:right="0"/>
              <w:rPr>
                <w:rFonts w:hint="default"/>
              </w:rPr>
            </w:pPr>
            <w:r>
              <w:rPr>
                <w:rFonts w:hint="default"/>
              </w:rPr>
              <w:t>62</w:t>
            </w:r>
          </w:p>
        </w:tc>
      </w:tr>
      <w:tr w14:paraId="7CFC2B8A">
        <w:tblPrEx>
          <w:tblCellMar>
            <w:top w:w="0" w:type="dxa"/>
            <w:left w:w="108" w:type="dxa"/>
            <w:bottom w:w="0" w:type="dxa"/>
            <w:right w:w="108" w:type="dxa"/>
          </w:tblCellMar>
        </w:tblPrEx>
        <w:tc>
          <w:tcPr>
            <w:tcW w:w="1418" w:type="dxa"/>
            <w:shd w:val="clear" w:color="auto" w:fill="FFFFFF"/>
            <w:tcMar>
              <w:top w:w="0" w:type="dxa"/>
              <w:left w:w="0" w:type="dxa"/>
              <w:bottom w:w="0" w:type="dxa"/>
              <w:right w:w="0" w:type="dxa"/>
            </w:tcMar>
          </w:tcPr>
          <w:p w14:paraId="74958ED7">
            <w:pPr>
              <w:pStyle w:val="55"/>
              <w:keepNext w:val="0"/>
              <w:keepLines w:val="0"/>
              <w:widowControl/>
              <w:suppressLineNumbers w:val="0"/>
              <w:spacing w:before="0" w:beforeAutospacing="0" w:afterAutospacing="0"/>
              <w:ind w:right="0"/>
              <w:rPr>
                <w:rFonts w:hint="default"/>
              </w:rPr>
            </w:pPr>
            <w:r>
              <w:rPr>
                <w:rFonts w:hint="default"/>
              </w:rPr>
              <w:t>BFD-OSL12</w:t>
            </w:r>
          </w:p>
        </w:tc>
        <w:tc>
          <w:tcPr>
            <w:tcW w:w="1080" w:type="dxa"/>
            <w:shd w:val="clear" w:color="auto" w:fill="FFFFFF"/>
            <w:tcMar>
              <w:top w:w="0" w:type="dxa"/>
              <w:left w:w="0" w:type="dxa"/>
              <w:bottom w:w="0" w:type="dxa"/>
              <w:right w:w="0" w:type="dxa"/>
            </w:tcMar>
          </w:tcPr>
          <w:p w14:paraId="2895CA6A">
            <w:pPr>
              <w:pStyle w:val="55"/>
              <w:keepNext w:val="0"/>
              <w:keepLines w:val="0"/>
              <w:widowControl/>
              <w:suppressLineNumbers w:val="0"/>
              <w:spacing w:before="0" w:beforeAutospacing="0" w:afterAutospacing="0"/>
              <w:ind w:right="0"/>
              <w:rPr>
                <w:rFonts w:hint="default"/>
              </w:rPr>
            </w:pPr>
            <w:r>
              <w:rPr>
                <w:rFonts w:hint="default"/>
              </w:rPr>
              <w:t>500</w:t>
            </w:r>
          </w:p>
        </w:tc>
        <w:tc>
          <w:tcPr>
            <w:tcW w:w="1080" w:type="dxa"/>
            <w:shd w:val="clear" w:color="auto" w:fill="FFFFFF"/>
            <w:tcMar>
              <w:top w:w="0" w:type="dxa"/>
              <w:left w:w="0" w:type="dxa"/>
              <w:bottom w:w="0" w:type="dxa"/>
              <w:right w:w="0" w:type="dxa"/>
            </w:tcMar>
          </w:tcPr>
          <w:p w14:paraId="1583052D">
            <w:pPr>
              <w:pStyle w:val="55"/>
              <w:keepNext w:val="0"/>
              <w:keepLines w:val="0"/>
              <w:widowControl/>
              <w:suppressLineNumbers w:val="0"/>
              <w:spacing w:before="0" w:beforeAutospacing="0" w:afterAutospacing="0"/>
              <w:ind w:right="0"/>
              <w:rPr>
                <w:rFonts w:hint="default"/>
              </w:rPr>
            </w:pPr>
            <w:r>
              <w:rPr>
                <w:rFonts w:hint="default"/>
              </w:rPr>
              <w:t>119</w:t>
            </w:r>
          </w:p>
        </w:tc>
        <w:tc>
          <w:tcPr>
            <w:tcW w:w="1296" w:type="dxa"/>
            <w:shd w:val="clear" w:color="auto" w:fill="FFFFFF"/>
            <w:tcMar>
              <w:top w:w="0" w:type="dxa"/>
              <w:left w:w="0" w:type="dxa"/>
              <w:bottom w:w="0" w:type="dxa"/>
              <w:right w:w="0" w:type="dxa"/>
            </w:tcMar>
          </w:tcPr>
          <w:p w14:paraId="5E6A3975">
            <w:pPr>
              <w:pStyle w:val="55"/>
              <w:keepNext w:val="0"/>
              <w:keepLines w:val="0"/>
              <w:widowControl/>
              <w:suppressLineNumbers w:val="0"/>
              <w:spacing w:before="0" w:beforeAutospacing="0" w:afterAutospacing="0"/>
              <w:ind w:right="0"/>
              <w:rPr>
                <w:rFonts w:hint="default"/>
              </w:rPr>
            </w:pPr>
            <w:r>
              <w:rPr>
                <w:rFonts w:hint="default"/>
              </w:rPr>
              <w:t>29</w:t>
            </w:r>
          </w:p>
        </w:tc>
        <w:tc>
          <w:tcPr>
            <w:tcW w:w="2178" w:type="dxa"/>
            <w:shd w:val="clear" w:color="auto" w:fill="FFFFFF"/>
            <w:tcMar>
              <w:top w:w="0" w:type="dxa"/>
              <w:left w:w="0" w:type="dxa"/>
              <w:bottom w:w="0" w:type="dxa"/>
              <w:right w:w="0" w:type="dxa"/>
            </w:tcMar>
          </w:tcPr>
          <w:p w14:paraId="2C2B1A7E">
            <w:pPr>
              <w:pStyle w:val="55"/>
              <w:keepNext w:val="0"/>
              <w:keepLines w:val="0"/>
              <w:widowControl/>
              <w:suppressLineNumbers w:val="0"/>
              <w:spacing w:before="0" w:beforeAutospacing="0" w:afterAutospacing="0"/>
              <w:ind w:right="0"/>
              <w:rPr>
                <w:rFonts w:hint="default"/>
              </w:rPr>
            </w:pPr>
            <w:r>
              <w:rPr>
                <w:rFonts w:hint="default"/>
              </w:rPr>
              <w:t>4</w:t>
            </w:r>
          </w:p>
        </w:tc>
        <w:tc>
          <w:tcPr>
            <w:tcW w:w="1080" w:type="dxa"/>
            <w:shd w:val="clear" w:color="auto" w:fill="FFFFFF"/>
            <w:tcMar>
              <w:top w:w="0" w:type="dxa"/>
              <w:left w:w="0" w:type="dxa"/>
              <w:bottom w:w="0" w:type="dxa"/>
              <w:right w:w="0" w:type="dxa"/>
            </w:tcMar>
          </w:tcPr>
          <w:p w14:paraId="0CA41736">
            <w:pPr>
              <w:pStyle w:val="55"/>
              <w:keepNext w:val="0"/>
              <w:keepLines w:val="0"/>
              <w:widowControl/>
              <w:suppressLineNumbers w:val="0"/>
              <w:spacing w:before="0" w:beforeAutospacing="0" w:afterAutospacing="0"/>
              <w:ind w:right="0"/>
              <w:rPr>
                <w:rFonts w:hint="default"/>
              </w:rPr>
            </w:pPr>
            <w:r>
              <w:rPr>
                <w:rFonts w:hint="default"/>
              </w:rPr>
              <w:t>47</w:t>
            </w:r>
          </w:p>
        </w:tc>
        <w:tc>
          <w:tcPr>
            <w:tcW w:w="1329" w:type="dxa"/>
            <w:shd w:val="clear" w:color="auto" w:fill="FFFFFF"/>
            <w:tcMar>
              <w:top w:w="0" w:type="dxa"/>
              <w:left w:w="0" w:type="dxa"/>
              <w:bottom w:w="0" w:type="dxa"/>
              <w:right w:w="0" w:type="dxa"/>
            </w:tcMar>
          </w:tcPr>
          <w:p w14:paraId="0E1B3861">
            <w:pPr>
              <w:pStyle w:val="55"/>
              <w:keepNext w:val="0"/>
              <w:keepLines w:val="0"/>
              <w:widowControl/>
              <w:suppressLineNumbers w:val="0"/>
              <w:spacing w:before="0" w:beforeAutospacing="0" w:afterAutospacing="0"/>
              <w:ind w:right="0"/>
              <w:rPr>
                <w:rFonts w:hint="default"/>
              </w:rPr>
            </w:pPr>
            <w:r>
              <w:rPr>
                <w:rFonts w:hint="default"/>
              </w:rPr>
              <w:t>173</w:t>
            </w:r>
          </w:p>
        </w:tc>
        <w:tc>
          <w:tcPr>
            <w:tcW w:w="1080" w:type="dxa"/>
            <w:shd w:val="clear" w:color="auto" w:fill="FFFFFF"/>
            <w:tcMar>
              <w:top w:w="0" w:type="dxa"/>
              <w:left w:w="0" w:type="dxa"/>
              <w:bottom w:w="0" w:type="dxa"/>
              <w:right w:w="0" w:type="dxa"/>
            </w:tcMar>
          </w:tcPr>
          <w:p w14:paraId="454E98D6">
            <w:pPr>
              <w:pStyle w:val="55"/>
              <w:keepNext w:val="0"/>
              <w:keepLines w:val="0"/>
              <w:widowControl/>
              <w:suppressLineNumbers w:val="0"/>
              <w:spacing w:before="0" w:beforeAutospacing="0" w:afterAutospacing="0"/>
              <w:ind w:right="0"/>
              <w:rPr>
                <w:rFonts w:hint="default"/>
              </w:rPr>
            </w:pPr>
            <w:r>
              <w:rPr>
                <w:rFonts w:hint="default"/>
              </w:rPr>
              <w:t>372</w:t>
            </w:r>
          </w:p>
        </w:tc>
        <w:tc>
          <w:tcPr>
            <w:tcW w:w="1188" w:type="dxa"/>
            <w:shd w:val="clear" w:color="auto" w:fill="FFFFFF"/>
            <w:tcMar>
              <w:top w:w="0" w:type="dxa"/>
              <w:left w:w="0" w:type="dxa"/>
              <w:bottom w:w="0" w:type="dxa"/>
              <w:right w:w="0" w:type="dxa"/>
            </w:tcMar>
          </w:tcPr>
          <w:p w14:paraId="734A1B09">
            <w:pPr>
              <w:pStyle w:val="55"/>
              <w:keepNext w:val="0"/>
              <w:keepLines w:val="0"/>
              <w:widowControl/>
              <w:suppressLineNumbers w:val="0"/>
              <w:spacing w:before="0" w:beforeAutospacing="0" w:afterAutospacing="0"/>
              <w:ind w:right="0"/>
              <w:rPr>
                <w:rFonts w:hint="default"/>
              </w:rPr>
            </w:pPr>
            <w:r>
              <w:rPr>
                <w:rFonts w:hint="default"/>
              </w:rPr>
              <w:t>128</w:t>
            </w:r>
          </w:p>
        </w:tc>
      </w:tr>
      <w:tr w14:paraId="1A3EFD55">
        <w:tblPrEx>
          <w:tblCellMar>
            <w:top w:w="0" w:type="dxa"/>
            <w:left w:w="108" w:type="dxa"/>
            <w:bottom w:w="0" w:type="dxa"/>
            <w:right w:w="108" w:type="dxa"/>
          </w:tblCellMar>
        </w:tblPrEx>
        <w:tc>
          <w:tcPr>
            <w:tcW w:w="1418" w:type="dxa"/>
            <w:tcBorders>
              <w:bottom w:val="single" w:color="666666" w:sz="12" w:space="0"/>
            </w:tcBorders>
            <w:shd w:val="clear" w:color="auto" w:fill="FFFFFF"/>
            <w:tcMar>
              <w:top w:w="0" w:type="dxa"/>
              <w:left w:w="0" w:type="dxa"/>
              <w:bottom w:w="0" w:type="dxa"/>
              <w:right w:w="0" w:type="dxa"/>
            </w:tcMar>
          </w:tcPr>
          <w:p w14:paraId="711F5653">
            <w:pPr>
              <w:pStyle w:val="55"/>
              <w:keepNext w:val="0"/>
              <w:keepLines w:val="0"/>
              <w:widowControl/>
              <w:suppressLineNumbers w:val="0"/>
              <w:spacing w:before="0" w:beforeAutospacing="0" w:afterAutospacing="0"/>
              <w:ind w:right="0"/>
              <w:rPr>
                <w:rFonts w:hint="default"/>
              </w:rPr>
            </w:pPr>
            <w:r>
              <w:rPr>
                <w:rFonts w:hint="default"/>
              </w:rPr>
              <w:t>BFD-OSL13</w:t>
            </w:r>
          </w:p>
        </w:tc>
        <w:tc>
          <w:tcPr>
            <w:tcW w:w="1080" w:type="dxa"/>
            <w:tcBorders>
              <w:bottom w:val="single" w:color="666666" w:sz="12" w:space="0"/>
            </w:tcBorders>
            <w:shd w:val="clear" w:color="auto" w:fill="FFFFFF"/>
            <w:tcMar>
              <w:top w:w="0" w:type="dxa"/>
              <w:left w:w="0" w:type="dxa"/>
              <w:bottom w:w="0" w:type="dxa"/>
              <w:right w:w="0" w:type="dxa"/>
            </w:tcMar>
          </w:tcPr>
          <w:p w14:paraId="5A3F9E78">
            <w:pPr>
              <w:pStyle w:val="55"/>
              <w:keepNext w:val="0"/>
              <w:keepLines w:val="0"/>
              <w:widowControl/>
              <w:suppressLineNumbers w:val="0"/>
              <w:spacing w:before="0" w:beforeAutospacing="0" w:afterAutospacing="0"/>
              <w:ind w:right="0"/>
              <w:rPr>
                <w:rFonts w:hint="default"/>
              </w:rPr>
            </w:pPr>
            <w:r>
              <w:rPr>
                <w:rFonts w:hint="default"/>
              </w:rPr>
              <w:t>400</w:t>
            </w:r>
          </w:p>
        </w:tc>
        <w:tc>
          <w:tcPr>
            <w:tcW w:w="1080" w:type="dxa"/>
            <w:tcBorders>
              <w:bottom w:val="single" w:color="666666" w:sz="12" w:space="0"/>
            </w:tcBorders>
            <w:shd w:val="clear" w:color="auto" w:fill="FFFFFF"/>
            <w:tcMar>
              <w:top w:w="0" w:type="dxa"/>
              <w:left w:w="0" w:type="dxa"/>
              <w:bottom w:w="0" w:type="dxa"/>
              <w:right w:w="0" w:type="dxa"/>
            </w:tcMar>
          </w:tcPr>
          <w:p w14:paraId="55AF4639">
            <w:pPr>
              <w:pStyle w:val="55"/>
              <w:keepNext w:val="0"/>
              <w:keepLines w:val="0"/>
              <w:widowControl/>
              <w:suppressLineNumbers w:val="0"/>
              <w:spacing w:before="0" w:beforeAutospacing="0" w:afterAutospacing="0"/>
              <w:ind w:right="0"/>
              <w:rPr>
                <w:rFonts w:hint="default"/>
              </w:rPr>
            </w:pPr>
            <w:r>
              <w:rPr>
                <w:rFonts w:hint="default"/>
              </w:rPr>
              <w:t>64</w:t>
            </w:r>
          </w:p>
        </w:tc>
        <w:tc>
          <w:tcPr>
            <w:tcW w:w="1296" w:type="dxa"/>
            <w:tcBorders>
              <w:bottom w:val="single" w:color="666666" w:sz="12" w:space="0"/>
            </w:tcBorders>
            <w:shd w:val="clear" w:color="auto" w:fill="FFFFFF"/>
            <w:tcMar>
              <w:top w:w="0" w:type="dxa"/>
              <w:left w:w="0" w:type="dxa"/>
              <w:bottom w:w="0" w:type="dxa"/>
              <w:right w:w="0" w:type="dxa"/>
            </w:tcMar>
          </w:tcPr>
          <w:p w14:paraId="4025D060">
            <w:pPr>
              <w:pStyle w:val="55"/>
              <w:keepNext w:val="0"/>
              <w:keepLines w:val="0"/>
              <w:widowControl/>
              <w:suppressLineNumbers w:val="0"/>
              <w:spacing w:before="0" w:beforeAutospacing="0" w:afterAutospacing="0"/>
              <w:ind w:right="0"/>
              <w:rPr>
                <w:rFonts w:hint="default"/>
              </w:rPr>
            </w:pPr>
            <w:r>
              <w:rPr>
                <w:rFonts w:hint="default"/>
              </w:rPr>
              <w:t>62</w:t>
            </w:r>
          </w:p>
        </w:tc>
        <w:tc>
          <w:tcPr>
            <w:tcW w:w="2178" w:type="dxa"/>
            <w:tcBorders>
              <w:bottom w:val="single" w:color="666666" w:sz="12" w:space="0"/>
            </w:tcBorders>
            <w:shd w:val="clear" w:color="auto" w:fill="FFFFFF"/>
            <w:tcMar>
              <w:top w:w="0" w:type="dxa"/>
              <w:left w:w="0" w:type="dxa"/>
              <w:bottom w:w="0" w:type="dxa"/>
              <w:right w:w="0" w:type="dxa"/>
            </w:tcMar>
          </w:tcPr>
          <w:p w14:paraId="05B7BA49">
            <w:pPr>
              <w:pStyle w:val="55"/>
              <w:keepNext w:val="0"/>
              <w:keepLines w:val="0"/>
              <w:widowControl/>
              <w:suppressLineNumbers w:val="0"/>
              <w:spacing w:before="0" w:beforeAutospacing="0" w:afterAutospacing="0"/>
              <w:ind w:right="0"/>
              <w:rPr>
                <w:rFonts w:hint="default"/>
              </w:rPr>
            </w:pPr>
            <w:r>
              <w:rPr>
                <w:rFonts w:hint="default"/>
              </w:rPr>
              <w:t>1</w:t>
            </w:r>
          </w:p>
        </w:tc>
        <w:tc>
          <w:tcPr>
            <w:tcW w:w="1080" w:type="dxa"/>
            <w:tcBorders>
              <w:bottom w:val="single" w:color="666666" w:sz="12" w:space="0"/>
            </w:tcBorders>
            <w:shd w:val="clear" w:color="auto" w:fill="FFFFFF"/>
            <w:tcMar>
              <w:top w:w="0" w:type="dxa"/>
              <w:left w:w="0" w:type="dxa"/>
              <w:bottom w:w="0" w:type="dxa"/>
              <w:right w:w="0" w:type="dxa"/>
            </w:tcMar>
          </w:tcPr>
          <w:p w14:paraId="747239F7">
            <w:pPr>
              <w:pStyle w:val="55"/>
              <w:keepNext w:val="0"/>
              <w:keepLines w:val="0"/>
              <w:widowControl/>
              <w:suppressLineNumbers w:val="0"/>
              <w:spacing w:before="0" w:beforeAutospacing="0" w:afterAutospacing="0"/>
              <w:ind w:right="0"/>
              <w:rPr>
                <w:rFonts w:hint="default"/>
              </w:rPr>
            </w:pPr>
            <w:r>
              <w:rPr>
                <w:rFonts w:hint="default"/>
              </w:rPr>
              <w:t>103</w:t>
            </w:r>
          </w:p>
        </w:tc>
        <w:tc>
          <w:tcPr>
            <w:tcW w:w="1329" w:type="dxa"/>
            <w:tcBorders>
              <w:bottom w:val="single" w:color="666666" w:sz="12" w:space="0"/>
            </w:tcBorders>
            <w:shd w:val="clear" w:color="auto" w:fill="FFFFFF"/>
            <w:tcMar>
              <w:top w:w="0" w:type="dxa"/>
              <w:left w:w="0" w:type="dxa"/>
              <w:bottom w:w="0" w:type="dxa"/>
              <w:right w:w="0" w:type="dxa"/>
            </w:tcMar>
          </w:tcPr>
          <w:p w14:paraId="5D26A274">
            <w:pPr>
              <w:pStyle w:val="55"/>
              <w:keepNext w:val="0"/>
              <w:keepLines w:val="0"/>
              <w:widowControl/>
              <w:suppressLineNumbers w:val="0"/>
              <w:spacing w:before="0" w:beforeAutospacing="0" w:afterAutospacing="0"/>
              <w:ind w:right="0"/>
              <w:rPr>
                <w:rFonts w:hint="default"/>
              </w:rPr>
            </w:pPr>
            <w:r>
              <w:rPr>
                <w:rFonts w:hint="default"/>
              </w:rPr>
              <w:t>83</w:t>
            </w:r>
          </w:p>
        </w:tc>
        <w:tc>
          <w:tcPr>
            <w:tcW w:w="1080" w:type="dxa"/>
            <w:tcBorders>
              <w:bottom w:val="single" w:color="666666" w:sz="12" w:space="0"/>
            </w:tcBorders>
            <w:shd w:val="clear" w:color="auto" w:fill="FFFFFF"/>
            <w:tcMar>
              <w:top w:w="0" w:type="dxa"/>
              <w:left w:w="0" w:type="dxa"/>
              <w:bottom w:w="0" w:type="dxa"/>
              <w:right w:w="0" w:type="dxa"/>
            </w:tcMar>
          </w:tcPr>
          <w:p w14:paraId="2E33215F">
            <w:pPr>
              <w:pStyle w:val="55"/>
              <w:keepNext w:val="0"/>
              <w:keepLines w:val="0"/>
              <w:widowControl/>
              <w:suppressLineNumbers w:val="0"/>
              <w:spacing w:before="0" w:beforeAutospacing="0" w:afterAutospacing="0"/>
              <w:ind w:right="0"/>
              <w:rPr>
                <w:rFonts w:hint="default"/>
              </w:rPr>
            </w:pPr>
            <w:r>
              <w:rPr>
                <w:rFonts w:hint="default"/>
              </w:rPr>
              <w:t>313</w:t>
            </w:r>
          </w:p>
        </w:tc>
        <w:tc>
          <w:tcPr>
            <w:tcW w:w="1188" w:type="dxa"/>
            <w:tcBorders>
              <w:bottom w:val="single" w:color="666666" w:sz="12" w:space="0"/>
            </w:tcBorders>
            <w:shd w:val="clear" w:color="auto" w:fill="FFFFFF"/>
            <w:tcMar>
              <w:top w:w="0" w:type="dxa"/>
              <w:left w:w="0" w:type="dxa"/>
              <w:bottom w:w="0" w:type="dxa"/>
              <w:right w:w="0" w:type="dxa"/>
            </w:tcMar>
          </w:tcPr>
          <w:p w14:paraId="7A93FC32">
            <w:pPr>
              <w:pStyle w:val="55"/>
              <w:keepNext w:val="0"/>
              <w:keepLines w:val="0"/>
              <w:widowControl/>
              <w:suppressLineNumbers w:val="0"/>
              <w:spacing w:before="0" w:beforeAutospacing="0" w:afterAutospacing="0"/>
              <w:ind w:right="0"/>
              <w:rPr>
                <w:rFonts w:hint="default"/>
              </w:rPr>
            </w:pPr>
            <w:r>
              <w:rPr>
                <w:rFonts w:hint="default"/>
              </w:rPr>
              <w:t>87</w:t>
            </w:r>
          </w:p>
        </w:tc>
      </w:tr>
    </w:tbl>
    <w:p w14:paraId="7D896065"/>
    <w:p w14:paraId="1A43FD94">
      <w:pPr>
        <w:pStyle w:val="7"/>
      </w:pPr>
      <w:r>
        <w:br w:type="column"/>
      </w:r>
      <w:bookmarkStart w:id="25" w:name="_Ref208219430"/>
      <w:r>
        <w:rPr>
          <w:b/>
          <w:bCs w:val="0"/>
        </w:rPr>
        <w:t xml:space="preserve">Supplementary Table </w:t>
      </w:r>
      <w:r>
        <w:rPr>
          <w:b/>
          <w:bCs w:val="0"/>
        </w:rPr>
        <w:fldChar w:fldCharType="begin"/>
      </w:r>
      <w:r>
        <w:rPr>
          <w:b/>
          <w:bCs w:val="0"/>
        </w:rPr>
        <w:instrText xml:space="preserve"> SEQ Supplementary_Table \* ARABIC </w:instrText>
      </w:r>
      <w:r>
        <w:rPr>
          <w:b/>
          <w:bCs w:val="0"/>
        </w:rPr>
        <w:fldChar w:fldCharType="separate"/>
      </w:r>
      <w:r>
        <w:rPr>
          <w:b/>
          <w:bCs w:val="0"/>
        </w:rPr>
        <w:t>4</w:t>
      </w:r>
      <w:r>
        <w:rPr>
          <w:b/>
          <w:bCs w:val="0"/>
        </w:rPr>
        <w:fldChar w:fldCharType="end"/>
      </w:r>
      <w:bookmarkEnd w:id="25"/>
      <w:r>
        <w:t xml:space="preserve"> |</w:t>
      </w:r>
      <w:r>
        <w:rPr>
          <w:rFonts w:hint="eastAsia"/>
          <w:b/>
          <w:szCs w:val="28"/>
        </w:rPr>
        <w:t xml:space="preserve"> </w:t>
      </w:r>
      <w:r>
        <w:rPr>
          <w:rFonts w:hint="eastAsia"/>
          <w:szCs w:val="28"/>
        </w:rPr>
        <w:t xml:space="preserve">Summary </w:t>
      </w:r>
      <w:r>
        <w:rPr>
          <w:rFonts w:hint="eastAsia"/>
        </w:rPr>
        <w:t>of</w:t>
      </w:r>
      <w:r>
        <w:rPr>
          <w:rFonts w:hint="eastAsia"/>
          <w:szCs w:val="28"/>
        </w:rPr>
        <w:t xml:space="preserve"> the BHAM D</w:t>
      </w:r>
      <w:r>
        <w:rPr>
          <w:rFonts w:hint="eastAsia"/>
          <w:szCs w:val="28"/>
          <w:vertAlign w:val="subscript"/>
        </w:rPr>
        <w:t>e</w:t>
      </w:r>
      <w:r>
        <w:rPr>
          <w:rFonts w:hint="eastAsia"/>
          <w:szCs w:val="28"/>
        </w:rPr>
        <w:t xml:space="preserve"> and age results.</w:t>
      </w:r>
      <w:r>
        <w:rPr>
          <w:szCs w:val="28"/>
        </w:rPr>
        <w:t xml:space="preserve"> N</w:t>
      </w:r>
      <w:r>
        <w:t xml:space="preserve"> refers to the total number of grains used for analysis; </w:t>
      </w:r>
      <w:r>
        <w:rPr>
          <w:szCs w:val="28"/>
        </w:rPr>
        <w:t>p</w:t>
      </w:r>
      <w:r>
        <w:rPr>
          <w:szCs w:val="28"/>
          <w:vertAlign w:val="subscript"/>
        </w:rPr>
        <w:t>0</w:t>
      </w:r>
      <w:r>
        <w:rPr>
          <w:szCs w:val="28"/>
        </w:rPr>
        <w:t xml:space="preserve"> is the </w:t>
      </w:r>
      <w:r>
        <w:t>proportion of the target population.</w:t>
      </w:r>
      <w:r>
        <w:rPr>
          <w:rFonts w:hint="eastAsia"/>
        </w:rPr>
        <w:t xml:space="preserve"> </w:t>
      </w:r>
    </w:p>
    <w:tbl>
      <w:tblPr>
        <w:tblStyle w:val="24"/>
        <w:tblW w:w="3800" w:type="pct"/>
        <w:tblInd w:w="0" w:type="dxa"/>
        <w:tblLayout w:type="autofit"/>
        <w:tblCellMar>
          <w:top w:w="0" w:type="dxa"/>
          <w:left w:w="108" w:type="dxa"/>
          <w:bottom w:w="0" w:type="dxa"/>
          <w:right w:w="108" w:type="dxa"/>
        </w:tblCellMar>
      </w:tblPr>
      <w:tblGrid>
        <w:gridCol w:w="1627"/>
        <w:gridCol w:w="856"/>
        <w:gridCol w:w="913"/>
        <w:gridCol w:w="1479"/>
        <w:gridCol w:w="1008"/>
        <w:gridCol w:w="1166"/>
        <w:gridCol w:w="1359"/>
        <w:gridCol w:w="1168"/>
        <w:gridCol w:w="945"/>
      </w:tblGrid>
      <w:tr w14:paraId="5F891374">
        <w:tblPrEx>
          <w:tblCellMar>
            <w:top w:w="0" w:type="dxa"/>
            <w:left w:w="108" w:type="dxa"/>
            <w:bottom w:w="0" w:type="dxa"/>
            <w:right w:w="108" w:type="dxa"/>
          </w:tblCellMar>
        </w:tblPrEx>
        <w:trPr>
          <w:tblHeader/>
        </w:trPr>
        <w:tc>
          <w:tcPr>
            <w:tcW w:w="1614" w:type="pct"/>
            <w:gridSpan w:val="3"/>
            <w:tcBorders>
              <w:top w:val="single" w:color="666666" w:sz="12" w:space="0"/>
            </w:tcBorders>
            <w:shd w:val="clear" w:color="auto" w:fill="FFFFFF"/>
            <w:tcMar>
              <w:top w:w="0" w:type="dxa"/>
              <w:left w:w="0" w:type="dxa"/>
              <w:bottom w:w="0" w:type="dxa"/>
              <w:right w:w="0" w:type="dxa"/>
            </w:tcMar>
            <w:vAlign w:val="center"/>
          </w:tcPr>
          <w:p w14:paraId="3D63C60C">
            <w:pPr>
              <w:pStyle w:val="55"/>
              <w:keepNext w:val="0"/>
              <w:keepLines w:val="0"/>
              <w:widowControl/>
              <w:suppressLineNumbers w:val="0"/>
              <w:spacing w:before="0" w:beforeAutospacing="0" w:afterAutospacing="0"/>
              <w:ind w:right="0"/>
              <w:rPr>
                <w:rFonts w:hint="default"/>
              </w:rPr>
            </w:pPr>
          </w:p>
        </w:tc>
        <w:tc>
          <w:tcPr>
            <w:tcW w:w="1736" w:type="pct"/>
            <w:gridSpan w:val="3"/>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37B18570">
            <w:pPr>
              <w:pStyle w:val="55"/>
              <w:keepNext w:val="0"/>
              <w:keepLines w:val="0"/>
              <w:widowControl/>
              <w:suppressLineNumbers w:val="0"/>
              <w:spacing w:before="0" w:beforeAutospacing="0" w:afterAutospacing="0"/>
              <w:ind w:right="0"/>
              <w:rPr>
                <w:rFonts w:hint="default"/>
              </w:rPr>
            </w:pPr>
            <w:r>
              <w:rPr>
                <w:rFonts w:hint="default"/>
              </w:rPr>
              <w:t>D</w:t>
            </w:r>
            <w:r>
              <w:rPr>
                <w:rFonts w:hint="default"/>
                <w:vertAlign w:val="subscript"/>
              </w:rPr>
              <w:t>e</w:t>
            </w:r>
            <w:r>
              <w:rPr>
                <w:rFonts w:hint="default"/>
              </w:rPr>
              <w:t xml:space="preserve"> (Gy)</w:t>
            </w:r>
          </w:p>
        </w:tc>
        <w:tc>
          <w:tcPr>
            <w:tcW w:w="1649" w:type="pct"/>
            <w:gridSpan w:val="3"/>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3058F3AD">
            <w:pPr>
              <w:pStyle w:val="55"/>
              <w:keepNext w:val="0"/>
              <w:keepLines w:val="0"/>
              <w:widowControl/>
              <w:suppressLineNumbers w:val="0"/>
              <w:spacing w:before="0" w:beforeAutospacing="0" w:afterAutospacing="0"/>
              <w:ind w:right="0"/>
              <w:rPr>
                <w:rFonts w:hint="default"/>
              </w:rPr>
            </w:pPr>
            <w:r>
              <w:rPr>
                <w:rFonts w:hint="default"/>
              </w:rPr>
              <w:t>Age (ka)</w:t>
            </w:r>
          </w:p>
        </w:tc>
      </w:tr>
      <w:tr w14:paraId="5EC9BD7F">
        <w:tblPrEx>
          <w:tblCellMar>
            <w:top w:w="0" w:type="dxa"/>
            <w:left w:w="108" w:type="dxa"/>
            <w:bottom w:w="0" w:type="dxa"/>
            <w:right w:w="108" w:type="dxa"/>
          </w:tblCellMar>
        </w:tblPrEx>
        <w:trPr>
          <w:tblHeader/>
        </w:trPr>
        <w:tc>
          <w:tcPr>
            <w:tcW w:w="773" w:type="pct"/>
            <w:tcBorders>
              <w:bottom w:val="single" w:color="666666" w:sz="12" w:space="0"/>
            </w:tcBorders>
            <w:shd w:val="clear" w:color="auto" w:fill="FFFFFF"/>
            <w:tcMar>
              <w:top w:w="0" w:type="dxa"/>
              <w:left w:w="0" w:type="dxa"/>
              <w:bottom w:w="0" w:type="dxa"/>
              <w:right w:w="0" w:type="dxa"/>
            </w:tcMar>
            <w:vAlign w:val="center"/>
          </w:tcPr>
          <w:p w14:paraId="28BC40A7">
            <w:pPr>
              <w:pStyle w:val="55"/>
              <w:keepNext w:val="0"/>
              <w:keepLines w:val="0"/>
              <w:widowControl/>
              <w:suppressLineNumbers w:val="0"/>
              <w:spacing w:before="0" w:beforeAutospacing="0" w:afterAutospacing="0"/>
              <w:ind w:right="0"/>
              <w:rPr>
                <w:rFonts w:hint="default"/>
              </w:rPr>
            </w:pPr>
            <w:r>
              <w:rPr>
                <w:rFonts w:hint="default"/>
              </w:rPr>
              <w:t>Sample</w:t>
            </w:r>
          </w:p>
        </w:tc>
        <w:tc>
          <w:tcPr>
            <w:tcW w:w="407" w:type="pct"/>
            <w:tcBorders>
              <w:bottom w:val="single" w:color="666666" w:sz="12" w:space="0"/>
            </w:tcBorders>
            <w:shd w:val="clear" w:color="auto" w:fill="FFFFFF"/>
            <w:tcMar>
              <w:top w:w="0" w:type="dxa"/>
              <w:left w:w="0" w:type="dxa"/>
              <w:bottom w:w="0" w:type="dxa"/>
              <w:right w:w="0" w:type="dxa"/>
            </w:tcMar>
            <w:vAlign w:val="center"/>
          </w:tcPr>
          <w:p w14:paraId="590915A4">
            <w:pPr>
              <w:pStyle w:val="55"/>
              <w:keepNext w:val="0"/>
              <w:keepLines w:val="0"/>
              <w:widowControl/>
              <w:suppressLineNumbers w:val="0"/>
              <w:spacing w:before="0" w:beforeAutospacing="0" w:afterAutospacing="0"/>
              <w:ind w:right="0"/>
              <w:rPr>
                <w:rFonts w:hint="default"/>
              </w:rPr>
            </w:pPr>
            <w:r>
              <w:rPr>
                <w:rFonts w:hint="default"/>
              </w:rPr>
              <w:t>N</w:t>
            </w:r>
          </w:p>
        </w:tc>
        <w:tc>
          <w:tcPr>
            <w:tcW w:w="433" w:type="pct"/>
            <w:tcBorders>
              <w:bottom w:val="single" w:color="666666" w:sz="12" w:space="0"/>
            </w:tcBorders>
            <w:shd w:val="clear" w:color="auto" w:fill="FFFFFF"/>
            <w:tcMar>
              <w:top w:w="0" w:type="dxa"/>
              <w:left w:w="0" w:type="dxa"/>
              <w:bottom w:w="0" w:type="dxa"/>
              <w:right w:w="0" w:type="dxa"/>
            </w:tcMar>
            <w:vAlign w:val="center"/>
          </w:tcPr>
          <w:p w14:paraId="4C901FA6">
            <w:pPr>
              <w:pStyle w:val="55"/>
              <w:keepNext w:val="0"/>
              <w:keepLines w:val="0"/>
              <w:widowControl/>
              <w:suppressLineNumbers w:val="0"/>
              <w:spacing w:before="0" w:beforeAutospacing="0" w:afterAutospacing="0"/>
              <w:ind w:right="0"/>
              <w:rPr>
                <w:rFonts w:hint="default"/>
              </w:rPr>
            </w:pPr>
            <w:r>
              <w:rPr>
                <w:rFonts w:hint="default"/>
              </w:rPr>
              <w:t>p0</w:t>
            </w:r>
          </w:p>
        </w:tc>
        <w:tc>
          <w:tcPr>
            <w:tcW w:w="703" w:type="pct"/>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501B12CC">
            <w:pPr>
              <w:pStyle w:val="55"/>
              <w:keepNext w:val="0"/>
              <w:keepLines w:val="0"/>
              <w:widowControl/>
              <w:suppressLineNumbers w:val="0"/>
              <w:spacing w:before="0" w:beforeAutospacing="0" w:afterAutospacing="0"/>
              <w:ind w:right="0"/>
              <w:rPr>
                <w:rFonts w:hint="default"/>
              </w:rPr>
            </w:pPr>
            <w:r>
              <w:rPr>
                <w:rFonts w:hint="default"/>
              </w:rPr>
              <w:t>Mean ± 1</w:t>
            </w:r>
            <w:r>
              <w:rPr>
                <w:rFonts w:hint="default"/>
              </w:rPr>
              <w:sym w:font="Symbol" w:char="F073"/>
            </w:r>
          </w:p>
        </w:tc>
        <w:tc>
          <w:tcPr>
            <w:tcW w:w="479" w:type="pct"/>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39AD00BD">
            <w:pPr>
              <w:pStyle w:val="55"/>
              <w:keepNext w:val="0"/>
              <w:keepLines w:val="0"/>
              <w:widowControl/>
              <w:suppressLineNumbers w:val="0"/>
              <w:spacing w:before="0" w:beforeAutospacing="0" w:afterAutospacing="0"/>
              <w:ind w:right="0"/>
              <w:rPr>
                <w:rFonts w:hint="default"/>
              </w:rPr>
            </w:pPr>
            <w:r>
              <w:rPr>
                <w:rFonts w:hint="default"/>
              </w:rPr>
              <w:t>2.5% CI</w:t>
            </w:r>
          </w:p>
        </w:tc>
        <w:tc>
          <w:tcPr>
            <w:tcW w:w="554" w:type="pct"/>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3D022A54">
            <w:pPr>
              <w:pStyle w:val="55"/>
              <w:keepNext w:val="0"/>
              <w:keepLines w:val="0"/>
              <w:widowControl/>
              <w:suppressLineNumbers w:val="0"/>
              <w:spacing w:before="0" w:beforeAutospacing="0" w:afterAutospacing="0"/>
              <w:ind w:right="0"/>
              <w:rPr>
                <w:rFonts w:hint="default"/>
              </w:rPr>
            </w:pPr>
            <w:r>
              <w:rPr>
                <w:rFonts w:hint="default"/>
              </w:rPr>
              <w:t>97.5%CI</w:t>
            </w:r>
          </w:p>
        </w:tc>
        <w:tc>
          <w:tcPr>
            <w:tcW w:w="646" w:type="pct"/>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171E9FED">
            <w:pPr>
              <w:pStyle w:val="55"/>
              <w:keepNext w:val="0"/>
              <w:keepLines w:val="0"/>
              <w:widowControl/>
              <w:suppressLineNumbers w:val="0"/>
              <w:spacing w:before="0" w:beforeAutospacing="0" w:afterAutospacing="0"/>
              <w:ind w:right="0"/>
              <w:rPr>
                <w:rFonts w:hint="default"/>
              </w:rPr>
            </w:pPr>
            <w:r>
              <w:rPr>
                <w:rFonts w:hint="default"/>
              </w:rPr>
              <w:t>Mean ± 1</w:t>
            </w:r>
            <w:r>
              <w:rPr>
                <w:rFonts w:hint="default"/>
              </w:rPr>
              <w:sym w:font="Symbol" w:char="F073"/>
            </w:r>
          </w:p>
        </w:tc>
        <w:tc>
          <w:tcPr>
            <w:tcW w:w="555" w:type="pct"/>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0CE9FE8C">
            <w:pPr>
              <w:pStyle w:val="55"/>
              <w:keepNext w:val="0"/>
              <w:keepLines w:val="0"/>
              <w:widowControl/>
              <w:suppressLineNumbers w:val="0"/>
              <w:spacing w:before="0" w:beforeAutospacing="0" w:afterAutospacing="0"/>
              <w:ind w:right="0"/>
              <w:rPr>
                <w:rFonts w:hint="default"/>
              </w:rPr>
            </w:pPr>
            <w:r>
              <w:rPr>
                <w:rFonts w:hint="default"/>
              </w:rPr>
              <w:t>2.5% CI</w:t>
            </w:r>
          </w:p>
        </w:tc>
        <w:tc>
          <w:tcPr>
            <w:tcW w:w="449" w:type="pct"/>
            <w:tcBorders>
              <w:top w:val="single" w:color="666666" w:sz="12" w:space="0"/>
              <w:left w:val="nil"/>
              <w:bottom w:val="single" w:color="666666" w:sz="12" w:space="0"/>
              <w:right w:val="nil"/>
            </w:tcBorders>
            <w:shd w:val="clear" w:color="auto" w:fill="FFFFFF"/>
            <w:tcMar>
              <w:top w:w="0" w:type="dxa"/>
              <w:left w:w="0" w:type="dxa"/>
              <w:bottom w:w="0" w:type="dxa"/>
              <w:right w:w="0" w:type="dxa"/>
            </w:tcMar>
            <w:vAlign w:val="center"/>
          </w:tcPr>
          <w:p w14:paraId="07D70439">
            <w:pPr>
              <w:pStyle w:val="55"/>
              <w:keepNext w:val="0"/>
              <w:keepLines w:val="0"/>
              <w:widowControl/>
              <w:suppressLineNumbers w:val="0"/>
              <w:spacing w:before="0" w:beforeAutospacing="0" w:afterAutospacing="0"/>
              <w:ind w:right="0"/>
              <w:rPr>
                <w:rFonts w:hint="default"/>
              </w:rPr>
            </w:pPr>
            <w:r>
              <w:rPr>
                <w:rFonts w:hint="default"/>
              </w:rPr>
              <w:t>97.5%CI</w:t>
            </w:r>
          </w:p>
        </w:tc>
      </w:tr>
      <w:tr w14:paraId="23F7E6EF">
        <w:tblPrEx>
          <w:tblCellMar>
            <w:top w:w="0" w:type="dxa"/>
            <w:left w:w="108" w:type="dxa"/>
            <w:bottom w:w="0" w:type="dxa"/>
            <w:right w:w="108" w:type="dxa"/>
          </w:tblCellMar>
        </w:tblPrEx>
        <w:tc>
          <w:tcPr>
            <w:tcW w:w="773" w:type="pct"/>
            <w:tcBorders>
              <w:top w:val="single" w:color="666666" w:sz="12" w:space="0"/>
              <w:left w:val="nil"/>
              <w:bottom w:val="single" w:color="666666" w:sz="6" w:space="0"/>
              <w:right w:val="nil"/>
            </w:tcBorders>
            <w:shd w:val="clear" w:color="auto" w:fill="FFFFFF"/>
            <w:tcMar>
              <w:top w:w="0" w:type="dxa"/>
              <w:left w:w="0" w:type="dxa"/>
              <w:bottom w:w="0" w:type="dxa"/>
              <w:right w:w="0" w:type="dxa"/>
            </w:tcMar>
            <w:vAlign w:val="center"/>
          </w:tcPr>
          <w:p w14:paraId="7C779337">
            <w:pPr>
              <w:pStyle w:val="55"/>
              <w:keepNext w:val="0"/>
              <w:keepLines w:val="0"/>
              <w:widowControl/>
              <w:suppressLineNumbers w:val="0"/>
              <w:spacing w:before="0" w:beforeAutospacing="0" w:afterAutospacing="0"/>
              <w:ind w:right="0"/>
              <w:rPr>
                <w:rFonts w:hint="default"/>
              </w:rPr>
            </w:pPr>
            <w:r>
              <w:rPr>
                <w:rFonts w:hint="default"/>
              </w:rPr>
              <w:t>BFD-OSL2</w:t>
            </w:r>
          </w:p>
        </w:tc>
        <w:tc>
          <w:tcPr>
            <w:tcW w:w="407" w:type="pct"/>
            <w:tcBorders>
              <w:top w:val="single" w:color="666666" w:sz="12" w:space="0"/>
              <w:left w:val="nil"/>
              <w:bottom w:val="single" w:color="666666" w:sz="6" w:space="0"/>
              <w:right w:val="nil"/>
            </w:tcBorders>
            <w:shd w:val="clear" w:color="auto" w:fill="FFFFFF"/>
            <w:tcMar>
              <w:top w:w="0" w:type="dxa"/>
              <w:left w:w="0" w:type="dxa"/>
              <w:bottom w:w="0" w:type="dxa"/>
              <w:right w:w="0" w:type="dxa"/>
            </w:tcMar>
            <w:vAlign w:val="center"/>
          </w:tcPr>
          <w:p w14:paraId="12579C45">
            <w:pPr>
              <w:pStyle w:val="55"/>
              <w:keepNext w:val="0"/>
              <w:keepLines w:val="0"/>
              <w:widowControl/>
              <w:suppressLineNumbers w:val="0"/>
              <w:spacing w:before="0" w:beforeAutospacing="0" w:afterAutospacing="0"/>
              <w:ind w:right="0"/>
              <w:rPr>
                <w:rFonts w:hint="default"/>
              </w:rPr>
            </w:pPr>
            <w:r>
              <w:rPr>
                <w:rFonts w:hint="default"/>
              </w:rPr>
              <w:t>109</w:t>
            </w:r>
          </w:p>
        </w:tc>
        <w:tc>
          <w:tcPr>
            <w:tcW w:w="433" w:type="pct"/>
            <w:tcBorders>
              <w:top w:val="single" w:color="666666" w:sz="12" w:space="0"/>
              <w:left w:val="nil"/>
              <w:bottom w:val="single" w:color="666666" w:sz="6" w:space="0"/>
              <w:right w:val="nil"/>
            </w:tcBorders>
            <w:shd w:val="clear" w:color="auto" w:fill="FFFFFF"/>
            <w:tcMar>
              <w:top w:w="0" w:type="dxa"/>
              <w:left w:w="0" w:type="dxa"/>
              <w:bottom w:w="0" w:type="dxa"/>
              <w:right w:w="0" w:type="dxa"/>
            </w:tcMar>
            <w:vAlign w:val="center"/>
          </w:tcPr>
          <w:p w14:paraId="4612BD23">
            <w:pPr>
              <w:pStyle w:val="55"/>
              <w:keepNext w:val="0"/>
              <w:keepLines w:val="0"/>
              <w:widowControl/>
              <w:suppressLineNumbers w:val="0"/>
              <w:spacing w:before="0" w:beforeAutospacing="0" w:afterAutospacing="0"/>
              <w:ind w:right="0"/>
              <w:rPr>
                <w:rFonts w:hint="default"/>
              </w:rPr>
            </w:pPr>
            <w:r>
              <w:rPr>
                <w:rFonts w:hint="default"/>
              </w:rPr>
              <w:t>0.93</w:t>
            </w:r>
          </w:p>
        </w:tc>
        <w:tc>
          <w:tcPr>
            <w:tcW w:w="703" w:type="pct"/>
            <w:tcBorders>
              <w:top w:val="single" w:color="666666" w:sz="12" w:space="0"/>
              <w:left w:val="nil"/>
              <w:bottom w:val="single" w:color="666666" w:sz="6" w:space="0"/>
              <w:right w:val="nil"/>
            </w:tcBorders>
            <w:shd w:val="clear" w:color="auto" w:fill="FFFFFF"/>
            <w:tcMar>
              <w:top w:w="0" w:type="dxa"/>
              <w:left w:w="0" w:type="dxa"/>
              <w:bottom w:w="0" w:type="dxa"/>
              <w:right w:w="0" w:type="dxa"/>
            </w:tcMar>
            <w:vAlign w:val="center"/>
          </w:tcPr>
          <w:p w14:paraId="57EEB8C9">
            <w:pPr>
              <w:pStyle w:val="55"/>
              <w:keepNext w:val="0"/>
              <w:keepLines w:val="0"/>
              <w:widowControl/>
              <w:suppressLineNumbers w:val="0"/>
              <w:spacing w:before="0" w:beforeAutospacing="0" w:afterAutospacing="0"/>
              <w:ind w:right="0"/>
              <w:rPr>
                <w:rFonts w:hint="default"/>
              </w:rPr>
            </w:pPr>
            <w:r>
              <w:rPr>
                <w:rFonts w:hint="default"/>
              </w:rPr>
              <w:t>150.4 ± 6.8</w:t>
            </w:r>
          </w:p>
        </w:tc>
        <w:tc>
          <w:tcPr>
            <w:tcW w:w="479" w:type="pct"/>
            <w:tcBorders>
              <w:top w:val="single" w:color="666666" w:sz="12" w:space="0"/>
              <w:left w:val="nil"/>
              <w:bottom w:val="single" w:color="666666" w:sz="6" w:space="0"/>
              <w:right w:val="nil"/>
            </w:tcBorders>
            <w:shd w:val="clear" w:color="auto" w:fill="FFFFFF"/>
            <w:tcMar>
              <w:top w:w="0" w:type="dxa"/>
              <w:left w:w="0" w:type="dxa"/>
              <w:bottom w:w="0" w:type="dxa"/>
              <w:right w:w="0" w:type="dxa"/>
            </w:tcMar>
            <w:vAlign w:val="center"/>
          </w:tcPr>
          <w:p w14:paraId="7C33E563">
            <w:pPr>
              <w:pStyle w:val="55"/>
              <w:keepNext w:val="0"/>
              <w:keepLines w:val="0"/>
              <w:widowControl/>
              <w:suppressLineNumbers w:val="0"/>
              <w:spacing w:before="0" w:beforeAutospacing="0" w:afterAutospacing="0"/>
              <w:ind w:right="0"/>
              <w:rPr>
                <w:rFonts w:hint="default"/>
              </w:rPr>
            </w:pPr>
            <w:r>
              <w:rPr>
                <w:rFonts w:hint="default"/>
              </w:rPr>
              <w:t>137.4</w:t>
            </w:r>
          </w:p>
        </w:tc>
        <w:tc>
          <w:tcPr>
            <w:tcW w:w="554" w:type="pct"/>
            <w:tcBorders>
              <w:top w:val="single" w:color="666666" w:sz="12" w:space="0"/>
              <w:left w:val="nil"/>
              <w:bottom w:val="single" w:color="666666" w:sz="6" w:space="0"/>
              <w:right w:val="nil"/>
            </w:tcBorders>
            <w:shd w:val="clear" w:color="auto" w:fill="FFFFFF"/>
            <w:tcMar>
              <w:top w:w="0" w:type="dxa"/>
              <w:left w:w="0" w:type="dxa"/>
              <w:bottom w:w="0" w:type="dxa"/>
              <w:right w:w="0" w:type="dxa"/>
            </w:tcMar>
            <w:vAlign w:val="center"/>
          </w:tcPr>
          <w:p w14:paraId="6DF3F628">
            <w:pPr>
              <w:pStyle w:val="55"/>
              <w:keepNext w:val="0"/>
              <w:keepLines w:val="0"/>
              <w:widowControl/>
              <w:suppressLineNumbers w:val="0"/>
              <w:spacing w:before="0" w:beforeAutospacing="0" w:afterAutospacing="0"/>
              <w:ind w:right="0"/>
              <w:rPr>
                <w:rFonts w:hint="default"/>
              </w:rPr>
            </w:pPr>
            <w:r>
              <w:rPr>
                <w:rFonts w:hint="default"/>
              </w:rPr>
              <w:t>163.7</w:t>
            </w:r>
          </w:p>
        </w:tc>
        <w:tc>
          <w:tcPr>
            <w:tcW w:w="646" w:type="pct"/>
            <w:tcBorders>
              <w:top w:val="single" w:color="666666" w:sz="12" w:space="0"/>
              <w:left w:val="nil"/>
              <w:bottom w:val="single" w:color="666666" w:sz="6" w:space="0"/>
              <w:right w:val="nil"/>
            </w:tcBorders>
            <w:shd w:val="clear" w:color="auto" w:fill="FFFFFF"/>
            <w:tcMar>
              <w:top w:w="0" w:type="dxa"/>
              <w:left w:w="0" w:type="dxa"/>
              <w:bottom w:w="0" w:type="dxa"/>
              <w:right w:w="0" w:type="dxa"/>
            </w:tcMar>
            <w:vAlign w:val="center"/>
          </w:tcPr>
          <w:p w14:paraId="43374BA6">
            <w:pPr>
              <w:pStyle w:val="55"/>
              <w:keepNext w:val="0"/>
              <w:keepLines w:val="0"/>
              <w:widowControl/>
              <w:suppressLineNumbers w:val="0"/>
              <w:spacing w:before="0" w:beforeAutospacing="0" w:afterAutospacing="0"/>
              <w:ind w:right="0"/>
              <w:rPr>
                <w:rFonts w:hint="default"/>
              </w:rPr>
            </w:pPr>
            <w:r>
              <w:rPr>
                <w:rFonts w:hint="default"/>
              </w:rPr>
              <w:t>69.3 ± 4.3</w:t>
            </w:r>
          </w:p>
        </w:tc>
        <w:tc>
          <w:tcPr>
            <w:tcW w:w="555" w:type="pct"/>
            <w:tcBorders>
              <w:top w:val="single" w:color="666666" w:sz="12" w:space="0"/>
              <w:left w:val="nil"/>
              <w:bottom w:val="single" w:color="666666" w:sz="6" w:space="0"/>
              <w:right w:val="nil"/>
            </w:tcBorders>
            <w:shd w:val="clear" w:color="auto" w:fill="FFFFFF"/>
            <w:tcMar>
              <w:top w:w="0" w:type="dxa"/>
              <w:left w:w="0" w:type="dxa"/>
              <w:bottom w:w="0" w:type="dxa"/>
              <w:right w:w="0" w:type="dxa"/>
            </w:tcMar>
            <w:vAlign w:val="bottom"/>
          </w:tcPr>
          <w:p w14:paraId="3B5E0788">
            <w:pPr>
              <w:pStyle w:val="55"/>
              <w:keepNext w:val="0"/>
              <w:keepLines w:val="0"/>
              <w:widowControl/>
              <w:suppressLineNumbers w:val="0"/>
              <w:spacing w:before="0" w:beforeAutospacing="0" w:afterAutospacing="0"/>
              <w:ind w:right="0"/>
              <w:rPr>
                <w:rFonts w:hint="default"/>
              </w:rPr>
            </w:pPr>
            <w:r>
              <w:rPr>
                <w:rFonts w:hint="default"/>
              </w:rPr>
              <w:t>60.9</w:t>
            </w:r>
          </w:p>
        </w:tc>
        <w:tc>
          <w:tcPr>
            <w:tcW w:w="449" w:type="pct"/>
            <w:tcBorders>
              <w:top w:val="single" w:color="666666" w:sz="12" w:space="0"/>
              <w:left w:val="nil"/>
              <w:bottom w:val="single" w:color="666666" w:sz="6" w:space="0"/>
              <w:right w:val="nil"/>
            </w:tcBorders>
            <w:shd w:val="clear" w:color="auto" w:fill="FFFFFF"/>
            <w:tcMar>
              <w:top w:w="0" w:type="dxa"/>
              <w:left w:w="0" w:type="dxa"/>
              <w:bottom w:w="0" w:type="dxa"/>
              <w:right w:w="0" w:type="dxa"/>
            </w:tcMar>
            <w:vAlign w:val="bottom"/>
          </w:tcPr>
          <w:p w14:paraId="2153B949">
            <w:pPr>
              <w:pStyle w:val="55"/>
              <w:keepNext w:val="0"/>
              <w:keepLines w:val="0"/>
              <w:widowControl/>
              <w:suppressLineNumbers w:val="0"/>
              <w:spacing w:before="0" w:beforeAutospacing="0" w:afterAutospacing="0"/>
              <w:ind w:right="0"/>
              <w:rPr>
                <w:rFonts w:hint="default"/>
              </w:rPr>
            </w:pPr>
            <w:r>
              <w:rPr>
                <w:rFonts w:hint="default"/>
              </w:rPr>
              <w:t>77.8</w:t>
            </w:r>
          </w:p>
        </w:tc>
      </w:tr>
      <w:tr w14:paraId="35521A89">
        <w:tblPrEx>
          <w:tblCellMar>
            <w:top w:w="0" w:type="dxa"/>
            <w:left w:w="108" w:type="dxa"/>
            <w:bottom w:w="0" w:type="dxa"/>
            <w:right w:w="108" w:type="dxa"/>
          </w:tblCellMar>
        </w:tblPrEx>
        <w:tc>
          <w:tcPr>
            <w:tcW w:w="77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78632840">
            <w:pPr>
              <w:pStyle w:val="55"/>
              <w:keepNext w:val="0"/>
              <w:keepLines w:val="0"/>
              <w:widowControl/>
              <w:suppressLineNumbers w:val="0"/>
              <w:spacing w:before="0" w:beforeAutospacing="0" w:afterAutospacing="0"/>
              <w:ind w:right="0"/>
              <w:rPr>
                <w:rFonts w:hint="default"/>
              </w:rPr>
            </w:pPr>
            <w:r>
              <w:rPr>
                <w:rFonts w:hint="default"/>
              </w:rPr>
              <w:t>BFD-OSL3</w:t>
            </w:r>
          </w:p>
        </w:tc>
        <w:tc>
          <w:tcPr>
            <w:tcW w:w="40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0F0C1FC1">
            <w:pPr>
              <w:pStyle w:val="55"/>
              <w:keepNext w:val="0"/>
              <w:keepLines w:val="0"/>
              <w:widowControl/>
              <w:suppressLineNumbers w:val="0"/>
              <w:spacing w:before="0" w:beforeAutospacing="0" w:afterAutospacing="0"/>
              <w:ind w:right="0"/>
              <w:rPr>
                <w:rFonts w:hint="default"/>
              </w:rPr>
            </w:pPr>
            <w:r>
              <w:rPr>
                <w:rFonts w:hint="default"/>
              </w:rPr>
              <w:t>139</w:t>
            </w:r>
          </w:p>
        </w:tc>
        <w:tc>
          <w:tcPr>
            <w:tcW w:w="43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5F2AF65E">
            <w:pPr>
              <w:pStyle w:val="55"/>
              <w:keepNext w:val="0"/>
              <w:keepLines w:val="0"/>
              <w:widowControl/>
              <w:suppressLineNumbers w:val="0"/>
              <w:spacing w:before="0" w:beforeAutospacing="0" w:afterAutospacing="0"/>
              <w:ind w:right="0"/>
              <w:rPr>
                <w:rFonts w:hint="default"/>
              </w:rPr>
            </w:pPr>
            <w:r>
              <w:rPr>
                <w:rFonts w:hint="default"/>
              </w:rPr>
              <w:t>0.93</w:t>
            </w:r>
          </w:p>
        </w:tc>
        <w:tc>
          <w:tcPr>
            <w:tcW w:w="70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0E3A6A63">
            <w:pPr>
              <w:pStyle w:val="55"/>
              <w:keepNext w:val="0"/>
              <w:keepLines w:val="0"/>
              <w:widowControl/>
              <w:suppressLineNumbers w:val="0"/>
              <w:spacing w:before="0" w:beforeAutospacing="0" w:afterAutospacing="0"/>
              <w:ind w:right="0"/>
              <w:rPr>
                <w:rFonts w:hint="default"/>
              </w:rPr>
            </w:pPr>
            <w:r>
              <w:rPr>
                <w:rFonts w:hint="default"/>
              </w:rPr>
              <w:t>148.3 ± 7</w:t>
            </w:r>
          </w:p>
        </w:tc>
        <w:tc>
          <w:tcPr>
            <w:tcW w:w="479"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72102391">
            <w:pPr>
              <w:pStyle w:val="55"/>
              <w:keepNext w:val="0"/>
              <w:keepLines w:val="0"/>
              <w:widowControl/>
              <w:suppressLineNumbers w:val="0"/>
              <w:spacing w:before="0" w:beforeAutospacing="0" w:afterAutospacing="0"/>
              <w:ind w:right="0"/>
              <w:rPr>
                <w:rFonts w:hint="default"/>
              </w:rPr>
            </w:pPr>
            <w:r>
              <w:rPr>
                <w:rFonts w:hint="default"/>
              </w:rPr>
              <w:t>135.0</w:t>
            </w:r>
          </w:p>
        </w:tc>
        <w:tc>
          <w:tcPr>
            <w:tcW w:w="554"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70315614">
            <w:pPr>
              <w:pStyle w:val="55"/>
              <w:keepNext w:val="0"/>
              <w:keepLines w:val="0"/>
              <w:widowControl/>
              <w:suppressLineNumbers w:val="0"/>
              <w:spacing w:before="0" w:beforeAutospacing="0" w:afterAutospacing="0"/>
              <w:ind w:right="0"/>
              <w:rPr>
                <w:rFonts w:hint="default"/>
              </w:rPr>
            </w:pPr>
            <w:r>
              <w:rPr>
                <w:rFonts w:hint="default"/>
              </w:rPr>
              <w:t>162.0</w:t>
            </w:r>
          </w:p>
        </w:tc>
        <w:tc>
          <w:tcPr>
            <w:tcW w:w="646"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2FC02664">
            <w:pPr>
              <w:pStyle w:val="55"/>
              <w:keepNext w:val="0"/>
              <w:keepLines w:val="0"/>
              <w:widowControl/>
              <w:suppressLineNumbers w:val="0"/>
              <w:spacing w:before="0" w:beforeAutospacing="0" w:afterAutospacing="0"/>
              <w:ind w:right="0"/>
              <w:rPr>
                <w:rFonts w:hint="default"/>
              </w:rPr>
            </w:pPr>
            <w:r>
              <w:rPr>
                <w:rFonts w:hint="default"/>
              </w:rPr>
              <w:t>68.7 ± 4.4</w:t>
            </w:r>
          </w:p>
        </w:tc>
        <w:tc>
          <w:tcPr>
            <w:tcW w:w="555"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bottom"/>
          </w:tcPr>
          <w:p w14:paraId="798D9E2B">
            <w:pPr>
              <w:pStyle w:val="55"/>
              <w:keepNext w:val="0"/>
              <w:keepLines w:val="0"/>
              <w:widowControl/>
              <w:suppressLineNumbers w:val="0"/>
              <w:spacing w:before="0" w:beforeAutospacing="0" w:afterAutospacing="0"/>
              <w:ind w:right="0"/>
              <w:rPr>
                <w:rFonts w:hint="default"/>
              </w:rPr>
            </w:pPr>
            <w:r>
              <w:rPr>
                <w:rFonts w:hint="default"/>
              </w:rPr>
              <w:t>60.1</w:t>
            </w:r>
          </w:p>
        </w:tc>
        <w:tc>
          <w:tcPr>
            <w:tcW w:w="449"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bottom"/>
          </w:tcPr>
          <w:p w14:paraId="48F9E1A4">
            <w:pPr>
              <w:pStyle w:val="55"/>
              <w:keepNext w:val="0"/>
              <w:keepLines w:val="0"/>
              <w:widowControl/>
              <w:suppressLineNumbers w:val="0"/>
              <w:spacing w:before="0" w:beforeAutospacing="0" w:afterAutospacing="0"/>
              <w:ind w:right="0"/>
              <w:rPr>
                <w:rFonts w:hint="default"/>
              </w:rPr>
            </w:pPr>
            <w:r>
              <w:rPr>
                <w:rFonts w:hint="default"/>
              </w:rPr>
              <w:t>77.4</w:t>
            </w:r>
          </w:p>
        </w:tc>
      </w:tr>
      <w:tr w14:paraId="6F9C8C6B">
        <w:tblPrEx>
          <w:tblCellMar>
            <w:top w:w="0" w:type="dxa"/>
            <w:left w:w="108" w:type="dxa"/>
            <w:bottom w:w="0" w:type="dxa"/>
            <w:right w:w="108" w:type="dxa"/>
          </w:tblCellMar>
        </w:tblPrEx>
        <w:tc>
          <w:tcPr>
            <w:tcW w:w="77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29D0B7F6">
            <w:pPr>
              <w:pStyle w:val="55"/>
              <w:keepNext w:val="0"/>
              <w:keepLines w:val="0"/>
              <w:widowControl/>
              <w:suppressLineNumbers w:val="0"/>
              <w:spacing w:before="0" w:beforeAutospacing="0" w:afterAutospacing="0"/>
              <w:ind w:right="0"/>
              <w:rPr>
                <w:rFonts w:hint="default"/>
              </w:rPr>
            </w:pPr>
            <w:r>
              <w:rPr>
                <w:rFonts w:hint="default"/>
              </w:rPr>
              <w:t>BFD-OSL4</w:t>
            </w:r>
          </w:p>
        </w:tc>
        <w:tc>
          <w:tcPr>
            <w:tcW w:w="40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472E2911">
            <w:pPr>
              <w:pStyle w:val="55"/>
              <w:keepNext w:val="0"/>
              <w:keepLines w:val="0"/>
              <w:widowControl/>
              <w:suppressLineNumbers w:val="0"/>
              <w:spacing w:before="0" w:beforeAutospacing="0" w:afterAutospacing="0"/>
              <w:ind w:right="0"/>
              <w:rPr>
                <w:rFonts w:hint="default"/>
              </w:rPr>
            </w:pPr>
            <w:r>
              <w:rPr>
                <w:rFonts w:hint="default"/>
              </w:rPr>
              <w:t>132</w:t>
            </w:r>
          </w:p>
        </w:tc>
        <w:tc>
          <w:tcPr>
            <w:tcW w:w="43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50EA3CB4">
            <w:pPr>
              <w:pStyle w:val="55"/>
              <w:keepNext w:val="0"/>
              <w:keepLines w:val="0"/>
              <w:widowControl/>
              <w:suppressLineNumbers w:val="0"/>
              <w:spacing w:before="0" w:beforeAutospacing="0" w:afterAutospacing="0"/>
              <w:ind w:right="0"/>
              <w:rPr>
                <w:rFonts w:hint="default"/>
              </w:rPr>
            </w:pPr>
            <w:r>
              <w:rPr>
                <w:rFonts w:hint="default"/>
              </w:rPr>
              <w:t>0.92</w:t>
            </w:r>
          </w:p>
        </w:tc>
        <w:tc>
          <w:tcPr>
            <w:tcW w:w="70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4527A2D4">
            <w:pPr>
              <w:pStyle w:val="55"/>
              <w:keepNext w:val="0"/>
              <w:keepLines w:val="0"/>
              <w:widowControl/>
              <w:suppressLineNumbers w:val="0"/>
              <w:spacing w:before="0" w:beforeAutospacing="0" w:afterAutospacing="0"/>
              <w:ind w:right="0"/>
              <w:rPr>
                <w:rFonts w:hint="default"/>
              </w:rPr>
            </w:pPr>
            <w:r>
              <w:rPr>
                <w:rFonts w:hint="default"/>
              </w:rPr>
              <w:t>223.7 ± 11.7</w:t>
            </w:r>
          </w:p>
        </w:tc>
        <w:tc>
          <w:tcPr>
            <w:tcW w:w="479"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1C9E65E6">
            <w:pPr>
              <w:pStyle w:val="55"/>
              <w:keepNext w:val="0"/>
              <w:keepLines w:val="0"/>
              <w:widowControl/>
              <w:suppressLineNumbers w:val="0"/>
              <w:spacing w:before="0" w:beforeAutospacing="0" w:afterAutospacing="0"/>
              <w:ind w:right="0"/>
              <w:rPr>
                <w:rFonts w:hint="default"/>
              </w:rPr>
            </w:pPr>
            <w:r>
              <w:rPr>
                <w:rFonts w:hint="default"/>
              </w:rPr>
              <w:t>201.9</w:t>
            </w:r>
          </w:p>
        </w:tc>
        <w:tc>
          <w:tcPr>
            <w:tcW w:w="554"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03B7FBF4">
            <w:pPr>
              <w:pStyle w:val="55"/>
              <w:keepNext w:val="0"/>
              <w:keepLines w:val="0"/>
              <w:widowControl/>
              <w:suppressLineNumbers w:val="0"/>
              <w:spacing w:before="0" w:beforeAutospacing="0" w:afterAutospacing="0"/>
              <w:ind w:right="0"/>
              <w:rPr>
                <w:rFonts w:hint="default"/>
              </w:rPr>
            </w:pPr>
            <w:r>
              <w:rPr>
                <w:rFonts w:hint="default"/>
              </w:rPr>
              <w:t>247.2</w:t>
            </w:r>
          </w:p>
        </w:tc>
        <w:tc>
          <w:tcPr>
            <w:tcW w:w="646"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4449797C">
            <w:pPr>
              <w:pStyle w:val="55"/>
              <w:keepNext w:val="0"/>
              <w:keepLines w:val="0"/>
              <w:widowControl/>
              <w:suppressLineNumbers w:val="0"/>
              <w:spacing w:before="0" w:beforeAutospacing="0" w:afterAutospacing="0"/>
              <w:ind w:right="0"/>
              <w:rPr>
                <w:rFonts w:hint="default"/>
              </w:rPr>
            </w:pPr>
            <w:r>
              <w:rPr>
                <w:rFonts w:hint="default"/>
              </w:rPr>
              <w:t>119.3 ± 7.6</w:t>
            </w:r>
          </w:p>
        </w:tc>
        <w:tc>
          <w:tcPr>
            <w:tcW w:w="555"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bottom"/>
          </w:tcPr>
          <w:p w14:paraId="51C66C94">
            <w:pPr>
              <w:pStyle w:val="55"/>
              <w:keepNext w:val="0"/>
              <w:keepLines w:val="0"/>
              <w:widowControl/>
              <w:suppressLineNumbers w:val="0"/>
              <w:spacing w:before="0" w:beforeAutospacing="0" w:afterAutospacing="0"/>
              <w:ind w:right="0"/>
              <w:rPr>
                <w:rFonts w:hint="default"/>
              </w:rPr>
            </w:pPr>
            <w:r>
              <w:rPr>
                <w:rFonts w:hint="default"/>
              </w:rPr>
              <w:t>104.8</w:t>
            </w:r>
          </w:p>
        </w:tc>
        <w:tc>
          <w:tcPr>
            <w:tcW w:w="449"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bottom"/>
          </w:tcPr>
          <w:p w14:paraId="44403E23">
            <w:pPr>
              <w:pStyle w:val="55"/>
              <w:keepNext w:val="0"/>
              <w:keepLines w:val="0"/>
              <w:widowControl/>
              <w:suppressLineNumbers w:val="0"/>
              <w:spacing w:before="0" w:beforeAutospacing="0" w:afterAutospacing="0"/>
              <w:ind w:right="0"/>
              <w:rPr>
                <w:rFonts w:hint="default"/>
              </w:rPr>
            </w:pPr>
            <w:r>
              <w:rPr>
                <w:rFonts w:hint="default"/>
              </w:rPr>
              <w:t>134.5</w:t>
            </w:r>
          </w:p>
        </w:tc>
      </w:tr>
      <w:tr w14:paraId="5C5359C5">
        <w:tblPrEx>
          <w:tblCellMar>
            <w:top w:w="0" w:type="dxa"/>
            <w:left w:w="108" w:type="dxa"/>
            <w:bottom w:w="0" w:type="dxa"/>
            <w:right w:w="108" w:type="dxa"/>
          </w:tblCellMar>
        </w:tblPrEx>
        <w:tc>
          <w:tcPr>
            <w:tcW w:w="77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63C3DE8E">
            <w:pPr>
              <w:pStyle w:val="55"/>
              <w:keepNext w:val="0"/>
              <w:keepLines w:val="0"/>
              <w:widowControl/>
              <w:suppressLineNumbers w:val="0"/>
              <w:spacing w:before="0" w:beforeAutospacing="0" w:afterAutospacing="0"/>
              <w:ind w:right="0"/>
              <w:rPr>
                <w:rFonts w:hint="default"/>
              </w:rPr>
            </w:pPr>
            <w:r>
              <w:rPr>
                <w:rFonts w:hint="default"/>
              </w:rPr>
              <w:t>BFD-OSL5</w:t>
            </w:r>
          </w:p>
        </w:tc>
        <w:tc>
          <w:tcPr>
            <w:tcW w:w="40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6C3DC6D3">
            <w:pPr>
              <w:pStyle w:val="55"/>
              <w:keepNext w:val="0"/>
              <w:keepLines w:val="0"/>
              <w:widowControl/>
              <w:suppressLineNumbers w:val="0"/>
              <w:spacing w:before="0" w:beforeAutospacing="0" w:afterAutospacing="0"/>
              <w:ind w:right="0"/>
              <w:rPr>
                <w:rFonts w:hint="default"/>
              </w:rPr>
            </w:pPr>
            <w:r>
              <w:rPr>
                <w:rFonts w:hint="default"/>
              </w:rPr>
              <w:t>145</w:t>
            </w:r>
          </w:p>
        </w:tc>
        <w:tc>
          <w:tcPr>
            <w:tcW w:w="43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1901734F">
            <w:pPr>
              <w:pStyle w:val="55"/>
              <w:keepNext w:val="0"/>
              <w:keepLines w:val="0"/>
              <w:widowControl/>
              <w:suppressLineNumbers w:val="0"/>
              <w:spacing w:before="0" w:beforeAutospacing="0" w:afterAutospacing="0"/>
              <w:ind w:right="0"/>
              <w:rPr>
                <w:rFonts w:hint="default"/>
              </w:rPr>
            </w:pPr>
            <w:r>
              <w:rPr>
                <w:rFonts w:hint="default"/>
              </w:rPr>
              <w:t>0.96</w:t>
            </w:r>
          </w:p>
        </w:tc>
        <w:tc>
          <w:tcPr>
            <w:tcW w:w="70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67B14B7A">
            <w:pPr>
              <w:pStyle w:val="55"/>
              <w:keepNext w:val="0"/>
              <w:keepLines w:val="0"/>
              <w:widowControl/>
              <w:suppressLineNumbers w:val="0"/>
              <w:spacing w:before="0" w:beforeAutospacing="0" w:afterAutospacing="0"/>
              <w:ind w:right="0"/>
              <w:rPr>
                <w:rFonts w:hint="default"/>
              </w:rPr>
            </w:pPr>
            <w:r>
              <w:rPr>
                <w:rFonts w:hint="default"/>
              </w:rPr>
              <w:t>259 ± 19</w:t>
            </w:r>
          </w:p>
        </w:tc>
        <w:tc>
          <w:tcPr>
            <w:tcW w:w="479"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17A986DA">
            <w:pPr>
              <w:pStyle w:val="55"/>
              <w:keepNext w:val="0"/>
              <w:keepLines w:val="0"/>
              <w:widowControl/>
              <w:suppressLineNumbers w:val="0"/>
              <w:spacing w:before="0" w:beforeAutospacing="0" w:afterAutospacing="0"/>
              <w:ind w:right="0"/>
              <w:rPr>
                <w:rFonts w:hint="default"/>
              </w:rPr>
            </w:pPr>
            <w:r>
              <w:rPr>
                <w:rFonts w:hint="default"/>
              </w:rPr>
              <w:t>223.5</w:t>
            </w:r>
          </w:p>
        </w:tc>
        <w:tc>
          <w:tcPr>
            <w:tcW w:w="554"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5DA71284">
            <w:pPr>
              <w:pStyle w:val="55"/>
              <w:keepNext w:val="0"/>
              <w:keepLines w:val="0"/>
              <w:widowControl/>
              <w:suppressLineNumbers w:val="0"/>
              <w:spacing w:before="0" w:beforeAutospacing="0" w:afterAutospacing="0"/>
              <w:ind w:right="0"/>
              <w:rPr>
                <w:rFonts w:hint="default"/>
              </w:rPr>
            </w:pPr>
            <w:r>
              <w:rPr>
                <w:rFonts w:hint="default"/>
              </w:rPr>
              <w:t>296.7</w:t>
            </w:r>
          </w:p>
        </w:tc>
        <w:tc>
          <w:tcPr>
            <w:tcW w:w="646"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6D7E2A11">
            <w:pPr>
              <w:pStyle w:val="55"/>
              <w:keepNext w:val="0"/>
              <w:keepLines w:val="0"/>
              <w:widowControl/>
              <w:suppressLineNumbers w:val="0"/>
              <w:spacing w:before="0" w:beforeAutospacing="0" w:afterAutospacing="0"/>
              <w:ind w:right="0"/>
              <w:rPr>
                <w:rFonts w:hint="default"/>
              </w:rPr>
            </w:pPr>
            <w:r>
              <w:rPr>
                <w:rFonts w:hint="default"/>
              </w:rPr>
              <w:t>136.7 ± 11.2</w:t>
            </w:r>
          </w:p>
        </w:tc>
        <w:tc>
          <w:tcPr>
            <w:tcW w:w="555"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bottom"/>
          </w:tcPr>
          <w:p w14:paraId="1C20BF65">
            <w:pPr>
              <w:pStyle w:val="55"/>
              <w:keepNext w:val="0"/>
              <w:keepLines w:val="0"/>
              <w:widowControl/>
              <w:suppressLineNumbers w:val="0"/>
              <w:spacing w:before="0" w:beforeAutospacing="0" w:afterAutospacing="0"/>
              <w:ind w:right="0"/>
              <w:rPr>
                <w:rFonts w:hint="default"/>
              </w:rPr>
            </w:pPr>
            <w:r>
              <w:rPr>
                <w:rFonts w:hint="default"/>
              </w:rPr>
              <w:t>115.5</w:t>
            </w:r>
          </w:p>
        </w:tc>
        <w:tc>
          <w:tcPr>
            <w:tcW w:w="449"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bottom"/>
          </w:tcPr>
          <w:p w14:paraId="2F5B4ADA">
            <w:pPr>
              <w:pStyle w:val="55"/>
              <w:keepNext w:val="0"/>
              <w:keepLines w:val="0"/>
              <w:widowControl/>
              <w:suppressLineNumbers w:val="0"/>
              <w:spacing w:before="0" w:beforeAutospacing="0" w:afterAutospacing="0"/>
              <w:ind w:right="0"/>
              <w:rPr>
                <w:rFonts w:hint="default"/>
              </w:rPr>
            </w:pPr>
            <w:r>
              <w:rPr>
                <w:rFonts w:hint="default"/>
              </w:rPr>
              <w:t>158.9</w:t>
            </w:r>
          </w:p>
        </w:tc>
      </w:tr>
      <w:tr w14:paraId="677D8E84">
        <w:tblPrEx>
          <w:tblCellMar>
            <w:top w:w="0" w:type="dxa"/>
            <w:left w:w="108" w:type="dxa"/>
            <w:bottom w:w="0" w:type="dxa"/>
            <w:right w:w="108" w:type="dxa"/>
          </w:tblCellMar>
        </w:tblPrEx>
        <w:tc>
          <w:tcPr>
            <w:tcW w:w="77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04A7CCD6">
            <w:pPr>
              <w:pStyle w:val="55"/>
              <w:keepNext w:val="0"/>
              <w:keepLines w:val="0"/>
              <w:widowControl/>
              <w:suppressLineNumbers w:val="0"/>
              <w:spacing w:before="0" w:beforeAutospacing="0" w:afterAutospacing="0"/>
              <w:ind w:right="0"/>
              <w:rPr>
                <w:rFonts w:hint="default"/>
              </w:rPr>
            </w:pPr>
            <w:r>
              <w:rPr>
                <w:rFonts w:hint="default"/>
              </w:rPr>
              <w:t>BFD-OSL6</w:t>
            </w:r>
          </w:p>
        </w:tc>
        <w:tc>
          <w:tcPr>
            <w:tcW w:w="40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3469E14B">
            <w:pPr>
              <w:pStyle w:val="55"/>
              <w:keepNext w:val="0"/>
              <w:keepLines w:val="0"/>
              <w:widowControl/>
              <w:suppressLineNumbers w:val="0"/>
              <w:spacing w:before="0" w:beforeAutospacing="0" w:afterAutospacing="0"/>
              <w:ind w:right="0"/>
              <w:rPr>
                <w:rFonts w:hint="default"/>
              </w:rPr>
            </w:pPr>
            <w:r>
              <w:rPr>
                <w:rFonts w:hint="default"/>
              </w:rPr>
              <w:t>361</w:t>
            </w:r>
          </w:p>
        </w:tc>
        <w:tc>
          <w:tcPr>
            <w:tcW w:w="43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5CF4D2E3">
            <w:pPr>
              <w:pStyle w:val="55"/>
              <w:keepNext w:val="0"/>
              <w:keepLines w:val="0"/>
              <w:widowControl/>
              <w:suppressLineNumbers w:val="0"/>
              <w:spacing w:before="0" w:beforeAutospacing="0" w:afterAutospacing="0"/>
              <w:ind w:right="0"/>
              <w:rPr>
                <w:rFonts w:hint="default"/>
              </w:rPr>
            </w:pPr>
            <w:r>
              <w:rPr>
                <w:rFonts w:hint="default"/>
              </w:rPr>
              <w:t>0.93</w:t>
            </w:r>
          </w:p>
        </w:tc>
        <w:tc>
          <w:tcPr>
            <w:tcW w:w="70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374B23BC">
            <w:pPr>
              <w:pStyle w:val="55"/>
              <w:keepNext w:val="0"/>
              <w:keepLines w:val="0"/>
              <w:widowControl/>
              <w:suppressLineNumbers w:val="0"/>
              <w:spacing w:before="0" w:beforeAutospacing="0" w:afterAutospacing="0"/>
              <w:ind w:right="0"/>
              <w:rPr>
                <w:rFonts w:hint="default"/>
              </w:rPr>
            </w:pPr>
            <w:r>
              <w:rPr>
                <w:rFonts w:hint="default"/>
              </w:rPr>
              <w:t>247 ± 7.4</w:t>
            </w:r>
          </w:p>
        </w:tc>
        <w:tc>
          <w:tcPr>
            <w:tcW w:w="479"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58A6B1E5">
            <w:pPr>
              <w:pStyle w:val="55"/>
              <w:keepNext w:val="0"/>
              <w:keepLines w:val="0"/>
              <w:widowControl/>
              <w:suppressLineNumbers w:val="0"/>
              <w:spacing w:before="0" w:beforeAutospacing="0" w:afterAutospacing="0"/>
              <w:ind w:right="0"/>
              <w:rPr>
                <w:rFonts w:hint="default"/>
              </w:rPr>
            </w:pPr>
            <w:r>
              <w:rPr>
                <w:rFonts w:hint="default"/>
              </w:rPr>
              <w:t>232.0</w:t>
            </w:r>
          </w:p>
        </w:tc>
        <w:tc>
          <w:tcPr>
            <w:tcW w:w="554"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0E038CCA">
            <w:pPr>
              <w:pStyle w:val="55"/>
              <w:keepNext w:val="0"/>
              <w:keepLines w:val="0"/>
              <w:widowControl/>
              <w:suppressLineNumbers w:val="0"/>
              <w:spacing w:before="0" w:beforeAutospacing="0" w:afterAutospacing="0"/>
              <w:ind w:right="0"/>
              <w:rPr>
                <w:rFonts w:hint="default"/>
              </w:rPr>
            </w:pPr>
            <w:r>
              <w:rPr>
                <w:rFonts w:hint="default"/>
              </w:rPr>
              <w:t>260.9</w:t>
            </w:r>
          </w:p>
        </w:tc>
        <w:tc>
          <w:tcPr>
            <w:tcW w:w="646"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393CD8C1">
            <w:pPr>
              <w:pStyle w:val="55"/>
              <w:keepNext w:val="0"/>
              <w:keepLines w:val="0"/>
              <w:widowControl/>
              <w:suppressLineNumbers w:val="0"/>
              <w:spacing w:before="0" w:beforeAutospacing="0" w:afterAutospacing="0"/>
              <w:ind w:right="0"/>
              <w:rPr>
                <w:rFonts w:hint="default"/>
              </w:rPr>
            </w:pPr>
            <w:r>
              <w:rPr>
                <w:rFonts w:hint="default"/>
              </w:rPr>
              <w:t>140.8 ± 8.9</w:t>
            </w:r>
          </w:p>
        </w:tc>
        <w:tc>
          <w:tcPr>
            <w:tcW w:w="555"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bottom"/>
          </w:tcPr>
          <w:p w14:paraId="6E5446DE">
            <w:pPr>
              <w:pStyle w:val="55"/>
              <w:keepNext w:val="0"/>
              <w:keepLines w:val="0"/>
              <w:widowControl/>
              <w:suppressLineNumbers w:val="0"/>
              <w:spacing w:before="0" w:beforeAutospacing="0" w:afterAutospacing="0"/>
              <w:ind w:right="0"/>
              <w:rPr>
                <w:rFonts w:hint="default"/>
              </w:rPr>
            </w:pPr>
            <w:r>
              <w:rPr>
                <w:rFonts w:hint="default"/>
              </w:rPr>
              <w:t>123.1</w:t>
            </w:r>
          </w:p>
        </w:tc>
        <w:tc>
          <w:tcPr>
            <w:tcW w:w="449"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bottom"/>
          </w:tcPr>
          <w:p w14:paraId="322F9BED">
            <w:pPr>
              <w:pStyle w:val="55"/>
              <w:keepNext w:val="0"/>
              <w:keepLines w:val="0"/>
              <w:widowControl/>
              <w:suppressLineNumbers w:val="0"/>
              <w:spacing w:before="0" w:beforeAutospacing="0" w:afterAutospacing="0"/>
              <w:ind w:right="0"/>
              <w:rPr>
                <w:rFonts w:hint="default"/>
              </w:rPr>
            </w:pPr>
            <w:r>
              <w:rPr>
                <w:rFonts w:hint="default"/>
              </w:rPr>
              <w:t>158.4</w:t>
            </w:r>
          </w:p>
        </w:tc>
      </w:tr>
      <w:tr w14:paraId="2D6AC0A7">
        <w:tblPrEx>
          <w:tblCellMar>
            <w:top w:w="0" w:type="dxa"/>
            <w:left w:w="108" w:type="dxa"/>
            <w:bottom w:w="0" w:type="dxa"/>
            <w:right w:w="108" w:type="dxa"/>
          </w:tblCellMar>
        </w:tblPrEx>
        <w:tc>
          <w:tcPr>
            <w:tcW w:w="77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56D1395D">
            <w:pPr>
              <w:pStyle w:val="55"/>
              <w:keepNext w:val="0"/>
              <w:keepLines w:val="0"/>
              <w:widowControl/>
              <w:suppressLineNumbers w:val="0"/>
              <w:spacing w:before="0" w:beforeAutospacing="0" w:afterAutospacing="0"/>
              <w:ind w:right="0"/>
              <w:rPr>
                <w:rFonts w:hint="default"/>
              </w:rPr>
            </w:pPr>
            <w:r>
              <w:rPr>
                <w:rFonts w:hint="default"/>
              </w:rPr>
              <w:t>BFD-OSL7</w:t>
            </w:r>
          </w:p>
        </w:tc>
        <w:tc>
          <w:tcPr>
            <w:tcW w:w="40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339295B4">
            <w:pPr>
              <w:pStyle w:val="55"/>
              <w:keepNext w:val="0"/>
              <w:keepLines w:val="0"/>
              <w:widowControl/>
              <w:suppressLineNumbers w:val="0"/>
              <w:spacing w:before="0" w:beforeAutospacing="0" w:afterAutospacing="0"/>
              <w:ind w:right="0"/>
              <w:rPr>
                <w:rFonts w:hint="default"/>
              </w:rPr>
            </w:pPr>
            <w:r>
              <w:rPr>
                <w:rFonts w:hint="default"/>
              </w:rPr>
              <w:t>91</w:t>
            </w:r>
          </w:p>
        </w:tc>
        <w:tc>
          <w:tcPr>
            <w:tcW w:w="43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1985E9F8">
            <w:pPr>
              <w:pStyle w:val="55"/>
              <w:keepNext w:val="0"/>
              <w:keepLines w:val="0"/>
              <w:widowControl/>
              <w:suppressLineNumbers w:val="0"/>
              <w:spacing w:before="0" w:beforeAutospacing="0" w:afterAutospacing="0"/>
              <w:ind w:right="0"/>
              <w:rPr>
                <w:rFonts w:hint="default"/>
              </w:rPr>
            </w:pPr>
            <w:r>
              <w:rPr>
                <w:rFonts w:hint="default"/>
              </w:rPr>
              <w:t>0.86</w:t>
            </w:r>
          </w:p>
        </w:tc>
        <w:tc>
          <w:tcPr>
            <w:tcW w:w="70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416D7ED3">
            <w:pPr>
              <w:pStyle w:val="55"/>
              <w:keepNext w:val="0"/>
              <w:keepLines w:val="0"/>
              <w:widowControl/>
              <w:suppressLineNumbers w:val="0"/>
              <w:spacing w:before="0" w:beforeAutospacing="0" w:afterAutospacing="0"/>
              <w:ind w:right="0"/>
              <w:rPr>
                <w:rFonts w:hint="default"/>
              </w:rPr>
            </w:pPr>
            <w:r>
              <w:rPr>
                <w:rFonts w:hint="default"/>
              </w:rPr>
              <w:t>184.2 ± 11.5</w:t>
            </w:r>
          </w:p>
        </w:tc>
        <w:tc>
          <w:tcPr>
            <w:tcW w:w="479"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20A7332E">
            <w:pPr>
              <w:pStyle w:val="55"/>
              <w:keepNext w:val="0"/>
              <w:keepLines w:val="0"/>
              <w:widowControl/>
              <w:suppressLineNumbers w:val="0"/>
              <w:spacing w:before="0" w:beforeAutospacing="0" w:afterAutospacing="0"/>
              <w:ind w:right="0"/>
              <w:rPr>
                <w:rFonts w:hint="default"/>
              </w:rPr>
            </w:pPr>
            <w:r>
              <w:rPr>
                <w:rFonts w:hint="default"/>
              </w:rPr>
              <w:t>162.5</w:t>
            </w:r>
          </w:p>
        </w:tc>
        <w:tc>
          <w:tcPr>
            <w:tcW w:w="554"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49632CF9">
            <w:pPr>
              <w:pStyle w:val="55"/>
              <w:keepNext w:val="0"/>
              <w:keepLines w:val="0"/>
              <w:widowControl/>
              <w:suppressLineNumbers w:val="0"/>
              <w:spacing w:before="0" w:beforeAutospacing="0" w:afterAutospacing="0"/>
              <w:ind w:right="0"/>
              <w:rPr>
                <w:rFonts w:hint="default"/>
              </w:rPr>
            </w:pPr>
            <w:r>
              <w:rPr>
                <w:rFonts w:hint="default"/>
              </w:rPr>
              <w:t>207.5</w:t>
            </w:r>
          </w:p>
        </w:tc>
        <w:tc>
          <w:tcPr>
            <w:tcW w:w="646"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7CC12E4F">
            <w:pPr>
              <w:pStyle w:val="55"/>
              <w:keepNext w:val="0"/>
              <w:keepLines w:val="0"/>
              <w:widowControl/>
              <w:suppressLineNumbers w:val="0"/>
              <w:spacing w:before="0" w:beforeAutospacing="0" w:afterAutospacing="0"/>
              <w:ind w:right="0"/>
              <w:rPr>
                <w:rFonts w:hint="default"/>
              </w:rPr>
            </w:pPr>
            <w:r>
              <w:rPr>
                <w:rFonts w:hint="default"/>
              </w:rPr>
              <w:t>141.1 ± 10.6</w:t>
            </w:r>
          </w:p>
        </w:tc>
        <w:tc>
          <w:tcPr>
            <w:tcW w:w="555"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bottom"/>
          </w:tcPr>
          <w:p w14:paraId="1A1A9572">
            <w:pPr>
              <w:pStyle w:val="55"/>
              <w:keepNext w:val="0"/>
              <w:keepLines w:val="0"/>
              <w:widowControl/>
              <w:suppressLineNumbers w:val="0"/>
              <w:spacing w:before="0" w:beforeAutospacing="0" w:afterAutospacing="0"/>
              <w:ind w:right="0"/>
              <w:rPr>
                <w:rFonts w:hint="default"/>
              </w:rPr>
            </w:pPr>
            <w:r>
              <w:rPr>
                <w:rFonts w:hint="default"/>
              </w:rPr>
              <w:t>120.6</w:t>
            </w:r>
          </w:p>
        </w:tc>
        <w:tc>
          <w:tcPr>
            <w:tcW w:w="449"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bottom"/>
          </w:tcPr>
          <w:p w14:paraId="08E3FCED">
            <w:pPr>
              <w:pStyle w:val="55"/>
              <w:keepNext w:val="0"/>
              <w:keepLines w:val="0"/>
              <w:widowControl/>
              <w:suppressLineNumbers w:val="0"/>
              <w:spacing w:before="0" w:beforeAutospacing="0" w:afterAutospacing="0"/>
              <w:ind w:right="0"/>
              <w:rPr>
                <w:rFonts w:hint="default"/>
              </w:rPr>
            </w:pPr>
            <w:r>
              <w:rPr>
                <w:rFonts w:hint="default"/>
              </w:rPr>
              <w:t>162.6</w:t>
            </w:r>
          </w:p>
        </w:tc>
      </w:tr>
      <w:tr w14:paraId="26AC957B">
        <w:tblPrEx>
          <w:tblCellMar>
            <w:top w:w="0" w:type="dxa"/>
            <w:left w:w="108" w:type="dxa"/>
            <w:bottom w:w="0" w:type="dxa"/>
            <w:right w:w="108" w:type="dxa"/>
          </w:tblCellMar>
        </w:tblPrEx>
        <w:tc>
          <w:tcPr>
            <w:tcW w:w="77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736D951D">
            <w:pPr>
              <w:pStyle w:val="55"/>
              <w:keepNext w:val="0"/>
              <w:keepLines w:val="0"/>
              <w:widowControl/>
              <w:suppressLineNumbers w:val="0"/>
              <w:spacing w:before="0" w:beforeAutospacing="0" w:afterAutospacing="0"/>
              <w:ind w:right="0"/>
              <w:rPr>
                <w:rFonts w:hint="default"/>
              </w:rPr>
            </w:pPr>
            <w:r>
              <w:rPr>
                <w:rFonts w:hint="default"/>
              </w:rPr>
              <w:t>BFD-OSL8</w:t>
            </w:r>
          </w:p>
        </w:tc>
        <w:tc>
          <w:tcPr>
            <w:tcW w:w="40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4DFE808E">
            <w:pPr>
              <w:pStyle w:val="55"/>
              <w:keepNext w:val="0"/>
              <w:keepLines w:val="0"/>
              <w:widowControl/>
              <w:suppressLineNumbers w:val="0"/>
              <w:spacing w:before="0" w:beforeAutospacing="0" w:afterAutospacing="0"/>
              <w:ind w:right="0"/>
              <w:rPr>
                <w:rFonts w:hint="default"/>
              </w:rPr>
            </w:pPr>
            <w:r>
              <w:rPr>
                <w:rFonts w:hint="default"/>
              </w:rPr>
              <w:t>88</w:t>
            </w:r>
          </w:p>
        </w:tc>
        <w:tc>
          <w:tcPr>
            <w:tcW w:w="43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3796ADB7">
            <w:pPr>
              <w:pStyle w:val="55"/>
              <w:keepNext w:val="0"/>
              <w:keepLines w:val="0"/>
              <w:widowControl/>
              <w:suppressLineNumbers w:val="0"/>
              <w:spacing w:before="0" w:beforeAutospacing="0" w:afterAutospacing="0"/>
              <w:ind w:right="0"/>
              <w:rPr>
                <w:rFonts w:hint="default"/>
              </w:rPr>
            </w:pPr>
            <w:r>
              <w:rPr>
                <w:rFonts w:hint="default"/>
              </w:rPr>
              <w:t>0.94</w:t>
            </w:r>
          </w:p>
        </w:tc>
        <w:tc>
          <w:tcPr>
            <w:tcW w:w="70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2A930F10">
            <w:pPr>
              <w:pStyle w:val="55"/>
              <w:keepNext w:val="0"/>
              <w:keepLines w:val="0"/>
              <w:widowControl/>
              <w:suppressLineNumbers w:val="0"/>
              <w:spacing w:before="0" w:beforeAutospacing="0" w:afterAutospacing="0"/>
              <w:ind w:right="0"/>
              <w:rPr>
                <w:rFonts w:hint="default"/>
              </w:rPr>
            </w:pPr>
            <w:r>
              <w:rPr>
                <w:rFonts w:hint="default"/>
              </w:rPr>
              <w:t>233.8 ± 19.2</w:t>
            </w:r>
          </w:p>
        </w:tc>
        <w:tc>
          <w:tcPr>
            <w:tcW w:w="479"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66B59A86">
            <w:pPr>
              <w:pStyle w:val="55"/>
              <w:keepNext w:val="0"/>
              <w:keepLines w:val="0"/>
              <w:widowControl/>
              <w:suppressLineNumbers w:val="0"/>
              <w:spacing w:before="0" w:beforeAutospacing="0" w:afterAutospacing="0"/>
              <w:ind w:right="0"/>
              <w:rPr>
                <w:rFonts w:hint="default"/>
              </w:rPr>
            </w:pPr>
            <w:r>
              <w:rPr>
                <w:rFonts w:hint="default"/>
              </w:rPr>
              <w:t>198.0</w:t>
            </w:r>
          </w:p>
        </w:tc>
        <w:tc>
          <w:tcPr>
            <w:tcW w:w="554"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5FF5EBFB">
            <w:pPr>
              <w:pStyle w:val="55"/>
              <w:keepNext w:val="0"/>
              <w:keepLines w:val="0"/>
              <w:widowControl/>
              <w:suppressLineNumbers w:val="0"/>
              <w:spacing w:before="0" w:beforeAutospacing="0" w:afterAutospacing="0"/>
              <w:ind w:right="0"/>
              <w:rPr>
                <w:rFonts w:hint="default"/>
              </w:rPr>
            </w:pPr>
            <w:r>
              <w:rPr>
                <w:rFonts w:hint="default"/>
              </w:rPr>
              <w:t>273.1</w:t>
            </w:r>
          </w:p>
        </w:tc>
        <w:tc>
          <w:tcPr>
            <w:tcW w:w="646"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786AEC33">
            <w:pPr>
              <w:pStyle w:val="55"/>
              <w:keepNext w:val="0"/>
              <w:keepLines w:val="0"/>
              <w:widowControl/>
              <w:suppressLineNumbers w:val="0"/>
              <w:spacing w:before="0" w:beforeAutospacing="0" w:afterAutospacing="0"/>
              <w:ind w:right="0"/>
              <w:rPr>
                <w:rFonts w:hint="default"/>
              </w:rPr>
            </w:pPr>
            <w:r>
              <w:rPr>
                <w:rFonts w:hint="default"/>
              </w:rPr>
              <w:t>151.4 ± 13.5</w:t>
            </w:r>
          </w:p>
        </w:tc>
        <w:tc>
          <w:tcPr>
            <w:tcW w:w="555"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bottom"/>
          </w:tcPr>
          <w:p w14:paraId="38F44F92">
            <w:pPr>
              <w:pStyle w:val="55"/>
              <w:keepNext w:val="0"/>
              <w:keepLines w:val="0"/>
              <w:widowControl/>
              <w:suppressLineNumbers w:val="0"/>
              <w:spacing w:before="0" w:beforeAutospacing="0" w:afterAutospacing="0"/>
              <w:ind w:right="0"/>
              <w:rPr>
                <w:rFonts w:hint="default"/>
              </w:rPr>
            </w:pPr>
            <w:r>
              <w:rPr>
                <w:rFonts w:hint="default"/>
              </w:rPr>
              <w:t>125.9</w:t>
            </w:r>
          </w:p>
        </w:tc>
        <w:tc>
          <w:tcPr>
            <w:tcW w:w="449"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bottom"/>
          </w:tcPr>
          <w:p w14:paraId="0F9D7560">
            <w:pPr>
              <w:pStyle w:val="55"/>
              <w:keepNext w:val="0"/>
              <w:keepLines w:val="0"/>
              <w:widowControl/>
              <w:suppressLineNumbers w:val="0"/>
              <w:spacing w:before="0" w:beforeAutospacing="0" w:afterAutospacing="0"/>
              <w:ind w:right="0"/>
              <w:rPr>
                <w:rFonts w:hint="default"/>
              </w:rPr>
            </w:pPr>
            <w:r>
              <w:rPr>
                <w:rFonts w:hint="default"/>
              </w:rPr>
              <w:t>179.1</w:t>
            </w:r>
          </w:p>
        </w:tc>
      </w:tr>
      <w:tr w14:paraId="6FF637E8">
        <w:tblPrEx>
          <w:tblCellMar>
            <w:top w:w="0" w:type="dxa"/>
            <w:left w:w="108" w:type="dxa"/>
            <w:bottom w:w="0" w:type="dxa"/>
            <w:right w:w="108" w:type="dxa"/>
          </w:tblCellMar>
        </w:tblPrEx>
        <w:tc>
          <w:tcPr>
            <w:tcW w:w="77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45EF4C9A">
            <w:pPr>
              <w:pStyle w:val="55"/>
              <w:keepNext w:val="0"/>
              <w:keepLines w:val="0"/>
              <w:widowControl/>
              <w:suppressLineNumbers w:val="0"/>
              <w:spacing w:before="0" w:beforeAutospacing="0" w:afterAutospacing="0"/>
              <w:ind w:right="0"/>
              <w:rPr>
                <w:rFonts w:hint="default"/>
              </w:rPr>
            </w:pPr>
            <w:r>
              <w:rPr>
                <w:rFonts w:hint="default"/>
              </w:rPr>
              <w:t>BFD-OSL9</w:t>
            </w:r>
          </w:p>
        </w:tc>
        <w:tc>
          <w:tcPr>
            <w:tcW w:w="40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085A7D46">
            <w:pPr>
              <w:pStyle w:val="55"/>
              <w:keepNext w:val="0"/>
              <w:keepLines w:val="0"/>
              <w:widowControl/>
              <w:suppressLineNumbers w:val="0"/>
              <w:spacing w:before="0" w:beforeAutospacing="0" w:afterAutospacing="0"/>
              <w:ind w:right="0"/>
              <w:rPr>
                <w:rFonts w:hint="default"/>
              </w:rPr>
            </w:pPr>
            <w:r>
              <w:rPr>
                <w:rFonts w:hint="default"/>
              </w:rPr>
              <w:t>98</w:t>
            </w:r>
          </w:p>
        </w:tc>
        <w:tc>
          <w:tcPr>
            <w:tcW w:w="43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1284AB4B">
            <w:pPr>
              <w:pStyle w:val="55"/>
              <w:keepNext w:val="0"/>
              <w:keepLines w:val="0"/>
              <w:widowControl/>
              <w:suppressLineNumbers w:val="0"/>
              <w:spacing w:before="0" w:beforeAutospacing="0" w:afterAutospacing="0"/>
              <w:ind w:right="0"/>
              <w:rPr>
                <w:rFonts w:hint="default"/>
              </w:rPr>
            </w:pPr>
            <w:r>
              <w:rPr>
                <w:rFonts w:hint="default"/>
              </w:rPr>
              <w:t>0.96</w:t>
            </w:r>
          </w:p>
        </w:tc>
        <w:tc>
          <w:tcPr>
            <w:tcW w:w="70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06AC0CF4">
            <w:pPr>
              <w:pStyle w:val="55"/>
              <w:keepNext w:val="0"/>
              <w:keepLines w:val="0"/>
              <w:widowControl/>
              <w:suppressLineNumbers w:val="0"/>
              <w:spacing w:before="0" w:beforeAutospacing="0" w:afterAutospacing="0"/>
              <w:ind w:right="0"/>
              <w:rPr>
                <w:rFonts w:hint="default"/>
              </w:rPr>
            </w:pPr>
            <w:r>
              <w:rPr>
                <w:rFonts w:hint="default"/>
              </w:rPr>
              <w:t>194.7 ± 11.1</w:t>
            </w:r>
          </w:p>
        </w:tc>
        <w:tc>
          <w:tcPr>
            <w:tcW w:w="479"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1179A2AB">
            <w:pPr>
              <w:pStyle w:val="55"/>
              <w:keepNext w:val="0"/>
              <w:keepLines w:val="0"/>
              <w:widowControl/>
              <w:suppressLineNumbers w:val="0"/>
              <w:spacing w:before="0" w:beforeAutospacing="0" w:afterAutospacing="0"/>
              <w:ind w:right="0"/>
              <w:rPr>
                <w:rFonts w:hint="default"/>
              </w:rPr>
            </w:pPr>
            <w:r>
              <w:rPr>
                <w:rFonts w:hint="default"/>
              </w:rPr>
              <w:t>173.1</w:t>
            </w:r>
          </w:p>
        </w:tc>
        <w:tc>
          <w:tcPr>
            <w:tcW w:w="554"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02622C2D">
            <w:pPr>
              <w:pStyle w:val="55"/>
              <w:keepNext w:val="0"/>
              <w:keepLines w:val="0"/>
              <w:widowControl/>
              <w:suppressLineNumbers w:val="0"/>
              <w:spacing w:before="0" w:beforeAutospacing="0" w:afterAutospacing="0"/>
              <w:ind w:right="0"/>
              <w:rPr>
                <w:rFonts w:hint="default"/>
              </w:rPr>
            </w:pPr>
            <w:r>
              <w:rPr>
                <w:rFonts w:hint="default"/>
              </w:rPr>
              <w:t>216.3</w:t>
            </w:r>
          </w:p>
        </w:tc>
        <w:tc>
          <w:tcPr>
            <w:tcW w:w="646"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0B457AB7">
            <w:pPr>
              <w:pStyle w:val="55"/>
              <w:keepNext w:val="0"/>
              <w:keepLines w:val="0"/>
              <w:widowControl/>
              <w:suppressLineNumbers w:val="0"/>
              <w:spacing w:before="0" w:beforeAutospacing="0" w:afterAutospacing="0"/>
              <w:ind w:right="0"/>
              <w:rPr>
                <w:rFonts w:hint="default"/>
              </w:rPr>
            </w:pPr>
            <w:r>
              <w:rPr>
                <w:rFonts w:hint="default"/>
              </w:rPr>
              <w:t>122.2 ± 9.1</w:t>
            </w:r>
          </w:p>
        </w:tc>
        <w:tc>
          <w:tcPr>
            <w:tcW w:w="555"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bottom"/>
          </w:tcPr>
          <w:p w14:paraId="03817316">
            <w:pPr>
              <w:pStyle w:val="55"/>
              <w:keepNext w:val="0"/>
              <w:keepLines w:val="0"/>
              <w:widowControl/>
              <w:suppressLineNumbers w:val="0"/>
              <w:spacing w:before="0" w:beforeAutospacing="0" w:afterAutospacing="0"/>
              <w:ind w:right="0"/>
              <w:rPr>
                <w:rFonts w:hint="default"/>
              </w:rPr>
            </w:pPr>
            <w:r>
              <w:rPr>
                <w:rFonts w:hint="default"/>
              </w:rPr>
              <w:t>104.4</w:t>
            </w:r>
          </w:p>
        </w:tc>
        <w:tc>
          <w:tcPr>
            <w:tcW w:w="449"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bottom"/>
          </w:tcPr>
          <w:p w14:paraId="1828CABB">
            <w:pPr>
              <w:pStyle w:val="55"/>
              <w:keepNext w:val="0"/>
              <w:keepLines w:val="0"/>
              <w:widowControl/>
              <w:suppressLineNumbers w:val="0"/>
              <w:spacing w:before="0" w:beforeAutospacing="0" w:afterAutospacing="0"/>
              <w:ind w:right="0"/>
              <w:rPr>
                <w:rFonts w:hint="default"/>
              </w:rPr>
            </w:pPr>
            <w:r>
              <w:rPr>
                <w:rFonts w:hint="default"/>
              </w:rPr>
              <w:t>140.0</w:t>
            </w:r>
          </w:p>
        </w:tc>
      </w:tr>
      <w:tr w14:paraId="65B7D2D7">
        <w:tblPrEx>
          <w:tblCellMar>
            <w:top w:w="0" w:type="dxa"/>
            <w:left w:w="108" w:type="dxa"/>
            <w:bottom w:w="0" w:type="dxa"/>
            <w:right w:w="108" w:type="dxa"/>
          </w:tblCellMar>
        </w:tblPrEx>
        <w:tc>
          <w:tcPr>
            <w:tcW w:w="77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53CBBFA2">
            <w:pPr>
              <w:pStyle w:val="55"/>
              <w:keepNext w:val="0"/>
              <w:keepLines w:val="0"/>
              <w:widowControl/>
              <w:suppressLineNumbers w:val="0"/>
              <w:spacing w:before="0" w:beforeAutospacing="0" w:afterAutospacing="0"/>
              <w:ind w:right="0"/>
              <w:rPr>
                <w:rFonts w:hint="default"/>
              </w:rPr>
            </w:pPr>
            <w:r>
              <w:rPr>
                <w:rFonts w:hint="default"/>
              </w:rPr>
              <w:t>BFD-OSL10</w:t>
            </w:r>
          </w:p>
        </w:tc>
        <w:tc>
          <w:tcPr>
            <w:tcW w:w="40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4A838989">
            <w:pPr>
              <w:pStyle w:val="55"/>
              <w:keepNext w:val="0"/>
              <w:keepLines w:val="0"/>
              <w:widowControl/>
              <w:suppressLineNumbers w:val="0"/>
              <w:spacing w:before="0" w:beforeAutospacing="0" w:afterAutospacing="0"/>
              <w:ind w:right="0"/>
              <w:rPr>
                <w:rFonts w:hint="default"/>
              </w:rPr>
            </w:pPr>
            <w:r>
              <w:rPr>
                <w:rFonts w:hint="default"/>
              </w:rPr>
              <w:t>106</w:t>
            </w:r>
          </w:p>
        </w:tc>
        <w:tc>
          <w:tcPr>
            <w:tcW w:w="43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334024E3">
            <w:pPr>
              <w:pStyle w:val="55"/>
              <w:keepNext w:val="0"/>
              <w:keepLines w:val="0"/>
              <w:widowControl/>
              <w:suppressLineNumbers w:val="0"/>
              <w:spacing w:before="0" w:beforeAutospacing="0" w:afterAutospacing="0"/>
              <w:ind w:right="0"/>
              <w:rPr>
                <w:rFonts w:hint="default"/>
              </w:rPr>
            </w:pPr>
            <w:r>
              <w:rPr>
                <w:rFonts w:hint="default"/>
              </w:rPr>
              <w:t>0.95</w:t>
            </w:r>
          </w:p>
        </w:tc>
        <w:tc>
          <w:tcPr>
            <w:tcW w:w="70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3ED3E352">
            <w:pPr>
              <w:pStyle w:val="55"/>
              <w:keepNext w:val="0"/>
              <w:keepLines w:val="0"/>
              <w:widowControl/>
              <w:suppressLineNumbers w:val="0"/>
              <w:spacing w:before="0" w:beforeAutospacing="0" w:afterAutospacing="0"/>
              <w:ind w:right="0"/>
              <w:rPr>
                <w:rFonts w:hint="default"/>
              </w:rPr>
            </w:pPr>
            <w:r>
              <w:rPr>
                <w:rFonts w:hint="default"/>
              </w:rPr>
              <w:t>383.3 ± 27.7</w:t>
            </w:r>
          </w:p>
        </w:tc>
        <w:tc>
          <w:tcPr>
            <w:tcW w:w="479"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61C485DF">
            <w:pPr>
              <w:pStyle w:val="55"/>
              <w:keepNext w:val="0"/>
              <w:keepLines w:val="0"/>
              <w:widowControl/>
              <w:suppressLineNumbers w:val="0"/>
              <w:spacing w:before="0" w:beforeAutospacing="0" w:afterAutospacing="0"/>
              <w:ind w:right="0"/>
              <w:rPr>
                <w:rFonts w:hint="default"/>
              </w:rPr>
            </w:pPr>
            <w:r>
              <w:rPr>
                <w:rFonts w:hint="default"/>
              </w:rPr>
              <w:t>330.7</w:t>
            </w:r>
          </w:p>
        </w:tc>
        <w:tc>
          <w:tcPr>
            <w:tcW w:w="554"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4B50A7FC">
            <w:pPr>
              <w:pStyle w:val="55"/>
              <w:keepNext w:val="0"/>
              <w:keepLines w:val="0"/>
              <w:widowControl/>
              <w:suppressLineNumbers w:val="0"/>
              <w:spacing w:before="0" w:beforeAutospacing="0" w:afterAutospacing="0"/>
              <w:ind w:right="0"/>
              <w:rPr>
                <w:rFonts w:hint="default"/>
              </w:rPr>
            </w:pPr>
            <w:r>
              <w:rPr>
                <w:rFonts w:hint="default"/>
              </w:rPr>
              <w:t>439.4</w:t>
            </w:r>
          </w:p>
        </w:tc>
        <w:tc>
          <w:tcPr>
            <w:tcW w:w="646"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70493E91">
            <w:pPr>
              <w:pStyle w:val="55"/>
              <w:keepNext w:val="0"/>
              <w:keepLines w:val="0"/>
              <w:widowControl/>
              <w:suppressLineNumbers w:val="0"/>
              <w:spacing w:before="0" w:beforeAutospacing="0" w:afterAutospacing="0"/>
              <w:ind w:right="0"/>
              <w:rPr>
                <w:rFonts w:hint="default"/>
              </w:rPr>
            </w:pPr>
            <w:r>
              <w:rPr>
                <w:rFonts w:hint="default"/>
              </w:rPr>
              <w:t>182.4 ± 16.1</w:t>
            </w:r>
          </w:p>
        </w:tc>
        <w:tc>
          <w:tcPr>
            <w:tcW w:w="555"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bottom"/>
          </w:tcPr>
          <w:p w14:paraId="44F24094">
            <w:pPr>
              <w:pStyle w:val="55"/>
              <w:keepNext w:val="0"/>
              <w:keepLines w:val="0"/>
              <w:widowControl/>
              <w:suppressLineNumbers w:val="0"/>
              <w:spacing w:before="0" w:beforeAutospacing="0" w:afterAutospacing="0"/>
              <w:ind w:right="0"/>
              <w:rPr>
                <w:rFonts w:hint="default"/>
              </w:rPr>
            </w:pPr>
            <w:r>
              <w:rPr>
                <w:rFonts w:hint="default"/>
              </w:rPr>
              <w:t>151.3</w:t>
            </w:r>
          </w:p>
        </w:tc>
        <w:tc>
          <w:tcPr>
            <w:tcW w:w="449"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bottom"/>
          </w:tcPr>
          <w:p w14:paraId="1CA44A01">
            <w:pPr>
              <w:pStyle w:val="55"/>
              <w:keepNext w:val="0"/>
              <w:keepLines w:val="0"/>
              <w:widowControl/>
              <w:suppressLineNumbers w:val="0"/>
              <w:spacing w:before="0" w:beforeAutospacing="0" w:afterAutospacing="0"/>
              <w:ind w:right="0"/>
              <w:rPr>
                <w:rFonts w:hint="default"/>
              </w:rPr>
            </w:pPr>
            <w:r>
              <w:rPr>
                <w:rFonts w:hint="default"/>
              </w:rPr>
              <w:t>214.8</w:t>
            </w:r>
          </w:p>
        </w:tc>
      </w:tr>
      <w:tr w14:paraId="329CE810">
        <w:tblPrEx>
          <w:tblCellMar>
            <w:top w:w="0" w:type="dxa"/>
            <w:left w:w="108" w:type="dxa"/>
            <w:bottom w:w="0" w:type="dxa"/>
            <w:right w:w="108" w:type="dxa"/>
          </w:tblCellMar>
        </w:tblPrEx>
        <w:tc>
          <w:tcPr>
            <w:tcW w:w="77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58207113">
            <w:pPr>
              <w:pStyle w:val="55"/>
              <w:keepNext w:val="0"/>
              <w:keepLines w:val="0"/>
              <w:widowControl/>
              <w:suppressLineNumbers w:val="0"/>
              <w:spacing w:before="0" w:beforeAutospacing="0" w:afterAutospacing="0"/>
              <w:ind w:right="0"/>
              <w:rPr>
                <w:rFonts w:hint="default"/>
              </w:rPr>
            </w:pPr>
            <w:r>
              <w:rPr>
                <w:rFonts w:hint="default"/>
              </w:rPr>
              <w:t>BFD-OSL11</w:t>
            </w:r>
          </w:p>
        </w:tc>
        <w:tc>
          <w:tcPr>
            <w:tcW w:w="40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6F9EC01D">
            <w:pPr>
              <w:pStyle w:val="55"/>
              <w:keepNext w:val="0"/>
              <w:keepLines w:val="0"/>
              <w:widowControl/>
              <w:suppressLineNumbers w:val="0"/>
              <w:spacing w:before="0" w:beforeAutospacing="0" w:afterAutospacing="0"/>
              <w:ind w:right="0"/>
              <w:rPr>
                <w:rFonts w:hint="default"/>
              </w:rPr>
            </w:pPr>
            <w:r>
              <w:rPr>
                <w:rFonts w:hint="default"/>
              </w:rPr>
              <w:t>137</w:t>
            </w:r>
          </w:p>
        </w:tc>
        <w:tc>
          <w:tcPr>
            <w:tcW w:w="43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383D0D0D">
            <w:pPr>
              <w:pStyle w:val="55"/>
              <w:keepNext w:val="0"/>
              <w:keepLines w:val="0"/>
              <w:widowControl/>
              <w:suppressLineNumbers w:val="0"/>
              <w:spacing w:before="0" w:beforeAutospacing="0" w:afterAutospacing="0"/>
              <w:ind w:right="0"/>
              <w:rPr>
                <w:rFonts w:hint="default"/>
              </w:rPr>
            </w:pPr>
            <w:r>
              <w:rPr>
                <w:rFonts w:hint="default"/>
              </w:rPr>
              <w:t>0.96</w:t>
            </w:r>
          </w:p>
        </w:tc>
        <w:tc>
          <w:tcPr>
            <w:tcW w:w="70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192A7096">
            <w:pPr>
              <w:pStyle w:val="55"/>
              <w:keepNext w:val="0"/>
              <w:keepLines w:val="0"/>
              <w:widowControl/>
              <w:suppressLineNumbers w:val="0"/>
              <w:spacing w:before="0" w:beforeAutospacing="0" w:afterAutospacing="0"/>
              <w:ind w:right="0"/>
              <w:rPr>
                <w:rFonts w:hint="default"/>
              </w:rPr>
            </w:pPr>
            <w:r>
              <w:rPr>
                <w:rFonts w:hint="default"/>
              </w:rPr>
              <w:t>353.9 ± 30.5</w:t>
            </w:r>
          </w:p>
        </w:tc>
        <w:tc>
          <w:tcPr>
            <w:tcW w:w="479"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0C2DDB33">
            <w:pPr>
              <w:pStyle w:val="55"/>
              <w:keepNext w:val="0"/>
              <w:keepLines w:val="0"/>
              <w:widowControl/>
              <w:suppressLineNumbers w:val="0"/>
              <w:spacing w:before="0" w:beforeAutospacing="0" w:afterAutospacing="0"/>
              <w:ind w:right="0"/>
              <w:rPr>
                <w:rFonts w:hint="default"/>
              </w:rPr>
            </w:pPr>
            <w:r>
              <w:rPr>
                <w:rFonts w:hint="default"/>
              </w:rPr>
              <w:t>296.1</w:t>
            </w:r>
          </w:p>
        </w:tc>
        <w:tc>
          <w:tcPr>
            <w:tcW w:w="554"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563EE98D">
            <w:pPr>
              <w:pStyle w:val="55"/>
              <w:keepNext w:val="0"/>
              <w:keepLines w:val="0"/>
              <w:widowControl/>
              <w:suppressLineNumbers w:val="0"/>
              <w:spacing w:before="0" w:beforeAutospacing="0" w:afterAutospacing="0"/>
              <w:ind w:right="0"/>
              <w:rPr>
                <w:rFonts w:hint="default"/>
              </w:rPr>
            </w:pPr>
            <w:r>
              <w:rPr>
                <w:rFonts w:hint="default"/>
              </w:rPr>
              <w:t>413.4</w:t>
            </w:r>
          </w:p>
        </w:tc>
        <w:tc>
          <w:tcPr>
            <w:tcW w:w="646"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46929EA3">
            <w:pPr>
              <w:pStyle w:val="55"/>
              <w:keepNext w:val="0"/>
              <w:keepLines w:val="0"/>
              <w:widowControl/>
              <w:suppressLineNumbers w:val="0"/>
              <w:spacing w:before="0" w:beforeAutospacing="0" w:afterAutospacing="0"/>
              <w:ind w:right="0"/>
              <w:rPr>
                <w:rFonts w:hint="default"/>
              </w:rPr>
            </w:pPr>
            <w:r>
              <w:rPr>
                <w:rFonts w:hint="default"/>
              </w:rPr>
              <w:t>177.8 ± 18</w:t>
            </w:r>
          </w:p>
        </w:tc>
        <w:tc>
          <w:tcPr>
            <w:tcW w:w="555"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bottom"/>
          </w:tcPr>
          <w:p w14:paraId="01DCB9F2">
            <w:pPr>
              <w:pStyle w:val="55"/>
              <w:keepNext w:val="0"/>
              <w:keepLines w:val="0"/>
              <w:widowControl/>
              <w:suppressLineNumbers w:val="0"/>
              <w:spacing w:before="0" w:beforeAutospacing="0" w:afterAutospacing="0"/>
              <w:ind w:right="0"/>
              <w:rPr>
                <w:rFonts w:hint="default"/>
              </w:rPr>
            </w:pPr>
            <w:r>
              <w:rPr>
                <w:rFonts w:hint="default"/>
              </w:rPr>
              <w:t>143.1</w:t>
            </w:r>
          </w:p>
        </w:tc>
        <w:tc>
          <w:tcPr>
            <w:tcW w:w="449"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bottom"/>
          </w:tcPr>
          <w:p w14:paraId="0BD62D84">
            <w:pPr>
              <w:pStyle w:val="55"/>
              <w:keepNext w:val="0"/>
              <w:keepLines w:val="0"/>
              <w:widowControl/>
              <w:suppressLineNumbers w:val="0"/>
              <w:spacing w:before="0" w:beforeAutospacing="0" w:afterAutospacing="0"/>
              <w:ind w:right="0"/>
              <w:rPr>
                <w:rFonts w:hint="default"/>
              </w:rPr>
            </w:pPr>
            <w:r>
              <w:rPr>
                <w:rFonts w:hint="default"/>
              </w:rPr>
              <w:t>213.1</w:t>
            </w:r>
          </w:p>
        </w:tc>
      </w:tr>
      <w:tr w14:paraId="73261D23">
        <w:tblPrEx>
          <w:tblCellMar>
            <w:top w:w="0" w:type="dxa"/>
            <w:left w:w="108" w:type="dxa"/>
            <w:bottom w:w="0" w:type="dxa"/>
            <w:right w:w="108" w:type="dxa"/>
          </w:tblCellMar>
        </w:tblPrEx>
        <w:tc>
          <w:tcPr>
            <w:tcW w:w="77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487F86BE">
            <w:pPr>
              <w:pStyle w:val="55"/>
              <w:keepNext w:val="0"/>
              <w:keepLines w:val="0"/>
              <w:widowControl/>
              <w:suppressLineNumbers w:val="0"/>
              <w:spacing w:before="0" w:beforeAutospacing="0" w:afterAutospacing="0"/>
              <w:ind w:right="0"/>
              <w:rPr>
                <w:rFonts w:hint="default"/>
              </w:rPr>
            </w:pPr>
            <w:r>
              <w:rPr>
                <w:rFonts w:hint="default"/>
              </w:rPr>
              <w:t>BFD-OSL12</w:t>
            </w:r>
          </w:p>
        </w:tc>
        <w:tc>
          <w:tcPr>
            <w:tcW w:w="407"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5F6108EA">
            <w:pPr>
              <w:pStyle w:val="55"/>
              <w:keepNext w:val="0"/>
              <w:keepLines w:val="0"/>
              <w:widowControl/>
              <w:suppressLineNumbers w:val="0"/>
              <w:spacing w:before="0" w:beforeAutospacing="0" w:afterAutospacing="0"/>
              <w:ind w:right="0"/>
              <w:rPr>
                <w:rFonts w:hint="default"/>
              </w:rPr>
            </w:pPr>
            <w:r>
              <w:rPr>
                <w:rFonts w:hint="default"/>
              </w:rPr>
              <w:t>300</w:t>
            </w:r>
          </w:p>
        </w:tc>
        <w:tc>
          <w:tcPr>
            <w:tcW w:w="43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289FF218">
            <w:pPr>
              <w:pStyle w:val="55"/>
              <w:keepNext w:val="0"/>
              <w:keepLines w:val="0"/>
              <w:widowControl/>
              <w:suppressLineNumbers w:val="0"/>
              <w:spacing w:before="0" w:beforeAutospacing="0" w:afterAutospacing="0"/>
              <w:ind w:right="0"/>
              <w:rPr>
                <w:rFonts w:hint="default"/>
              </w:rPr>
            </w:pPr>
            <w:r>
              <w:rPr>
                <w:rFonts w:hint="default"/>
              </w:rPr>
              <w:t>0.96</w:t>
            </w:r>
          </w:p>
        </w:tc>
        <w:tc>
          <w:tcPr>
            <w:tcW w:w="703"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1B174A94">
            <w:pPr>
              <w:pStyle w:val="55"/>
              <w:keepNext w:val="0"/>
              <w:keepLines w:val="0"/>
              <w:widowControl/>
              <w:suppressLineNumbers w:val="0"/>
              <w:spacing w:before="0" w:beforeAutospacing="0" w:afterAutospacing="0"/>
              <w:ind w:right="0"/>
              <w:rPr>
                <w:rFonts w:hint="default"/>
              </w:rPr>
            </w:pPr>
            <w:r>
              <w:rPr>
                <w:rFonts w:hint="default"/>
              </w:rPr>
              <w:t>419.8 ± 17.8</w:t>
            </w:r>
          </w:p>
        </w:tc>
        <w:tc>
          <w:tcPr>
            <w:tcW w:w="479"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6794CAA8">
            <w:pPr>
              <w:pStyle w:val="55"/>
              <w:keepNext w:val="0"/>
              <w:keepLines w:val="0"/>
              <w:widowControl/>
              <w:suppressLineNumbers w:val="0"/>
              <w:spacing w:before="0" w:beforeAutospacing="0" w:afterAutospacing="0"/>
              <w:ind w:right="0"/>
              <w:rPr>
                <w:rFonts w:hint="default"/>
              </w:rPr>
            </w:pPr>
            <w:r>
              <w:rPr>
                <w:rFonts w:hint="default"/>
              </w:rPr>
              <w:t>385.6</w:t>
            </w:r>
          </w:p>
        </w:tc>
        <w:tc>
          <w:tcPr>
            <w:tcW w:w="554"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522F8664">
            <w:pPr>
              <w:pStyle w:val="55"/>
              <w:keepNext w:val="0"/>
              <w:keepLines w:val="0"/>
              <w:widowControl/>
              <w:suppressLineNumbers w:val="0"/>
              <w:spacing w:before="0" w:beforeAutospacing="0" w:afterAutospacing="0"/>
              <w:ind w:right="0"/>
              <w:rPr>
                <w:rFonts w:hint="default"/>
              </w:rPr>
            </w:pPr>
            <w:r>
              <w:rPr>
                <w:rFonts w:hint="default"/>
              </w:rPr>
              <w:t>454.8</w:t>
            </w:r>
          </w:p>
        </w:tc>
        <w:tc>
          <w:tcPr>
            <w:tcW w:w="646"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center"/>
          </w:tcPr>
          <w:p w14:paraId="044391BC">
            <w:pPr>
              <w:pStyle w:val="55"/>
              <w:keepNext w:val="0"/>
              <w:keepLines w:val="0"/>
              <w:widowControl/>
              <w:suppressLineNumbers w:val="0"/>
              <w:spacing w:before="0" w:beforeAutospacing="0" w:afterAutospacing="0"/>
              <w:ind w:right="0"/>
              <w:rPr>
                <w:rFonts w:hint="default"/>
              </w:rPr>
            </w:pPr>
            <w:r>
              <w:rPr>
                <w:rFonts w:hint="default"/>
              </w:rPr>
              <w:t>184.8 ± 12.6</w:t>
            </w:r>
          </w:p>
        </w:tc>
        <w:tc>
          <w:tcPr>
            <w:tcW w:w="555"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bottom"/>
          </w:tcPr>
          <w:p w14:paraId="2F3A7FE3">
            <w:pPr>
              <w:pStyle w:val="55"/>
              <w:keepNext w:val="0"/>
              <w:keepLines w:val="0"/>
              <w:widowControl/>
              <w:suppressLineNumbers w:val="0"/>
              <w:spacing w:before="0" w:beforeAutospacing="0" w:afterAutospacing="0"/>
              <w:ind w:right="0"/>
              <w:rPr>
                <w:rFonts w:hint="default"/>
              </w:rPr>
            </w:pPr>
            <w:r>
              <w:rPr>
                <w:rFonts w:hint="default"/>
              </w:rPr>
              <w:t>160.0</w:t>
            </w:r>
          </w:p>
        </w:tc>
        <w:tc>
          <w:tcPr>
            <w:tcW w:w="449" w:type="pct"/>
            <w:tcBorders>
              <w:top w:val="single" w:color="666666" w:sz="6" w:space="0"/>
              <w:left w:val="nil"/>
              <w:bottom w:val="single" w:color="666666" w:sz="6" w:space="0"/>
              <w:right w:val="nil"/>
            </w:tcBorders>
            <w:shd w:val="clear" w:color="auto" w:fill="FFFFFF"/>
            <w:tcMar>
              <w:top w:w="0" w:type="dxa"/>
              <w:left w:w="0" w:type="dxa"/>
              <w:bottom w:w="0" w:type="dxa"/>
              <w:right w:w="0" w:type="dxa"/>
            </w:tcMar>
            <w:vAlign w:val="bottom"/>
          </w:tcPr>
          <w:p w14:paraId="7248EFD8">
            <w:pPr>
              <w:pStyle w:val="55"/>
              <w:keepNext w:val="0"/>
              <w:keepLines w:val="0"/>
              <w:widowControl/>
              <w:suppressLineNumbers w:val="0"/>
              <w:spacing w:before="0" w:beforeAutospacing="0" w:afterAutospacing="0"/>
              <w:ind w:right="0"/>
              <w:rPr>
                <w:rFonts w:hint="default"/>
              </w:rPr>
            </w:pPr>
            <w:r>
              <w:rPr>
                <w:rFonts w:hint="default"/>
              </w:rPr>
              <w:t>209.9</w:t>
            </w:r>
          </w:p>
        </w:tc>
      </w:tr>
      <w:tr w14:paraId="1523AD2E">
        <w:tblPrEx>
          <w:tblCellMar>
            <w:top w:w="0" w:type="dxa"/>
            <w:left w:w="108" w:type="dxa"/>
            <w:bottom w:w="0" w:type="dxa"/>
            <w:right w:w="108" w:type="dxa"/>
          </w:tblCellMar>
        </w:tblPrEx>
        <w:tc>
          <w:tcPr>
            <w:tcW w:w="773" w:type="pct"/>
            <w:tcBorders>
              <w:top w:val="single" w:color="666666" w:sz="6" w:space="0"/>
              <w:left w:val="nil"/>
              <w:bottom w:val="single" w:color="666666" w:sz="12" w:space="0"/>
              <w:right w:val="nil"/>
            </w:tcBorders>
            <w:shd w:val="clear" w:color="auto" w:fill="FFFFFF"/>
            <w:tcMar>
              <w:top w:w="0" w:type="dxa"/>
              <w:left w:w="0" w:type="dxa"/>
              <w:bottom w:w="0" w:type="dxa"/>
              <w:right w:w="0" w:type="dxa"/>
            </w:tcMar>
            <w:vAlign w:val="center"/>
          </w:tcPr>
          <w:p w14:paraId="1838C8AB">
            <w:pPr>
              <w:pStyle w:val="55"/>
              <w:keepNext w:val="0"/>
              <w:keepLines w:val="0"/>
              <w:widowControl/>
              <w:suppressLineNumbers w:val="0"/>
              <w:spacing w:before="0" w:beforeAutospacing="0" w:afterAutospacing="0"/>
              <w:ind w:right="0"/>
              <w:rPr>
                <w:rFonts w:hint="default"/>
              </w:rPr>
            </w:pPr>
            <w:r>
              <w:rPr>
                <w:rFonts w:hint="default"/>
              </w:rPr>
              <w:t>BFD-OSL13</w:t>
            </w:r>
          </w:p>
        </w:tc>
        <w:tc>
          <w:tcPr>
            <w:tcW w:w="407" w:type="pct"/>
            <w:tcBorders>
              <w:top w:val="single" w:color="666666" w:sz="6" w:space="0"/>
              <w:left w:val="nil"/>
              <w:bottom w:val="single" w:color="666666" w:sz="12" w:space="0"/>
              <w:right w:val="nil"/>
            </w:tcBorders>
            <w:shd w:val="clear" w:color="auto" w:fill="FFFFFF"/>
            <w:tcMar>
              <w:top w:w="0" w:type="dxa"/>
              <w:left w:w="0" w:type="dxa"/>
              <w:bottom w:w="0" w:type="dxa"/>
              <w:right w:w="0" w:type="dxa"/>
            </w:tcMar>
            <w:vAlign w:val="center"/>
          </w:tcPr>
          <w:p w14:paraId="557712D3">
            <w:pPr>
              <w:pStyle w:val="55"/>
              <w:keepNext w:val="0"/>
              <w:keepLines w:val="0"/>
              <w:widowControl/>
              <w:suppressLineNumbers w:val="0"/>
              <w:spacing w:before="0" w:beforeAutospacing="0" w:afterAutospacing="0"/>
              <w:ind w:right="0"/>
              <w:rPr>
                <w:rFonts w:hint="default"/>
              </w:rPr>
            </w:pPr>
            <w:r>
              <w:rPr>
                <w:rFonts w:hint="default"/>
              </w:rPr>
              <w:t>170</w:t>
            </w:r>
          </w:p>
        </w:tc>
        <w:tc>
          <w:tcPr>
            <w:tcW w:w="433" w:type="pct"/>
            <w:tcBorders>
              <w:top w:val="single" w:color="666666" w:sz="6" w:space="0"/>
              <w:left w:val="nil"/>
              <w:bottom w:val="single" w:color="666666" w:sz="12" w:space="0"/>
              <w:right w:val="nil"/>
            </w:tcBorders>
            <w:shd w:val="clear" w:color="auto" w:fill="FFFFFF"/>
            <w:tcMar>
              <w:top w:w="0" w:type="dxa"/>
              <w:left w:w="0" w:type="dxa"/>
              <w:bottom w:w="0" w:type="dxa"/>
              <w:right w:w="0" w:type="dxa"/>
            </w:tcMar>
            <w:vAlign w:val="center"/>
          </w:tcPr>
          <w:p w14:paraId="541A0629">
            <w:pPr>
              <w:pStyle w:val="55"/>
              <w:keepNext w:val="0"/>
              <w:keepLines w:val="0"/>
              <w:widowControl/>
              <w:suppressLineNumbers w:val="0"/>
              <w:spacing w:before="0" w:beforeAutospacing="0" w:afterAutospacing="0"/>
              <w:ind w:right="0"/>
              <w:rPr>
                <w:rFonts w:hint="default"/>
              </w:rPr>
            </w:pPr>
            <w:r>
              <w:rPr>
                <w:rFonts w:hint="default"/>
              </w:rPr>
              <w:t>0.91</w:t>
            </w:r>
          </w:p>
        </w:tc>
        <w:tc>
          <w:tcPr>
            <w:tcW w:w="703" w:type="pct"/>
            <w:tcBorders>
              <w:top w:val="single" w:color="666666" w:sz="6" w:space="0"/>
              <w:left w:val="nil"/>
              <w:bottom w:val="single" w:color="666666" w:sz="12" w:space="0"/>
              <w:right w:val="nil"/>
            </w:tcBorders>
            <w:shd w:val="clear" w:color="auto" w:fill="FFFFFF"/>
            <w:tcMar>
              <w:top w:w="0" w:type="dxa"/>
              <w:left w:w="0" w:type="dxa"/>
              <w:bottom w:w="0" w:type="dxa"/>
              <w:right w:w="0" w:type="dxa"/>
            </w:tcMar>
            <w:vAlign w:val="center"/>
          </w:tcPr>
          <w:p w14:paraId="056B471D">
            <w:pPr>
              <w:pStyle w:val="55"/>
              <w:keepNext w:val="0"/>
              <w:keepLines w:val="0"/>
              <w:widowControl/>
              <w:suppressLineNumbers w:val="0"/>
              <w:spacing w:before="0" w:beforeAutospacing="0" w:afterAutospacing="0"/>
              <w:ind w:right="0"/>
              <w:rPr>
                <w:rFonts w:hint="default"/>
              </w:rPr>
            </w:pPr>
            <w:r>
              <w:rPr>
                <w:rFonts w:hint="default"/>
              </w:rPr>
              <w:t>359.4 ± 15.7</w:t>
            </w:r>
          </w:p>
        </w:tc>
        <w:tc>
          <w:tcPr>
            <w:tcW w:w="479" w:type="pct"/>
            <w:tcBorders>
              <w:top w:val="single" w:color="666666" w:sz="6" w:space="0"/>
              <w:left w:val="nil"/>
              <w:bottom w:val="single" w:color="666666" w:sz="12" w:space="0"/>
              <w:right w:val="nil"/>
            </w:tcBorders>
            <w:shd w:val="clear" w:color="auto" w:fill="FFFFFF"/>
            <w:tcMar>
              <w:top w:w="0" w:type="dxa"/>
              <w:left w:w="0" w:type="dxa"/>
              <w:bottom w:w="0" w:type="dxa"/>
              <w:right w:w="0" w:type="dxa"/>
            </w:tcMar>
            <w:vAlign w:val="center"/>
          </w:tcPr>
          <w:p w14:paraId="7F93CC71">
            <w:pPr>
              <w:pStyle w:val="55"/>
              <w:keepNext w:val="0"/>
              <w:keepLines w:val="0"/>
              <w:widowControl/>
              <w:suppressLineNumbers w:val="0"/>
              <w:spacing w:before="0" w:beforeAutospacing="0" w:afterAutospacing="0"/>
              <w:ind w:right="0"/>
              <w:rPr>
                <w:rFonts w:hint="default"/>
              </w:rPr>
            </w:pPr>
            <w:r>
              <w:rPr>
                <w:rFonts w:hint="default"/>
              </w:rPr>
              <w:t>330.5</w:t>
            </w:r>
          </w:p>
        </w:tc>
        <w:tc>
          <w:tcPr>
            <w:tcW w:w="554" w:type="pct"/>
            <w:tcBorders>
              <w:top w:val="single" w:color="666666" w:sz="6" w:space="0"/>
              <w:left w:val="nil"/>
              <w:bottom w:val="single" w:color="666666" w:sz="12" w:space="0"/>
              <w:right w:val="nil"/>
            </w:tcBorders>
            <w:shd w:val="clear" w:color="auto" w:fill="FFFFFF"/>
            <w:tcMar>
              <w:top w:w="0" w:type="dxa"/>
              <w:left w:w="0" w:type="dxa"/>
              <w:bottom w:w="0" w:type="dxa"/>
              <w:right w:w="0" w:type="dxa"/>
            </w:tcMar>
            <w:vAlign w:val="center"/>
          </w:tcPr>
          <w:p w14:paraId="641711FF">
            <w:pPr>
              <w:pStyle w:val="55"/>
              <w:keepNext w:val="0"/>
              <w:keepLines w:val="0"/>
              <w:widowControl/>
              <w:suppressLineNumbers w:val="0"/>
              <w:spacing w:before="0" w:beforeAutospacing="0" w:afterAutospacing="0"/>
              <w:ind w:right="0"/>
              <w:rPr>
                <w:rFonts w:hint="default"/>
              </w:rPr>
            </w:pPr>
            <w:r>
              <w:rPr>
                <w:rFonts w:hint="default"/>
              </w:rPr>
              <w:t>391.7</w:t>
            </w:r>
          </w:p>
        </w:tc>
        <w:tc>
          <w:tcPr>
            <w:tcW w:w="646" w:type="pct"/>
            <w:tcBorders>
              <w:top w:val="single" w:color="666666" w:sz="6" w:space="0"/>
              <w:left w:val="nil"/>
              <w:bottom w:val="single" w:color="666666" w:sz="12" w:space="0"/>
              <w:right w:val="nil"/>
            </w:tcBorders>
            <w:shd w:val="clear" w:color="auto" w:fill="FFFFFF"/>
            <w:tcMar>
              <w:top w:w="0" w:type="dxa"/>
              <w:left w:w="0" w:type="dxa"/>
              <w:bottom w:w="0" w:type="dxa"/>
              <w:right w:w="0" w:type="dxa"/>
            </w:tcMar>
            <w:vAlign w:val="center"/>
          </w:tcPr>
          <w:p w14:paraId="641A42B8">
            <w:pPr>
              <w:pStyle w:val="55"/>
              <w:keepNext w:val="0"/>
              <w:keepLines w:val="0"/>
              <w:widowControl/>
              <w:suppressLineNumbers w:val="0"/>
              <w:spacing w:before="0" w:beforeAutospacing="0" w:afterAutospacing="0"/>
              <w:ind w:right="0"/>
              <w:rPr>
                <w:rFonts w:hint="default"/>
              </w:rPr>
            </w:pPr>
            <w:r>
              <w:rPr>
                <w:rFonts w:hint="default"/>
              </w:rPr>
              <w:t>174.9 ± 11.8</w:t>
            </w:r>
          </w:p>
        </w:tc>
        <w:tc>
          <w:tcPr>
            <w:tcW w:w="555" w:type="pct"/>
            <w:tcBorders>
              <w:top w:val="single" w:color="666666" w:sz="6" w:space="0"/>
              <w:left w:val="nil"/>
              <w:bottom w:val="single" w:color="666666" w:sz="12" w:space="0"/>
              <w:right w:val="nil"/>
            </w:tcBorders>
            <w:shd w:val="clear" w:color="auto" w:fill="FFFFFF"/>
            <w:tcMar>
              <w:top w:w="0" w:type="dxa"/>
              <w:left w:w="0" w:type="dxa"/>
              <w:bottom w:w="0" w:type="dxa"/>
              <w:right w:w="0" w:type="dxa"/>
            </w:tcMar>
            <w:vAlign w:val="bottom"/>
          </w:tcPr>
          <w:p w14:paraId="5E7E79F0">
            <w:pPr>
              <w:pStyle w:val="55"/>
              <w:keepNext w:val="0"/>
              <w:keepLines w:val="0"/>
              <w:widowControl/>
              <w:suppressLineNumbers w:val="0"/>
              <w:spacing w:before="0" w:beforeAutospacing="0" w:afterAutospacing="0"/>
              <w:ind w:right="0"/>
              <w:rPr>
                <w:rFonts w:hint="default"/>
              </w:rPr>
            </w:pPr>
            <w:r>
              <w:rPr>
                <w:rFonts w:hint="default"/>
              </w:rPr>
              <w:t>152.2</w:t>
            </w:r>
          </w:p>
        </w:tc>
        <w:tc>
          <w:tcPr>
            <w:tcW w:w="449" w:type="pct"/>
            <w:tcBorders>
              <w:top w:val="single" w:color="666666" w:sz="6" w:space="0"/>
              <w:left w:val="nil"/>
              <w:bottom w:val="single" w:color="666666" w:sz="12" w:space="0"/>
              <w:right w:val="nil"/>
            </w:tcBorders>
            <w:shd w:val="clear" w:color="auto" w:fill="FFFFFF"/>
            <w:tcMar>
              <w:top w:w="0" w:type="dxa"/>
              <w:left w:w="0" w:type="dxa"/>
              <w:bottom w:w="0" w:type="dxa"/>
              <w:right w:w="0" w:type="dxa"/>
            </w:tcMar>
            <w:vAlign w:val="bottom"/>
          </w:tcPr>
          <w:p w14:paraId="3518D803">
            <w:pPr>
              <w:pStyle w:val="55"/>
              <w:keepNext w:val="0"/>
              <w:keepLines w:val="0"/>
              <w:widowControl/>
              <w:suppressLineNumbers w:val="0"/>
              <w:spacing w:before="0" w:beforeAutospacing="0" w:afterAutospacing="0"/>
              <w:ind w:right="0"/>
              <w:rPr>
                <w:rFonts w:hint="default"/>
              </w:rPr>
            </w:pPr>
            <w:r>
              <w:rPr>
                <w:rFonts w:hint="default"/>
              </w:rPr>
              <w:t>198.7</w:t>
            </w:r>
          </w:p>
        </w:tc>
      </w:tr>
    </w:tbl>
    <w:p w14:paraId="14B77922">
      <w:pPr>
        <w:rPr>
          <w:b/>
          <w:bCs/>
        </w:rPr>
      </w:pPr>
    </w:p>
    <w:p w14:paraId="5DAEC266">
      <w:pPr>
        <w:rPr>
          <w:b/>
          <w:bCs/>
        </w:rPr>
      </w:pPr>
    </w:p>
    <w:p w14:paraId="1464B3F9">
      <w:pPr>
        <w:pStyle w:val="7"/>
      </w:pPr>
      <w:r>
        <w:rPr>
          <w:b/>
          <w:szCs w:val="24"/>
        </w:rPr>
        <w:br w:type="column"/>
      </w:r>
      <w:bookmarkStart w:id="26" w:name="_Ref208220133"/>
      <w:r>
        <w:rPr>
          <w:b/>
          <w:bCs w:val="0"/>
        </w:rPr>
        <w:t xml:space="preserve">Supplementary Table </w:t>
      </w:r>
      <w:r>
        <w:rPr>
          <w:b/>
          <w:bCs w:val="0"/>
        </w:rPr>
        <w:fldChar w:fldCharType="begin"/>
      </w:r>
      <w:r>
        <w:rPr>
          <w:b/>
          <w:bCs w:val="0"/>
        </w:rPr>
        <w:instrText xml:space="preserve"> SEQ Supplementary_Table \* ARABIC </w:instrText>
      </w:r>
      <w:r>
        <w:rPr>
          <w:b/>
          <w:bCs w:val="0"/>
        </w:rPr>
        <w:fldChar w:fldCharType="separate"/>
      </w:r>
      <w:r>
        <w:rPr>
          <w:b/>
          <w:bCs w:val="0"/>
        </w:rPr>
        <w:t>5</w:t>
      </w:r>
      <w:r>
        <w:rPr>
          <w:b/>
          <w:bCs w:val="0"/>
        </w:rPr>
        <w:fldChar w:fldCharType="end"/>
      </w:r>
      <w:bookmarkEnd w:id="26"/>
      <w:r>
        <w:t xml:space="preserve"> | CQL codes for the Bayesian age model. </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6A4A6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76592707">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Plot(){</w:t>
            </w:r>
          </w:p>
          <w:p w14:paraId="553B33FF">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Outlier_Model("General",T(5),U(0,4),"t");</w:t>
            </w:r>
          </w:p>
          <w:p w14:paraId="5B46B299">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Sequence(){</w:t>
            </w:r>
          </w:p>
          <w:p w14:paraId="423E862D">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Boundary("Start Layer 15");</w:t>
            </w:r>
          </w:p>
          <w:p w14:paraId="73AE4A15">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C_date("BFD-OSL13", calBP(174800), 11400, 11900) </w:t>
            </w:r>
          </w:p>
          <w:p w14:paraId="005CEA63">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07989B08">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Outlier(0);</w:t>
            </w:r>
          </w:p>
          <w:p w14:paraId="048024D4">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43118D3B">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C_date("BFD-OSL12", calBP(184700), 12400, 12500) </w:t>
            </w:r>
          </w:p>
          <w:p w14:paraId="1363F22C">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7C4E377B">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Outlier(0);</w:t>
            </w:r>
          </w:p>
          <w:p w14:paraId="5FB35E0C">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7F2BCFA4">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C_date("BFD-OSL11", calBP(177700), 17300, 17700) </w:t>
            </w:r>
          </w:p>
          <w:p w14:paraId="4EC9CC40">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2EAD8EE4">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Outlier(0);</w:t>
            </w:r>
          </w:p>
          <w:p w14:paraId="534F79EC">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2B053C4F">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Boundary("End Layer 13");</w:t>
            </w:r>
          </w:p>
          <w:p w14:paraId="02E779EB">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Boundary("Start Layer 12");</w:t>
            </w:r>
          </w:p>
          <w:p w14:paraId="053CF056">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C_date("BFD-OSL10", calBP(182300), 15600, 16200) </w:t>
            </w:r>
          </w:p>
          <w:p w14:paraId="0DDCBD0F">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684D9A31">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Outlier(0);</w:t>
            </w:r>
          </w:p>
          <w:p w14:paraId="04212BC6">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0798FE2F">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Boundary("End Layer 12");</w:t>
            </w:r>
          </w:p>
          <w:p w14:paraId="135C0DD8">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Boundary("Start Layer 11");</w:t>
            </w:r>
          </w:p>
          <w:p w14:paraId="4D8BD6DC">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Phase("Layer 11") </w:t>
            </w:r>
          </w:p>
          <w:p w14:paraId="08BE8307">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0FB55380">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C_date("BF11-F1", calBP(185300), 1700) </w:t>
            </w:r>
          </w:p>
          <w:p w14:paraId="3A511291">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53421FF0">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Outlier(0);</w:t>
            </w:r>
          </w:p>
          <w:p w14:paraId="2AD01D2B">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0CFBD271">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C_date("BF11-F3", calBP(174900), 1800) </w:t>
            </w:r>
          </w:p>
          <w:p w14:paraId="33C4E808">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2406507A">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Outlier(0);</w:t>
            </w:r>
          </w:p>
          <w:p w14:paraId="214A1C6F">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33318612">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C_date("BF11-F2", calBP(173400), 1000) </w:t>
            </w:r>
          </w:p>
          <w:p w14:paraId="0DF13FC7">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7B286398">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Outlier(0);</w:t>
            </w:r>
          </w:p>
          <w:p w14:paraId="5781C829">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28E8B62C">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02A17155">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Boundary("End Layer 11");</w:t>
            </w:r>
          </w:p>
          <w:p w14:paraId="068577F7">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Boundary("Start Layer 10");</w:t>
            </w:r>
          </w:p>
          <w:p w14:paraId="4957E70B">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C_date("BFD-OSL9", calBP(122200), 8900, 8900) </w:t>
            </w:r>
          </w:p>
          <w:p w14:paraId="4C477730">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6CB45410">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Outlier(1);</w:t>
            </w:r>
          </w:p>
          <w:p w14:paraId="5D09CBAB">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5BD741A7">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Boundary("End Layer 10");</w:t>
            </w:r>
          </w:p>
          <w:p w14:paraId="6BFE7809">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Boundary("Start Layer 9");</w:t>
            </w:r>
          </w:p>
          <w:p w14:paraId="1C4FDF57">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Phase("Layer 9") </w:t>
            </w:r>
          </w:p>
          <w:p w14:paraId="3F37E000">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5D994035">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C_date("BF9-F2", calBP(162700), 1000) </w:t>
            </w:r>
          </w:p>
          <w:p w14:paraId="5B4113C9">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6AA0DA63">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Outlier(0);</w:t>
            </w:r>
          </w:p>
          <w:p w14:paraId="37E6F609">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32798A97">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C_date("BF9-F4", calBP(160500), 600) </w:t>
            </w:r>
          </w:p>
          <w:p w14:paraId="7BC69C17">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0D5F2B60">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Outlier(0);</w:t>
            </w:r>
          </w:p>
          <w:p w14:paraId="170FAFA9">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4FD29932">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C_date("BF9-F1", calBP(157100), 700) </w:t>
            </w:r>
          </w:p>
          <w:p w14:paraId="5D4BF2D9">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45B046F3">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Outlier(0);</w:t>
            </w:r>
          </w:p>
          <w:p w14:paraId="169EA322">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5EE5146F">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154DD24C">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Boundary("End Layer 9");</w:t>
            </w:r>
          </w:p>
          <w:p w14:paraId="65897DA1">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Boundary("Start Layer 8");</w:t>
            </w:r>
          </w:p>
          <w:p w14:paraId="66A58964">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C_date("BFD-OSL8", calBP(151400), 12800, 13800) </w:t>
            </w:r>
          </w:p>
          <w:p w14:paraId="77949D7D">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1B6AAE49">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Outlier(0);</w:t>
            </w:r>
          </w:p>
          <w:p w14:paraId="66ACF352">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13FF7199">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Boundary("End Layer 8");</w:t>
            </w:r>
          </w:p>
          <w:p w14:paraId="49B5C822">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Boundary("Start Layer 7");</w:t>
            </w:r>
          </w:p>
          <w:p w14:paraId="5DCB9A1D">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Phase("Layer 7") </w:t>
            </w:r>
          </w:p>
          <w:p w14:paraId="66E43B9A">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5CCF6074">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C_date("BF8-F2", calBP(140400), 1200) </w:t>
            </w:r>
          </w:p>
          <w:p w14:paraId="1AB4365B">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0E961056">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Outlier(0);</w:t>
            </w:r>
          </w:p>
          <w:p w14:paraId="2DFD6D77">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6E5D26E0">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C_date("BFD-OSL7", calBP(141000), 10200, 10800) </w:t>
            </w:r>
          </w:p>
          <w:p w14:paraId="06A94582">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26DC2F85">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Outlier(0);</w:t>
            </w:r>
          </w:p>
          <w:p w14:paraId="6817C9FF">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73AD1CD1">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C_date("BF7-F1", calBP(140400), 1600) </w:t>
            </w:r>
          </w:p>
          <w:p w14:paraId="53376E51">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109004F3">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Outlier(0);</w:t>
            </w:r>
          </w:p>
          <w:p w14:paraId="001AAADC">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1A195F77">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5A700BC8">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Boundary("End Layer 7");</w:t>
            </w:r>
          </w:p>
          <w:p w14:paraId="1780DEAB">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Boundary("Start Layer 6");</w:t>
            </w:r>
          </w:p>
          <w:p w14:paraId="45EAF819">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C_date("BFD-OSL6", calBP(140800), 8900, 8800) </w:t>
            </w:r>
          </w:p>
          <w:p w14:paraId="623CB6D7">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4E3F3530">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Outlier(0);</w:t>
            </w:r>
          </w:p>
          <w:p w14:paraId="69E85F88">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12A5D03B">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Boundary("End Layer 6");</w:t>
            </w:r>
          </w:p>
          <w:p w14:paraId="7E322984">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Boundary("Start Layer 5");</w:t>
            </w:r>
          </w:p>
          <w:p w14:paraId="656FB519">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Phase("Layer 5") </w:t>
            </w:r>
          </w:p>
          <w:p w14:paraId="09835B93">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0F5CC190">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C_date("BFD-OSL5", calBP(136600), 10600, 11100) </w:t>
            </w:r>
          </w:p>
          <w:p w14:paraId="747A7CC3">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1A1141AC">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Outlier(0);</w:t>
            </w:r>
          </w:p>
          <w:p w14:paraId="23112EA4">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6537042C">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C_date("BFD-OSL4", calBP(119200), 7200, 7600) </w:t>
            </w:r>
          </w:p>
          <w:p w14:paraId="0AA7E77A">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6667DE7A">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Outlier(0);</w:t>
            </w:r>
          </w:p>
          <w:p w14:paraId="39CEE023">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5079752E">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5E915713">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Boundary("End Layer 5");</w:t>
            </w:r>
          </w:p>
          <w:p w14:paraId="08C66D4A">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Boundary("Start Layer 4");</w:t>
            </w:r>
          </w:p>
          <w:p w14:paraId="3F5B6D40">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Phase("Layer 4") </w:t>
            </w:r>
          </w:p>
          <w:p w14:paraId="317B0106">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56E315AD">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C_date("BFD-OSL2", calBP(69200), 4200, 4300) </w:t>
            </w:r>
          </w:p>
          <w:p w14:paraId="60C36729">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43597D84">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Outlier(0);</w:t>
            </w:r>
          </w:p>
          <w:p w14:paraId="5B3100D3">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01F9909F">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C_date("BFD-OSL3", calBP(68600), 4300, 4300) </w:t>
            </w:r>
          </w:p>
          <w:p w14:paraId="5E2DE1CD">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213C5E9A">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Outlier(0);</w:t>
            </w:r>
          </w:p>
          <w:p w14:paraId="2405FE5B">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14FBBCAE">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18822DF7">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Boundary("End Layer 4");</w:t>
            </w:r>
          </w:p>
          <w:p w14:paraId="552A0C89">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Boundary("Start Layer 3");</w:t>
            </w:r>
          </w:p>
          <w:p w14:paraId="492FB943">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Phase("Layer 3") </w:t>
            </w:r>
          </w:p>
          <w:p w14:paraId="46E322D8">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12BC9AB4">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C_date("BF3-F1", calBP(71000), 700) </w:t>
            </w:r>
          </w:p>
          <w:p w14:paraId="6887A3E2">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36A713A8">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Outlier(0);</w:t>
            </w:r>
          </w:p>
          <w:p w14:paraId="42A9E5DA">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0AE3C386">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C_date("BF3-F2", calBP(74000), 1400) </w:t>
            </w:r>
          </w:p>
          <w:p w14:paraId="5ED0B1A9">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073C9343">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Outlier(0);</w:t>
            </w:r>
          </w:p>
          <w:p w14:paraId="39EA3646">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6930F976">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16DF2280">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Boundary("End Layer 3");</w:t>
            </w:r>
          </w:p>
          <w:p w14:paraId="093B3AEE">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 xml:space="preserve">  };</w:t>
            </w:r>
          </w:p>
          <w:p w14:paraId="4050794E">
            <w:pPr>
              <w:keepNext w:val="0"/>
              <w:keepLines w:val="0"/>
              <w:widowControl/>
              <w:suppressLineNumbers w:val="0"/>
              <w:spacing w:before="0" w:beforeAutospacing="0" w:after="0" w:afterAutospacing="0" w:line="240" w:lineRule="auto"/>
              <w:ind w:left="0" w:right="0"/>
              <w:rPr>
                <w:rFonts w:hint="default"/>
                <w:kern w:val="2"/>
                <w:sz w:val="22"/>
                <w:szCs w:val="22"/>
              </w:rPr>
            </w:pPr>
            <w:r>
              <w:rPr>
                <w:rFonts w:hint="default"/>
                <w:kern w:val="2"/>
                <w:sz w:val="22"/>
                <w:szCs w:val="22"/>
              </w:rPr>
              <w:t>};</w:t>
            </w:r>
          </w:p>
        </w:tc>
      </w:tr>
    </w:tbl>
    <w:p w14:paraId="441254A5">
      <w:pPr>
        <w:sectPr>
          <w:pgSz w:w="16838" w:h="11906" w:orient="landscape"/>
          <w:pgMar w:top="1418" w:right="1554" w:bottom="1418" w:left="1440" w:header="851" w:footer="992" w:gutter="0"/>
          <w:lnNumType w:countBy="0" w:restart="continuous"/>
          <w:cols w:space="425" w:num="1"/>
          <w:docGrid w:linePitch="326" w:charSpace="0"/>
        </w:sectPr>
      </w:pPr>
    </w:p>
    <w:p w14:paraId="0E4614A3">
      <w:pPr>
        <w:pStyle w:val="7"/>
      </w:pPr>
      <w:bookmarkStart w:id="27" w:name="_Ref208220155"/>
      <w:r>
        <w:rPr>
          <w:b/>
          <w:bCs w:val="0"/>
        </w:rPr>
        <w:t xml:space="preserve">Supplementary Table </w:t>
      </w:r>
      <w:r>
        <w:rPr>
          <w:b/>
          <w:bCs w:val="0"/>
        </w:rPr>
        <w:fldChar w:fldCharType="begin"/>
      </w:r>
      <w:r>
        <w:rPr>
          <w:b/>
          <w:bCs w:val="0"/>
        </w:rPr>
        <w:instrText xml:space="preserve"> SEQ Supplementary_Table \* ARABIC </w:instrText>
      </w:r>
      <w:r>
        <w:rPr>
          <w:b/>
          <w:bCs w:val="0"/>
        </w:rPr>
        <w:fldChar w:fldCharType="separate"/>
      </w:r>
      <w:r>
        <w:rPr>
          <w:b/>
          <w:bCs w:val="0"/>
        </w:rPr>
        <w:t>6</w:t>
      </w:r>
      <w:r>
        <w:rPr>
          <w:b/>
          <w:bCs w:val="0"/>
        </w:rPr>
        <w:fldChar w:fldCharType="end"/>
      </w:r>
      <w:bookmarkEnd w:id="27"/>
      <w:r>
        <w:t xml:space="preserve"> | OSL and U-series ages (shown as ‘Unmodelled age ranges’) and corresponding Bayesian age model estimates (‘Modelled age ranges’), obtained using the OxCal 4.4.4 platform. All ages are given in years before 1950</w:t>
      </w:r>
      <w:r>
        <w:rPr>
          <w:szCs w:val="24"/>
        </w:rPr>
        <w:t xml:space="preserve"> CE</w:t>
      </w:r>
      <w:r>
        <w:t xml:space="preserve">. </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3"/>
        <w:gridCol w:w="1265"/>
        <w:gridCol w:w="1113"/>
        <w:gridCol w:w="1246"/>
        <w:gridCol w:w="1234"/>
        <w:gridCol w:w="789"/>
        <w:gridCol w:w="1326"/>
        <w:gridCol w:w="2200"/>
        <w:gridCol w:w="1578"/>
      </w:tblGrid>
      <w:tr w14:paraId="42749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129" w:type="pct"/>
            <w:vMerge w:val="restart"/>
            <w:noWrap/>
            <w:vAlign w:val="center"/>
          </w:tcPr>
          <w:p w14:paraId="31926AC3">
            <w:pPr>
              <w:pStyle w:val="55"/>
              <w:keepNext w:val="0"/>
              <w:keepLines w:val="0"/>
              <w:widowControl/>
              <w:suppressLineNumbers w:val="0"/>
              <w:spacing w:before="0" w:beforeAutospacing="0" w:afterAutospacing="0"/>
              <w:ind w:right="0"/>
              <w:rPr>
                <w:rFonts w:hint="default"/>
              </w:rPr>
            </w:pPr>
            <w:r>
              <w:rPr>
                <w:rFonts w:hint="default"/>
              </w:rPr>
              <w:t>Sample / Stratigraphic layer</w:t>
            </w:r>
          </w:p>
        </w:tc>
        <w:tc>
          <w:tcPr>
            <w:tcW w:w="889" w:type="pct"/>
            <w:gridSpan w:val="2"/>
            <w:vAlign w:val="center"/>
          </w:tcPr>
          <w:p w14:paraId="5916817F">
            <w:pPr>
              <w:pStyle w:val="55"/>
              <w:keepNext w:val="0"/>
              <w:keepLines w:val="0"/>
              <w:widowControl/>
              <w:suppressLineNumbers w:val="0"/>
              <w:spacing w:before="0" w:beforeAutospacing="0" w:afterAutospacing="0"/>
              <w:ind w:right="0"/>
              <w:rPr>
                <w:rFonts w:hint="default"/>
              </w:rPr>
            </w:pPr>
            <w:r>
              <w:rPr>
                <w:rFonts w:hint="default"/>
              </w:rPr>
              <w:t>Unmodelled age ranges (years)</w:t>
            </w:r>
          </w:p>
        </w:tc>
        <w:tc>
          <w:tcPr>
            <w:tcW w:w="926" w:type="pct"/>
            <w:gridSpan w:val="2"/>
            <w:vAlign w:val="center"/>
          </w:tcPr>
          <w:p w14:paraId="4F72C9FD">
            <w:pPr>
              <w:pStyle w:val="55"/>
              <w:keepNext w:val="0"/>
              <w:keepLines w:val="0"/>
              <w:widowControl/>
              <w:suppressLineNumbers w:val="0"/>
              <w:spacing w:before="0" w:beforeAutospacing="0" w:afterAutospacing="0"/>
              <w:ind w:right="0"/>
              <w:rPr>
                <w:rFonts w:hint="default"/>
              </w:rPr>
            </w:pPr>
            <w:r>
              <w:rPr>
                <w:rFonts w:hint="default"/>
              </w:rPr>
              <w:t>Modelled age ranges (years)</w:t>
            </w:r>
          </w:p>
        </w:tc>
        <w:tc>
          <w:tcPr>
            <w:tcW w:w="794" w:type="pct"/>
            <w:gridSpan w:val="2"/>
            <w:vMerge w:val="restart"/>
            <w:noWrap/>
            <w:vAlign w:val="center"/>
          </w:tcPr>
          <w:p w14:paraId="01BBDB7C">
            <w:pPr>
              <w:pStyle w:val="55"/>
              <w:keepNext w:val="0"/>
              <w:keepLines w:val="0"/>
              <w:widowControl/>
              <w:suppressLineNumbers w:val="0"/>
              <w:spacing w:before="0" w:beforeAutospacing="0" w:afterAutospacing="0"/>
              <w:ind w:right="0"/>
              <w:rPr>
                <w:rFonts w:hint="default"/>
              </w:rPr>
            </w:pPr>
            <w:r>
              <w:rPr>
                <w:rFonts w:hint="default"/>
              </w:rPr>
              <w:t>Outlier probabilities</w:t>
            </w:r>
          </w:p>
        </w:tc>
        <w:tc>
          <w:tcPr>
            <w:tcW w:w="677" w:type="pct"/>
            <w:vMerge w:val="restart"/>
            <w:noWrap/>
            <w:vAlign w:val="center"/>
          </w:tcPr>
          <w:p w14:paraId="1EDFDF18">
            <w:pPr>
              <w:pStyle w:val="55"/>
              <w:keepNext w:val="0"/>
              <w:keepLines w:val="0"/>
              <w:widowControl/>
              <w:suppressLineNumbers w:val="0"/>
              <w:spacing w:before="0" w:beforeAutospacing="0" w:afterAutospacing="0"/>
              <w:ind w:right="0"/>
              <w:rPr>
                <w:rFonts w:hint="default"/>
              </w:rPr>
            </w:pPr>
            <w:r>
              <w:rPr>
                <w:rFonts w:hint="default"/>
              </w:rPr>
              <w:t>Convergence values (%)</w:t>
            </w:r>
          </w:p>
        </w:tc>
        <w:tc>
          <w:tcPr>
            <w:tcW w:w="585" w:type="pct"/>
            <w:vMerge w:val="restart"/>
            <w:vAlign w:val="center"/>
          </w:tcPr>
          <w:p w14:paraId="0D7E544C">
            <w:pPr>
              <w:pStyle w:val="55"/>
              <w:keepNext w:val="0"/>
              <w:keepLines w:val="0"/>
              <w:widowControl/>
              <w:suppressLineNumbers w:val="0"/>
              <w:spacing w:before="0" w:beforeAutospacing="0" w:afterAutospacing="0"/>
              <w:ind w:right="0"/>
              <w:rPr>
                <w:rFonts w:hint="default"/>
              </w:rPr>
            </w:pPr>
            <w:r>
              <w:rPr>
                <w:rFonts w:hint="default"/>
              </w:rPr>
              <w:t>Agreement (%)</w:t>
            </w:r>
          </w:p>
        </w:tc>
      </w:tr>
      <w:tr w14:paraId="1028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129" w:type="pct"/>
            <w:vMerge w:val="continue"/>
            <w:noWrap/>
            <w:vAlign w:val="bottom"/>
          </w:tcPr>
          <w:p w14:paraId="0CED3DFF">
            <w:pPr>
              <w:pStyle w:val="55"/>
              <w:keepNext w:val="0"/>
              <w:keepLines w:val="0"/>
              <w:widowControl/>
              <w:suppressLineNumbers w:val="0"/>
              <w:spacing w:before="0" w:beforeAutospacing="0" w:afterAutospacing="0"/>
              <w:ind w:right="0"/>
              <w:rPr>
                <w:rFonts w:hint="default"/>
              </w:rPr>
            </w:pPr>
          </w:p>
        </w:tc>
        <w:tc>
          <w:tcPr>
            <w:tcW w:w="889" w:type="pct"/>
            <w:gridSpan w:val="2"/>
            <w:noWrap/>
            <w:vAlign w:val="center"/>
          </w:tcPr>
          <w:p w14:paraId="047021CD">
            <w:pPr>
              <w:pStyle w:val="55"/>
              <w:keepNext w:val="0"/>
              <w:keepLines w:val="0"/>
              <w:widowControl/>
              <w:suppressLineNumbers w:val="0"/>
              <w:spacing w:before="0" w:beforeAutospacing="0" w:afterAutospacing="0"/>
              <w:ind w:right="0"/>
              <w:rPr>
                <w:rFonts w:hint="default"/>
              </w:rPr>
            </w:pPr>
            <w:r>
              <w:rPr>
                <w:rFonts w:hint="default"/>
              </w:rPr>
              <w:t>95.4% probability</w:t>
            </w:r>
          </w:p>
        </w:tc>
        <w:tc>
          <w:tcPr>
            <w:tcW w:w="926" w:type="pct"/>
            <w:gridSpan w:val="2"/>
            <w:noWrap/>
            <w:vAlign w:val="center"/>
          </w:tcPr>
          <w:p w14:paraId="5CCD77DC">
            <w:pPr>
              <w:pStyle w:val="55"/>
              <w:keepNext w:val="0"/>
              <w:keepLines w:val="0"/>
              <w:widowControl/>
              <w:suppressLineNumbers w:val="0"/>
              <w:spacing w:before="0" w:beforeAutospacing="0" w:afterAutospacing="0"/>
              <w:ind w:right="0"/>
              <w:rPr>
                <w:rFonts w:hint="default"/>
              </w:rPr>
            </w:pPr>
            <w:r>
              <w:rPr>
                <w:rFonts w:hint="default"/>
              </w:rPr>
              <w:t>95.4% probability</w:t>
            </w:r>
          </w:p>
        </w:tc>
        <w:tc>
          <w:tcPr>
            <w:tcW w:w="794" w:type="pct"/>
            <w:gridSpan w:val="2"/>
            <w:vMerge w:val="continue"/>
            <w:noWrap/>
            <w:vAlign w:val="center"/>
          </w:tcPr>
          <w:p w14:paraId="517C0A36">
            <w:pPr>
              <w:pStyle w:val="55"/>
              <w:keepNext w:val="0"/>
              <w:keepLines w:val="0"/>
              <w:widowControl/>
              <w:suppressLineNumbers w:val="0"/>
              <w:spacing w:before="0" w:beforeAutospacing="0" w:afterAutospacing="0"/>
              <w:ind w:right="0"/>
              <w:rPr>
                <w:rFonts w:hint="default"/>
              </w:rPr>
            </w:pPr>
          </w:p>
        </w:tc>
        <w:tc>
          <w:tcPr>
            <w:tcW w:w="677" w:type="pct"/>
            <w:vMerge w:val="continue"/>
            <w:noWrap/>
            <w:vAlign w:val="bottom"/>
          </w:tcPr>
          <w:p w14:paraId="1EA0AAE9">
            <w:pPr>
              <w:pStyle w:val="55"/>
              <w:keepNext w:val="0"/>
              <w:keepLines w:val="0"/>
              <w:widowControl/>
              <w:suppressLineNumbers w:val="0"/>
              <w:spacing w:before="0" w:beforeAutospacing="0" w:afterAutospacing="0"/>
              <w:ind w:right="0"/>
              <w:rPr>
                <w:rFonts w:hint="default"/>
              </w:rPr>
            </w:pPr>
          </w:p>
        </w:tc>
        <w:tc>
          <w:tcPr>
            <w:tcW w:w="585" w:type="pct"/>
            <w:vMerge w:val="continue"/>
          </w:tcPr>
          <w:p w14:paraId="14C978B3">
            <w:pPr>
              <w:pStyle w:val="55"/>
              <w:keepNext w:val="0"/>
              <w:keepLines w:val="0"/>
              <w:widowControl/>
              <w:suppressLineNumbers w:val="0"/>
              <w:spacing w:before="0" w:beforeAutospacing="0" w:afterAutospacing="0"/>
              <w:ind w:right="0"/>
              <w:rPr>
                <w:rFonts w:hint="default"/>
              </w:rPr>
            </w:pPr>
          </w:p>
        </w:tc>
      </w:tr>
      <w:tr w14:paraId="107CB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129" w:type="pct"/>
            <w:vMerge w:val="continue"/>
            <w:noWrap/>
            <w:vAlign w:val="bottom"/>
          </w:tcPr>
          <w:p w14:paraId="70409459">
            <w:pPr>
              <w:pStyle w:val="55"/>
              <w:keepNext w:val="0"/>
              <w:keepLines w:val="0"/>
              <w:widowControl/>
              <w:suppressLineNumbers w:val="0"/>
              <w:spacing w:before="0" w:beforeAutospacing="0" w:afterAutospacing="0"/>
              <w:ind w:right="0"/>
              <w:rPr>
                <w:rFonts w:hint="default"/>
              </w:rPr>
            </w:pPr>
          </w:p>
        </w:tc>
        <w:tc>
          <w:tcPr>
            <w:tcW w:w="472" w:type="pct"/>
            <w:noWrap/>
            <w:vAlign w:val="center"/>
          </w:tcPr>
          <w:p w14:paraId="788816B6">
            <w:pPr>
              <w:pStyle w:val="55"/>
              <w:keepNext w:val="0"/>
              <w:keepLines w:val="0"/>
              <w:widowControl/>
              <w:suppressLineNumbers w:val="0"/>
              <w:spacing w:before="0" w:beforeAutospacing="0" w:afterAutospacing="0"/>
              <w:ind w:right="0"/>
              <w:rPr>
                <w:rFonts w:hint="default"/>
              </w:rPr>
            </w:pPr>
            <w:r>
              <w:rPr>
                <w:rFonts w:hint="default"/>
              </w:rPr>
              <w:t>from</w:t>
            </w:r>
          </w:p>
        </w:tc>
        <w:tc>
          <w:tcPr>
            <w:tcW w:w="417" w:type="pct"/>
            <w:noWrap/>
            <w:vAlign w:val="center"/>
          </w:tcPr>
          <w:p w14:paraId="17DC320A">
            <w:pPr>
              <w:pStyle w:val="55"/>
              <w:keepNext w:val="0"/>
              <w:keepLines w:val="0"/>
              <w:widowControl/>
              <w:suppressLineNumbers w:val="0"/>
              <w:spacing w:before="0" w:beforeAutospacing="0" w:afterAutospacing="0"/>
              <w:ind w:right="0"/>
              <w:rPr>
                <w:rFonts w:hint="default"/>
              </w:rPr>
            </w:pPr>
            <w:r>
              <w:rPr>
                <w:rFonts w:hint="default"/>
              </w:rPr>
              <w:t>to</w:t>
            </w:r>
          </w:p>
        </w:tc>
        <w:tc>
          <w:tcPr>
            <w:tcW w:w="465" w:type="pct"/>
            <w:noWrap/>
            <w:vAlign w:val="center"/>
          </w:tcPr>
          <w:p w14:paraId="75786F17">
            <w:pPr>
              <w:pStyle w:val="55"/>
              <w:keepNext w:val="0"/>
              <w:keepLines w:val="0"/>
              <w:widowControl/>
              <w:suppressLineNumbers w:val="0"/>
              <w:spacing w:before="0" w:beforeAutospacing="0" w:afterAutospacing="0"/>
              <w:ind w:right="0"/>
              <w:rPr>
                <w:rFonts w:hint="default"/>
              </w:rPr>
            </w:pPr>
            <w:r>
              <w:rPr>
                <w:rFonts w:hint="default"/>
              </w:rPr>
              <w:t>from</w:t>
            </w:r>
          </w:p>
        </w:tc>
        <w:tc>
          <w:tcPr>
            <w:tcW w:w="461" w:type="pct"/>
            <w:noWrap/>
            <w:vAlign w:val="center"/>
          </w:tcPr>
          <w:p w14:paraId="284AADCF">
            <w:pPr>
              <w:pStyle w:val="55"/>
              <w:keepNext w:val="0"/>
              <w:keepLines w:val="0"/>
              <w:widowControl/>
              <w:suppressLineNumbers w:val="0"/>
              <w:spacing w:before="0" w:beforeAutospacing="0" w:afterAutospacing="0"/>
              <w:ind w:right="0"/>
              <w:rPr>
                <w:rFonts w:hint="default"/>
              </w:rPr>
            </w:pPr>
            <w:r>
              <w:rPr>
                <w:rFonts w:hint="default"/>
              </w:rPr>
              <w:t>to</w:t>
            </w:r>
          </w:p>
        </w:tc>
        <w:tc>
          <w:tcPr>
            <w:tcW w:w="300" w:type="pct"/>
            <w:noWrap/>
            <w:vAlign w:val="center"/>
          </w:tcPr>
          <w:p w14:paraId="53FA99C4">
            <w:pPr>
              <w:pStyle w:val="55"/>
              <w:keepNext w:val="0"/>
              <w:keepLines w:val="0"/>
              <w:widowControl/>
              <w:suppressLineNumbers w:val="0"/>
              <w:spacing w:before="0" w:beforeAutospacing="0" w:afterAutospacing="0"/>
              <w:ind w:right="0"/>
              <w:rPr>
                <w:rFonts w:hint="default"/>
              </w:rPr>
            </w:pPr>
            <w:r>
              <w:rPr>
                <w:rFonts w:hint="default"/>
              </w:rPr>
              <w:t>prior</w:t>
            </w:r>
          </w:p>
        </w:tc>
        <w:tc>
          <w:tcPr>
            <w:tcW w:w="494" w:type="pct"/>
            <w:noWrap/>
            <w:vAlign w:val="center"/>
          </w:tcPr>
          <w:p w14:paraId="4FE9DD8D">
            <w:pPr>
              <w:pStyle w:val="55"/>
              <w:keepNext w:val="0"/>
              <w:keepLines w:val="0"/>
              <w:widowControl/>
              <w:suppressLineNumbers w:val="0"/>
              <w:spacing w:before="0" w:beforeAutospacing="0" w:afterAutospacing="0"/>
              <w:ind w:right="0"/>
              <w:rPr>
                <w:rFonts w:hint="default"/>
              </w:rPr>
            </w:pPr>
            <w:r>
              <w:rPr>
                <w:rFonts w:hint="default"/>
              </w:rPr>
              <w:t>posterior</w:t>
            </w:r>
          </w:p>
        </w:tc>
        <w:tc>
          <w:tcPr>
            <w:tcW w:w="677" w:type="pct"/>
            <w:noWrap/>
            <w:vAlign w:val="bottom"/>
          </w:tcPr>
          <w:p w14:paraId="59E552E5">
            <w:pPr>
              <w:pStyle w:val="55"/>
              <w:keepNext w:val="0"/>
              <w:keepLines w:val="0"/>
              <w:widowControl/>
              <w:suppressLineNumbers w:val="0"/>
              <w:spacing w:before="0" w:beforeAutospacing="0" w:afterAutospacing="0"/>
              <w:ind w:right="0"/>
              <w:rPr>
                <w:rFonts w:hint="default"/>
              </w:rPr>
            </w:pPr>
          </w:p>
        </w:tc>
        <w:tc>
          <w:tcPr>
            <w:tcW w:w="585" w:type="pct"/>
          </w:tcPr>
          <w:p w14:paraId="4DAA11E1">
            <w:pPr>
              <w:pStyle w:val="55"/>
              <w:keepNext w:val="0"/>
              <w:keepLines w:val="0"/>
              <w:widowControl/>
              <w:suppressLineNumbers w:val="0"/>
              <w:spacing w:before="0" w:beforeAutospacing="0" w:afterAutospacing="0"/>
              <w:ind w:right="0"/>
              <w:rPr>
                <w:rFonts w:hint="default"/>
              </w:rPr>
            </w:pPr>
          </w:p>
        </w:tc>
      </w:tr>
      <w:tr w14:paraId="6FB4C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shd w:val="clear" w:color="auto" w:fill="D8D8D8" w:themeFill="background1" w:themeFillShade="D9"/>
            <w:noWrap/>
            <w:vAlign w:val="bottom"/>
          </w:tcPr>
          <w:p w14:paraId="1B0A1810">
            <w:pPr>
              <w:pStyle w:val="55"/>
              <w:keepNext w:val="0"/>
              <w:keepLines w:val="0"/>
              <w:widowControl/>
              <w:suppressLineNumbers w:val="0"/>
              <w:spacing w:before="0" w:beforeAutospacing="0" w:afterAutospacing="0"/>
              <w:ind w:right="0"/>
              <w:rPr>
                <w:rFonts w:hint="default"/>
              </w:rPr>
            </w:pPr>
            <w:r>
              <w:rPr>
                <w:rFonts w:hint="default"/>
              </w:rPr>
              <w:t>End Layer 3</w:t>
            </w:r>
          </w:p>
        </w:tc>
        <w:tc>
          <w:tcPr>
            <w:tcW w:w="472" w:type="pct"/>
            <w:shd w:val="clear" w:color="auto" w:fill="D8D8D8" w:themeFill="background1" w:themeFillShade="D9"/>
            <w:vAlign w:val="bottom"/>
          </w:tcPr>
          <w:p w14:paraId="6D49E2D2">
            <w:pPr>
              <w:pStyle w:val="55"/>
              <w:keepNext w:val="0"/>
              <w:keepLines w:val="0"/>
              <w:widowControl/>
              <w:suppressLineNumbers w:val="0"/>
              <w:spacing w:before="0" w:beforeAutospacing="0" w:afterAutospacing="0"/>
              <w:ind w:right="0"/>
              <w:rPr>
                <w:rFonts w:hint="default"/>
              </w:rPr>
            </w:pPr>
          </w:p>
        </w:tc>
        <w:tc>
          <w:tcPr>
            <w:tcW w:w="417" w:type="pct"/>
            <w:shd w:val="clear" w:color="auto" w:fill="D8D8D8" w:themeFill="background1" w:themeFillShade="D9"/>
            <w:vAlign w:val="bottom"/>
          </w:tcPr>
          <w:p w14:paraId="468F774B">
            <w:pPr>
              <w:pStyle w:val="55"/>
              <w:keepNext w:val="0"/>
              <w:keepLines w:val="0"/>
              <w:widowControl/>
              <w:suppressLineNumbers w:val="0"/>
              <w:spacing w:before="0" w:beforeAutospacing="0" w:afterAutospacing="0"/>
              <w:ind w:right="0"/>
              <w:rPr>
                <w:rFonts w:hint="default"/>
              </w:rPr>
            </w:pPr>
          </w:p>
        </w:tc>
        <w:tc>
          <w:tcPr>
            <w:tcW w:w="465" w:type="pct"/>
            <w:shd w:val="clear" w:color="auto" w:fill="D8D8D8" w:themeFill="background1" w:themeFillShade="D9"/>
            <w:noWrap/>
            <w:vAlign w:val="bottom"/>
          </w:tcPr>
          <w:p w14:paraId="08E04C65">
            <w:pPr>
              <w:pStyle w:val="55"/>
              <w:keepNext w:val="0"/>
              <w:keepLines w:val="0"/>
              <w:widowControl/>
              <w:suppressLineNumbers w:val="0"/>
              <w:spacing w:before="0" w:beforeAutospacing="0" w:afterAutospacing="0"/>
              <w:ind w:right="0"/>
              <w:rPr>
                <w:rFonts w:hint="default" w:eastAsia="Calibri"/>
              </w:rPr>
            </w:pPr>
            <w:r>
              <w:rPr>
                <w:rFonts w:hint="default"/>
              </w:rPr>
              <w:t>72200</w:t>
            </w:r>
          </w:p>
        </w:tc>
        <w:tc>
          <w:tcPr>
            <w:tcW w:w="461" w:type="pct"/>
            <w:shd w:val="clear" w:color="auto" w:fill="D8D8D8" w:themeFill="background1" w:themeFillShade="D9"/>
            <w:noWrap/>
            <w:vAlign w:val="bottom"/>
          </w:tcPr>
          <w:p w14:paraId="1FDF717F">
            <w:pPr>
              <w:pStyle w:val="55"/>
              <w:keepNext w:val="0"/>
              <w:keepLines w:val="0"/>
              <w:widowControl/>
              <w:suppressLineNumbers w:val="0"/>
              <w:spacing w:before="0" w:beforeAutospacing="0" w:afterAutospacing="0"/>
              <w:ind w:right="0"/>
              <w:rPr>
                <w:rFonts w:hint="default" w:eastAsia="Calibri"/>
              </w:rPr>
            </w:pPr>
            <w:r>
              <w:rPr>
                <w:rFonts w:hint="default"/>
              </w:rPr>
              <w:t>64000</w:t>
            </w:r>
          </w:p>
        </w:tc>
        <w:tc>
          <w:tcPr>
            <w:tcW w:w="300" w:type="pct"/>
            <w:shd w:val="clear" w:color="auto" w:fill="D8D8D8" w:themeFill="background1" w:themeFillShade="D9"/>
            <w:noWrap/>
            <w:vAlign w:val="bottom"/>
          </w:tcPr>
          <w:p w14:paraId="5A11CE75">
            <w:pPr>
              <w:pStyle w:val="55"/>
              <w:keepNext w:val="0"/>
              <w:keepLines w:val="0"/>
              <w:widowControl/>
              <w:suppressLineNumbers w:val="0"/>
              <w:spacing w:before="0" w:beforeAutospacing="0" w:afterAutospacing="0"/>
              <w:ind w:right="0"/>
              <w:rPr>
                <w:rFonts w:hint="default"/>
              </w:rPr>
            </w:pPr>
          </w:p>
        </w:tc>
        <w:tc>
          <w:tcPr>
            <w:tcW w:w="494" w:type="pct"/>
            <w:shd w:val="clear" w:color="auto" w:fill="D8D8D8" w:themeFill="background1" w:themeFillShade="D9"/>
            <w:noWrap/>
            <w:vAlign w:val="bottom"/>
          </w:tcPr>
          <w:p w14:paraId="782A369E">
            <w:pPr>
              <w:pStyle w:val="55"/>
              <w:keepNext w:val="0"/>
              <w:keepLines w:val="0"/>
              <w:widowControl/>
              <w:suppressLineNumbers w:val="0"/>
              <w:spacing w:before="0" w:beforeAutospacing="0" w:afterAutospacing="0"/>
              <w:ind w:right="0"/>
              <w:rPr>
                <w:rFonts w:hint="default"/>
              </w:rPr>
            </w:pPr>
          </w:p>
        </w:tc>
        <w:tc>
          <w:tcPr>
            <w:tcW w:w="677" w:type="pct"/>
            <w:shd w:val="clear" w:color="auto" w:fill="D8D8D8" w:themeFill="background1" w:themeFillShade="D9"/>
            <w:noWrap/>
            <w:vAlign w:val="bottom"/>
          </w:tcPr>
          <w:p w14:paraId="067E3C9E">
            <w:pPr>
              <w:pStyle w:val="55"/>
              <w:keepNext w:val="0"/>
              <w:keepLines w:val="0"/>
              <w:widowControl/>
              <w:suppressLineNumbers w:val="0"/>
              <w:spacing w:before="0" w:beforeAutospacing="0" w:afterAutospacing="0"/>
              <w:ind w:right="0"/>
              <w:rPr>
                <w:rFonts w:hint="default"/>
              </w:rPr>
            </w:pPr>
            <w:r>
              <w:rPr>
                <w:rFonts w:hint="default"/>
              </w:rPr>
              <w:t>88.2</w:t>
            </w:r>
          </w:p>
        </w:tc>
        <w:tc>
          <w:tcPr>
            <w:tcW w:w="585" w:type="pct"/>
            <w:shd w:val="clear" w:color="auto" w:fill="D8D8D8" w:themeFill="background1" w:themeFillShade="D9"/>
            <w:vAlign w:val="bottom"/>
          </w:tcPr>
          <w:p w14:paraId="33E83E8F">
            <w:pPr>
              <w:pStyle w:val="55"/>
              <w:keepNext w:val="0"/>
              <w:keepLines w:val="0"/>
              <w:widowControl/>
              <w:suppressLineNumbers w:val="0"/>
              <w:spacing w:before="0" w:beforeAutospacing="0" w:afterAutospacing="0"/>
              <w:ind w:right="0"/>
              <w:rPr>
                <w:rFonts w:hint="default"/>
              </w:rPr>
            </w:pPr>
          </w:p>
        </w:tc>
      </w:tr>
      <w:tr w14:paraId="6E335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noWrap/>
            <w:vAlign w:val="bottom"/>
          </w:tcPr>
          <w:p w14:paraId="044AC6F3">
            <w:pPr>
              <w:pStyle w:val="55"/>
              <w:keepNext w:val="0"/>
              <w:keepLines w:val="0"/>
              <w:widowControl/>
              <w:suppressLineNumbers w:val="0"/>
              <w:spacing w:before="0" w:beforeAutospacing="0" w:afterAutospacing="0"/>
              <w:ind w:right="0"/>
              <w:rPr>
                <w:rFonts w:hint="default"/>
              </w:rPr>
            </w:pPr>
            <w:r>
              <w:rPr>
                <w:rFonts w:hint="default"/>
              </w:rPr>
              <w:t xml:space="preserve">BF3-F2 </w:t>
            </w:r>
          </w:p>
        </w:tc>
        <w:tc>
          <w:tcPr>
            <w:tcW w:w="472" w:type="pct"/>
            <w:noWrap/>
            <w:vAlign w:val="bottom"/>
          </w:tcPr>
          <w:p w14:paraId="43BF0BE7">
            <w:pPr>
              <w:pStyle w:val="55"/>
              <w:keepNext w:val="0"/>
              <w:keepLines w:val="0"/>
              <w:widowControl/>
              <w:suppressLineNumbers w:val="0"/>
              <w:spacing w:before="0" w:beforeAutospacing="0" w:afterAutospacing="0"/>
              <w:ind w:right="0"/>
              <w:rPr>
                <w:rFonts w:hint="default" w:eastAsia="Calibri"/>
              </w:rPr>
            </w:pPr>
            <w:r>
              <w:rPr>
                <w:rFonts w:hint="default"/>
              </w:rPr>
              <w:t>71200</w:t>
            </w:r>
          </w:p>
        </w:tc>
        <w:tc>
          <w:tcPr>
            <w:tcW w:w="417" w:type="pct"/>
            <w:noWrap/>
            <w:vAlign w:val="bottom"/>
          </w:tcPr>
          <w:p w14:paraId="13387C88">
            <w:pPr>
              <w:pStyle w:val="55"/>
              <w:keepNext w:val="0"/>
              <w:keepLines w:val="0"/>
              <w:widowControl/>
              <w:suppressLineNumbers w:val="0"/>
              <w:spacing w:before="0" w:beforeAutospacing="0" w:afterAutospacing="0"/>
              <w:ind w:right="0"/>
              <w:rPr>
                <w:rFonts w:hint="default" w:eastAsia="Calibri"/>
              </w:rPr>
            </w:pPr>
            <w:r>
              <w:rPr>
                <w:rFonts w:hint="default"/>
              </w:rPr>
              <w:t>76800</w:t>
            </w:r>
          </w:p>
        </w:tc>
        <w:tc>
          <w:tcPr>
            <w:tcW w:w="465" w:type="pct"/>
            <w:noWrap/>
            <w:vAlign w:val="bottom"/>
          </w:tcPr>
          <w:p w14:paraId="790E1830">
            <w:pPr>
              <w:pStyle w:val="55"/>
              <w:keepNext w:val="0"/>
              <w:keepLines w:val="0"/>
              <w:widowControl/>
              <w:suppressLineNumbers w:val="0"/>
              <w:spacing w:before="0" w:beforeAutospacing="0" w:afterAutospacing="0"/>
              <w:ind w:right="0"/>
              <w:rPr>
                <w:rFonts w:hint="default" w:eastAsia="Calibri"/>
              </w:rPr>
            </w:pPr>
            <w:r>
              <w:rPr>
                <w:rFonts w:hint="default"/>
              </w:rPr>
              <w:t>74400</w:t>
            </w:r>
          </w:p>
        </w:tc>
        <w:tc>
          <w:tcPr>
            <w:tcW w:w="461" w:type="pct"/>
            <w:noWrap/>
            <w:vAlign w:val="bottom"/>
          </w:tcPr>
          <w:p w14:paraId="2CC2DEC7">
            <w:pPr>
              <w:pStyle w:val="55"/>
              <w:keepNext w:val="0"/>
              <w:keepLines w:val="0"/>
              <w:widowControl/>
              <w:suppressLineNumbers w:val="0"/>
              <w:spacing w:before="0" w:beforeAutospacing="0" w:afterAutospacing="0"/>
              <w:ind w:right="0"/>
              <w:rPr>
                <w:rFonts w:hint="default" w:eastAsia="Calibri"/>
              </w:rPr>
            </w:pPr>
            <w:r>
              <w:rPr>
                <w:rFonts w:hint="default"/>
              </w:rPr>
              <w:t>70200</w:t>
            </w:r>
          </w:p>
        </w:tc>
        <w:tc>
          <w:tcPr>
            <w:tcW w:w="300" w:type="pct"/>
            <w:noWrap/>
            <w:vAlign w:val="bottom"/>
          </w:tcPr>
          <w:p w14:paraId="4AE93D27">
            <w:pPr>
              <w:pStyle w:val="55"/>
              <w:keepNext w:val="0"/>
              <w:keepLines w:val="0"/>
              <w:widowControl/>
              <w:suppressLineNumbers w:val="0"/>
              <w:spacing w:before="0" w:beforeAutospacing="0" w:afterAutospacing="0"/>
              <w:ind w:right="0"/>
              <w:rPr>
                <w:rFonts w:hint="default"/>
              </w:rPr>
            </w:pPr>
            <w:r>
              <w:rPr>
                <w:rFonts w:hint="default"/>
              </w:rPr>
              <w:t>0</w:t>
            </w:r>
          </w:p>
        </w:tc>
        <w:tc>
          <w:tcPr>
            <w:tcW w:w="494" w:type="pct"/>
            <w:noWrap/>
            <w:vAlign w:val="bottom"/>
          </w:tcPr>
          <w:p w14:paraId="70DBD83B">
            <w:pPr>
              <w:pStyle w:val="55"/>
              <w:keepNext w:val="0"/>
              <w:keepLines w:val="0"/>
              <w:widowControl/>
              <w:suppressLineNumbers w:val="0"/>
              <w:spacing w:before="0" w:beforeAutospacing="0" w:afterAutospacing="0"/>
              <w:ind w:right="0"/>
              <w:rPr>
                <w:rFonts w:hint="default"/>
              </w:rPr>
            </w:pPr>
            <w:r>
              <w:rPr>
                <w:rFonts w:hint="default"/>
              </w:rPr>
              <w:t>0</w:t>
            </w:r>
          </w:p>
        </w:tc>
        <w:tc>
          <w:tcPr>
            <w:tcW w:w="677" w:type="pct"/>
            <w:noWrap/>
            <w:vAlign w:val="bottom"/>
          </w:tcPr>
          <w:p w14:paraId="3D03522F">
            <w:pPr>
              <w:pStyle w:val="55"/>
              <w:keepNext w:val="0"/>
              <w:keepLines w:val="0"/>
              <w:widowControl/>
              <w:suppressLineNumbers w:val="0"/>
              <w:spacing w:before="0" w:beforeAutospacing="0" w:afterAutospacing="0"/>
              <w:ind w:right="0"/>
              <w:rPr>
                <w:rFonts w:hint="default"/>
              </w:rPr>
            </w:pPr>
            <w:r>
              <w:rPr>
                <w:rFonts w:hint="default"/>
              </w:rPr>
              <w:t>99.3</w:t>
            </w:r>
          </w:p>
        </w:tc>
        <w:tc>
          <w:tcPr>
            <w:tcW w:w="585" w:type="pct"/>
            <w:vAlign w:val="bottom"/>
          </w:tcPr>
          <w:p w14:paraId="4374AD91">
            <w:pPr>
              <w:pStyle w:val="55"/>
              <w:keepNext w:val="0"/>
              <w:keepLines w:val="0"/>
              <w:widowControl/>
              <w:suppressLineNumbers w:val="0"/>
              <w:spacing w:before="0" w:beforeAutospacing="0" w:afterAutospacing="0"/>
              <w:ind w:right="0"/>
              <w:rPr>
                <w:rFonts w:hint="default"/>
              </w:rPr>
            </w:pPr>
            <w:r>
              <w:rPr>
                <w:rFonts w:hint="default"/>
              </w:rPr>
              <w:t>56.2</w:t>
            </w:r>
          </w:p>
        </w:tc>
      </w:tr>
      <w:tr w14:paraId="514D8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noWrap/>
            <w:vAlign w:val="bottom"/>
          </w:tcPr>
          <w:p w14:paraId="43373292">
            <w:pPr>
              <w:pStyle w:val="55"/>
              <w:keepNext w:val="0"/>
              <w:keepLines w:val="0"/>
              <w:widowControl/>
              <w:suppressLineNumbers w:val="0"/>
              <w:spacing w:before="0" w:beforeAutospacing="0" w:afterAutospacing="0"/>
              <w:ind w:right="0"/>
              <w:rPr>
                <w:rFonts w:hint="default" w:eastAsia="Calibri"/>
              </w:rPr>
            </w:pPr>
            <w:r>
              <w:rPr>
                <w:rFonts w:hint="default"/>
              </w:rPr>
              <w:t xml:space="preserve">BF3-F1 </w:t>
            </w:r>
          </w:p>
        </w:tc>
        <w:tc>
          <w:tcPr>
            <w:tcW w:w="472" w:type="pct"/>
            <w:vAlign w:val="bottom"/>
          </w:tcPr>
          <w:p w14:paraId="379BD299">
            <w:pPr>
              <w:pStyle w:val="55"/>
              <w:keepNext w:val="0"/>
              <w:keepLines w:val="0"/>
              <w:widowControl/>
              <w:suppressLineNumbers w:val="0"/>
              <w:spacing w:before="0" w:beforeAutospacing="0" w:afterAutospacing="0"/>
              <w:ind w:right="0"/>
              <w:rPr>
                <w:rFonts w:hint="default" w:eastAsia="Calibri"/>
              </w:rPr>
            </w:pPr>
            <w:r>
              <w:rPr>
                <w:rFonts w:hint="default"/>
              </w:rPr>
              <w:t>69600</w:t>
            </w:r>
          </w:p>
        </w:tc>
        <w:tc>
          <w:tcPr>
            <w:tcW w:w="417" w:type="pct"/>
            <w:noWrap/>
            <w:vAlign w:val="bottom"/>
          </w:tcPr>
          <w:p w14:paraId="6FEAFCF7">
            <w:pPr>
              <w:pStyle w:val="55"/>
              <w:keepNext w:val="0"/>
              <w:keepLines w:val="0"/>
              <w:widowControl/>
              <w:suppressLineNumbers w:val="0"/>
              <w:spacing w:before="0" w:beforeAutospacing="0" w:afterAutospacing="0"/>
              <w:ind w:right="0"/>
              <w:rPr>
                <w:rFonts w:hint="default" w:eastAsia="Calibri"/>
              </w:rPr>
            </w:pPr>
            <w:r>
              <w:rPr>
                <w:rFonts w:hint="default"/>
              </w:rPr>
              <w:t>72400</w:t>
            </w:r>
          </w:p>
        </w:tc>
        <w:tc>
          <w:tcPr>
            <w:tcW w:w="465" w:type="pct"/>
            <w:noWrap/>
            <w:vAlign w:val="bottom"/>
          </w:tcPr>
          <w:p w14:paraId="24F77137">
            <w:pPr>
              <w:pStyle w:val="55"/>
              <w:keepNext w:val="0"/>
              <w:keepLines w:val="0"/>
              <w:widowControl/>
              <w:suppressLineNumbers w:val="0"/>
              <w:spacing w:before="0" w:beforeAutospacing="0" w:afterAutospacing="0"/>
              <w:ind w:right="0"/>
              <w:rPr>
                <w:rFonts w:hint="default" w:eastAsia="Calibri"/>
              </w:rPr>
            </w:pPr>
            <w:r>
              <w:rPr>
                <w:rFonts w:hint="default"/>
              </w:rPr>
              <w:t>72600</w:t>
            </w:r>
          </w:p>
        </w:tc>
        <w:tc>
          <w:tcPr>
            <w:tcW w:w="461" w:type="pct"/>
            <w:noWrap/>
            <w:vAlign w:val="bottom"/>
          </w:tcPr>
          <w:p w14:paraId="43BF0A98">
            <w:pPr>
              <w:pStyle w:val="55"/>
              <w:keepNext w:val="0"/>
              <w:keepLines w:val="0"/>
              <w:widowControl/>
              <w:suppressLineNumbers w:val="0"/>
              <w:spacing w:before="0" w:beforeAutospacing="0" w:afterAutospacing="0"/>
              <w:ind w:right="0"/>
              <w:rPr>
                <w:rFonts w:hint="default" w:eastAsia="Calibri"/>
              </w:rPr>
            </w:pPr>
            <w:r>
              <w:rPr>
                <w:rFonts w:hint="default"/>
              </w:rPr>
              <w:t>69900</w:t>
            </w:r>
          </w:p>
        </w:tc>
        <w:tc>
          <w:tcPr>
            <w:tcW w:w="300" w:type="pct"/>
            <w:noWrap/>
            <w:vAlign w:val="bottom"/>
          </w:tcPr>
          <w:p w14:paraId="13064B3A">
            <w:pPr>
              <w:pStyle w:val="55"/>
              <w:keepNext w:val="0"/>
              <w:keepLines w:val="0"/>
              <w:widowControl/>
              <w:suppressLineNumbers w:val="0"/>
              <w:spacing w:before="0" w:beforeAutospacing="0" w:afterAutospacing="0"/>
              <w:ind w:right="0"/>
              <w:rPr>
                <w:rFonts w:hint="default"/>
              </w:rPr>
            </w:pPr>
            <w:r>
              <w:rPr>
                <w:rFonts w:hint="default"/>
              </w:rPr>
              <w:t>0</w:t>
            </w:r>
          </w:p>
        </w:tc>
        <w:tc>
          <w:tcPr>
            <w:tcW w:w="494" w:type="pct"/>
            <w:noWrap/>
            <w:vAlign w:val="bottom"/>
          </w:tcPr>
          <w:p w14:paraId="7380BA06">
            <w:pPr>
              <w:pStyle w:val="55"/>
              <w:keepNext w:val="0"/>
              <w:keepLines w:val="0"/>
              <w:widowControl/>
              <w:suppressLineNumbers w:val="0"/>
              <w:spacing w:before="0" w:beforeAutospacing="0" w:afterAutospacing="0"/>
              <w:ind w:right="0"/>
              <w:rPr>
                <w:rFonts w:hint="default"/>
              </w:rPr>
            </w:pPr>
            <w:r>
              <w:rPr>
                <w:rFonts w:hint="default"/>
              </w:rPr>
              <w:t>0</w:t>
            </w:r>
          </w:p>
        </w:tc>
        <w:tc>
          <w:tcPr>
            <w:tcW w:w="677" w:type="pct"/>
            <w:noWrap/>
            <w:vAlign w:val="bottom"/>
          </w:tcPr>
          <w:p w14:paraId="2C6D5CBC">
            <w:pPr>
              <w:pStyle w:val="55"/>
              <w:keepNext w:val="0"/>
              <w:keepLines w:val="0"/>
              <w:widowControl/>
              <w:suppressLineNumbers w:val="0"/>
              <w:spacing w:before="0" w:beforeAutospacing="0" w:afterAutospacing="0"/>
              <w:ind w:right="0"/>
              <w:rPr>
                <w:rFonts w:hint="default"/>
              </w:rPr>
            </w:pPr>
            <w:r>
              <w:rPr>
                <w:rFonts w:hint="default"/>
              </w:rPr>
              <w:t>99.5</w:t>
            </w:r>
          </w:p>
        </w:tc>
        <w:tc>
          <w:tcPr>
            <w:tcW w:w="585" w:type="pct"/>
            <w:vAlign w:val="bottom"/>
          </w:tcPr>
          <w:p w14:paraId="7A8B6924">
            <w:pPr>
              <w:pStyle w:val="55"/>
              <w:keepNext w:val="0"/>
              <w:keepLines w:val="0"/>
              <w:widowControl/>
              <w:suppressLineNumbers w:val="0"/>
              <w:spacing w:before="0" w:beforeAutospacing="0" w:afterAutospacing="0"/>
              <w:ind w:right="0"/>
              <w:rPr>
                <w:rFonts w:hint="default"/>
              </w:rPr>
            </w:pPr>
            <w:r>
              <w:rPr>
                <w:rFonts w:hint="default"/>
              </w:rPr>
              <w:t>98.7</w:t>
            </w:r>
          </w:p>
        </w:tc>
      </w:tr>
      <w:tr w14:paraId="5B094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shd w:val="clear" w:color="auto" w:fill="D8D8D8" w:themeFill="background1" w:themeFillShade="D9"/>
            <w:noWrap/>
            <w:vAlign w:val="bottom"/>
          </w:tcPr>
          <w:p w14:paraId="26B05EA0">
            <w:pPr>
              <w:pStyle w:val="55"/>
              <w:keepNext w:val="0"/>
              <w:keepLines w:val="0"/>
              <w:widowControl/>
              <w:suppressLineNumbers w:val="0"/>
              <w:spacing w:before="0" w:beforeAutospacing="0" w:afterAutospacing="0"/>
              <w:ind w:right="0"/>
              <w:rPr>
                <w:rFonts w:hint="default"/>
              </w:rPr>
            </w:pPr>
            <w:r>
              <w:rPr>
                <w:rFonts w:hint="default"/>
              </w:rPr>
              <w:t xml:space="preserve">Start Layer 3 </w:t>
            </w:r>
          </w:p>
        </w:tc>
        <w:tc>
          <w:tcPr>
            <w:tcW w:w="472" w:type="pct"/>
            <w:shd w:val="clear" w:color="auto" w:fill="D8D8D8" w:themeFill="background1" w:themeFillShade="D9"/>
            <w:noWrap/>
            <w:vAlign w:val="bottom"/>
          </w:tcPr>
          <w:p w14:paraId="572AF5B1">
            <w:pPr>
              <w:pStyle w:val="55"/>
              <w:keepNext w:val="0"/>
              <w:keepLines w:val="0"/>
              <w:widowControl/>
              <w:suppressLineNumbers w:val="0"/>
              <w:spacing w:before="0" w:beforeAutospacing="0" w:afterAutospacing="0"/>
              <w:ind w:right="0"/>
              <w:rPr>
                <w:rFonts w:hint="default"/>
              </w:rPr>
            </w:pPr>
          </w:p>
        </w:tc>
        <w:tc>
          <w:tcPr>
            <w:tcW w:w="417" w:type="pct"/>
            <w:shd w:val="clear" w:color="auto" w:fill="D8D8D8" w:themeFill="background1" w:themeFillShade="D9"/>
            <w:noWrap/>
            <w:vAlign w:val="bottom"/>
          </w:tcPr>
          <w:p w14:paraId="262071C7">
            <w:pPr>
              <w:pStyle w:val="55"/>
              <w:keepNext w:val="0"/>
              <w:keepLines w:val="0"/>
              <w:widowControl/>
              <w:suppressLineNumbers w:val="0"/>
              <w:spacing w:before="0" w:beforeAutospacing="0" w:afterAutospacing="0"/>
              <w:ind w:right="0"/>
              <w:rPr>
                <w:rFonts w:hint="default"/>
              </w:rPr>
            </w:pPr>
          </w:p>
        </w:tc>
        <w:tc>
          <w:tcPr>
            <w:tcW w:w="465" w:type="pct"/>
            <w:shd w:val="clear" w:color="auto" w:fill="D8D8D8" w:themeFill="background1" w:themeFillShade="D9"/>
            <w:noWrap/>
            <w:vAlign w:val="bottom"/>
          </w:tcPr>
          <w:p w14:paraId="45B9970A">
            <w:pPr>
              <w:pStyle w:val="55"/>
              <w:keepNext w:val="0"/>
              <w:keepLines w:val="0"/>
              <w:widowControl/>
              <w:suppressLineNumbers w:val="0"/>
              <w:spacing w:before="0" w:beforeAutospacing="0" w:afterAutospacing="0"/>
              <w:ind w:right="0"/>
              <w:rPr>
                <w:rFonts w:hint="default" w:eastAsia="Calibri"/>
              </w:rPr>
            </w:pPr>
            <w:r>
              <w:rPr>
                <w:rFonts w:hint="default"/>
              </w:rPr>
              <w:t>75700</w:t>
            </w:r>
          </w:p>
        </w:tc>
        <w:tc>
          <w:tcPr>
            <w:tcW w:w="461" w:type="pct"/>
            <w:shd w:val="clear" w:color="auto" w:fill="D8D8D8" w:themeFill="background1" w:themeFillShade="D9"/>
            <w:noWrap/>
            <w:vAlign w:val="bottom"/>
          </w:tcPr>
          <w:p w14:paraId="7BE439DD">
            <w:pPr>
              <w:pStyle w:val="55"/>
              <w:keepNext w:val="0"/>
              <w:keepLines w:val="0"/>
              <w:widowControl/>
              <w:suppressLineNumbers w:val="0"/>
              <w:spacing w:before="0" w:beforeAutospacing="0" w:afterAutospacing="0"/>
              <w:ind w:right="0"/>
              <w:rPr>
                <w:rFonts w:hint="default" w:eastAsia="Calibri"/>
              </w:rPr>
            </w:pPr>
            <w:r>
              <w:rPr>
                <w:rFonts w:hint="default"/>
              </w:rPr>
              <w:t>70700</w:t>
            </w:r>
          </w:p>
        </w:tc>
        <w:tc>
          <w:tcPr>
            <w:tcW w:w="300" w:type="pct"/>
            <w:shd w:val="clear" w:color="auto" w:fill="D8D8D8" w:themeFill="background1" w:themeFillShade="D9"/>
            <w:noWrap/>
            <w:vAlign w:val="bottom"/>
          </w:tcPr>
          <w:p w14:paraId="7D8CCE50">
            <w:pPr>
              <w:pStyle w:val="55"/>
              <w:keepNext w:val="0"/>
              <w:keepLines w:val="0"/>
              <w:widowControl/>
              <w:suppressLineNumbers w:val="0"/>
              <w:spacing w:before="0" w:beforeAutospacing="0" w:afterAutospacing="0"/>
              <w:ind w:right="0"/>
              <w:rPr>
                <w:rFonts w:hint="default"/>
              </w:rPr>
            </w:pPr>
          </w:p>
        </w:tc>
        <w:tc>
          <w:tcPr>
            <w:tcW w:w="494" w:type="pct"/>
            <w:shd w:val="clear" w:color="auto" w:fill="D8D8D8" w:themeFill="background1" w:themeFillShade="D9"/>
            <w:noWrap/>
            <w:vAlign w:val="bottom"/>
          </w:tcPr>
          <w:p w14:paraId="1DD3DD28">
            <w:pPr>
              <w:pStyle w:val="55"/>
              <w:keepNext w:val="0"/>
              <w:keepLines w:val="0"/>
              <w:widowControl/>
              <w:suppressLineNumbers w:val="0"/>
              <w:spacing w:before="0" w:beforeAutospacing="0" w:afterAutospacing="0"/>
              <w:ind w:right="0"/>
              <w:rPr>
                <w:rFonts w:hint="default"/>
              </w:rPr>
            </w:pPr>
          </w:p>
        </w:tc>
        <w:tc>
          <w:tcPr>
            <w:tcW w:w="677" w:type="pct"/>
            <w:shd w:val="clear" w:color="auto" w:fill="D8D8D8" w:themeFill="background1" w:themeFillShade="D9"/>
            <w:noWrap/>
            <w:vAlign w:val="bottom"/>
          </w:tcPr>
          <w:p w14:paraId="63D81861">
            <w:pPr>
              <w:pStyle w:val="55"/>
              <w:keepNext w:val="0"/>
              <w:keepLines w:val="0"/>
              <w:widowControl/>
              <w:suppressLineNumbers w:val="0"/>
              <w:spacing w:before="0" w:beforeAutospacing="0" w:afterAutospacing="0"/>
              <w:ind w:right="0"/>
              <w:rPr>
                <w:rFonts w:hint="default"/>
              </w:rPr>
            </w:pPr>
            <w:r>
              <w:rPr>
                <w:rFonts w:hint="default"/>
              </w:rPr>
              <w:t>99.1</w:t>
            </w:r>
          </w:p>
        </w:tc>
        <w:tc>
          <w:tcPr>
            <w:tcW w:w="585" w:type="pct"/>
            <w:shd w:val="clear" w:color="auto" w:fill="D8D8D8" w:themeFill="background1" w:themeFillShade="D9"/>
            <w:vAlign w:val="bottom"/>
          </w:tcPr>
          <w:p w14:paraId="742C1AB3">
            <w:pPr>
              <w:pStyle w:val="55"/>
              <w:keepNext w:val="0"/>
              <w:keepLines w:val="0"/>
              <w:widowControl/>
              <w:suppressLineNumbers w:val="0"/>
              <w:spacing w:before="0" w:beforeAutospacing="0" w:afterAutospacing="0"/>
              <w:ind w:right="0"/>
              <w:rPr>
                <w:rFonts w:hint="default"/>
              </w:rPr>
            </w:pPr>
          </w:p>
        </w:tc>
      </w:tr>
      <w:tr w14:paraId="6D9BE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shd w:val="clear" w:color="auto" w:fill="D8D8D8" w:themeFill="background1" w:themeFillShade="D9"/>
            <w:noWrap/>
            <w:vAlign w:val="bottom"/>
          </w:tcPr>
          <w:p w14:paraId="0CFF8234">
            <w:pPr>
              <w:pStyle w:val="55"/>
              <w:keepNext w:val="0"/>
              <w:keepLines w:val="0"/>
              <w:widowControl/>
              <w:suppressLineNumbers w:val="0"/>
              <w:spacing w:before="0" w:beforeAutospacing="0" w:afterAutospacing="0"/>
              <w:ind w:right="0"/>
              <w:rPr>
                <w:rFonts w:hint="default" w:eastAsia="Calibri"/>
              </w:rPr>
            </w:pPr>
            <w:r>
              <w:rPr>
                <w:rFonts w:hint="default"/>
              </w:rPr>
              <w:t xml:space="preserve">End Layer 4 </w:t>
            </w:r>
          </w:p>
        </w:tc>
        <w:tc>
          <w:tcPr>
            <w:tcW w:w="472" w:type="pct"/>
            <w:shd w:val="clear" w:color="auto" w:fill="D8D8D8" w:themeFill="background1" w:themeFillShade="D9"/>
            <w:noWrap/>
            <w:vAlign w:val="bottom"/>
          </w:tcPr>
          <w:p w14:paraId="4132B1D9">
            <w:pPr>
              <w:pStyle w:val="55"/>
              <w:keepNext w:val="0"/>
              <w:keepLines w:val="0"/>
              <w:widowControl/>
              <w:suppressLineNumbers w:val="0"/>
              <w:spacing w:before="0" w:beforeAutospacing="0" w:afterAutospacing="0"/>
              <w:ind w:right="0"/>
              <w:rPr>
                <w:rFonts w:hint="default"/>
              </w:rPr>
            </w:pPr>
          </w:p>
        </w:tc>
        <w:tc>
          <w:tcPr>
            <w:tcW w:w="417" w:type="pct"/>
            <w:shd w:val="clear" w:color="auto" w:fill="D8D8D8" w:themeFill="background1" w:themeFillShade="D9"/>
            <w:noWrap/>
            <w:vAlign w:val="bottom"/>
          </w:tcPr>
          <w:p w14:paraId="50DDAB12">
            <w:pPr>
              <w:pStyle w:val="55"/>
              <w:keepNext w:val="0"/>
              <w:keepLines w:val="0"/>
              <w:widowControl/>
              <w:suppressLineNumbers w:val="0"/>
              <w:spacing w:before="0" w:beforeAutospacing="0" w:afterAutospacing="0"/>
              <w:ind w:right="0"/>
              <w:rPr>
                <w:rFonts w:hint="default"/>
              </w:rPr>
            </w:pPr>
          </w:p>
        </w:tc>
        <w:tc>
          <w:tcPr>
            <w:tcW w:w="465" w:type="pct"/>
            <w:shd w:val="clear" w:color="auto" w:fill="D8D8D8" w:themeFill="background1" w:themeFillShade="D9"/>
            <w:noWrap/>
            <w:vAlign w:val="bottom"/>
          </w:tcPr>
          <w:p w14:paraId="62F8B830">
            <w:pPr>
              <w:pStyle w:val="55"/>
              <w:keepNext w:val="0"/>
              <w:keepLines w:val="0"/>
              <w:widowControl/>
              <w:suppressLineNumbers w:val="0"/>
              <w:spacing w:before="0" w:beforeAutospacing="0" w:afterAutospacing="0"/>
              <w:ind w:right="0"/>
              <w:rPr>
                <w:rFonts w:hint="default" w:eastAsia="Calibri"/>
              </w:rPr>
            </w:pPr>
            <w:r>
              <w:rPr>
                <w:rFonts w:hint="default"/>
              </w:rPr>
              <w:t>77800</w:t>
            </w:r>
          </w:p>
        </w:tc>
        <w:tc>
          <w:tcPr>
            <w:tcW w:w="461" w:type="pct"/>
            <w:shd w:val="clear" w:color="auto" w:fill="D8D8D8" w:themeFill="background1" w:themeFillShade="D9"/>
            <w:noWrap/>
            <w:vAlign w:val="bottom"/>
          </w:tcPr>
          <w:p w14:paraId="7ABF03CB">
            <w:pPr>
              <w:pStyle w:val="55"/>
              <w:keepNext w:val="0"/>
              <w:keepLines w:val="0"/>
              <w:widowControl/>
              <w:suppressLineNumbers w:val="0"/>
              <w:spacing w:before="0" w:beforeAutospacing="0" w:afterAutospacing="0"/>
              <w:ind w:right="0"/>
              <w:rPr>
                <w:rFonts w:hint="default" w:eastAsia="Calibri"/>
              </w:rPr>
            </w:pPr>
            <w:r>
              <w:rPr>
                <w:rFonts w:hint="default"/>
              </w:rPr>
              <w:t>71400</w:t>
            </w:r>
          </w:p>
        </w:tc>
        <w:tc>
          <w:tcPr>
            <w:tcW w:w="300" w:type="pct"/>
            <w:shd w:val="clear" w:color="auto" w:fill="D8D8D8" w:themeFill="background1" w:themeFillShade="D9"/>
            <w:noWrap/>
            <w:vAlign w:val="bottom"/>
          </w:tcPr>
          <w:p w14:paraId="0D017457">
            <w:pPr>
              <w:pStyle w:val="55"/>
              <w:keepNext w:val="0"/>
              <w:keepLines w:val="0"/>
              <w:widowControl/>
              <w:suppressLineNumbers w:val="0"/>
              <w:spacing w:before="0" w:beforeAutospacing="0" w:afterAutospacing="0"/>
              <w:ind w:right="0"/>
              <w:rPr>
                <w:rFonts w:hint="default"/>
              </w:rPr>
            </w:pPr>
          </w:p>
        </w:tc>
        <w:tc>
          <w:tcPr>
            <w:tcW w:w="494" w:type="pct"/>
            <w:shd w:val="clear" w:color="auto" w:fill="D8D8D8" w:themeFill="background1" w:themeFillShade="D9"/>
            <w:noWrap/>
            <w:vAlign w:val="bottom"/>
          </w:tcPr>
          <w:p w14:paraId="0BD8EF2C">
            <w:pPr>
              <w:pStyle w:val="55"/>
              <w:keepNext w:val="0"/>
              <w:keepLines w:val="0"/>
              <w:widowControl/>
              <w:suppressLineNumbers w:val="0"/>
              <w:spacing w:before="0" w:beforeAutospacing="0" w:afterAutospacing="0"/>
              <w:ind w:right="0"/>
              <w:rPr>
                <w:rFonts w:hint="default"/>
              </w:rPr>
            </w:pPr>
          </w:p>
        </w:tc>
        <w:tc>
          <w:tcPr>
            <w:tcW w:w="677" w:type="pct"/>
            <w:shd w:val="clear" w:color="auto" w:fill="D8D8D8" w:themeFill="background1" w:themeFillShade="D9"/>
            <w:noWrap/>
            <w:vAlign w:val="bottom"/>
          </w:tcPr>
          <w:p w14:paraId="1C5C1BFD">
            <w:pPr>
              <w:pStyle w:val="55"/>
              <w:keepNext w:val="0"/>
              <w:keepLines w:val="0"/>
              <w:widowControl/>
              <w:suppressLineNumbers w:val="0"/>
              <w:spacing w:before="0" w:beforeAutospacing="0" w:afterAutospacing="0"/>
              <w:ind w:right="0"/>
              <w:rPr>
                <w:rFonts w:hint="default"/>
              </w:rPr>
            </w:pPr>
            <w:r>
              <w:rPr>
                <w:rFonts w:hint="default"/>
              </w:rPr>
              <w:t>99</w:t>
            </w:r>
          </w:p>
        </w:tc>
        <w:tc>
          <w:tcPr>
            <w:tcW w:w="585" w:type="pct"/>
            <w:shd w:val="clear" w:color="auto" w:fill="D8D8D8" w:themeFill="background1" w:themeFillShade="D9"/>
            <w:vAlign w:val="bottom"/>
          </w:tcPr>
          <w:p w14:paraId="14AA8ACF">
            <w:pPr>
              <w:pStyle w:val="55"/>
              <w:keepNext w:val="0"/>
              <w:keepLines w:val="0"/>
              <w:widowControl/>
              <w:suppressLineNumbers w:val="0"/>
              <w:spacing w:before="0" w:beforeAutospacing="0" w:afterAutospacing="0"/>
              <w:ind w:right="0"/>
              <w:rPr>
                <w:rFonts w:hint="default"/>
              </w:rPr>
            </w:pPr>
          </w:p>
        </w:tc>
      </w:tr>
      <w:tr w14:paraId="29F90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noWrap/>
            <w:vAlign w:val="bottom"/>
          </w:tcPr>
          <w:p w14:paraId="1231AD37">
            <w:pPr>
              <w:pStyle w:val="55"/>
              <w:keepNext w:val="0"/>
              <w:keepLines w:val="0"/>
              <w:widowControl/>
              <w:suppressLineNumbers w:val="0"/>
              <w:spacing w:before="0" w:beforeAutospacing="0" w:afterAutospacing="0"/>
              <w:ind w:right="0"/>
              <w:rPr>
                <w:rFonts w:hint="default"/>
              </w:rPr>
            </w:pPr>
            <w:r>
              <w:rPr>
                <w:rFonts w:hint="default"/>
              </w:rPr>
              <w:t xml:space="preserve">BFD-OSL3 </w:t>
            </w:r>
          </w:p>
        </w:tc>
        <w:tc>
          <w:tcPr>
            <w:tcW w:w="472" w:type="pct"/>
            <w:noWrap/>
            <w:vAlign w:val="bottom"/>
          </w:tcPr>
          <w:p w14:paraId="16CEE3EF">
            <w:pPr>
              <w:pStyle w:val="55"/>
              <w:keepNext w:val="0"/>
              <w:keepLines w:val="0"/>
              <w:widowControl/>
              <w:suppressLineNumbers w:val="0"/>
              <w:spacing w:before="0" w:beforeAutospacing="0" w:afterAutospacing="0"/>
              <w:ind w:right="0"/>
              <w:rPr>
                <w:rFonts w:hint="default" w:eastAsia="Calibri"/>
              </w:rPr>
            </w:pPr>
            <w:r>
              <w:rPr>
                <w:rFonts w:hint="default"/>
              </w:rPr>
              <w:t>59900</w:t>
            </w:r>
          </w:p>
        </w:tc>
        <w:tc>
          <w:tcPr>
            <w:tcW w:w="417" w:type="pct"/>
            <w:noWrap/>
            <w:vAlign w:val="bottom"/>
          </w:tcPr>
          <w:p w14:paraId="1A0B1035">
            <w:pPr>
              <w:pStyle w:val="55"/>
              <w:keepNext w:val="0"/>
              <w:keepLines w:val="0"/>
              <w:widowControl/>
              <w:suppressLineNumbers w:val="0"/>
              <w:spacing w:before="0" w:beforeAutospacing="0" w:afterAutospacing="0"/>
              <w:ind w:right="0"/>
              <w:rPr>
                <w:rFonts w:hint="default" w:eastAsia="Calibri"/>
              </w:rPr>
            </w:pPr>
            <w:r>
              <w:rPr>
                <w:rFonts w:hint="default"/>
              </w:rPr>
              <w:t>77400</w:t>
            </w:r>
          </w:p>
        </w:tc>
        <w:tc>
          <w:tcPr>
            <w:tcW w:w="465" w:type="pct"/>
            <w:noWrap/>
            <w:vAlign w:val="bottom"/>
          </w:tcPr>
          <w:p w14:paraId="35798690">
            <w:pPr>
              <w:pStyle w:val="55"/>
              <w:keepNext w:val="0"/>
              <w:keepLines w:val="0"/>
              <w:widowControl/>
              <w:suppressLineNumbers w:val="0"/>
              <w:spacing w:before="0" w:beforeAutospacing="0" w:afterAutospacing="0"/>
              <w:ind w:right="0"/>
              <w:rPr>
                <w:rFonts w:hint="default" w:eastAsia="Calibri"/>
              </w:rPr>
            </w:pPr>
            <w:r>
              <w:rPr>
                <w:rFonts w:hint="default"/>
              </w:rPr>
              <w:t>79600</w:t>
            </w:r>
          </w:p>
        </w:tc>
        <w:tc>
          <w:tcPr>
            <w:tcW w:w="461" w:type="pct"/>
            <w:noWrap/>
            <w:vAlign w:val="bottom"/>
          </w:tcPr>
          <w:p w14:paraId="122C1CD4">
            <w:pPr>
              <w:pStyle w:val="55"/>
              <w:keepNext w:val="0"/>
              <w:keepLines w:val="0"/>
              <w:widowControl/>
              <w:suppressLineNumbers w:val="0"/>
              <w:spacing w:before="0" w:beforeAutospacing="0" w:afterAutospacing="0"/>
              <w:ind w:right="0"/>
              <w:rPr>
                <w:rFonts w:hint="default" w:eastAsia="Calibri"/>
              </w:rPr>
            </w:pPr>
            <w:r>
              <w:rPr>
                <w:rFonts w:hint="default"/>
              </w:rPr>
              <w:t>72000</w:t>
            </w:r>
          </w:p>
        </w:tc>
        <w:tc>
          <w:tcPr>
            <w:tcW w:w="300" w:type="pct"/>
            <w:noWrap/>
            <w:vAlign w:val="bottom"/>
          </w:tcPr>
          <w:p w14:paraId="415AB4AD">
            <w:pPr>
              <w:pStyle w:val="55"/>
              <w:keepNext w:val="0"/>
              <w:keepLines w:val="0"/>
              <w:widowControl/>
              <w:suppressLineNumbers w:val="0"/>
              <w:spacing w:before="0" w:beforeAutospacing="0" w:afterAutospacing="0"/>
              <w:ind w:right="0"/>
              <w:rPr>
                <w:rFonts w:hint="default"/>
              </w:rPr>
            </w:pPr>
            <w:r>
              <w:rPr>
                <w:rFonts w:hint="default"/>
              </w:rPr>
              <w:t>0</w:t>
            </w:r>
          </w:p>
        </w:tc>
        <w:tc>
          <w:tcPr>
            <w:tcW w:w="494" w:type="pct"/>
            <w:noWrap/>
            <w:vAlign w:val="bottom"/>
          </w:tcPr>
          <w:p w14:paraId="4FD22B83">
            <w:pPr>
              <w:pStyle w:val="55"/>
              <w:keepNext w:val="0"/>
              <w:keepLines w:val="0"/>
              <w:widowControl/>
              <w:suppressLineNumbers w:val="0"/>
              <w:spacing w:before="0" w:beforeAutospacing="0" w:afterAutospacing="0"/>
              <w:ind w:right="0"/>
              <w:rPr>
                <w:rFonts w:hint="default"/>
              </w:rPr>
            </w:pPr>
            <w:r>
              <w:rPr>
                <w:rFonts w:hint="default"/>
              </w:rPr>
              <w:t>0</w:t>
            </w:r>
          </w:p>
        </w:tc>
        <w:tc>
          <w:tcPr>
            <w:tcW w:w="677" w:type="pct"/>
            <w:noWrap/>
            <w:vAlign w:val="bottom"/>
          </w:tcPr>
          <w:p w14:paraId="4CDC1230">
            <w:pPr>
              <w:pStyle w:val="55"/>
              <w:keepNext w:val="0"/>
              <w:keepLines w:val="0"/>
              <w:widowControl/>
              <w:suppressLineNumbers w:val="0"/>
              <w:spacing w:before="0" w:beforeAutospacing="0" w:afterAutospacing="0"/>
              <w:ind w:right="0"/>
              <w:rPr>
                <w:rFonts w:hint="default"/>
              </w:rPr>
            </w:pPr>
            <w:r>
              <w:rPr>
                <w:rFonts w:hint="default"/>
              </w:rPr>
              <w:t>99</w:t>
            </w:r>
          </w:p>
        </w:tc>
        <w:tc>
          <w:tcPr>
            <w:tcW w:w="585" w:type="pct"/>
            <w:vAlign w:val="bottom"/>
          </w:tcPr>
          <w:p w14:paraId="31B28DDC">
            <w:pPr>
              <w:pStyle w:val="55"/>
              <w:keepNext w:val="0"/>
              <w:keepLines w:val="0"/>
              <w:widowControl/>
              <w:suppressLineNumbers w:val="0"/>
              <w:spacing w:before="0" w:beforeAutospacing="0" w:afterAutospacing="0"/>
              <w:ind w:right="0"/>
              <w:rPr>
                <w:rFonts w:hint="default"/>
              </w:rPr>
            </w:pPr>
            <w:r>
              <w:rPr>
                <w:rFonts w:hint="default"/>
              </w:rPr>
              <w:t>49.6</w:t>
            </w:r>
          </w:p>
        </w:tc>
      </w:tr>
      <w:tr w14:paraId="2EA37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noWrap/>
            <w:vAlign w:val="bottom"/>
          </w:tcPr>
          <w:p w14:paraId="50FF3972">
            <w:pPr>
              <w:pStyle w:val="55"/>
              <w:keepNext w:val="0"/>
              <w:keepLines w:val="0"/>
              <w:widowControl/>
              <w:suppressLineNumbers w:val="0"/>
              <w:spacing w:before="0" w:beforeAutospacing="0" w:afterAutospacing="0"/>
              <w:ind w:right="0"/>
              <w:rPr>
                <w:rFonts w:hint="default" w:eastAsia="Calibri"/>
              </w:rPr>
            </w:pPr>
            <w:r>
              <w:rPr>
                <w:rFonts w:hint="default"/>
              </w:rPr>
              <w:t xml:space="preserve">BFD-OSL2 </w:t>
            </w:r>
          </w:p>
        </w:tc>
        <w:tc>
          <w:tcPr>
            <w:tcW w:w="472" w:type="pct"/>
            <w:vAlign w:val="bottom"/>
          </w:tcPr>
          <w:p w14:paraId="6A4B99E9">
            <w:pPr>
              <w:pStyle w:val="55"/>
              <w:keepNext w:val="0"/>
              <w:keepLines w:val="0"/>
              <w:widowControl/>
              <w:suppressLineNumbers w:val="0"/>
              <w:spacing w:before="0" w:beforeAutospacing="0" w:afterAutospacing="0"/>
              <w:ind w:right="0"/>
              <w:rPr>
                <w:rFonts w:hint="default" w:eastAsia="Calibri"/>
              </w:rPr>
            </w:pPr>
            <w:r>
              <w:rPr>
                <w:rFonts w:hint="default"/>
              </w:rPr>
              <w:t>60700</w:t>
            </w:r>
          </w:p>
        </w:tc>
        <w:tc>
          <w:tcPr>
            <w:tcW w:w="417" w:type="pct"/>
            <w:noWrap/>
            <w:vAlign w:val="bottom"/>
          </w:tcPr>
          <w:p w14:paraId="715C7521">
            <w:pPr>
              <w:pStyle w:val="55"/>
              <w:keepNext w:val="0"/>
              <w:keepLines w:val="0"/>
              <w:widowControl/>
              <w:suppressLineNumbers w:val="0"/>
              <w:spacing w:before="0" w:beforeAutospacing="0" w:afterAutospacing="0"/>
              <w:ind w:right="0"/>
              <w:rPr>
                <w:rFonts w:hint="default" w:eastAsia="Calibri"/>
              </w:rPr>
            </w:pPr>
            <w:r>
              <w:rPr>
                <w:rFonts w:hint="default"/>
              </w:rPr>
              <w:t>77900</w:t>
            </w:r>
          </w:p>
        </w:tc>
        <w:tc>
          <w:tcPr>
            <w:tcW w:w="465" w:type="pct"/>
            <w:noWrap/>
            <w:vAlign w:val="bottom"/>
          </w:tcPr>
          <w:p w14:paraId="03066C00">
            <w:pPr>
              <w:pStyle w:val="55"/>
              <w:keepNext w:val="0"/>
              <w:keepLines w:val="0"/>
              <w:widowControl/>
              <w:suppressLineNumbers w:val="0"/>
              <w:spacing w:before="0" w:beforeAutospacing="0" w:afterAutospacing="0"/>
              <w:ind w:right="0"/>
              <w:rPr>
                <w:rFonts w:hint="default" w:eastAsia="Calibri"/>
              </w:rPr>
            </w:pPr>
            <w:r>
              <w:rPr>
                <w:rFonts w:hint="default"/>
              </w:rPr>
              <w:t>79800</w:t>
            </w:r>
          </w:p>
        </w:tc>
        <w:tc>
          <w:tcPr>
            <w:tcW w:w="461" w:type="pct"/>
            <w:noWrap/>
            <w:vAlign w:val="bottom"/>
          </w:tcPr>
          <w:p w14:paraId="2869FCF7">
            <w:pPr>
              <w:pStyle w:val="55"/>
              <w:keepNext w:val="0"/>
              <w:keepLines w:val="0"/>
              <w:widowControl/>
              <w:suppressLineNumbers w:val="0"/>
              <w:spacing w:before="0" w:beforeAutospacing="0" w:afterAutospacing="0"/>
              <w:ind w:right="0"/>
              <w:rPr>
                <w:rFonts w:hint="default" w:eastAsia="Calibri"/>
              </w:rPr>
            </w:pPr>
            <w:r>
              <w:rPr>
                <w:rFonts w:hint="default"/>
              </w:rPr>
              <w:t>72000</w:t>
            </w:r>
          </w:p>
        </w:tc>
        <w:tc>
          <w:tcPr>
            <w:tcW w:w="300" w:type="pct"/>
            <w:noWrap/>
            <w:vAlign w:val="bottom"/>
          </w:tcPr>
          <w:p w14:paraId="051A55B8">
            <w:pPr>
              <w:pStyle w:val="55"/>
              <w:keepNext w:val="0"/>
              <w:keepLines w:val="0"/>
              <w:widowControl/>
              <w:suppressLineNumbers w:val="0"/>
              <w:spacing w:before="0" w:beforeAutospacing="0" w:afterAutospacing="0"/>
              <w:ind w:right="0"/>
              <w:rPr>
                <w:rFonts w:hint="default"/>
              </w:rPr>
            </w:pPr>
            <w:r>
              <w:rPr>
                <w:rFonts w:hint="default"/>
              </w:rPr>
              <w:t>0</w:t>
            </w:r>
          </w:p>
        </w:tc>
        <w:tc>
          <w:tcPr>
            <w:tcW w:w="494" w:type="pct"/>
            <w:noWrap/>
            <w:vAlign w:val="bottom"/>
          </w:tcPr>
          <w:p w14:paraId="5E5730FC">
            <w:pPr>
              <w:pStyle w:val="55"/>
              <w:keepNext w:val="0"/>
              <w:keepLines w:val="0"/>
              <w:widowControl/>
              <w:suppressLineNumbers w:val="0"/>
              <w:spacing w:before="0" w:beforeAutospacing="0" w:afterAutospacing="0"/>
              <w:ind w:right="0"/>
              <w:rPr>
                <w:rFonts w:hint="default"/>
              </w:rPr>
            </w:pPr>
            <w:r>
              <w:rPr>
                <w:rFonts w:hint="default"/>
              </w:rPr>
              <w:t>0</w:t>
            </w:r>
          </w:p>
        </w:tc>
        <w:tc>
          <w:tcPr>
            <w:tcW w:w="677" w:type="pct"/>
            <w:noWrap/>
            <w:vAlign w:val="bottom"/>
          </w:tcPr>
          <w:p w14:paraId="51FF15C7">
            <w:pPr>
              <w:pStyle w:val="55"/>
              <w:keepNext w:val="0"/>
              <w:keepLines w:val="0"/>
              <w:widowControl/>
              <w:suppressLineNumbers w:val="0"/>
              <w:spacing w:before="0" w:beforeAutospacing="0" w:afterAutospacing="0"/>
              <w:ind w:right="0"/>
              <w:rPr>
                <w:rFonts w:hint="default"/>
              </w:rPr>
            </w:pPr>
            <w:r>
              <w:rPr>
                <w:rFonts w:hint="default"/>
              </w:rPr>
              <w:t>99</w:t>
            </w:r>
          </w:p>
        </w:tc>
        <w:tc>
          <w:tcPr>
            <w:tcW w:w="585" w:type="pct"/>
            <w:vAlign w:val="bottom"/>
          </w:tcPr>
          <w:p w14:paraId="41F35227">
            <w:pPr>
              <w:pStyle w:val="55"/>
              <w:keepNext w:val="0"/>
              <w:keepLines w:val="0"/>
              <w:widowControl/>
              <w:suppressLineNumbers w:val="0"/>
              <w:spacing w:before="0" w:beforeAutospacing="0" w:afterAutospacing="0"/>
              <w:ind w:right="0"/>
              <w:rPr>
                <w:rFonts w:hint="default"/>
              </w:rPr>
            </w:pPr>
            <w:r>
              <w:rPr>
                <w:rFonts w:hint="default"/>
              </w:rPr>
              <w:t>58.6</w:t>
            </w:r>
          </w:p>
        </w:tc>
      </w:tr>
      <w:tr w14:paraId="13DCF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shd w:val="clear" w:color="auto" w:fill="D8D8D8" w:themeFill="background1" w:themeFillShade="D9"/>
            <w:noWrap/>
            <w:vAlign w:val="bottom"/>
          </w:tcPr>
          <w:p w14:paraId="5099ED3E">
            <w:pPr>
              <w:pStyle w:val="55"/>
              <w:keepNext w:val="0"/>
              <w:keepLines w:val="0"/>
              <w:widowControl/>
              <w:suppressLineNumbers w:val="0"/>
              <w:spacing w:before="0" w:beforeAutospacing="0" w:afterAutospacing="0"/>
              <w:ind w:right="0"/>
              <w:rPr>
                <w:rFonts w:hint="default"/>
              </w:rPr>
            </w:pPr>
            <w:r>
              <w:rPr>
                <w:rFonts w:hint="default"/>
              </w:rPr>
              <w:t xml:space="preserve">Start Layer 4 </w:t>
            </w:r>
          </w:p>
        </w:tc>
        <w:tc>
          <w:tcPr>
            <w:tcW w:w="472" w:type="pct"/>
            <w:shd w:val="clear" w:color="auto" w:fill="D8D8D8" w:themeFill="background1" w:themeFillShade="D9"/>
            <w:noWrap/>
            <w:vAlign w:val="bottom"/>
          </w:tcPr>
          <w:p w14:paraId="3C2F4ADA">
            <w:pPr>
              <w:pStyle w:val="55"/>
              <w:keepNext w:val="0"/>
              <w:keepLines w:val="0"/>
              <w:widowControl/>
              <w:suppressLineNumbers w:val="0"/>
              <w:spacing w:before="0" w:beforeAutospacing="0" w:afterAutospacing="0"/>
              <w:ind w:right="0"/>
              <w:rPr>
                <w:rFonts w:hint="default"/>
              </w:rPr>
            </w:pPr>
          </w:p>
        </w:tc>
        <w:tc>
          <w:tcPr>
            <w:tcW w:w="417" w:type="pct"/>
            <w:shd w:val="clear" w:color="auto" w:fill="D8D8D8" w:themeFill="background1" w:themeFillShade="D9"/>
            <w:noWrap/>
            <w:vAlign w:val="bottom"/>
          </w:tcPr>
          <w:p w14:paraId="7D57532D">
            <w:pPr>
              <w:pStyle w:val="55"/>
              <w:keepNext w:val="0"/>
              <w:keepLines w:val="0"/>
              <w:widowControl/>
              <w:suppressLineNumbers w:val="0"/>
              <w:spacing w:before="0" w:beforeAutospacing="0" w:afterAutospacing="0"/>
              <w:ind w:right="0"/>
              <w:rPr>
                <w:rFonts w:hint="default"/>
              </w:rPr>
            </w:pPr>
          </w:p>
        </w:tc>
        <w:tc>
          <w:tcPr>
            <w:tcW w:w="465" w:type="pct"/>
            <w:shd w:val="clear" w:color="auto" w:fill="D8D8D8" w:themeFill="background1" w:themeFillShade="D9"/>
            <w:noWrap/>
            <w:vAlign w:val="bottom"/>
          </w:tcPr>
          <w:p w14:paraId="1A1ED837">
            <w:pPr>
              <w:pStyle w:val="55"/>
              <w:keepNext w:val="0"/>
              <w:keepLines w:val="0"/>
              <w:widowControl/>
              <w:suppressLineNumbers w:val="0"/>
              <w:spacing w:before="0" w:beforeAutospacing="0" w:afterAutospacing="0"/>
              <w:ind w:right="0"/>
              <w:rPr>
                <w:rFonts w:hint="default" w:eastAsia="Calibri"/>
              </w:rPr>
            </w:pPr>
            <w:r>
              <w:rPr>
                <w:rFonts w:hint="default"/>
              </w:rPr>
              <w:t>99300</w:t>
            </w:r>
          </w:p>
        </w:tc>
        <w:tc>
          <w:tcPr>
            <w:tcW w:w="461" w:type="pct"/>
            <w:shd w:val="clear" w:color="auto" w:fill="D8D8D8" w:themeFill="background1" w:themeFillShade="D9"/>
            <w:noWrap/>
            <w:vAlign w:val="bottom"/>
          </w:tcPr>
          <w:p w14:paraId="2C597AFE">
            <w:pPr>
              <w:pStyle w:val="55"/>
              <w:keepNext w:val="0"/>
              <w:keepLines w:val="0"/>
              <w:widowControl/>
              <w:suppressLineNumbers w:val="0"/>
              <w:spacing w:before="0" w:beforeAutospacing="0" w:afterAutospacing="0"/>
              <w:ind w:right="0"/>
              <w:rPr>
                <w:rFonts w:hint="default" w:eastAsia="Calibri"/>
              </w:rPr>
            </w:pPr>
            <w:r>
              <w:rPr>
                <w:rFonts w:hint="default"/>
              </w:rPr>
              <w:t>72600</w:t>
            </w:r>
          </w:p>
        </w:tc>
        <w:tc>
          <w:tcPr>
            <w:tcW w:w="300" w:type="pct"/>
            <w:shd w:val="clear" w:color="auto" w:fill="D8D8D8" w:themeFill="background1" w:themeFillShade="D9"/>
            <w:noWrap/>
            <w:vAlign w:val="bottom"/>
          </w:tcPr>
          <w:p w14:paraId="7FD020E9">
            <w:pPr>
              <w:pStyle w:val="55"/>
              <w:keepNext w:val="0"/>
              <w:keepLines w:val="0"/>
              <w:widowControl/>
              <w:suppressLineNumbers w:val="0"/>
              <w:spacing w:before="0" w:beforeAutospacing="0" w:afterAutospacing="0"/>
              <w:ind w:right="0"/>
              <w:rPr>
                <w:rFonts w:hint="default"/>
              </w:rPr>
            </w:pPr>
          </w:p>
        </w:tc>
        <w:tc>
          <w:tcPr>
            <w:tcW w:w="494" w:type="pct"/>
            <w:shd w:val="clear" w:color="auto" w:fill="D8D8D8" w:themeFill="background1" w:themeFillShade="D9"/>
            <w:noWrap/>
            <w:vAlign w:val="bottom"/>
          </w:tcPr>
          <w:p w14:paraId="6E8B8526">
            <w:pPr>
              <w:pStyle w:val="55"/>
              <w:keepNext w:val="0"/>
              <w:keepLines w:val="0"/>
              <w:widowControl/>
              <w:suppressLineNumbers w:val="0"/>
              <w:spacing w:before="0" w:beforeAutospacing="0" w:afterAutospacing="0"/>
              <w:ind w:right="0"/>
              <w:rPr>
                <w:rFonts w:hint="default"/>
              </w:rPr>
            </w:pPr>
          </w:p>
        </w:tc>
        <w:tc>
          <w:tcPr>
            <w:tcW w:w="677" w:type="pct"/>
            <w:shd w:val="clear" w:color="auto" w:fill="D8D8D8" w:themeFill="background1" w:themeFillShade="D9"/>
            <w:noWrap/>
            <w:vAlign w:val="bottom"/>
          </w:tcPr>
          <w:p w14:paraId="79800268">
            <w:pPr>
              <w:pStyle w:val="55"/>
              <w:keepNext w:val="0"/>
              <w:keepLines w:val="0"/>
              <w:widowControl/>
              <w:suppressLineNumbers w:val="0"/>
              <w:spacing w:before="0" w:beforeAutospacing="0" w:afterAutospacing="0"/>
              <w:ind w:right="0"/>
              <w:rPr>
                <w:rFonts w:hint="default"/>
              </w:rPr>
            </w:pPr>
            <w:r>
              <w:rPr>
                <w:rFonts w:hint="default"/>
              </w:rPr>
              <w:t>85.4</w:t>
            </w:r>
          </w:p>
        </w:tc>
        <w:tc>
          <w:tcPr>
            <w:tcW w:w="585" w:type="pct"/>
            <w:shd w:val="clear" w:color="auto" w:fill="D8D8D8" w:themeFill="background1" w:themeFillShade="D9"/>
            <w:vAlign w:val="bottom"/>
          </w:tcPr>
          <w:p w14:paraId="3EE93682">
            <w:pPr>
              <w:pStyle w:val="55"/>
              <w:keepNext w:val="0"/>
              <w:keepLines w:val="0"/>
              <w:widowControl/>
              <w:suppressLineNumbers w:val="0"/>
              <w:spacing w:before="0" w:beforeAutospacing="0" w:afterAutospacing="0"/>
              <w:ind w:right="0"/>
              <w:rPr>
                <w:rFonts w:hint="default"/>
              </w:rPr>
            </w:pPr>
          </w:p>
        </w:tc>
      </w:tr>
      <w:tr w14:paraId="2949B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shd w:val="clear" w:color="auto" w:fill="D8D8D8" w:themeFill="background1" w:themeFillShade="D9"/>
            <w:noWrap/>
            <w:vAlign w:val="bottom"/>
          </w:tcPr>
          <w:p w14:paraId="1E93A2C8">
            <w:pPr>
              <w:pStyle w:val="55"/>
              <w:keepNext w:val="0"/>
              <w:keepLines w:val="0"/>
              <w:widowControl/>
              <w:suppressLineNumbers w:val="0"/>
              <w:spacing w:before="0" w:beforeAutospacing="0" w:afterAutospacing="0"/>
              <w:ind w:right="0"/>
              <w:rPr>
                <w:rFonts w:hint="default"/>
                <w:color w:val="FF0000"/>
              </w:rPr>
            </w:pPr>
            <w:r>
              <w:rPr>
                <w:rFonts w:hint="default"/>
              </w:rPr>
              <w:t xml:space="preserve">End Layer 5 </w:t>
            </w:r>
          </w:p>
        </w:tc>
        <w:tc>
          <w:tcPr>
            <w:tcW w:w="472" w:type="pct"/>
            <w:shd w:val="clear" w:color="auto" w:fill="D8D8D8" w:themeFill="background1" w:themeFillShade="D9"/>
            <w:noWrap/>
            <w:vAlign w:val="bottom"/>
          </w:tcPr>
          <w:p w14:paraId="20D89079">
            <w:pPr>
              <w:pStyle w:val="55"/>
              <w:keepNext w:val="0"/>
              <w:keepLines w:val="0"/>
              <w:widowControl/>
              <w:suppressLineNumbers w:val="0"/>
              <w:spacing w:before="0" w:beforeAutospacing="0" w:afterAutospacing="0"/>
              <w:ind w:right="0"/>
              <w:rPr>
                <w:rFonts w:hint="default"/>
              </w:rPr>
            </w:pPr>
          </w:p>
        </w:tc>
        <w:tc>
          <w:tcPr>
            <w:tcW w:w="417" w:type="pct"/>
            <w:shd w:val="clear" w:color="auto" w:fill="D8D8D8" w:themeFill="background1" w:themeFillShade="D9"/>
            <w:noWrap/>
            <w:vAlign w:val="bottom"/>
          </w:tcPr>
          <w:p w14:paraId="2F2B462E">
            <w:pPr>
              <w:pStyle w:val="55"/>
              <w:keepNext w:val="0"/>
              <w:keepLines w:val="0"/>
              <w:widowControl/>
              <w:suppressLineNumbers w:val="0"/>
              <w:spacing w:before="0" w:beforeAutospacing="0" w:afterAutospacing="0"/>
              <w:ind w:right="0"/>
              <w:rPr>
                <w:rFonts w:hint="default"/>
              </w:rPr>
            </w:pPr>
          </w:p>
        </w:tc>
        <w:tc>
          <w:tcPr>
            <w:tcW w:w="465" w:type="pct"/>
            <w:shd w:val="clear" w:color="auto" w:fill="D8D8D8" w:themeFill="background1" w:themeFillShade="D9"/>
            <w:noWrap/>
            <w:vAlign w:val="bottom"/>
          </w:tcPr>
          <w:p w14:paraId="2A300C7B">
            <w:pPr>
              <w:pStyle w:val="55"/>
              <w:keepNext w:val="0"/>
              <w:keepLines w:val="0"/>
              <w:widowControl/>
              <w:suppressLineNumbers w:val="0"/>
              <w:spacing w:before="0" w:beforeAutospacing="0" w:afterAutospacing="0"/>
              <w:ind w:right="0"/>
              <w:rPr>
                <w:rFonts w:hint="default" w:eastAsia="Calibri"/>
              </w:rPr>
            </w:pPr>
            <w:r>
              <w:rPr>
                <w:rFonts w:hint="default"/>
              </w:rPr>
              <w:t>128000</w:t>
            </w:r>
          </w:p>
        </w:tc>
        <w:tc>
          <w:tcPr>
            <w:tcW w:w="461" w:type="pct"/>
            <w:shd w:val="clear" w:color="auto" w:fill="D8D8D8" w:themeFill="background1" w:themeFillShade="D9"/>
            <w:noWrap/>
            <w:vAlign w:val="bottom"/>
          </w:tcPr>
          <w:p w14:paraId="105BA640">
            <w:pPr>
              <w:pStyle w:val="55"/>
              <w:keepNext w:val="0"/>
              <w:keepLines w:val="0"/>
              <w:widowControl/>
              <w:suppressLineNumbers w:val="0"/>
              <w:spacing w:before="0" w:beforeAutospacing="0" w:afterAutospacing="0"/>
              <w:ind w:right="0"/>
              <w:rPr>
                <w:rFonts w:hint="default" w:eastAsia="Calibri"/>
              </w:rPr>
            </w:pPr>
            <w:r>
              <w:rPr>
                <w:rFonts w:hint="default"/>
              </w:rPr>
              <w:t>83900</w:t>
            </w:r>
          </w:p>
        </w:tc>
        <w:tc>
          <w:tcPr>
            <w:tcW w:w="300" w:type="pct"/>
            <w:shd w:val="clear" w:color="auto" w:fill="D8D8D8" w:themeFill="background1" w:themeFillShade="D9"/>
            <w:noWrap/>
            <w:vAlign w:val="bottom"/>
          </w:tcPr>
          <w:p w14:paraId="27059761">
            <w:pPr>
              <w:pStyle w:val="55"/>
              <w:keepNext w:val="0"/>
              <w:keepLines w:val="0"/>
              <w:widowControl/>
              <w:suppressLineNumbers w:val="0"/>
              <w:spacing w:before="0" w:beforeAutospacing="0" w:afterAutospacing="0"/>
              <w:ind w:right="0"/>
              <w:rPr>
                <w:rFonts w:hint="default"/>
              </w:rPr>
            </w:pPr>
          </w:p>
        </w:tc>
        <w:tc>
          <w:tcPr>
            <w:tcW w:w="494" w:type="pct"/>
            <w:shd w:val="clear" w:color="auto" w:fill="D8D8D8" w:themeFill="background1" w:themeFillShade="D9"/>
            <w:noWrap/>
            <w:vAlign w:val="bottom"/>
          </w:tcPr>
          <w:p w14:paraId="1C8D2B93">
            <w:pPr>
              <w:pStyle w:val="55"/>
              <w:keepNext w:val="0"/>
              <w:keepLines w:val="0"/>
              <w:widowControl/>
              <w:suppressLineNumbers w:val="0"/>
              <w:spacing w:before="0" w:beforeAutospacing="0" w:afterAutospacing="0"/>
              <w:ind w:right="0"/>
              <w:rPr>
                <w:rFonts w:hint="default"/>
              </w:rPr>
            </w:pPr>
          </w:p>
        </w:tc>
        <w:tc>
          <w:tcPr>
            <w:tcW w:w="677" w:type="pct"/>
            <w:shd w:val="clear" w:color="auto" w:fill="D8D8D8" w:themeFill="background1" w:themeFillShade="D9"/>
            <w:noWrap/>
            <w:vAlign w:val="bottom"/>
          </w:tcPr>
          <w:p w14:paraId="6ECD56E1">
            <w:pPr>
              <w:pStyle w:val="55"/>
              <w:keepNext w:val="0"/>
              <w:keepLines w:val="0"/>
              <w:widowControl/>
              <w:suppressLineNumbers w:val="0"/>
              <w:spacing w:before="0" w:beforeAutospacing="0" w:afterAutospacing="0"/>
              <w:ind w:right="0"/>
              <w:rPr>
                <w:rFonts w:hint="default"/>
              </w:rPr>
            </w:pPr>
            <w:r>
              <w:rPr>
                <w:rFonts w:hint="default"/>
              </w:rPr>
              <w:t>84.6</w:t>
            </w:r>
          </w:p>
        </w:tc>
        <w:tc>
          <w:tcPr>
            <w:tcW w:w="585" w:type="pct"/>
            <w:shd w:val="clear" w:color="auto" w:fill="D8D8D8" w:themeFill="background1" w:themeFillShade="D9"/>
            <w:vAlign w:val="bottom"/>
          </w:tcPr>
          <w:p w14:paraId="568AE395">
            <w:pPr>
              <w:pStyle w:val="55"/>
              <w:keepNext w:val="0"/>
              <w:keepLines w:val="0"/>
              <w:widowControl/>
              <w:suppressLineNumbers w:val="0"/>
              <w:spacing w:before="0" w:beforeAutospacing="0" w:afterAutospacing="0"/>
              <w:ind w:right="0"/>
              <w:rPr>
                <w:rFonts w:hint="default"/>
              </w:rPr>
            </w:pPr>
          </w:p>
        </w:tc>
      </w:tr>
      <w:tr w14:paraId="185ED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noWrap/>
            <w:vAlign w:val="bottom"/>
          </w:tcPr>
          <w:p w14:paraId="0AF3FCA1">
            <w:pPr>
              <w:pStyle w:val="55"/>
              <w:keepNext w:val="0"/>
              <w:keepLines w:val="0"/>
              <w:widowControl/>
              <w:suppressLineNumbers w:val="0"/>
              <w:spacing w:before="0" w:beforeAutospacing="0" w:afterAutospacing="0"/>
              <w:ind w:right="0"/>
              <w:rPr>
                <w:rFonts w:hint="default"/>
              </w:rPr>
            </w:pPr>
            <w:r>
              <w:rPr>
                <w:rFonts w:hint="default"/>
              </w:rPr>
              <w:t xml:space="preserve">BFD-OSL4 </w:t>
            </w:r>
          </w:p>
        </w:tc>
        <w:tc>
          <w:tcPr>
            <w:tcW w:w="472" w:type="pct"/>
            <w:noWrap/>
            <w:vAlign w:val="bottom"/>
          </w:tcPr>
          <w:p w14:paraId="4D2F6369">
            <w:pPr>
              <w:pStyle w:val="55"/>
              <w:keepNext w:val="0"/>
              <w:keepLines w:val="0"/>
              <w:widowControl/>
              <w:suppressLineNumbers w:val="0"/>
              <w:spacing w:before="0" w:beforeAutospacing="0" w:afterAutospacing="0"/>
              <w:ind w:right="0"/>
              <w:rPr>
                <w:rFonts w:hint="default" w:eastAsia="Calibri"/>
              </w:rPr>
            </w:pPr>
            <w:r>
              <w:rPr>
                <w:rFonts w:hint="default"/>
              </w:rPr>
              <w:t>104100</w:t>
            </w:r>
          </w:p>
        </w:tc>
        <w:tc>
          <w:tcPr>
            <w:tcW w:w="417" w:type="pct"/>
            <w:noWrap/>
            <w:vAlign w:val="bottom"/>
          </w:tcPr>
          <w:p w14:paraId="2E059274">
            <w:pPr>
              <w:pStyle w:val="55"/>
              <w:keepNext w:val="0"/>
              <w:keepLines w:val="0"/>
              <w:widowControl/>
              <w:suppressLineNumbers w:val="0"/>
              <w:spacing w:before="0" w:beforeAutospacing="0" w:afterAutospacing="0"/>
              <w:ind w:right="0"/>
              <w:rPr>
                <w:rFonts w:hint="default" w:eastAsia="Calibri"/>
              </w:rPr>
            </w:pPr>
            <w:r>
              <w:rPr>
                <w:rFonts w:hint="default"/>
              </w:rPr>
              <w:t>134400</w:t>
            </w:r>
          </w:p>
        </w:tc>
        <w:tc>
          <w:tcPr>
            <w:tcW w:w="465" w:type="pct"/>
            <w:noWrap/>
            <w:vAlign w:val="bottom"/>
          </w:tcPr>
          <w:p w14:paraId="26D047C8">
            <w:pPr>
              <w:pStyle w:val="55"/>
              <w:keepNext w:val="0"/>
              <w:keepLines w:val="0"/>
              <w:widowControl/>
              <w:suppressLineNumbers w:val="0"/>
              <w:spacing w:before="0" w:beforeAutospacing="0" w:afterAutospacing="0"/>
              <w:ind w:right="0"/>
              <w:rPr>
                <w:rFonts w:hint="default" w:eastAsia="Calibri"/>
              </w:rPr>
            </w:pPr>
            <w:r>
              <w:rPr>
                <w:rFonts w:hint="default"/>
              </w:rPr>
              <w:t>130500</w:t>
            </w:r>
          </w:p>
        </w:tc>
        <w:tc>
          <w:tcPr>
            <w:tcW w:w="461" w:type="pct"/>
            <w:noWrap/>
            <w:vAlign w:val="bottom"/>
          </w:tcPr>
          <w:p w14:paraId="1F5E7CC1">
            <w:pPr>
              <w:pStyle w:val="55"/>
              <w:keepNext w:val="0"/>
              <w:keepLines w:val="0"/>
              <w:widowControl/>
              <w:suppressLineNumbers w:val="0"/>
              <w:spacing w:before="0" w:beforeAutospacing="0" w:afterAutospacing="0"/>
              <w:ind w:right="0"/>
              <w:rPr>
                <w:rFonts w:hint="default" w:eastAsia="Calibri"/>
              </w:rPr>
            </w:pPr>
            <w:r>
              <w:rPr>
                <w:rFonts w:hint="default"/>
              </w:rPr>
              <w:t>108400</w:t>
            </w:r>
          </w:p>
        </w:tc>
        <w:tc>
          <w:tcPr>
            <w:tcW w:w="300" w:type="pct"/>
            <w:noWrap/>
            <w:vAlign w:val="bottom"/>
          </w:tcPr>
          <w:p w14:paraId="06E4BB54">
            <w:pPr>
              <w:pStyle w:val="55"/>
              <w:keepNext w:val="0"/>
              <w:keepLines w:val="0"/>
              <w:widowControl/>
              <w:suppressLineNumbers w:val="0"/>
              <w:spacing w:before="0" w:beforeAutospacing="0" w:afterAutospacing="0"/>
              <w:ind w:right="0"/>
              <w:rPr>
                <w:rFonts w:hint="default"/>
              </w:rPr>
            </w:pPr>
            <w:r>
              <w:rPr>
                <w:rFonts w:hint="default"/>
              </w:rPr>
              <w:t>0</w:t>
            </w:r>
          </w:p>
        </w:tc>
        <w:tc>
          <w:tcPr>
            <w:tcW w:w="494" w:type="pct"/>
            <w:noWrap/>
            <w:vAlign w:val="bottom"/>
          </w:tcPr>
          <w:p w14:paraId="0FF3365F">
            <w:pPr>
              <w:pStyle w:val="55"/>
              <w:keepNext w:val="0"/>
              <w:keepLines w:val="0"/>
              <w:widowControl/>
              <w:suppressLineNumbers w:val="0"/>
              <w:spacing w:before="0" w:beforeAutospacing="0" w:afterAutospacing="0"/>
              <w:ind w:right="0"/>
              <w:rPr>
                <w:rFonts w:hint="default"/>
              </w:rPr>
            </w:pPr>
            <w:r>
              <w:rPr>
                <w:rFonts w:hint="default"/>
              </w:rPr>
              <w:t>0</w:t>
            </w:r>
          </w:p>
        </w:tc>
        <w:tc>
          <w:tcPr>
            <w:tcW w:w="677" w:type="pct"/>
            <w:noWrap/>
            <w:vAlign w:val="bottom"/>
          </w:tcPr>
          <w:p w14:paraId="00799E7A">
            <w:pPr>
              <w:pStyle w:val="55"/>
              <w:keepNext w:val="0"/>
              <w:keepLines w:val="0"/>
              <w:widowControl/>
              <w:suppressLineNumbers w:val="0"/>
              <w:spacing w:before="0" w:beforeAutospacing="0" w:afterAutospacing="0"/>
              <w:ind w:right="0"/>
              <w:rPr>
                <w:rFonts w:hint="default"/>
              </w:rPr>
            </w:pPr>
            <w:r>
              <w:rPr>
                <w:rFonts w:hint="default"/>
              </w:rPr>
              <w:t>97.9</w:t>
            </w:r>
          </w:p>
        </w:tc>
        <w:tc>
          <w:tcPr>
            <w:tcW w:w="585" w:type="pct"/>
            <w:vAlign w:val="bottom"/>
          </w:tcPr>
          <w:p w14:paraId="54C15821">
            <w:pPr>
              <w:pStyle w:val="55"/>
              <w:keepNext w:val="0"/>
              <w:keepLines w:val="0"/>
              <w:widowControl/>
              <w:suppressLineNumbers w:val="0"/>
              <w:spacing w:before="0" w:beforeAutospacing="0" w:afterAutospacing="0"/>
              <w:ind w:right="0"/>
              <w:rPr>
                <w:rFonts w:hint="default"/>
              </w:rPr>
            </w:pPr>
            <w:r>
              <w:rPr>
                <w:rFonts w:hint="default"/>
              </w:rPr>
              <w:t>112.6</w:t>
            </w:r>
          </w:p>
        </w:tc>
      </w:tr>
      <w:tr w14:paraId="6D354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noWrap/>
            <w:vAlign w:val="bottom"/>
          </w:tcPr>
          <w:p w14:paraId="0896A19E">
            <w:pPr>
              <w:pStyle w:val="55"/>
              <w:keepNext w:val="0"/>
              <w:keepLines w:val="0"/>
              <w:widowControl/>
              <w:suppressLineNumbers w:val="0"/>
              <w:spacing w:before="0" w:beforeAutospacing="0" w:afterAutospacing="0"/>
              <w:ind w:right="0"/>
              <w:rPr>
                <w:rFonts w:hint="default" w:eastAsia="Calibri"/>
              </w:rPr>
            </w:pPr>
            <w:r>
              <w:rPr>
                <w:rFonts w:hint="default"/>
              </w:rPr>
              <w:t xml:space="preserve">BFD-OSL5 </w:t>
            </w:r>
          </w:p>
        </w:tc>
        <w:tc>
          <w:tcPr>
            <w:tcW w:w="472" w:type="pct"/>
            <w:vAlign w:val="bottom"/>
          </w:tcPr>
          <w:p w14:paraId="15C2E6A5">
            <w:pPr>
              <w:pStyle w:val="55"/>
              <w:keepNext w:val="0"/>
              <w:keepLines w:val="0"/>
              <w:widowControl/>
              <w:suppressLineNumbers w:val="0"/>
              <w:spacing w:before="0" w:beforeAutospacing="0" w:afterAutospacing="0"/>
              <w:ind w:right="0"/>
              <w:rPr>
                <w:rFonts w:hint="default" w:eastAsia="Calibri"/>
              </w:rPr>
            </w:pPr>
            <w:r>
              <w:rPr>
                <w:rFonts w:hint="default"/>
              </w:rPr>
              <w:t>114300</w:t>
            </w:r>
          </w:p>
        </w:tc>
        <w:tc>
          <w:tcPr>
            <w:tcW w:w="417" w:type="pct"/>
            <w:noWrap/>
            <w:vAlign w:val="bottom"/>
          </w:tcPr>
          <w:p w14:paraId="7116FCEA">
            <w:pPr>
              <w:pStyle w:val="55"/>
              <w:keepNext w:val="0"/>
              <w:keepLines w:val="0"/>
              <w:widowControl/>
              <w:suppressLineNumbers w:val="0"/>
              <w:spacing w:before="0" w:beforeAutospacing="0" w:afterAutospacing="0"/>
              <w:ind w:right="0"/>
              <w:rPr>
                <w:rFonts w:hint="default" w:eastAsia="Calibri"/>
              </w:rPr>
            </w:pPr>
            <w:r>
              <w:rPr>
                <w:rFonts w:hint="default"/>
              </w:rPr>
              <w:t>159000</w:t>
            </w:r>
          </w:p>
        </w:tc>
        <w:tc>
          <w:tcPr>
            <w:tcW w:w="465" w:type="pct"/>
            <w:noWrap/>
            <w:vAlign w:val="bottom"/>
          </w:tcPr>
          <w:p w14:paraId="19F186F6">
            <w:pPr>
              <w:pStyle w:val="55"/>
              <w:keepNext w:val="0"/>
              <w:keepLines w:val="0"/>
              <w:widowControl/>
              <w:suppressLineNumbers w:val="0"/>
              <w:spacing w:before="0" w:beforeAutospacing="0" w:afterAutospacing="0"/>
              <w:ind w:right="0"/>
              <w:rPr>
                <w:rFonts w:hint="default" w:eastAsia="Calibri"/>
              </w:rPr>
            </w:pPr>
            <w:r>
              <w:rPr>
                <w:rFonts w:hint="default"/>
              </w:rPr>
              <w:t>132100</w:t>
            </w:r>
          </w:p>
        </w:tc>
        <w:tc>
          <w:tcPr>
            <w:tcW w:w="461" w:type="pct"/>
            <w:noWrap/>
            <w:vAlign w:val="bottom"/>
          </w:tcPr>
          <w:p w14:paraId="61D338D9">
            <w:pPr>
              <w:pStyle w:val="55"/>
              <w:keepNext w:val="0"/>
              <w:keepLines w:val="0"/>
              <w:widowControl/>
              <w:suppressLineNumbers w:val="0"/>
              <w:spacing w:before="0" w:beforeAutospacing="0" w:afterAutospacing="0"/>
              <w:ind w:right="0"/>
              <w:rPr>
                <w:rFonts w:hint="default" w:eastAsia="Calibri"/>
              </w:rPr>
            </w:pPr>
            <w:r>
              <w:rPr>
                <w:rFonts w:hint="default"/>
              </w:rPr>
              <w:t>110400</w:t>
            </w:r>
          </w:p>
        </w:tc>
        <w:tc>
          <w:tcPr>
            <w:tcW w:w="300" w:type="pct"/>
            <w:noWrap/>
            <w:vAlign w:val="bottom"/>
          </w:tcPr>
          <w:p w14:paraId="7F38C07C">
            <w:pPr>
              <w:pStyle w:val="55"/>
              <w:keepNext w:val="0"/>
              <w:keepLines w:val="0"/>
              <w:widowControl/>
              <w:suppressLineNumbers w:val="0"/>
              <w:spacing w:before="0" w:beforeAutospacing="0" w:afterAutospacing="0"/>
              <w:ind w:right="0"/>
              <w:rPr>
                <w:rFonts w:hint="default"/>
              </w:rPr>
            </w:pPr>
            <w:r>
              <w:rPr>
                <w:rFonts w:hint="default"/>
              </w:rPr>
              <w:t>0</w:t>
            </w:r>
          </w:p>
        </w:tc>
        <w:tc>
          <w:tcPr>
            <w:tcW w:w="494" w:type="pct"/>
            <w:noWrap/>
            <w:vAlign w:val="bottom"/>
          </w:tcPr>
          <w:p w14:paraId="3F3D4537">
            <w:pPr>
              <w:pStyle w:val="55"/>
              <w:keepNext w:val="0"/>
              <w:keepLines w:val="0"/>
              <w:widowControl/>
              <w:suppressLineNumbers w:val="0"/>
              <w:spacing w:before="0" w:beforeAutospacing="0" w:afterAutospacing="0"/>
              <w:ind w:right="0"/>
              <w:rPr>
                <w:rFonts w:hint="default"/>
              </w:rPr>
            </w:pPr>
            <w:r>
              <w:rPr>
                <w:rFonts w:hint="default"/>
              </w:rPr>
              <w:t>0</w:t>
            </w:r>
          </w:p>
        </w:tc>
        <w:tc>
          <w:tcPr>
            <w:tcW w:w="677" w:type="pct"/>
            <w:noWrap/>
            <w:vAlign w:val="bottom"/>
          </w:tcPr>
          <w:p w14:paraId="2C9525AD">
            <w:pPr>
              <w:pStyle w:val="55"/>
              <w:keepNext w:val="0"/>
              <w:keepLines w:val="0"/>
              <w:widowControl/>
              <w:suppressLineNumbers w:val="0"/>
              <w:spacing w:before="0" w:beforeAutospacing="0" w:afterAutospacing="0"/>
              <w:ind w:right="0"/>
              <w:rPr>
                <w:rFonts w:hint="default"/>
              </w:rPr>
            </w:pPr>
            <w:r>
              <w:rPr>
                <w:rFonts w:hint="default"/>
              </w:rPr>
              <w:t>97.3</w:t>
            </w:r>
          </w:p>
        </w:tc>
        <w:tc>
          <w:tcPr>
            <w:tcW w:w="585" w:type="pct"/>
            <w:vAlign w:val="bottom"/>
          </w:tcPr>
          <w:p w14:paraId="70D31764">
            <w:pPr>
              <w:pStyle w:val="55"/>
              <w:keepNext w:val="0"/>
              <w:keepLines w:val="0"/>
              <w:widowControl/>
              <w:suppressLineNumbers w:val="0"/>
              <w:spacing w:before="0" w:beforeAutospacing="0" w:afterAutospacing="0"/>
              <w:ind w:right="0"/>
              <w:rPr>
                <w:rFonts w:hint="default"/>
              </w:rPr>
            </w:pPr>
            <w:r>
              <w:rPr>
                <w:rFonts w:hint="default"/>
              </w:rPr>
              <w:t>58.1</w:t>
            </w:r>
          </w:p>
        </w:tc>
      </w:tr>
      <w:tr w14:paraId="0339F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shd w:val="clear" w:color="auto" w:fill="D8D8D8" w:themeFill="background1" w:themeFillShade="D9"/>
            <w:noWrap/>
            <w:vAlign w:val="bottom"/>
          </w:tcPr>
          <w:p w14:paraId="2F8BEF43">
            <w:pPr>
              <w:pStyle w:val="55"/>
              <w:keepNext w:val="0"/>
              <w:keepLines w:val="0"/>
              <w:widowControl/>
              <w:suppressLineNumbers w:val="0"/>
              <w:spacing w:before="0" w:beforeAutospacing="0" w:afterAutospacing="0"/>
              <w:ind w:right="0"/>
              <w:rPr>
                <w:rFonts w:hint="default" w:eastAsia="Calibri"/>
              </w:rPr>
            </w:pPr>
            <w:r>
              <w:rPr>
                <w:rFonts w:hint="default"/>
              </w:rPr>
              <w:t xml:space="preserve">Start Layer 5 </w:t>
            </w:r>
          </w:p>
        </w:tc>
        <w:tc>
          <w:tcPr>
            <w:tcW w:w="472" w:type="pct"/>
            <w:shd w:val="clear" w:color="auto" w:fill="D8D8D8" w:themeFill="background1" w:themeFillShade="D9"/>
            <w:vAlign w:val="bottom"/>
          </w:tcPr>
          <w:p w14:paraId="2666AA98">
            <w:pPr>
              <w:pStyle w:val="55"/>
              <w:keepNext w:val="0"/>
              <w:keepLines w:val="0"/>
              <w:widowControl/>
              <w:suppressLineNumbers w:val="0"/>
              <w:spacing w:before="0" w:beforeAutospacing="0" w:afterAutospacing="0"/>
              <w:ind w:right="0"/>
              <w:rPr>
                <w:rFonts w:hint="default"/>
              </w:rPr>
            </w:pPr>
          </w:p>
        </w:tc>
        <w:tc>
          <w:tcPr>
            <w:tcW w:w="417" w:type="pct"/>
            <w:shd w:val="clear" w:color="auto" w:fill="D8D8D8" w:themeFill="background1" w:themeFillShade="D9"/>
            <w:noWrap/>
            <w:vAlign w:val="bottom"/>
          </w:tcPr>
          <w:p w14:paraId="4BAB471C">
            <w:pPr>
              <w:pStyle w:val="55"/>
              <w:keepNext w:val="0"/>
              <w:keepLines w:val="0"/>
              <w:widowControl/>
              <w:suppressLineNumbers w:val="0"/>
              <w:spacing w:before="0" w:beforeAutospacing="0" w:afterAutospacing="0"/>
              <w:ind w:right="0"/>
              <w:rPr>
                <w:rFonts w:hint="default"/>
              </w:rPr>
            </w:pPr>
          </w:p>
        </w:tc>
        <w:tc>
          <w:tcPr>
            <w:tcW w:w="465" w:type="pct"/>
            <w:shd w:val="clear" w:color="auto" w:fill="D8D8D8" w:themeFill="background1" w:themeFillShade="D9"/>
            <w:noWrap/>
            <w:vAlign w:val="bottom"/>
          </w:tcPr>
          <w:p w14:paraId="04D3D85D">
            <w:pPr>
              <w:pStyle w:val="55"/>
              <w:keepNext w:val="0"/>
              <w:keepLines w:val="0"/>
              <w:widowControl/>
              <w:suppressLineNumbers w:val="0"/>
              <w:spacing w:before="0" w:beforeAutospacing="0" w:afterAutospacing="0"/>
              <w:ind w:right="0"/>
              <w:rPr>
                <w:rFonts w:hint="default" w:eastAsia="Calibri"/>
              </w:rPr>
            </w:pPr>
            <w:r>
              <w:rPr>
                <w:rFonts w:hint="default"/>
              </w:rPr>
              <w:t>135200</w:t>
            </w:r>
          </w:p>
        </w:tc>
        <w:tc>
          <w:tcPr>
            <w:tcW w:w="461" w:type="pct"/>
            <w:shd w:val="clear" w:color="auto" w:fill="D8D8D8" w:themeFill="background1" w:themeFillShade="D9"/>
            <w:noWrap/>
            <w:vAlign w:val="bottom"/>
          </w:tcPr>
          <w:p w14:paraId="4E201D6F">
            <w:pPr>
              <w:pStyle w:val="55"/>
              <w:keepNext w:val="0"/>
              <w:keepLines w:val="0"/>
              <w:widowControl/>
              <w:suppressLineNumbers w:val="0"/>
              <w:spacing w:before="0" w:beforeAutospacing="0" w:afterAutospacing="0"/>
              <w:ind w:right="0"/>
              <w:rPr>
                <w:rFonts w:hint="default" w:eastAsia="Calibri"/>
              </w:rPr>
            </w:pPr>
            <w:r>
              <w:rPr>
                <w:rFonts w:hint="default"/>
              </w:rPr>
              <w:t>114400</w:t>
            </w:r>
          </w:p>
        </w:tc>
        <w:tc>
          <w:tcPr>
            <w:tcW w:w="300" w:type="pct"/>
            <w:shd w:val="clear" w:color="auto" w:fill="D8D8D8" w:themeFill="background1" w:themeFillShade="D9"/>
            <w:noWrap/>
            <w:vAlign w:val="bottom"/>
          </w:tcPr>
          <w:p w14:paraId="41160743">
            <w:pPr>
              <w:pStyle w:val="55"/>
              <w:keepNext w:val="0"/>
              <w:keepLines w:val="0"/>
              <w:widowControl/>
              <w:suppressLineNumbers w:val="0"/>
              <w:spacing w:before="0" w:beforeAutospacing="0" w:afterAutospacing="0"/>
              <w:ind w:right="0"/>
              <w:rPr>
                <w:rFonts w:hint="default"/>
              </w:rPr>
            </w:pPr>
          </w:p>
        </w:tc>
        <w:tc>
          <w:tcPr>
            <w:tcW w:w="494" w:type="pct"/>
            <w:shd w:val="clear" w:color="auto" w:fill="D8D8D8" w:themeFill="background1" w:themeFillShade="D9"/>
            <w:noWrap/>
            <w:vAlign w:val="bottom"/>
          </w:tcPr>
          <w:p w14:paraId="05216A50">
            <w:pPr>
              <w:pStyle w:val="55"/>
              <w:keepNext w:val="0"/>
              <w:keepLines w:val="0"/>
              <w:widowControl/>
              <w:suppressLineNumbers w:val="0"/>
              <w:spacing w:before="0" w:beforeAutospacing="0" w:afterAutospacing="0"/>
              <w:ind w:right="0"/>
              <w:rPr>
                <w:rFonts w:hint="default"/>
              </w:rPr>
            </w:pPr>
          </w:p>
        </w:tc>
        <w:tc>
          <w:tcPr>
            <w:tcW w:w="677" w:type="pct"/>
            <w:shd w:val="clear" w:color="auto" w:fill="D8D8D8" w:themeFill="background1" w:themeFillShade="D9"/>
            <w:noWrap/>
            <w:vAlign w:val="bottom"/>
          </w:tcPr>
          <w:p w14:paraId="6DF831C9">
            <w:pPr>
              <w:pStyle w:val="55"/>
              <w:keepNext w:val="0"/>
              <w:keepLines w:val="0"/>
              <w:widowControl/>
              <w:suppressLineNumbers w:val="0"/>
              <w:spacing w:before="0" w:beforeAutospacing="0" w:afterAutospacing="0"/>
              <w:ind w:right="0"/>
              <w:rPr>
                <w:rFonts w:hint="default"/>
              </w:rPr>
            </w:pPr>
            <w:r>
              <w:rPr>
                <w:rFonts w:hint="default"/>
              </w:rPr>
              <w:t>96.7</w:t>
            </w:r>
          </w:p>
        </w:tc>
        <w:tc>
          <w:tcPr>
            <w:tcW w:w="585" w:type="pct"/>
            <w:shd w:val="clear" w:color="auto" w:fill="D8D8D8" w:themeFill="background1" w:themeFillShade="D9"/>
            <w:vAlign w:val="bottom"/>
          </w:tcPr>
          <w:p w14:paraId="659AEB19">
            <w:pPr>
              <w:pStyle w:val="55"/>
              <w:keepNext w:val="0"/>
              <w:keepLines w:val="0"/>
              <w:widowControl/>
              <w:suppressLineNumbers w:val="0"/>
              <w:spacing w:before="0" w:beforeAutospacing="0" w:afterAutospacing="0"/>
              <w:ind w:right="0"/>
              <w:rPr>
                <w:rFonts w:hint="default"/>
              </w:rPr>
            </w:pPr>
          </w:p>
        </w:tc>
      </w:tr>
      <w:tr w14:paraId="55E03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shd w:val="clear" w:color="auto" w:fill="D8D8D8" w:themeFill="background1" w:themeFillShade="D9"/>
            <w:noWrap/>
            <w:vAlign w:val="bottom"/>
          </w:tcPr>
          <w:p w14:paraId="6244E644">
            <w:pPr>
              <w:pStyle w:val="55"/>
              <w:keepNext w:val="0"/>
              <w:keepLines w:val="0"/>
              <w:widowControl/>
              <w:suppressLineNumbers w:val="0"/>
              <w:spacing w:before="0" w:beforeAutospacing="0" w:afterAutospacing="0"/>
              <w:ind w:right="0"/>
              <w:rPr>
                <w:rFonts w:hint="default" w:eastAsia="Calibri"/>
              </w:rPr>
            </w:pPr>
            <w:r>
              <w:rPr>
                <w:rFonts w:hint="default"/>
              </w:rPr>
              <w:t xml:space="preserve">End Layer 6 </w:t>
            </w:r>
          </w:p>
        </w:tc>
        <w:tc>
          <w:tcPr>
            <w:tcW w:w="472" w:type="pct"/>
            <w:shd w:val="clear" w:color="auto" w:fill="D8D8D8" w:themeFill="background1" w:themeFillShade="D9"/>
            <w:vAlign w:val="bottom"/>
          </w:tcPr>
          <w:p w14:paraId="0842ADAE">
            <w:pPr>
              <w:pStyle w:val="55"/>
              <w:keepNext w:val="0"/>
              <w:keepLines w:val="0"/>
              <w:widowControl/>
              <w:suppressLineNumbers w:val="0"/>
              <w:spacing w:before="0" w:beforeAutospacing="0" w:afterAutospacing="0"/>
              <w:ind w:right="0"/>
              <w:rPr>
                <w:rFonts w:hint="default"/>
              </w:rPr>
            </w:pPr>
          </w:p>
        </w:tc>
        <w:tc>
          <w:tcPr>
            <w:tcW w:w="417" w:type="pct"/>
            <w:shd w:val="clear" w:color="auto" w:fill="D8D8D8" w:themeFill="background1" w:themeFillShade="D9"/>
            <w:noWrap/>
            <w:vAlign w:val="bottom"/>
          </w:tcPr>
          <w:p w14:paraId="010D90B5">
            <w:pPr>
              <w:pStyle w:val="55"/>
              <w:keepNext w:val="0"/>
              <w:keepLines w:val="0"/>
              <w:widowControl/>
              <w:suppressLineNumbers w:val="0"/>
              <w:spacing w:before="0" w:beforeAutospacing="0" w:afterAutospacing="0"/>
              <w:ind w:right="0"/>
              <w:rPr>
                <w:rFonts w:hint="default"/>
              </w:rPr>
            </w:pPr>
          </w:p>
        </w:tc>
        <w:tc>
          <w:tcPr>
            <w:tcW w:w="465" w:type="pct"/>
            <w:shd w:val="clear" w:color="auto" w:fill="D8D8D8" w:themeFill="background1" w:themeFillShade="D9"/>
            <w:noWrap/>
            <w:vAlign w:val="bottom"/>
          </w:tcPr>
          <w:p w14:paraId="00750E7B">
            <w:pPr>
              <w:pStyle w:val="55"/>
              <w:keepNext w:val="0"/>
              <w:keepLines w:val="0"/>
              <w:widowControl/>
              <w:suppressLineNumbers w:val="0"/>
              <w:spacing w:before="0" w:beforeAutospacing="0" w:afterAutospacing="0"/>
              <w:ind w:right="0"/>
              <w:rPr>
                <w:rFonts w:hint="default" w:eastAsia="Calibri"/>
              </w:rPr>
            </w:pPr>
            <w:r>
              <w:rPr>
                <w:rFonts w:hint="default"/>
              </w:rPr>
              <w:t>138400</w:t>
            </w:r>
          </w:p>
        </w:tc>
        <w:tc>
          <w:tcPr>
            <w:tcW w:w="461" w:type="pct"/>
            <w:shd w:val="clear" w:color="auto" w:fill="D8D8D8" w:themeFill="background1" w:themeFillShade="D9"/>
            <w:noWrap/>
            <w:vAlign w:val="bottom"/>
          </w:tcPr>
          <w:p w14:paraId="25B923EF">
            <w:pPr>
              <w:pStyle w:val="55"/>
              <w:keepNext w:val="0"/>
              <w:keepLines w:val="0"/>
              <w:widowControl/>
              <w:suppressLineNumbers w:val="0"/>
              <w:spacing w:before="0" w:beforeAutospacing="0" w:afterAutospacing="0"/>
              <w:ind w:right="0"/>
              <w:rPr>
                <w:rFonts w:hint="default" w:eastAsia="Calibri"/>
              </w:rPr>
            </w:pPr>
            <w:r>
              <w:rPr>
                <w:rFonts w:hint="default"/>
              </w:rPr>
              <w:t>120500</w:t>
            </w:r>
          </w:p>
        </w:tc>
        <w:tc>
          <w:tcPr>
            <w:tcW w:w="300" w:type="pct"/>
            <w:shd w:val="clear" w:color="auto" w:fill="D8D8D8" w:themeFill="background1" w:themeFillShade="D9"/>
            <w:noWrap/>
            <w:vAlign w:val="bottom"/>
          </w:tcPr>
          <w:p w14:paraId="4AA43CFC">
            <w:pPr>
              <w:pStyle w:val="55"/>
              <w:keepNext w:val="0"/>
              <w:keepLines w:val="0"/>
              <w:widowControl/>
              <w:suppressLineNumbers w:val="0"/>
              <w:spacing w:before="0" w:beforeAutospacing="0" w:afterAutospacing="0"/>
              <w:ind w:right="0"/>
              <w:rPr>
                <w:rFonts w:hint="default"/>
              </w:rPr>
            </w:pPr>
          </w:p>
        </w:tc>
        <w:tc>
          <w:tcPr>
            <w:tcW w:w="494" w:type="pct"/>
            <w:shd w:val="clear" w:color="auto" w:fill="D8D8D8" w:themeFill="background1" w:themeFillShade="D9"/>
            <w:noWrap/>
            <w:vAlign w:val="bottom"/>
          </w:tcPr>
          <w:p w14:paraId="19C460BC">
            <w:pPr>
              <w:pStyle w:val="55"/>
              <w:keepNext w:val="0"/>
              <w:keepLines w:val="0"/>
              <w:widowControl/>
              <w:suppressLineNumbers w:val="0"/>
              <w:spacing w:before="0" w:beforeAutospacing="0" w:afterAutospacing="0"/>
              <w:ind w:right="0"/>
              <w:rPr>
                <w:rFonts w:hint="default"/>
              </w:rPr>
            </w:pPr>
          </w:p>
        </w:tc>
        <w:tc>
          <w:tcPr>
            <w:tcW w:w="677" w:type="pct"/>
            <w:shd w:val="clear" w:color="auto" w:fill="D8D8D8" w:themeFill="background1" w:themeFillShade="D9"/>
            <w:noWrap/>
            <w:vAlign w:val="bottom"/>
          </w:tcPr>
          <w:p w14:paraId="1DBFCB8A">
            <w:pPr>
              <w:pStyle w:val="55"/>
              <w:keepNext w:val="0"/>
              <w:keepLines w:val="0"/>
              <w:widowControl/>
              <w:suppressLineNumbers w:val="0"/>
              <w:spacing w:before="0" w:beforeAutospacing="0" w:afterAutospacing="0"/>
              <w:ind w:right="0"/>
              <w:rPr>
                <w:rFonts w:hint="default"/>
              </w:rPr>
            </w:pPr>
            <w:r>
              <w:rPr>
                <w:rFonts w:hint="default"/>
              </w:rPr>
              <w:t>97.2</w:t>
            </w:r>
          </w:p>
        </w:tc>
        <w:tc>
          <w:tcPr>
            <w:tcW w:w="585" w:type="pct"/>
            <w:shd w:val="clear" w:color="auto" w:fill="D8D8D8" w:themeFill="background1" w:themeFillShade="D9"/>
            <w:vAlign w:val="bottom"/>
          </w:tcPr>
          <w:p w14:paraId="61F02C4C">
            <w:pPr>
              <w:pStyle w:val="55"/>
              <w:keepNext w:val="0"/>
              <w:keepLines w:val="0"/>
              <w:widowControl/>
              <w:suppressLineNumbers w:val="0"/>
              <w:spacing w:before="0" w:beforeAutospacing="0" w:afterAutospacing="0"/>
              <w:ind w:right="0"/>
              <w:rPr>
                <w:rFonts w:hint="default"/>
              </w:rPr>
            </w:pPr>
          </w:p>
        </w:tc>
      </w:tr>
      <w:tr w14:paraId="630DE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noWrap/>
            <w:vAlign w:val="bottom"/>
          </w:tcPr>
          <w:p w14:paraId="16BDDA4E">
            <w:pPr>
              <w:pStyle w:val="55"/>
              <w:keepNext w:val="0"/>
              <w:keepLines w:val="0"/>
              <w:widowControl/>
              <w:suppressLineNumbers w:val="0"/>
              <w:spacing w:before="0" w:beforeAutospacing="0" w:afterAutospacing="0"/>
              <w:ind w:right="0"/>
              <w:rPr>
                <w:rFonts w:hint="default"/>
              </w:rPr>
            </w:pPr>
            <w:r>
              <w:rPr>
                <w:rFonts w:hint="default"/>
              </w:rPr>
              <w:t xml:space="preserve">BFD-OSL6 </w:t>
            </w:r>
          </w:p>
        </w:tc>
        <w:tc>
          <w:tcPr>
            <w:tcW w:w="472" w:type="pct"/>
            <w:noWrap/>
            <w:vAlign w:val="bottom"/>
          </w:tcPr>
          <w:p w14:paraId="0C6C9E48">
            <w:pPr>
              <w:pStyle w:val="55"/>
              <w:keepNext w:val="0"/>
              <w:keepLines w:val="0"/>
              <w:widowControl/>
              <w:suppressLineNumbers w:val="0"/>
              <w:spacing w:before="0" w:beforeAutospacing="0" w:afterAutospacing="0"/>
              <w:ind w:right="0"/>
              <w:rPr>
                <w:rFonts w:hint="default" w:eastAsia="Calibri"/>
              </w:rPr>
            </w:pPr>
            <w:r>
              <w:rPr>
                <w:rFonts w:hint="default"/>
              </w:rPr>
              <w:t>123100</w:t>
            </w:r>
          </w:p>
        </w:tc>
        <w:tc>
          <w:tcPr>
            <w:tcW w:w="417" w:type="pct"/>
            <w:noWrap/>
            <w:vAlign w:val="bottom"/>
          </w:tcPr>
          <w:p w14:paraId="3E00EF9F">
            <w:pPr>
              <w:pStyle w:val="55"/>
              <w:keepNext w:val="0"/>
              <w:keepLines w:val="0"/>
              <w:widowControl/>
              <w:suppressLineNumbers w:val="0"/>
              <w:spacing w:before="0" w:beforeAutospacing="0" w:afterAutospacing="0"/>
              <w:ind w:right="0"/>
              <w:rPr>
                <w:rFonts w:hint="default" w:eastAsia="Calibri"/>
              </w:rPr>
            </w:pPr>
            <w:r>
              <w:rPr>
                <w:rFonts w:hint="default"/>
              </w:rPr>
              <w:t>158600</w:t>
            </w:r>
          </w:p>
        </w:tc>
        <w:tc>
          <w:tcPr>
            <w:tcW w:w="465" w:type="pct"/>
            <w:noWrap/>
            <w:vAlign w:val="bottom"/>
          </w:tcPr>
          <w:p w14:paraId="44F57AD5">
            <w:pPr>
              <w:pStyle w:val="55"/>
              <w:keepNext w:val="0"/>
              <w:keepLines w:val="0"/>
              <w:widowControl/>
              <w:suppressLineNumbers w:val="0"/>
              <w:spacing w:before="0" w:beforeAutospacing="0" w:afterAutospacing="0"/>
              <w:ind w:right="0"/>
              <w:rPr>
                <w:rFonts w:hint="default" w:eastAsia="Calibri"/>
              </w:rPr>
            </w:pPr>
            <w:r>
              <w:rPr>
                <w:rFonts w:hint="default"/>
              </w:rPr>
              <w:t>139400</w:t>
            </w:r>
          </w:p>
        </w:tc>
        <w:tc>
          <w:tcPr>
            <w:tcW w:w="461" w:type="pct"/>
            <w:noWrap/>
            <w:vAlign w:val="bottom"/>
          </w:tcPr>
          <w:p w14:paraId="18760F94">
            <w:pPr>
              <w:pStyle w:val="55"/>
              <w:keepNext w:val="0"/>
              <w:keepLines w:val="0"/>
              <w:widowControl/>
              <w:suppressLineNumbers w:val="0"/>
              <w:spacing w:before="0" w:beforeAutospacing="0" w:afterAutospacing="0"/>
              <w:ind w:right="0"/>
              <w:rPr>
                <w:rFonts w:hint="default" w:eastAsia="Calibri"/>
              </w:rPr>
            </w:pPr>
            <w:r>
              <w:rPr>
                <w:rFonts w:hint="default"/>
              </w:rPr>
              <w:t>124900</w:t>
            </w:r>
          </w:p>
        </w:tc>
        <w:tc>
          <w:tcPr>
            <w:tcW w:w="300" w:type="pct"/>
            <w:noWrap/>
            <w:vAlign w:val="bottom"/>
          </w:tcPr>
          <w:p w14:paraId="04405E36">
            <w:pPr>
              <w:pStyle w:val="55"/>
              <w:keepNext w:val="0"/>
              <w:keepLines w:val="0"/>
              <w:widowControl/>
              <w:suppressLineNumbers w:val="0"/>
              <w:spacing w:before="0" w:beforeAutospacing="0" w:afterAutospacing="0"/>
              <w:ind w:right="0"/>
              <w:rPr>
                <w:rFonts w:hint="default"/>
              </w:rPr>
            </w:pPr>
            <w:r>
              <w:rPr>
                <w:rFonts w:hint="default"/>
              </w:rPr>
              <w:t>0</w:t>
            </w:r>
          </w:p>
        </w:tc>
        <w:tc>
          <w:tcPr>
            <w:tcW w:w="494" w:type="pct"/>
            <w:noWrap/>
            <w:vAlign w:val="bottom"/>
          </w:tcPr>
          <w:p w14:paraId="346AEEFF">
            <w:pPr>
              <w:pStyle w:val="55"/>
              <w:keepNext w:val="0"/>
              <w:keepLines w:val="0"/>
              <w:widowControl/>
              <w:suppressLineNumbers w:val="0"/>
              <w:spacing w:before="0" w:beforeAutospacing="0" w:afterAutospacing="0"/>
              <w:ind w:right="0"/>
              <w:rPr>
                <w:rFonts w:hint="default"/>
              </w:rPr>
            </w:pPr>
            <w:r>
              <w:rPr>
                <w:rFonts w:hint="default"/>
              </w:rPr>
              <w:t>0</w:t>
            </w:r>
          </w:p>
        </w:tc>
        <w:tc>
          <w:tcPr>
            <w:tcW w:w="677" w:type="pct"/>
            <w:noWrap/>
            <w:vAlign w:val="bottom"/>
          </w:tcPr>
          <w:p w14:paraId="055F7B04">
            <w:pPr>
              <w:pStyle w:val="55"/>
              <w:keepNext w:val="0"/>
              <w:keepLines w:val="0"/>
              <w:widowControl/>
              <w:suppressLineNumbers w:val="0"/>
              <w:spacing w:before="0" w:beforeAutospacing="0" w:afterAutospacing="0"/>
              <w:ind w:right="0"/>
              <w:rPr>
                <w:rFonts w:hint="default"/>
              </w:rPr>
            </w:pPr>
            <w:r>
              <w:rPr>
                <w:rFonts w:hint="default"/>
              </w:rPr>
              <w:t>98.9</w:t>
            </w:r>
          </w:p>
        </w:tc>
        <w:tc>
          <w:tcPr>
            <w:tcW w:w="585" w:type="pct"/>
            <w:vAlign w:val="bottom"/>
          </w:tcPr>
          <w:p w14:paraId="3AFEFBC8">
            <w:pPr>
              <w:pStyle w:val="55"/>
              <w:keepNext w:val="0"/>
              <w:keepLines w:val="0"/>
              <w:widowControl/>
              <w:suppressLineNumbers w:val="0"/>
              <w:spacing w:before="0" w:beforeAutospacing="0" w:afterAutospacing="0"/>
              <w:ind w:right="0"/>
              <w:rPr>
                <w:rFonts w:hint="default"/>
              </w:rPr>
            </w:pPr>
            <w:r>
              <w:rPr>
                <w:rFonts w:hint="default"/>
              </w:rPr>
              <w:t>99</w:t>
            </w:r>
          </w:p>
        </w:tc>
      </w:tr>
      <w:tr w14:paraId="441EA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shd w:val="clear" w:color="auto" w:fill="D8D8D8" w:themeFill="background1" w:themeFillShade="D9"/>
            <w:noWrap/>
            <w:vAlign w:val="bottom"/>
          </w:tcPr>
          <w:p w14:paraId="280C3CF6">
            <w:pPr>
              <w:pStyle w:val="55"/>
              <w:keepNext w:val="0"/>
              <w:keepLines w:val="0"/>
              <w:widowControl/>
              <w:suppressLineNumbers w:val="0"/>
              <w:spacing w:before="0" w:beforeAutospacing="0" w:afterAutospacing="0"/>
              <w:ind w:right="0"/>
              <w:rPr>
                <w:rFonts w:hint="default"/>
              </w:rPr>
            </w:pPr>
            <w:r>
              <w:rPr>
                <w:rFonts w:hint="default"/>
              </w:rPr>
              <w:t xml:space="preserve">Start Layer 6 </w:t>
            </w:r>
          </w:p>
        </w:tc>
        <w:tc>
          <w:tcPr>
            <w:tcW w:w="472" w:type="pct"/>
            <w:shd w:val="clear" w:color="auto" w:fill="D8D8D8" w:themeFill="background1" w:themeFillShade="D9"/>
            <w:noWrap/>
            <w:vAlign w:val="bottom"/>
          </w:tcPr>
          <w:p w14:paraId="788B76D7">
            <w:pPr>
              <w:pStyle w:val="55"/>
              <w:keepNext w:val="0"/>
              <w:keepLines w:val="0"/>
              <w:widowControl/>
              <w:suppressLineNumbers w:val="0"/>
              <w:spacing w:before="0" w:beforeAutospacing="0" w:afterAutospacing="0"/>
              <w:ind w:right="0"/>
              <w:rPr>
                <w:rFonts w:hint="default"/>
              </w:rPr>
            </w:pPr>
          </w:p>
        </w:tc>
        <w:tc>
          <w:tcPr>
            <w:tcW w:w="417" w:type="pct"/>
            <w:shd w:val="clear" w:color="auto" w:fill="D8D8D8" w:themeFill="background1" w:themeFillShade="D9"/>
            <w:noWrap/>
            <w:vAlign w:val="bottom"/>
          </w:tcPr>
          <w:p w14:paraId="195B0F44">
            <w:pPr>
              <w:pStyle w:val="55"/>
              <w:keepNext w:val="0"/>
              <w:keepLines w:val="0"/>
              <w:widowControl/>
              <w:suppressLineNumbers w:val="0"/>
              <w:spacing w:before="0" w:beforeAutospacing="0" w:afterAutospacing="0"/>
              <w:ind w:right="0"/>
              <w:rPr>
                <w:rFonts w:hint="default"/>
              </w:rPr>
            </w:pPr>
          </w:p>
        </w:tc>
        <w:tc>
          <w:tcPr>
            <w:tcW w:w="465" w:type="pct"/>
            <w:shd w:val="clear" w:color="auto" w:fill="D8D8D8" w:themeFill="background1" w:themeFillShade="D9"/>
            <w:noWrap/>
            <w:vAlign w:val="bottom"/>
          </w:tcPr>
          <w:p w14:paraId="5565729A">
            <w:pPr>
              <w:pStyle w:val="55"/>
              <w:keepNext w:val="0"/>
              <w:keepLines w:val="0"/>
              <w:widowControl/>
              <w:suppressLineNumbers w:val="0"/>
              <w:spacing w:before="0" w:beforeAutospacing="0" w:afterAutospacing="0"/>
              <w:ind w:right="0"/>
              <w:rPr>
                <w:rFonts w:hint="default" w:eastAsia="Calibri"/>
              </w:rPr>
            </w:pPr>
            <w:r>
              <w:rPr>
                <w:rFonts w:hint="default"/>
              </w:rPr>
              <w:t>140400</w:t>
            </w:r>
          </w:p>
        </w:tc>
        <w:tc>
          <w:tcPr>
            <w:tcW w:w="461" w:type="pct"/>
            <w:shd w:val="clear" w:color="auto" w:fill="D8D8D8" w:themeFill="background1" w:themeFillShade="D9"/>
            <w:noWrap/>
            <w:vAlign w:val="bottom"/>
          </w:tcPr>
          <w:p w14:paraId="2FEA620D">
            <w:pPr>
              <w:pStyle w:val="55"/>
              <w:keepNext w:val="0"/>
              <w:keepLines w:val="0"/>
              <w:widowControl/>
              <w:suppressLineNumbers w:val="0"/>
              <w:spacing w:before="0" w:beforeAutospacing="0" w:afterAutospacing="0"/>
              <w:ind w:right="0"/>
              <w:rPr>
                <w:rFonts w:hint="default" w:eastAsia="Calibri"/>
              </w:rPr>
            </w:pPr>
            <w:r>
              <w:rPr>
                <w:rFonts w:hint="default"/>
              </w:rPr>
              <w:t>127200</w:t>
            </w:r>
          </w:p>
        </w:tc>
        <w:tc>
          <w:tcPr>
            <w:tcW w:w="300" w:type="pct"/>
            <w:shd w:val="clear" w:color="auto" w:fill="D8D8D8" w:themeFill="background1" w:themeFillShade="D9"/>
            <w:noWrap/>
            <w:vAlign w:val="bottom"/>
          </w:tcPr>
          <w:p w14:paraId="4DC059F9">
            <w:pPr>
              <w:pStyle w:val="55"/>
              <w:keepNext w:val="0"/>
              <w:keepLines w:val="0"/>
              <w:widowControl/>
              <w:suppressLineNumbers w:val="0"/>
              <w:spacing w:before="0" w:beforeAutospacing="0" w:afterAutospacing="0"/>
              <w:ind w:right="0"/>
              <w:rPr>
                <w:rFonts w:hint="default"/>
              </w:rPr>
            </w:pPr>
          </w:p>
        </w:tc>
        <w:tc>
          <w:tcPr>
            <w:tcW w:w="494" w:type="pct"/>
            <w:shd w:val="clear" w:color="auto" w:fill="D8D8D8" w:themeFill="background1" w:themeFillShade="D9"/>
            <w:noWrap/>
            <w:vAlign w:val="bottom"/>
          </w:tcPr>
          <w:p w14:paraId="674889B6">
            <w:pPr>
              <w:pStyle w:val="55"/>
              <w:keepNext w:val="0"/>
              <w:keepLines w:val="0"/>
              <w:widowControl/>
              <w:suppressLineNumbers w:val="0"/>
              <w:spacing w:before="0" w:beforeAutospacing="0" w:afterAutospacing="0"/>
              <w:ind w:right="0"/>
              <w:rPr>
                <w:rFonts w:hint="default"/>
              </w:rPr>
            </w:pPr>
          </w:p>
        </w:tc>
        <w:tc>
          <w:tcPr>
            <w:tcW w:w="677" w:type="pct"/>
            <w:shd w:val="clear" w:color="auto" w:fill="D8D8D8" w:themeFill="background1" w:themeFillShade="D9"/>
            <w:noWrap/>
            <w:vAlign w:val="bottom"/>
          </w:tcPr>
          <w:p w14:paraId="64D7E64E">
            <w:pPr>
              <w:pStyle w:val="55"/>
              <w:keepNext w:val="0"/>
              <w:keepLines w:val="0"/>
              <w:widowControl/>
              <w:suppressLineNumbers w:val="0"/>
              <w:spacing w:before="0" w:beforeAutospacing="0" w:afterAutospacing="0"/>
              <w:ind w:right="0"/>
              <w:rPr>
                <w:rFonts w:hint="default"/>
              </w:rPr>
            </w:pPr>
            <w:r>
              <w:rPr>
                <w:rFonts w:hint="default"/>
              </w:rPr>
              <w:t>98.4</w:t>
            </w:r>
          </w:p>
        </w:tc>
        <w:tc>
          <w:tcPr>
            <w:tcW w:w="585" w:type="pct"/>
            <w:shd w:val="clear" w:color="auto" w:fill="D8D8D8" w:themeFill="background1" w:themeFillShade="D9"/>
            <w:vAlign w:val="bottom"/>
          </w:tcPr>
          <w:p w14:paraId="49AB1A59">
            <w:pPr>
              <w:pStyle w:val="55"/>
              <w:keepNext w:val="0"/>
              <w:keepLines w:val="0"/>
              <w:widowControl/>
              <w:suppressLineNumbers w:val="0"/>
              <w:spacing w:before="0" w:beforeAutospacing="0" w:afterAutospacing="0"/>
              <w:ind w:right="0"/>
              <w:rPr>
                <w:rFonts w:hint="default"/>
              </w:rPr>
            </w:pPr>
          </w:p>
        </w:tc>
      </w:tr>
      <w:tr w14:paraId="68E14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shd w:val="clear" w:color="auto" w:fill="D8D8D8" w:themeFill="background1" w:themeFillShade="D9"/>
            <w:noWrap/>
            <w:vAlign w:val="bottom"/>
          </w:tcPr>
          <w:p w14:paraId="6690C008">
            <w:pPr>
              <w:pStyle w:val="55"/>
              <w:keepNext w:val="0"/>
              <w:keepLines w:val="0"/>
              <w:widowControl/>
              <w:suppressLineNumbers w:val="0"/>
              <w:spacing w:before="0" w:beforeAutospacing="0" w:afterAutospacing="0"/>
              <w:ind w:right="0"/>
              <w:rPr>
                <w:rFonts w:hint="default"/>
              </w:rPr>
            </w:pPr>
            <w:r>
              <w:rPr>
                <w:rFonts w:hint="default"/>
              </w:rPr>
              <w:t xml:space="preserve">End Layer 7 </w:t>
            </w:r>
          </w:p>
        </w:tc>
        <w:tc>
          <w:tcPr>
            <w:tcW w:w="472" w:type="pct"/>
            <w:shd w:val="clear" w:color="auto" w:fill="D8D8D8" w:themeFill="background1" w:themeFillShade="D9"/>
            <w:noWrap/>
            <w:vAlign w:val="bottom"/>
          </w:tcPr>
          <w:p w14:paraId="5A23F25C">
            <w:pPr>
              <w:pStyle w:val="55"/>
              <w:keepNext w:val="0"/>
              <w:keepLines w:val="0"/>
              <w:widowControl/>
              <w:suppressLineNumbers w:val="0"/>
              <w:spacing w:before="0" w:beforeAutospacing="0" w:afterAutospacing="0"/>
              <w:ind w:right="0"/>
              <w:rPr>
                <w:rFonts w:hint="default"/>
              </w:rPr>
            </w:pPr>
          </w:p>
        </w:tc>
        <w:tc>
          <w:tcPr>
            <w:tcW w:w="417" w:type="pct"/>
            <w:shd w:val="clear" w:color="auto" w:fill="D8D8D8" w:themeFill="background1" w:themeFillShade="D9"/>
            <w:noWrap/>
            <w:vAlign w:val="bottom"/>
          </w:tcPr>
          <w:p w14:paraId="30158C23">
            <w:pPr>
              <w:pStyle w:val="55"/>
              <w:keepNext w:val="0"/>
              <w:keepLines w:val="0"/>
              <w:widowControl/>
              <w:suppressLineNumbers w:val="0"/>
              <w:spacing w:before="0" w:beforeAutospacing="0" w:afterAutospacing="0"/>
              <w:ind w:right="0"/>
              <w:rPr>
                <w:rFonts w:hint="default"/>
              </w:rPr>
            </w:pPr>
          </w:p>
        </w:tc>
        <w:tc>
          <w:tcPr>
            <w:tcW w:w="465" w:type="pct"/>
            <w:shd w:val="clear" w:color="auto" w:fill="D8D8D8" w:themeFill="background1" w:themeFillShade="D9"/>
            <w:noWrap/>
            <w:vAlign w:val="bottom"/>
          </w:tcPr>
          <w:p w14:paraId="45ADF6F4">
            <w:pPr>
              <w:pStyle w:val="55"/>
              <w:keepNext w:val="0"/>
              <w:keepLines w:val="0"/>
              <w:widowControl/>
              <w:suppressLineNumbers w:val="0"/>
              <w:spacing w:before="0" w:beforeAutospacing="0" w:afterAutospacing="0"/>
              <w:ind w:right="0"/>
              <w:rPr>
                <w:rFonts w:hint="default" w:eastAsia="Calibri"/>
              </w:rPr>
            </w:pPr>
            <w:r>
              <w:rPr>
                <w:rFonts w:hint="default"/>
              </w:rPr>
              <w:t>141700</w:t>
            </w:r>
          </w:p>
        </w:tc>
        <w:tc>
          <w:tcPr>
            <w:tcW w:w="461" w:type="pct"/>
            <w:shd w:val="clear" w:color="auto" w:fill="D8D8D8" w:themeFill="background1" w:themeFillShade="D9"/>
            <w:noWrap/>
            <w:vAlign w:val="bottom"/>
          </w:tcPr>
          <w:p w14:paraId="3DE7B91F">
            <w:pPr>
              <w:pStyle w:val="55"/>
              <w:keepNext w:val="0"/>
              <w:keepLines w:val="0"/>
              <w:widowControl/>
              <w:suppressLineNumbers w:val="0"/>
              <w:spacing w:before="0" w:beforeAutospacing="0" w:afterAutospacing="0"/>
              <w:ind w:right="0"/>
              <w:rPr>
                <w:rFonts w:hint="default" w:eastAsia="Calibri"/>
              </w:rPr>
            </w:pPr>
            <w:r>
              <w:rPr>
                <w:rFonts w:hint="default"/>
              </w:rPr>
              <w:t>134100</w:t>
            </w:r>
          </w:p>
        </w:tc>
        <w:tc>
          <w:tcPr>
            <w:tcW w:w="300" w:type="pct"/>
            <w:shd w:val="clear" w:color="auto" w:fill="D8D8D8" w:themeFill="background1" w:themeFillShade="D9"/>
            <w:noWrap/>
            <w:vAlign w:val="bottom"/>
          </w:tcPr>
          <w:p w14:paraId="7DB5A2DD">
            <w:pPr>
              <w:pStyle w:val="55"/>
              <w:keepNext w:val="0"/>
              <w:keepLines w:val="0"/>
              <w:widowControl/>
              <w:suppressLineNumbers w:val="0"/>
              <w:spacing w:before="0" w:beforeAutospacing="0" w:afterAutospacing="0"/>
              <w:ind w:right="0"/>
              <w:rPr>
                <w:rFonts w:hint="default"/>
              </w:rPr>
            </w:pPr>
          </w:p>
        </w:tc>
        <w:tc>
          <w:tcPr>
            <w:tcW w:w="494" w:type="pct"/>
            <w:shd w:val="clear" w:color="auto" w:fill="D8D8D8" w:themeFill="background1" w:themeFillShade="D9"/>
            <w:noWrap/>
            <w:vAlign w:val="bottom"/>
          </w:tcPr>
          <w:p w14:paraId="3C35F8DD">
            <w:pPr>
              <w:pStyle w:val="55"/>
              <w:keepNext w:val="0"/>
              <w:keepLines w:val="0"/>
              <w:widowControl/>
              <w:suppressLineNumbers w:val="0"/>
              <w:spacing w:before="0" w:beforeAutospacing="0" w:afterAutospacing="0"/>
              <w:ind w:right="0"/>
              <w:rPr>
                <w:rFonts w:hint="default"/>
              </w:rPr>
            </w:pPr>
          </w:p>
        </w:tc>
        <w:tc>
          <w:tcPr>
            <w:tcW w:w="677" w:type="pct"/>
            <w:shd w:val="clear" w:color="auto" w:fill="D8D8D8" w:themeFill="background1" w:themeFillShade="D9"/>
            <w:noWrap/>
            <w:vAlign w:val="bottom"/>
          </w:tcPr>
          <w:p w14:paraId="7D99046F">
            <w:pPr>
              <w:pStyle w:val="55"/>
              <w:keepNext w:val="0"/>
              <w:keepLines w:val="0"/>
              <w:widowControl/>
              <w:suppressLineNumbers w:val="0"/>
              <w:spacing w:before="0" w:beforeAutospacing="0" w:afterAutospacing="0"/>
              <w:ind w:right="0"/>
              <w:rPr>
                <w:rFonts w:hint="default"/>
              </w:rPr>
            </w:pPr>
            <w:r>
              <w:rPr>
                <w:rFonts w:hint="default"/>
              </w:rPr>
              <w:t>98.1</w:t>
            </w:r>
          </w:p>
        </w:tc>
        <w:tc>
          <w:tcPr>
            <w:tcW w:w="585" w:type="pct"/>
            <w:shd w:val="clear" w:color="auto" w:fill="D8D8D8" w:themeFill="background1" w:themeFillShade="D9"/>
            <w:vAlign w:val="bottom"/>
          </w:tcPr>
          <w:p w14:paraId="724C0178">
            <w:pPr>
              <w:pStyle w:val="55"/>
              <w:keepNext w:val="0"/>
              <w:keepLines w:val="0"/>
              <w:widowControl/>
              <w:suppressLineNumbers w:val="0"/>
              <w:spacing w:before="0" w:beforeAutospacing="0" w:afterAutospacing="0"/>
              <w:ind w:right="0"/>
              <w:rPr>
                <w:rFonts w:hint="default"/>
              </w:rPr>
            </w:pPr>
          </w:p>
        </w:tc>
      </w:tr>
      <w:tr w14:paraId="5488B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noWrap/>
            <w:vAlign w:val="bottom"/>
          </w:tcPr>
          <w:p w14:paraId="26A86C69">
            <w:pPr>
              <w:pStyle w:val="55"/>
              <w:keepNext w:val="0"/>
              <w:keepLines w:val="0"/>
              <w:widowControl/>
              <w:suppressLineNumbers w:val="0"/>
              <w:spacing w:before="0" w:beforeAutospacing="0" w:afterAutospacing="0"/>
              <w:ind w:right="0"/>
              <w:rPr>
                <w:rFonts w:hint="default"/>
                <w:color w:val="FF0000"/>
              </w:rPr>
            </w:pPr>
            <w:r>
              <w:rPr>
                <w:rFonts w:hint="default"/>
              </w:rPr>
              <w:t xml:space="preserve">BF7-F1 </w:t>
            </w:r>
          </w:p>
        </w:tc>
        <w:tc>
          <w:tcPr>
            <w:tcW w:w="472" w:type="pct"/>
            <w:noWrap/>
            <w:vAlign w:val="bottom"/>
          </w:tcPr>
          <w:p w14:paraId="2653CEEA">
            <w:pPr>
              <w:pStyle w:val="55"/>
              <w:keepNext w:val="0"/>
              <w:keepLines w:val="0"/>
              <w:widowControl/>
              <w:suppressLineNumbers w:val="0"/>
              <w:spacing w:before="0" w:beforeAutospacing="0" w:afterAutospacing="0"/>
              <w:ind w:right="0"/>
              <w:rPr>
                <w:rFonts w:hint="default" w:eastAsia="Calibri"/>
              </w:rPr>
            </w:pPr>
            <w:r>
              <w:rPr>
                <w:rFonts w:hint="default"/>
              </w:rPr>
              <w:t>137200</w:t>
            </w:r>
          </w:p>
        </w:tc>
        <w:tc>
          <w:tcPr>
            <w:tcW w:w="417" w:type="pct"/>
            <w:noWrap/>
            <w:vAlign w:val="bottom"/>
          </w:tcPr>
          <w:p w14:paraId="7835A785">
            <w:pPr>
              <w:pStyle w:val="55"/>
              <w:keepNext w:val="0"/>
              <w:keepLines w:val="0"/>
              <w:widowControl/>
              <w:suppressLineNumbers w:val="0"/>
              <w:spacing w:before="0" w:beforeAutospacing="0" w:afterAutospacing="0"/>
              <w:ind w:right="0"/>
              <w:rPr>
                <w:rFonts w:hint="default" w:eastAsia="Calibri"/>
              </w:rPr>
            </w:pPr>
            <w:r>
              <w:rPr>
                <w:rFonts w:hint="default"/>
              </w:rPr>
              <w:t>143600</w:t>
            </w:r>
          </w:p>
        </w:tc>
        <w:tc>
          <w:tcPr>
            <w:tcW w:w="465" w:type="pct"/>
            <w:noWrap/>
            <w:vAlign w:val="bottom"/>
          </w:tcPr>
          <w:p w14:paraId="3D688237">
            <w:pPr>
              <w:pStyle w:val="55"/>
              <w:keepNext w:val="0"/>
              <w:keepLines w:val="0"/>
              <w:widowControl/>
              <w:suppressLineNumbers w:val="0"/>
              <w:spacing w:before="0" w:beforeAutospacing="0" w:afterAutospacing="0"/>
              <w:ind w:right="0"/>
              <w:rPr>
                <w:rFonts w:hint="default" w:eastAsia="Calibri"/>
              </w:rPr>
            </w:pPr>
            <w:r>
              <w:rPr>
                <w:rFonts w:hint="default"/>
              </w:rPr>
              <w:t>142800</w:t>
            </w:r>
          </w:p>
        </w:tc>
        <w:tc>
          <w:tcPr>
            <w:tcW w:w="461" w:type="pct"/>
            <w:noWrap/>
            <w:vAlign w:val="bottom"/>
          </w:tcPr>
          <w:p w14:paraId="6D585D35">
            <w:pPr>
              <w:pStyle w:val="55"/>
              <w:keepNext w:val="0"/>
              <w:keepLines w:val="0"/>
              <w:widowControl/>
              <w:suppressLineNumbers w:val="0"/>
              <w:spacing w:before="0" w:beforeAutospacing="0" w:afterAutospacing="0"/>
              <w:ind w:right="0"/>
              <w:rPr>
                <w:rFonts w:hint="default" w:eastAsia="Calibri"/>
              </w:rPr>
            </w:pPr>
            <w:r>
              <w:rPr>
                <w:rFonts w:hint="default"/>
              </w:rPr>
              <w:t>138200</w:t>
            </w:r>
          </w:p>
        </w:tc>
        <w:tc>
          <w:tcPr>
            <w:tcW w:w="300" w:type="pct"/>
            <w:noWrap/>
            <w:vAlign w:val="bottom"/>
          </w:tcPr>
          <w:p w14:paraId="71FCA34D">
            <w:pPr>
              <w:pStyle w:val="55"/>
              <w:keepNext w:val="0"/>
              <w:keepLines w:val="0"/>
              <w:widowControl/>
              <w:suppressLineNumbers w:val="0"/>
              <w:spacing w:before="0" w:beforeAutospacing="0" w:afterAutospacing="0"/>
              <w:ind w:right="0"/>
              <w:rPr>
                <w:rFonts w:hint="default"/>
              </w:rPr>
            </w:pPr>
            <w:r>
              <w:rPr>
                <w:rFonts w:hint="default"/>
              </w:rPr>
              <w:t>0</w:t>
            </w:r>
          </w:p>
        </w:tc>
        <w:tc>
          <w:tcPr>
            <w:tcW w:w="494" w:type="pct"/>
            <w:noWrap/>
            <w:vAlign w:val="bottom"/>
          </w:tcPr>
          <w:p w14:paraId="0411B44B">
            <w:pPr>
              <w:pStyle w:val="55"/>
              <w:keepNext w:val="0"/>
              <w:keepLines w:val="0"/>
              <w:widowControl/>
              <w:suppressLineNumbers w:val="0"/>
              <w:spacing w:before="0" w:beforeAutospacing="0" w:afterAutospacing="0"/>
              <w:ind w:right="0"/>
              <w:rPr>
                <w:rFonts w:hint="default"/>
              </w:rPr>
            </w:pPr>
            <w:r>
              <w:rPr>
                <w:rFonts w:hint="default"/>
              </w:rPr>
              <w:t>0</w:t>
            </w:r>
          </w:p>
        </w:tc>
        <w:tc>
          <w:tcPr>
            <w:tcW w:w="677" w:type="pct"/>
            <w:noWrap/>
            <w:vAlign w:val="bottom"/>
          </w:tcPr>
          <w:p w14:paraId="363E4357">
            <w:pPr>
              <w:pStyle w:val="55"/>
              <w:keepNext w:val="0"/>
              <w:keepLines w:val="0"/>
              <w:widowControl/>
              <w:suppressLineNumbers w:val="0"/>
              <w:spacing w:before="0" w:beforeAutospacing="0" w:afterAutospacing="0"/>
              <w:ind w:right="0"/>
              <w:rPr>
                <w:rFonts w:hint="default"/>
              </w:rPr>
            </w:pPr>
            <w:r>
              <w:rPr>
                <w:rFonts w:hint="default"/>
              </w:rPr>
              <w:t>99.5</w:t>
            </w:r>
          </w:p>
        </w:tc>
        <w:tc>
          <w:tcPr>
            <w:tcW w:w="585" w:type="pct"/>
            <w:vAlign w:val="bottom"/>
          </w:tcPr>
          <w:p w14:paraId="0DAA2CE3">
            <w:pPr>
              <w:pStyle w:val="55"/>
              <w:keepNext w:val="0"/>
              <w:keepLines w:val="0"/>
              <w:widowControl/>
              <w:suppressLineNumbers w:val="0"/>
              <w:spacing w:before="0" w:beforeAutospacing="0" w:afterAutospacing="0"/>
              <w:ind w:right="0"/>
              <w:rPr>
                <w:rFonts w:hint="default"/>
                <w:color w:val="FF0000"/>
              </w:rPr>
            </w:pPr>
            <w:r>
              <w:rPr>
                <w:rFonts w:hint="default"/>
              </w:rPr>
              <w:t>114.7</w:t>
            </w:r>
          </w:p>
        </w:tc>
      </w:tr>
      <w:tr w14:paraId="6DEDC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noWrap/>
            <w:vAlign w:val="bottom"/>
          </w:tcPr>
          <w:p w14:paraId="1AE7BC2D">
            <w:pPr>
              <w:pStyle w:val="55"/>
              <w:keepNext w:val="0"/>
              <w:keepLines w:val="0"/>
              <w:widowControl/>
              <w:suppressLineNumbers w:val="0"/>
              <w:spacing w:before="0" w:beforeAutospacing="0" w:afterAutospacing="0"/>
              <w:ind w:right="0"/>
              <w:rPr>
                <w:rFonts w:hint="default"/>
              </w:rPr>
            </w:pPr>
            <w:r>
              <w:rPr>
                <w:rFonts w:hint="default"/>
              </w:rPr>
              <w:t xml:space="preserve">BFD-OSL7 </w:t>
            </w:r>
          </w:p>
        </w:tc>
        <w:tc>
          <w:tcPr>
            <w:tcW w:w="472" w:type="pct"/>
            <w:noWrap/>
            <w:vAlign w:val="bottom"/>
          </w:tcPr>
          <w:p w14:paraId="472ABB20">
            <w:pPr>
              <w:pStyle w:val="55"/>
              <w:keepNext w:val="0"/>
              <w:keepLines w:val="0"/>
              <w:widowControl/>
              <w:suppressLineNumbers w:val="0"/>
              <w:spacing w:before="0" w:beforeAutospacing="0" w:afterAutospacing="0"/>
              <w:ind w:right="0"/>
              <w:rPr>
                <w:rFonts w:hint="default" w:eastAsia="Calibri"/>
              </w:rPr>
            </w:pPr>
            <w:r>
              <w:rPr>
                <w:rFonts w:hint="default"/>
              </w:rPr>
              <w:t>119800</w:t>
            </w:r>
          </w:p>
        </w:tc>
        <w:tc>
          <w:tcPr>
            <w:tcW w:w="417" w:type="pct"/>
            <w:noWrap/>
            <w:vAlign w:val="bottom"/>
          </w:tcPr>
          <w:p w14:paraId="4D599DFB">
            <w:pPr>
              <w:pStyle w:val="55"/>
              <w:keepNext w:val="0"/>
              <w:keepLines w:val="0"/>
              <w:widowControl/>
              <w:suppressLineNumbers w:val="0"/>
              <w:spacing w:before="0" w:beforeAutospacing="0" w:afterAutospacing="0"/>
              <w:ind w:right="0"/>
              <w:rPr>
                <w:rFonts w:hint="default" w:eastAsia="Calibri"/>
              </w:rPr>
            </w:pPr>
            <w:r>
              <w:rPr>
                <w:rFonts w:hint="default"/>
              </w:rPr>
              <w:t>162400</w:t>
            </w:r>
          </w:p>
        </w:tc>
        <w:tc>
          <w:tcPr>
            <w:tcW w:w="465" w:type="pct"/>
            <w:noWrap/>
            <w:vAlign w:val="bottom"/>
          </w:tcPr>
          <w:p w14:paraId="020E7A7B">
            <w:pPr>
              <w:pStyle w:val="55"/>
              <w:keepNext w:val="0"/>
              <w:keepLines w:val="0"/>
              <w:widowControl/>
              <w:suppressLineNumbers w:val="0"/>
              <w:spacing w:before="0" w:beforeAutospacing="0" w:afterAutospacing="0"/>
              <w:ind w:right="0"/>
              <w:rPr>
                <w:rFonts w:hint="default" w:eastAsia="Calibri"/>
              </w:rPr>
            </w:pPr>
            <w:r>
              <w:rPr>
                <w:rFonts w:hint="default"/>
              </w:rPr>
              <w:t>144500</w:t>
            </w:r>
          </w:p>
        </w:tc>
        <w:tc>
          <w:tcPr>
            <w:tcW w:w="461" w:type="pct"/>
            <w:noWrap/>
            <w:vAlign w:val="bottom"/>
          </w:tcPr>
          <w:p w14:paraId="007D816D">
            <w:pPr>
              <w:pStyle w:val="55"/>
              <w:keepNext w:val="0"/>
              <w:keepLines w:val="0"/>
              <w:widowControl/>
              <w:suppressLineNumbers w:val="0"/>
              <w:spacing w:before="0" w:beforeAutospacing="0" w:afterAutospacing="0"/>
              <w:ind w:right="0"/>
              <w:rPr>
                <w:rFonts w:hint="default" w:eastAsia="Calibri"/>
              </w:rPr>
            </w:pPr>
            <w:r>
              <w:rPr>
                <w:rFonts w:hint="default"/>
              </w:rPr>
              <w:t>137000</w:t>
            </w:r>
          </w:p>
        </w:tc>
        <w:tc>
          <w:tcPr>
            <w:tcW w:w="300" w:type="pct"/>
            <w:noWrap/>
            <w:vAlign w:val="bottom"/>
          </w:tcPr>
          <w:p w14:paraId="69DAE3AD">
            <w:pPr>
              <w:pStyle w:val="55"/>
              <w:keepNext w:val="0"/>
              <w:keepLines w:val="0"/>
              <w:widowControl/>
              <w:suppressLineNumbers w:val="0"/>
              <w:spacing w:before="0" w:beforeAutospacing="0" w:afterAutospacing="0"/>
              <w:ind w:right="0"/>
              <w:rPr>
                <w:rFonts w:hint="default"/>
              </w:rPr>
            </w:pPr>
            <w:r>
              <w:rPr>
                <w:rFonts w:hint="default"/>
              </w:rPr>
              <w:t>0</w:t>
            </w:r>
          </w:p>
        </w:tc>
        <w:tc>
          <w:tcPr>
            <w:tcW w:w="494" w:type="pct"/>
            <w:noWrap/>
            <w:vAlign w:val="bottom"/>
          </w:tcPr>
          <w:p w14:paraId="0D5D53B7">
            <w:pPr>
              <w:pStyle w:val="55"/>
              <w:keepNext w:val="0"/>
              <w:keepLines w:val="0"/>
              <w:widowControl/>
              <w:suppressLineNumbers w:val="0"/>
              <w:spacing w:before="0" w:beforeAutospacing="0" w:afterAutospacing="0"/>
              <w:ind w:right="0"/>
              <w:rPr>
                <w:rFonts w:hint="default"/>
              </w:rPr>
            </w:pPr>
            <w:r>
              <w:rPr>
                <w:rFonts w:hint="default"/>
              </w:rPr>
              <w:t>0</w:t>
            </w:r>
          </w:p>
        </w:tc>
        <w:tc>
          <w:tcPr>
            <w:tcW w:w="677" w:type="pct"/>
            <w:noWrap/>
            <w:vAlign w:val="bottom"/>
          </w:tcPr>
          <w:p w14:paraId="50613B1E">
            <w:pPr>
              <w:pStyle w:val="55"/>
              <w:keepNext w:val="0"/>
              <w:keepLines w:val="0"/>
              <w:widowControl/>
              <w:suppressLineNumbers w:val="0"/>
              <w:spacing w:before="0" w:beforeAutospacing="0" w:afterAutospacing="0"/>
              <w:ind w:right="0"/>
              <w:rPr>
                <w:rFonts w:hint="default"/>
              </w:rPr>
            </w:pPr>
            <w:r>
              <w:rPr>
                <w:rFonts w:hint="default"/>
              </w:rPr>
              <w:t>99.5</w:t>
            </w:r>
          </w:p>
        </w:tc>
        <w:tc>
          <w:tcPr>
            <w:tcW w:w="585" w:type="pct"/>
            <w:vAlign w:val="bottom"/>
          </w:tcPr>
          <w:p w14:paraId="3D25CB1C">
            <w:pPr>
              <w:pStyle w:val="55"/>
              <w:keepNext w:val="0"/>
              <w:keepLines w:val="0"/>
              <w:widowControl/>
              <w:suppressLineNumbers w:val="0"/>
              <w:spacing w:before="0" w:beforeAutospacing="0" w:afterAutospacing="0"/>
              <w:ind w:right="0"/>
              <w:rPr>
                <w:rFonts w:hint="default"/>
              </w:rPr>
            </w:pPr>
            <w:r>
              <w:rPr>
                <w:rFonts w:hint="default"/>
              </w:rPr>
              <w:t>139.5</w:t>
            </w:r>
          </w:p>
        </w:tc>
      </w:tr>
      <w:tr w14:paraId="42C48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noWrap/>
            <w:vAlign w:val="bottom"/>
          </w:tcPr>
          <w:p w14:paraId="56588659">
            <w:pPr>
              <w:pStyle w:val="55"/>
              <w:keepNext w:val="0"/>
              <w:keepLines w:val="0"/>
              <w:widowControl/>
              <w:suppressLineNumbers w:val="0"/>
              <w:spacing w:before="0" w:beforeAutospacing="0" w:afterAutospacing="0"/>
              <w:ind w:right="0"/>
              <w:rPr>
                <w:rFonts w:hint="default"/>
                <w:color w:val="FF0000"/>
              </w:rPr>
            </w:pPr>
            <w:r>
              <w:rPr>
                <w:rFonts w:hint="default"/>
              </w:rPr>
              <w:t xml:space="preserve">BF8-F2 </w:t>
            </w:r>
          </w:p>
        </w:tc>
        <w:tc>
          <w:tcPr>
            <w:tcW w:w="472" w:type="pct"/>
            <w:noWrap/>
            <w:vAlign w:val="bottom"/>
          </w:tcPr>
          <w:p w14:paraId="1D26E391">
            <w:pPr>
              <w:pStyle w:val="55"/>
              <w:keepNext w:val="0"/>
              <w:keepLines w:val="0"/>
              <w:widowControl/>
              <w:suppressLineNumbers w:val="0"/>
              <w:spacing w:before="0" w:beforeAutospacing="0" w:afterAutospacing="0"/>
              <w:ind w:right="0"/>
              <w:rPr>
                <w:rFonts w:hint="default" w:eastAsia="Calibri"/>
              </w:rPr>
            </w:pPr>
            <w:r>
              <w:rPr>
                <w:rFonts w:hint="default"/>
              </w:rPr>
              <w:t>138000</w:t>
            </w:r>
          </w:p>
        </w:tc>
        <w:tc>
          <w:tcPr>
            <w:tcW w:w="417" w:type="pct"/>
            <w:noWrap/>
            <w:vAlign w:val="bottom"/>
          </w:tcPr>
          <w:p w14:paraId="77F50657">
            <w:pPr>
              <w:pStyle w:val="55"/>
              <w:keepNext w:val="0"/>
              <w:keepLines w:val="0"/>
              <w:widowControl/>
              <w:suppressLineNumbers w:val="0"/>
              <w:spacing w:before="0" w:beforeAutospacing="0" w:afterAutospacing="0"/>
              <w:ind w:right="0"/>
              <w:rPr>
                <w:rFonts w:hint="default" w:eastAsia="Calibri"/>
              </w:rPr>
            </w:pPr>
            <w:r>
              <w:rPr>
                <w:rFonts w:hint="default"/>
              </w:rPr>
              <w:t>142800</w:t>
            </w:r>
          </w:p>
        </w:tc>
        <w:tc>
          <w:tcPr>
            <w:tcW w:w="465" w:type="pct"/>
            <w:noWrap/>
            <w:vAlign w:val="bottom"/>
          </w:tcPr>
          <w:p w14:paraId="0E01418D">
            <w:pPr>
              <w:pStyle w:val="55"/>
              <w:keepNext w:val="0"/>
              <w:keepLines w:val="0"/>
              <w:widowControl/>
              <w:suppressLineNumbers w:val="0"/>
              <w:spacing w:before="0" w:beforeAutospacing="0" w:afterAutospacing="0"/>
              <w:ind w:right="0"/>
              <w:rPr>
                <w:rFonts w:hint="default" w:eastAsia="Calibri"/>
              </w:rPr>
            </w:pPr>
            <w:r>
              <w:rPr>
                <w:rFonts w:hint="default"/>
              </w:rPr>
              <w:t>142500</w:t>
            </w:r>
          </w:p>
        </w:tc>
        <w:tc>
          <w:tcPr>
            <w:tcW w:w="461" w:type="pct"/>
            <w:noWrap/>
            <w:vAlign w:val="bottom"/>
          </w:tcPr>
          <w:p w14:paraId="613C8122">
            <w:pPr>
              <w:pStyle w:val="55"/>
              <w:keepNext w:val="0"/>
              <w:keepLines w:val="0"/>
              <w:widowControl/>
              <w:suppressLineNumbers w:val="0"/>
              <w:spacing w:before="0" w:beforeAutospacing="0" w:afterAutospacing="0"/>
              <w:ind w:right="0"/>
              <w:rPr>
                <w:rFonts w:hint="default" w:eastAsia="Calibri"/>
              </w:rPr>
            </w:pPr>
            <w:r>
              <w:rPr>
                <w:rFonts w:hint="default"/>
              </w:rPr>
              <w:t>138400</w:t>
            </w:r>
          </w:p>
        </w:tc>
        <w:tc>
          <w:tcPr>
            <w:tcW w:w="300" w:type="pct"/>
            <w:noWrap/>
            <w:vAlign w:val="bottom"/>
          </w:tcPr>
          <w:p w14:paraId="6932D70E">
            <w:pPr>
              <w:pStyle w:val="55"/>
              <w:keepNext w:val="0"/>
              <w:keepLines w:val="0"/>
              <w:widowControl/>
              <w:suppressLineNumbers w:val="0"/>
              <w:spacing w:before="0" w:beforeAutospacing="0" w:afterAutospacing="0"/>
              <w:ind w:right="0"/>
              <w:rPr>
                <w:rFonts w:hint="default"/>
              </w:rPr>
            </w:pPr>
            <w:r>
              <w:rPr>
                <w:rFonts w:hint="default"/>
              </w:rPr>
              <w:t>0</w:t>
            </w:r>
          </w:p>
        </w:tc>
        <w:tc>
          <w:tcPr>
            <w:tcW w:w="494" w:type="pct"/>
            <w:noWrap/>
            <w:vAlign w:val="bottom"/>
          </w:tcPr>
          <w:p w14:paraId="5E712EE4">
            <w:pPr>
              <w:pStyle w:val="55"/>
              <w:keepNext w:val="0"/>
              <w:keepLines w:val="0"/>
              <w:widowControl/>
              <w:suppressLineNumbers w:val="0"/>
              <w:spacing w:before="0" w:beforeAutospacing="0" w:afterAutospacing="0"/>
              <w:ind w:right="0"/>
              <w:rPr>
                <w:rFonts w:hint="default"/>
              </w:rPr>
            </w:pPr>
            <w:r>
              <w:rPr>
                <w:rFonts w:hint="default"/>
              </w:rPr>
              <w:t>0</w:t>
            </w:r>
          </w:p>
        </w:tc>
        <w:tc>
          <w:tcPr>
            <w:tcW w:w="677" w:type="pct"/>
            <w:noWrap/>
            <w:vAlign w:val="bottom"/>
          </w:tcPr>
          <w:p w14:paraId="3720D5DE">
            <w:pPr>
              <w:pStyle w:val="55"/>
              <w:keepNext w:val="0"/>
              <w:keepLines w:val="0"/>
              <w:widowControl/>
              <w:suppressLineNumbers w:val="0"/>
              <w:spacing w:before="0" w:beforeAutospacing="0" w:afterAutospacing="0"/>
              <w:ind w:right="0"/>
              <w:rPr>
                <w:rFonts w:hint="default"/>
              </w:rPr>
            </w:pPr>
            <w:r>
              <w:rPr>
                <w:rFonts w:hint="default"/>
              </w:rPr>
              <w:t>99.5</w:t>
            </w:r>
          </w:p>
        </w:tc>
        <w:tc>
          <w:tcPr>
            <w:tcW w:w="585" w:type="pct"/>
            <w:vAlign w:val="bottom"/>
          </w:tcPr>
          <w:p w14:paraId="01B974DA">
            <w:pPr>
              <w:pStyle w:val="55"/>
              <w:keepNext w:val="0"/>
              <w:keepLines w:val="0"/>
              <w:widowControl/>
              <w:suppressLineNumbers w:val="0"/>
              <w:spacing w:before="0" w:beforeAutospacing="0" w:afterAutospacing="0"/>
              <w:ind w:right="0"/>
              <w:rPr>
                <w:rFonts w:hint="default"/>
                <w:color w:val="FF0000"/>
              </w:rPr>
            </w:pPr>
            <w:r>
              <w:rPr>
                <w:rFonts w:hint="default"/>
              </w:rPr>
              <w:t>107.6</w:t>
            </w:r>
          </w:p>
        </w:tc>
      </w:tr>
      <w:tr w14:paraId="1333B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shd w:val="clear" w:color="auto" w:fill="D8D8D8" w:themeFill="background1" w:themeFillShade="D9"/>
            <w:noWrap/>
            <w:vAlign w:val="bottom"/>
          </w:tcPr>
          <w:p w14:paraId="07CD328D">
            <w:pPr>
              <w:pStyle w:val="55"/>
              <w:keepNext w:val="0"/>
              <w:keepLines w:val="0"/>
              <w:widowControl/>
              <w:suppressLineNumbers w:val="0"/>
              <w:spacing w:before="0" w:beforeAutospacing="0" w:afterAutospacing="0"/>
              <w:ind w:right="0"/>
              <w:rPr>
                <w:rFonts w:hint="default" w:eastAsia="Calibri"/>
              </w:rPr>
            </w:pPr>
            <w:r>
              <w:rPr>
                <w:rFonts w:hint="default"/>
              </w:rPr>
              <w:t xml:space="preserve">Start Layer 7 </w:t>
            </w:r>
          </w:p>
        </w:tc>
        <w:tc>
          <w:tcPr>
            <w:tcW w:w="472" w:type="pct"/>
            <w:shd w:val="clear" w:color="auto" w:fill="D8D8D8" w:themeFill="background1" w:themeFillShade="D9"/>
            <w:noWrap/>
            <w:vAlign w:val="bottom"/>
          </w:tcPr>
          <w:p w14:paraId="6618FB40">
            <w:pPr>
              <w:pStyle w:val="55"/>
              <w:keepNext w:val="0"/>
              <w:keepLines w:val="0"/>
              <w:widowControl/>
              <w:suppressLineNumbers w:val="0"/>
              <w:spacing w:before="0" w:beforeAutospacing="0" w:afterAutospacing="0"/>
              <w:ind w:right="0"/>
              <w:rPr>
                <w:rFonts w:hint="default"/>
              </w:rPr>
            </w:pPr>
          </w:p>
        </w:tc>
        <w:tc>
          <w:tcPr>
            <w:tcW w:w="417" w:type="pct"/>
            <w:shd w:val="clear" w:color="auto" w:fill="D8D8D8" w:themeFill="background1" w:themeFillShade="D9"/>
            <w:noWrap/>
            <w:vAlign w:val="bottom"/>
          </w:tcPr>
          <w:p w14:paraId="676BB0A5">
            <w:pPr>
              <w:pStyle w:val="55"/>
              <w:keepNext w:val="0"/>
              <w:keepLines w:val="0"/>
              <w:widowControl/>
              <w:suppressLineNumbers w:val="0"/>
              <w:spacing w:before="0" w:beforeAutospacing="0" w:afterAutospacing="0"/>
              <w:ind w:right="0"/>
              <w:rPr>
                <w:rFonts w:hint="default"/>
              </w:rPr>
            </w:pPr>
          </w:p>
        </w:tc>
        <w:tc>
          <w:tcPr>
            <w:tcW w:w="465" w:type="pct"/>
            <w:shd w:val="clear" w:color="auto" w:fill="D8D8D8" w:themeFill="background1" w:themeFillShade="D9"/>
            <w:noWrap/>
            <w:vAlign w:val="bottom"/>
          </w:tcPr>
          <w:p w14:paraId="2964A773">
            <w:pPr>
              <w:pStyle w:val="55"/>
              <w:keepNext w:val="0"/>
              <w:keepLines w:val="0"/>
              <w:widowControl/>
              <w:suppressLineNumbers w:val="0"/>
              <w:spacing w:before="0" w:beforeAutospacing="0" w:afterAutospacing="0"/>
              <w:ind w:right="0"/>
              <w:rPr>
                <w:rFonts w:hint="default" w:eastAsia="Calibri"/>
              </w:rPr>
            </w:pPr>
            <w:r>
              <w:rPr>
                <w:rFonts w:hint="default"/>
              </w:rPr>
              <w:t>147600</w:t>
            </w:r>
          </w:p>
        </w:tc>
        <w:tc>
          <w:tcPr>
            <w:tcW w:w="461" w:type="pct"/>
            <w:shd w:val="clear" w:color="auto" w:fill="D8D8D8" w:themeFill="background1" w:themeFillShade="D9"/>
            <w:noWrap/>
            <w:vAlign w:val="bottom"/>
          </w:tcPr>
          <w:p w14:paraId="1578A3C6">
            <w:pPr>
              <w:pStyle w:val="55"/>
              <w:keepNext w:val="0"/>
              <w:keepLines w:val="0"/>
              <w:widowControl/>
              <w:suppressLineNumbers w:val="0"/>
              <w:spacing w:before="0" w:beforeAutospacing="0" w:afterAutospacing="0"/>
              <w:ind w:right="0"/>
              <w:rPr>
                <w:rFonts w:hint="default" w:eastAsia="Calibri"/>
              </w:rPr>
            </w:pPr>
            <w:r>
              <w:rPr>
                <w:rFonts w:hint="default"/>
              </w:rPr>
              <w:t>139300</w:t>
            </w:r>
          </w:p>
        </w:tc>
        <w:tc>
          <w:tcPr>
            <w:tcW w:w="300" w:type="pct"/>
            <w:shd w:val="clear" w:color="auto" w:fill="D8D8D8" w:themeFill="background1" w:themeFillShade="D9"/>
            <w:noWrap/>
            <w:vAlign w:val="bottom"/>
          </w:tcPr>
          <w:p w14:paraId="502F90DC">
            <w:pPr>
              <w:pStyle w:val="55"/>
              <w:keepNext w:val="0"/>
              <w:keepLines w:val="0"/>
              <w:widowControl/>
              <w:suppressLineNumbers w:val="0"/>
              <w:spacing w:before="0" w:beforeAutospacing="0" w:afterAutospacing="0"/>
              <w:ind w:right="0"/>
              <w:rPr>
                <w:rFonts w:hint="default"/>
              </w:rPr>
            </w:pPr>
          </w:p>
        </w:tc>
        <w:tc>
          <w:tcPr>
            <w:tcW w:w="494" w:type="pct"/>
            <w:shd w:val="clear" w:color="auto" w:fill="D8D8D8" w:themeFill="background1" w:themeFillShade="D9"/>
            <w:noWrap/>
            <w:vAlign w:val="bottom"/>
          </w:tcPr>
          <w:p w14:paraId="4BD52F06">
            <w:pPr>
              <w:pStyle w:val="55"/>
              <w:keepNext w:val="0"/>
              <w:keepLines w:val="0"/>
              <w:widowControl/>
              <w:suppressLineNumbers w:val="0"/>
              <w:spacing w:before="0" w:beforeAutospacing="0" w:afterAutospacing="0"/>
              <w:ind w:right="0"/>
              <w:rPr>
                <w:rFonts w:hint="default"/>
              </w:rPr>
            </w:pPr>
          </w:p>
        </w:tc>
        <w:tc>
          <w:tcPr>
            <w:tcW w:w="677" w:type="pct"/>
            <w:shd w:val="clear" w:color="auto" w:fill="D8D8D8" w:themeFill="background1" w:themeFillShade="D9"/>
            <w:noWrap/>
            <w:vAlign w:val="bottom"/>
          </w:tcPr>
          <w:p w14:paraId="4C79D09F">
            <w:pPr>
              <w:pStyle w:val="55"/>
              <w:keepNext w:val="0"/>
              <w:keepLines w:val="0"/>
              <w:widowControl/>
              <w:suppressLineNumbers w:val="0"/>
              <w:spacing w:before="0" w:beforeAutospacing="0" w:afterAutospacing="0"/>
              <w:ind w:right="0"/>
              <w:rPr>
                <w:rFonts w:hint="default"/>
              </w:rPr>
            </w:pPr>
            <w:r>
              <w:rPr>
                <w:rFonts w:hint="default"/>
              </w:rPr>
              <w:t>97.6</w:t>
            </w:r>
          </w:p>
        </w:tc>
        <w:tc>
          <w:tcPr>
            <w:tcW w:w="585" w:type="pct"/>
            <w:shd w:val="clear" w:color="auto" w:fill="D8D8D8" w:themeFill="background1" w:themeFillShade="D9"/>
            <w:vAlign w:val="bottom"/>
          </w:tcPr>
          <w:p w14:paraId="78453CA0">
            <w:pPr>
              <w:pStyle w:val="55"/>
              <w:keepNext w:val="0"/>
              <w:keepLines w:val="0"/>
              <w:widowControl/>
              <w:suppressLineNumbers w:val="0"/>
              <w:spacing w:before="0" w:beforeAutospacing="0" w:afterAutospacing="0"/>
              <w:ind w:right="0"/>
              <w:rPr>
                <w:rFonts w:hint="default"/>
              </w:rPr>
            </w:pPr>
          </w:p>
        </w:tc>
      </w:tr>
      <w:tr w14:paraId="4EE4F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shd w:val="clear" w:color="auto" w:fill="D8D8D8" w:themeFill="background1" w:themeFillShade="D9"/>
            <w:noWrap/>
            <w:vAlign w:val="bottom"/>
          </w:tcPr>
          <w:p w14:paraId="40FF3C49">
            <w:pPr>
              <w:pStyle w:val="55"/>
              <w:keepNext w:val="0"/>
              <w:keepLines w:val="0"/>
              <w:widowControl/>
              <w:suppressLineNumbers w:val="0"/>
              <w:spacing w:before="0" w:beforeAutospacing="0" w:afterAutospacing="0"/>
              <w:ind w:right="0"/>
              <w:rPr>
                <w:rFonts w:hint="default"/>
              </w:rPr>
            </w:pPr>
            <w:r>
              <w:rPr>
                <w:rFonts w:hint="default"/>
              </w:rPr>
              <w:t xml:space="preserve">End Layer 8 </w:t>
            </w:r>
          </w:p>
        </w:tc>
        <w:tc>
          <w:tcPr>
            <w:tcW w:w="472" w:type="pct"/>
            <w:shd w:val="clear" w:color="auto" w:fill="D8D8D8" w:themeFill="background1" w:themeFillShade="D9"/>
            <w:noWrap/>
            <w:vAlign w:val="bottom"/>
          </w:tcPr>
          <w:p w14:paraId="1AB88CD8">
            <w:pPr>
              <w:pStyle w:val="55"/>
              <w:keepNext w:val="0"/>
              <w:keepLines w:val="0"/>
              <w:widowControl/>
              <w:suppressLineNumbers w:val="0"/>
              <w:spacing w:before="0" w:beforeAutospacing="0" w:afterAutospacing="0"/>
              <w:ind w:right="0"/>
              <w:rPr>
                <w:rFonts w:hint="default"/>
              </w:rPr>
            </w:pPr>
          </w:p>
        </w:tc>
        <w:tc>
          <w:tcPr>
            <w:tcW w:w="417" w:type="pct"/>
            <w:shd w:val="clear" w:color="auto" w:fill="D8D8D8" w:themeFill="background1" w:themeFillShade="D9"/>
            <w:noWrap/>
            <w:vAlign w:val="bottom"/>
          </w:tcPr>
          <w:p w14:paraId="35000985">
            <w:pPr>
              <w:pStyle w:val="55"/>
              <w:keepNext w:val="0"/>
              <w:keepLines w:val="0"/>
              <w:widowControl/>
              <w:suppressLineNumbers w:val="0"/>
              <w:spacing w:before="0" w:beforeAutospacing="0" w:afterAutospacing="0"/>
              <w:ind w:right="0"/>
              <w:rPr>
                <w:rFonts w:hint="default"/>
              </w:rPr>
            </w:pPr>
          </w:p>
        </w:tc>
        <w:tc>
          <w:tcPr>
            <w:tcW w:w="465" w:type="pct"/>
            <w:shd w:val="clear" w:color="auto" w:fill="D8D8D8" w:themeFill="background1" w:themeFillShade="D9"/>
            <w:noWrap/>
            <w:vAlign w:val="bottom"/>
          </w:tcPr>
          <w:p w14:paraId="5D79FEFE">
            <w:pPr>
              <w:pStyle w:val="55"/>
              <w:keepNext w:val="0"/>
              <w:keepLines w:val="0"/>
              <w:widowControl/>
              <w:suppressLineNumbers w:val="0"/>
              <w:spacing w:before="0" w:beforeAutospacing="0" w:afterAutospacing="0"/>
              <w:ind w:right="0"/>
              <w:rPr>
                <w:rFonts w:hint="default" w:eastAsia="Calibri"/>
              </w:rPr>
            </w:pPr>
            <w:r>
              <w:rPr>
                <w:rFonts w:hint="default"/>
              </w:rPr>
              <w:t>154200</w:t>
            </w:r>
          </w:p>
        </w:tc>
        <w:tc>
          <w:tcPr>
            <w:tcW w:w="461" w:type="pct"/>
            <w:shd w:val="clear" w:color="auto" w:fill="D8D8D8" w:themeFill="background1" w:themeFillShade="D9"/>
            <w:noWrap/>
            <w:vAlign w:val="bottom"/>
          </w:tcPr>
          <w:p w14:paraId="2C3841A6">
            <w:pPr>
              <w:pStyle w:val="55"/>
              <w:keepNext w:val="0"/>
              <w:keepLines w:val="0"/>
              <w:widowControl/>
              <w:suppressLineNumbers w:val="0"/>
              <w:spacing w:before="0" w:beforeAutospacing="0" w:afterAutospacing="0"/>
              <w:ind w:right="0"/>
              <w:rPr>
                <w:rFonts w:hint="default" w:eastAsia="Calibri"/>
              </w:rPr>
            </w:pPr>
            <w:r>
              <w:rPr>
                <w:rFonts w:hint="default"/>
              </w:rPr>
              <w:t>140900</w:t>
            </w:r>
          </w:p>
        </w:tc>
        <w:tc>
          <w:tcPr>
            <w:tcW w:w="300" w:type="pct"/>
            <w:shd w:val="clear" w:color="auto" w:fill="D8D8D8" w:themeFill="background1" w:themeFillShade="D9"/>
            <w:noWrap/>
            <w:vAlign w:val="bottom"/>
          </w:tcPr>
          <w:p w14:paraId="053B3BF3">
            <w:pPr>
              <w:pStyle w:val="55"/>
              <w:keepNext w:val="0"/>
              <w:keepLines w:val="0"/>
              <w:widowControl/>
              <w:suppressLineNumbers w:val="0"/>
              <w:spacing w:before="0" w:beforeAutospacing="0" w:afterAutospacing="0"/>
              <w:ind w:right="0"/>
              <w:rPr>
                <w:rFonts w:hint="default"/>
              </w:rPr>
            </w:pPr>
          </w:p>
        </w:tc>
        <w:tc>
          <w:tcPr>
            <w:tcW w:w="494" w:type="pct"/>
            <w:shd w:val="clear" w:color="auto" w:fill="D8D8D8" w:themeFill="background1" w:themeFillShade="D9"/>
            <w:noWrap/>
            <w:vAlign w:val="bottom"/>
          </w:tcPr>
          <w:p w14:paraId="4C77870F">
            <w:pPr>
              <w:pStyle w:val="55"/>
              <w:keepNext w:val="0"/>
              <w:keepLines w:val="0"/>
              <w:widowControl/>
              <w:suppressLineNumbers w:val="0"/>
              <w:spacing w:before="0" w:beforeAutospacing="0" w:afterAutospacing="0"/>
              <w:ind w:right="0"/>
              <w:rPr>
                <w:rFonts w:hint="default"/>
              </w:rPr>
            </w:pPr>
          </w:p>
        </w:tc>
        <w:tc>
          <w:tcPr>
            <w:tcW w:w="677" w:type="pct"/>
            <w:shd w:val="clear" w:color="auto" w:fill="D8D8D8" w:themeFill="background1" w:themeFillShade="D9"/>
            <w:noWrap/>
            <w:vAlign w:val="bottom"/>
          </w:tcPr>
          <w:p w14:paraId="2085239E">
            <w:pPr>
              <w:pStyle w:val="55"/>
              <w:keepNext w:val="0"/>
              <w:keepLines w:val="0"/>
              <w:widowControl/>
              <w:suppressLineNumbers w:val="0"/>
              <w:spacing w:before="0" w:beforeAutospacing="0" w:afterAutospacing="0"/>
              <w:ind w:right="0"/>
              <w:rPr>
                <w:rFonts w:hint="default"/>
              </w:rPr>
            </w:pPr>
            <w:r>
              <w:rPr>
                <w:rFonts w:hint="default"/>
              </w:rPr>
              <w:t>98</w:t>
            </w:r>
          </w:p>
        </w:tc>
        <w:tc>
          <w:tcPr>
            <w:tcW w:w="585" w:type="pct"/>
            <w:shd w:val="clear" w:color="auto" w:fill="D8D8D8" w:themeFill="background1" w:themeFillShade="D9"/>
            <w:vAlign w:val="bottom"/>
          </w:tcPr>
          <w:p w14:paraId="2EB41DB8">
            <w:pPr>
              <w:pStyle w:val="55"/>
              <w:keepNext w:val="0"/>
              <w:keepLines w:val="0"/>
              <w:widowControl/>
              <w:suppressLineNumbers w:val="0"/>
              <w:spacing w:before="0" w:beforeAutospacing="0" w:afterAutospacing="0"/>
              <w:ind w:right="0"/>
              <w:rPr>
                <w:rFonts w:hint="default"/>
              </w:rPr>
            </w:pPr>
          </w:p>
        </w:tc>
      </w:tr>
      <w:tr w14:paraId="75EB3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noWrap/>
            <w:vAlign w:val="bottom"/>
          </w:tcPr>
          <w:p w14:paraId="406FEF39">
            <w:pPr>
              <w:pStyle w:val="55"/>
              <w:keepNext w:val="0"/>
              <w:keepLines w:val="0"/>
              <w:widowControl/>
              <w:suppressLineNumbers w:val="0"/>
              <w:spacing w:before="0" w:beforeAutospacing="0" w:afterAutospacing="0"/>
              <w:ind w:right="0"/>
              <w:rPr>
                <w:rFonts w:hint="default"/>
              </w:rPr>
            </w:pPr>
            <w:r>
              <w:rPr>
                <w:rFonts w:hint="default"/>
              </w:rPr>
              <w:t xml:space="preserve">BFD-OSL8 </w:t>
            </w:r>
          </w:p>
        </w:tc>
        <w:tc>
          <w:tcPr>
            <w:tcW w:w="472" w:type="pct"/>
            <w:noWrap/>
            <w:vAlign w:val="bottom"/>
          </w:tcPr>
          <w:p w14:paraId="213922CB">
            <w:pPr>
              <w:pStyle w:val="55"/>
              <w:keepNext w:val="0"/>
              <w:keepLines w:val="0"/>
              <w:widowControl/>
              <w:suppressLineNumbers w:val="0"/>
              <w:spacing w:before="0" w:beforeAutospacing="0" w:afterAutospacing="0"/>
              <w:ind w:right="0"/>
              <w:rPr>
                <w:rFonts w:hint="default" w:eastAsia="Calibri"/>
              </w:rPr>
            </w:pPr>
            <w:r>
              <w:rPr>
                <w:rFonts w:hint="default"/>
              </w:rPr>
              <w:t>124400</w:t>
            </w:r>
          </w:p>
        </w:tc>
        <w:tc>
          <w:tcPr>
            <w:tcW w:w="417" w:type="pct"/>
            <w:noWrap/>
            <w:vAlign w:val="bottom"/>
          </w:tcPr>
          <w:p w14:paraId="27F88B5B">
            <w:pPr>
              <w:pStyle w:val="55"/>
              <w:keepNext w:val="0"/>
              <w:keepLines w:val="0"/>
              <w:widowControl/>
              <w:suppressLineNumbers w:val="0"/>
              <w:spacing w:before="0" w:beforeAutospacing="0" w:afterAutospacing="0"/>
              <w:ind w:right="0"/>
              <w:rPr>
                <w:rFonts w:hint="default" w:eastAsia="Calibri"/>
              </w:rPr>
            </w:pPr>
            <w:r>
              <w:rPr>
                <w:rFonts w:hint="default"/>
              </w:rPr>
              <w:t>178500</w:t>
            </w:r>
          </w:p>
        </w:tc>
        <w:tc>
          <w:tcPr>
            <w:tcW w:w="465" w:type="pct"/>
            <w:noWrap/>
            <w:vAlign w:val="bottom"/>
          </w:tcPr>
          <w:p w14:paraId="0506F216">
            <w:pPr>
              <w:pStyle w:val="55"/>
              <w:keepNext w:val="0"/>
              <w:keepLines w:val="0"/>
              <w:widowControl/>
              <w:suppressLineNumbers w:val="0"/>
              <w:spacing w:before="0" w:beforeAutospacing="0" w:afterAutospacing="0"/>
              <w:ind w:right="0"/>
              <w:rPr>
                <w:rFonts w:hint="default" w:eastAsia="Calibri"/>
              </w:rPr>
            </w:pPr>
            <w:r>
              <w:rPr>
                <w:rFonts w:hint="default"/>
              </w:rPr>
              <w:t>155500</w:t>
            </w:r>
          </w:p>
        </w:tc>
        <w:tc>
          <w:tcPr>
            <w:tcW w:w="461" w:type="pct"/>
            <w:noWrap/>
            <w:vAlign w:val="bottom"/>
          </w:tcPr>
          <w:p w14:paraId="7681E92A">
            <w:pPr>
              <w:pStyle w:val="55"/>
              <w:keepNext w:val="0"/>
              <w:keepLines w:val="0"/>
              <w:widowControl/>
              <w:suppressLineNumbers w:val="0"/>
              <w:spacing w:before="0" w:beforeAutospacing="0" w:afterAutospacing="0"/>
              <w:ind w:right="0"/>
              <w:rPr>
                <w:rFonts w:hint="default" w:eastAsia="Calibri"/>
              </w:rPr>
            </w:pPr>
            <w:r>
              <w:rPr>
                <w:rFonts w:hint="default"/>
              </w:rPr>
              <w:t>142400</w:t>
            </w:r>
          </w:p>
        </w:tc>
        <w:tc>
          <w:tcPr>
            <w:tcW w:w="300" w:type="pct"/>
            <w:noWrap/>
            <w:vAlign w:val="bottom"/>
          </w:tcPr>
          <w:p w14:paraId="70DAF2C8">
            <w:pPr>
              <w:pStyle w:val="55"/>
              <w:keepNext w:val="0"/>
              <w:keepLines w:val="0"/>
              <w:widowControl/>
              <w:suppressLineNumbers w:val="0"/>
              <w:spacing w:before="0" w:beforeAutospacing="0" w:afterAutospacing="0"/>
              <w:ind w:right="0"/>
              <w:rPr>
                <w:rFonts w:hint="default"/>
              </w:rPr>
            </w:pPr>
            <w:r>
              <w:rPr>
                <w:rFonts w:hint="default"/>
              </w:rPr>
              <w:t>0</w:t>
            </w:r>
          </w:p>
        </w:tc>
        <w:tc>
          <w:tcPr>
            <w:tcW w:w="494" w:type="pct"/>
            <w:noWrap/>
            <w:vAlign w:val="bottom"/>
          </w:tcPr>
          <w:p w14:paraId="1AA0CCAF">
            <w:pPr>
              <w:pStyle w:val="55"/>
              <w:keepNext w:val="0"/>
              <w:keepLines w:val="0"/>
              <w:widowControl/>
              <w:suppressLineNumbers w:val="0"/>
              <w:spacing w:before="0" w:beforeAutospacing="0" w:afterAutospacing="0"/>
              <w:ind w:right="0"/>
              <w:rPr>
                <w:rFonts w:hint="default"/>
              </w:rPr>
            </w:pPr>
            <w:r>
              <w:rPr>
                <w:rFonts w:hint="default"/>
              </w:rPr>
              <w:t>0</w:t>
            </w:r>
          </w:p>
        </w:tc>
        <w:tc>
          <w:tcPr>
            <w:tcW w:w="677" w:type="pct"/>
            <w:noWrap/>
            <w:vAlign w:val="bottom"/>
          </w:tcPr>
          <w:p w14:paraId="25D909F3">
            <w:pPr>
              <w:pStyle w:val="55"/>
              <w:keepNext w:val="0"/>
              <w:keepLines w:val="0"/>
              <w:widowControl/>
              <w:suppressLineNumbers w:val="0"/>
              <w:spacing w:before="0" w:beforeAutospacing="0" w:afterAutospacing="0"/>
              <w:ind w:right="0"/>
              <w:rPr>
                <w:rFonts w:hint="default"/>
              </w:rPr>
            </w:pPr>
            <w:r>
              <w:rPr>
                <w:rFonts w:hint="default"/>
              </w:rPr>
              <w:t>99</w:t>
            </w:r>
          </w:p>
        </w:tc>
        <w:tc>
          <w:tcPr>
            <w:tcW w:w="585" w:type="pct"/>
            <w:vAlign w:val="bottom"/>
          </w:tcPr>
          <w:p w14:paraId="125F87D8">
            <w:pPr>
              <w:pStyle w:val="55"/>
              <w:keepNext w:val="0"/>
              <w:keepLines w:val="0"/>
              <w:widowControl/>
              <w:suppressLineNumbers w:val="0"/>
              <w:spacing w:before="0" w:beforeAutospacing="0" w:afterAutospacing="0"/>
              <w:ind w:right="0"/>
              <w:rPr>
                <w:rFonts w:hint="default"/>
              </w:rPr>
            </w:pPr>
            <w:r>
              <w:rPr>
                <w:rFonts w:hint="default"/>
              </w:rPr>
              <w:t>134.7</w:t>
            </w:r>
          </w:p>
        </w:tc>
      </w:tr>
      <w:tr w14:paraId="660A5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shd w:val="clear" w:color="auto" w:fill="D8D8D8" w:themeFill="background1" w:themeFillShade="D9"/>
            <w:noWrap/>
            <w:vAlign w:val="bottom"/>
          </w:tcPr>
          <w:p w14:paraId="5BC75349">
            <w:pPr>
              <w:pStyle w:val="55"/>
              <w:keepNext w:val="0"/>
              <w:keepLines w:val="0"/>
              <w:widowControl/>
              <w:suppressLineNumbers w:val="0"/>
              <w:spacing w:before="0" w:beforeAutospacing="0" w:afterAutospacing="0"/>
              <w:ind w:right="0"/>
              <w:rPr>
                <w:rFonts w:hint="default" w:eastAsia="Calibri"/>
              </w:rPr>
            </w:pPr>
            <w:r>
              <w:rPr>
                <w:rFonts w:hint="default"/>
              </w:rPr>
              <w:t xml:space="preserve">Start Layer 8 </w:t>
            </w:r>
          </w:p>
        </w:tc>
        <w:tc>
          <w:tcPr>
            <w:tcW w:w="472" w:type="pct"/>
            <w:shd w:val="clear" w:color="auto" w:fill="D8D8D8" w:themeFill="background1" w:themeFillShade="D9"/>
            <w:noWrap/>
            <w:vAlign w:val="bottom"/>
          </w:tcPr>
          <w:p w14:paraId="08D305BE">
            <w:pPr>
              <w:pStyle w:val="55"/>
              <w:keepNext w:val="0"/>
              <w:keepLines w:val="0"/>
              <w:widowControl/>
              <w:suppressLineNumbers w:val="0"/>
              <w:spacing w:before="0" w:beforeAutospacing="0" w:afterAutospacing="0"/>
              <w:ind w:right="0"/>
              <w:rPr>
                <w:rFonts w:hint="default"/>
              </w:rPr>
            </w:pPr>
          </w:p>
        </w:tc>
        <w:tc>
          <w:tcPr>
            <w:tcW w:w="417" w:type="pct"/>
            <w:shd w:val="clear" w:color="auto" w:fill="D8D8D8" w:themeFill="background1" w:themeFillShade="D9"/>
            <w:noWrap/>
            <w:vAlign w:val="bottom"/>
          </w:tcPr>
          <w:p w14:paraId="229004EB">
            <w:pPr>
              <w:pStyle w:val="55"/>
              <w:keepNext w:val="0"/>
              <w:keepLines w:val="0"/>
              <w:widowControl/>
              <w:suppressLineNumbers w:val="0"/>
              <w:spacing w:before="0" w:beforeAutospacing="0" w:afterAutospacing="0"/>
              <w:ind w:right="0"/>
              <w:rPr>
                <w:rFonts w:hint="default"/>
              </w:rPr>
            </w:pPr>
          </w:p>
        </w:tc>
        <w:tc>
          <w:tcPr>
            <w:tcW w:w="465" w:type="pct"/>
            <w:shd w:val="clear" w:color="auto" w:fill="D8D8D8" w:themeFill="background1" w:themeFillShade="D9"/>
            <w:noWrap/>
            <w:vAlign w:val="bottom"/>
          </w:tcPr>
          <w:p w14:paraId="0A197C5F">
            <w:pPr>
              <w:pStyle w:val="55"/>
              <w:keepNext w:val="0"/>
              <w:keepLines w:val="0"/>
              <w:widowControl/>
              <w:suppressLineNumbers w:val="0"/>
              <w:spacing w:before="0" w:beforeAutospacing="0" w:afterAutospacing="0"/>
              <w:ind w:right="0"/>
              <w:rPr>
                <w:rFonts w:hint="default" w:eastAsia="Calibri"/>
              </w:rPr>
            </w:pPr>
            <w:r>
              <w:rPr>
                <w:rFonts w:hint="default"/>
              </w:rPr>
              <w:t>156800</w:t>
            </w:r>
          </w:p>
        </w:tc>
        <w:tc>
          <w:tcPr>
            <w:tcW w:w="461" w:type="pct"/>
            <w:shd w:val="clear" w:color="auto" w:fill="D8D8D8" w:themeFill="background1" w:themeFillShade="D9"/>
            <w:noWrap/>
            <w:vAlign w:val="bottom"/>
          </w:tcPr>
          <w:p w14:paraId="0EC5098E">
            <w:pPr>
              <w:pStyle w:val="55"/>
              <w:keepNext w:val="0"/>
              <w:keepLines w:val="0"/>
              <w:widowControl/>
              <w:suppressLineNumbers w:val="0"/>
              <w:spacing w:before="0" w:beforeAutospacing="0" w:afterAutospacing="0"/>
              <w:ind w:right="0"/>
              <w:rPr>
                <w:rFonts w:hint="default" w:eastAsia="Calibri"/>
              </w:rPr>
            </w:pPr>
            <w:r>
              <w:rPr>
                <w:rFonts w:hint="default"/>
              </w:rPr>
              <w:t>143700</w:t>
            </w:r>
          </w:p>
        </w:tc>
        <w:tc>
          <w:tcPr>
            <w:tcW w:w="300" w:type="pct"/>
            <w:shd w:val="clear" w:color="auto" w:fill="D8D8D8" w:themeFill="background1" w:themeFillShade="D9"/>
            <w:noWrap/>
            <w:vAlign w:val="bottom"/>
          </w:tcPr>
          <w:p w14:paraId="380C332D">
            <w:pPr>
              <w:pStyle w:val="55"/>
              <w:keepNext w:val="0"/>
              <w:keepLines w:val="0"/>
              <w:widowControl/>
              <w:suppressLineNumbers w:val="0"/>
              <w:spacing w:before="0" w:beforeAutospacing="0" w:afterAutospacing="0"/>
              <w:ind w:right="0"/>
              <w:rPr>
                <w:rFonts w:hint="default"/>
              </w:rPr>
            </w:pPr>
          </w:p>
        </w:tc>
        <w:tc>
          <w:tcPr>
            <w:tcW w:w="494" w:type="pct"/>
            <w:shd w:val="clear" w:color="auto" w:fill="D8D8D8" w:themeFill="background1" w:themeFillShade="D9"/>
            <w:noWrap/>
            <w:vAlign w:val="bottom"/>
          </w:tcPr>
          <w:p w14:paraId="47140DBA">
            <w:pPr>
              <w:pStyle w:val="55"/>
              <w:keepNext w:val="0"/>
              <w:keepLines w:val="0"/>
              <w:widowControl/>
              <w:suppressLineNumbers w:val="0"/>
              <w:spacing w:before="0" w:beforeAutospacing="0" w:afterAutospacing="0"/>
              <w:ind w:right="0"/>
              <w:rPr>
                <w:rFonts w:hint="default"/>
              </w:rPr>
            </w:pPr>
          </w:p>
        </w:tc>
        <w:tc>
          <w:tcPr>
            <w:tcW w:w="677" w:type="pct"/>
            <w:shd w:val="clear" w:color="auto" w:fill="D8D8D8" w:themeFill="background1" w:themeFillShade="D9"/>
            <w:noWrap/>
            <w:vAlign w:val="bottom"/>
          </w:tcPr>
          <w:p w14:paraId="675F843D">
            <w:pPr>
              <w:pStyle w:val="55"/>
              <w:keepNext w:val="0"/>
              <w:keepLines w:val="0"/>
              <w:widowControl/>
              <w:suppressLineNumbers w:val="0"/>
              <w:spacing w:before="0" w:beforeAutospacing="0" w:afterAutospacing="0"/>
              <w:ind w:right="0"/>
              <w:rPr>
                <w:rFonts w:hint="default"/>
              </w:rPr>
            </w:pPr>
            <w:r>
              <w:rPr>
                <w:rFonts w:hint="default"/>
              </w:rPr>
              <w:t>98.1</w:t>
            </w:r>
          </w:p>
        </w:tc>
        <w:tc>
          <w:tcPr>
            <w:tcW w:w="585" w:type="pct"/>
            <w:shd w:val="clear" w:color="auto" w:fill="D8D8D8" w:themeFill="background1" w:themeFillShade="D9"/>
            <w:vAlign w:val="bottom"/>
          </w:tcPr>
          <w:p w14:paraId="56611909">
            <w:pPr>
              <w:pStyle w:val="55"/>
              <w:keepNext w:val="0"/>
              <w:keepLines w:val="0"/>
              <w:widowControl/>
              <w:suppressLineNumbers w:val="0"/>
              <w:spacing w:before="0" w:beforeAutospacing="0" w:afterAutospacing="0"/>
              <w:ind w:right="0"/>
              <w:rPr>
                <w:rFonts w:hint="default"/>
              </w:rPr>
            </w:pPr>
          </w:p>
        </w:tc>
      </w:tr>
      <w:tr w14:paraId="61408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shd w:val="clear" w:color="auto" w:fill="D8D8D8" w:themeFill="background1" w:themeFillShade="D9"/>
            <w:noWrap/>
            <w:vAlign w:val="bottom"/>
          </w:tcPr>
          <w:p w14:paraId="35EA0FE9">
            <w:pPr>
              <w:pStyle w:val="55"/>
              <w:keepNext w:val="0"/>
              <w:keepLines w:val="0"/>
              <w:widowControl/>
              <w:suppressLineNumbers w:val="0"/>
              <w:spacing w:before="0" w:beforeAutospacing="0" w:afterAutospacing="0"/>
              <w:ind w:right="0"/>
              <w:rPr>
                <w:rFonts w:hint="default"/>
              </w:rPr>
            </w:pPr>
            <w:r>
              <w:rPr>
                <w:rFonts w:hint="default"/>
              </w:rPr>
              <w:t xml:space="preserve">End Layer 9 </w:t>
            </w:r>
          </w:p>
        </w:tc>
        <w:tc>
          <w:tcPr>
            <w:tcW w:w="472" w:type="pct"/>
            <w:shd w:val="clear" w:color="auto" w:fill="D8D8D8" w:themeFill="background1" w:themeFillShade="D9"/>
            <w:noWrap/>
            <w:vAlign w:val="bottom"/>
          </w:tcPr>
          <w:p w14:paraId="6F712F3D">
            <w:pPr>
              <w:pStyle w:val="55"/>
              <w:keepNext w:val="0"/>
              <w:keepLines w:val="0"/>
              <w:widowControl/>
              <w:suppressLineNumbers w:val="0"/>
              <w:spacing w:before="0" w:beforeAutospacing="0" w:afterAutospacing="0"/>
              <w:ind w:right="0"/>
              <w:rPr>
                <w:rFonts w:hint="default"/>
              </w:rPr>
            </w:pPr>
          </w:p>
        </w:tc>
        <w:tc>
          <w:tcPr>
            <w:tcW w:w="417" w:type="pct"/>
            <w:shd w:val="clear" w:color="auto" w:fill="D8D8D8" w:themeFill="background1" w:themeFillShade="D9"/>
            <w:noWrap/>
            <w:vAlign w:val="bottom"/>
          </w:tcPr>
          <w:p w14:paraId="642E2FF1">
            <w:pPr>
              <w:pStyle w:val="55"/>
              <w:keepNext w:val="0"/>
              <w:keepLines w:val="0"/>
              <w:widowControl/>
              <w:suppressLineNumbers w:val="0"/>
              <w:spacing w:before="0" w:beforeAutospacing="0" w:afterAutospacing="0"/>
              <w:ind w:right="0"/>
              <w:rPr>
                <w:rFonts w:hint="default"/>
              </w:rPr>
            </w:pPr>
          </w:p>
        </w:tc>
        <w:tc>
          <w:tcPr>
            <w:tcW w:w="465" w:type="pct"/>
            <w:shd w:val="clear" w:color="auto" w:fill="D8D8D8" w:themeFill="background1" w:themeFillShade="D9"/>
            <w:noWrap/>
            <w:vAlign w:val="bottom"/>
          </w:tcPr>
          <w:p w14:paraId="5AF22942">
            <w:pPr>
              <w:pStyle w:val="55"/>
              <w:keepNext w:val="0"/>
              <w:keepLines w:val="0"/>
              <w:widowControl/>
              <w:suppressLineNumbers w:val="0"/>
              <w:spacing w:before="0" w:beforeAutospacing="0" w:afterAutospacing="0"/>
              <w:ind w:right="0"/>
              <w:rPr>
                <w:rFonts w:hint="default" w:eastAsia="Calibri"/>
              </w:rPr>
            </w:pPr>
            <w:r>
              <w:rPr>
                <w:rFonts w:hint="default"/>
              </w:rPr>
              <w:t>158300</w:t>
            </w:r>
          </w:p>
        </w:tc>
        <w:tc>
          <w:tcPr>
            <w:tcW w:w="461" w:type="pct"/>
            <w:shd w:val="clear" w:color="auto" w:fill="D8D8D8" w:themeFill="background1" w:themeFillShade="D9"/>
            <w:noWrap/>
            <w:vAlign w:val="bottom"/>
          </w:tcPr>
          <w:p w14:paraId="1725BAB8">
            <w:pPr>
              <w:pStyle w:val="55"/>
              <w:keepNext w:val="0"/>
              <w:keepLines w:val="0"/>
              <w:widowControl/>
              <w:suppressLineNumbers w:val="0"/>
              <w:spacing w:before="0" w:beforeAutospacing="0" w:afterAutospacing="0"/>
              <w:ind w:right="0"/>
              <w:rPr>
                <w:rFonts w:hint="default" w:eastAsia="Calibri"/>
              </w:rPr>
            </w:pPr>
            <w:r>
              <w:rPr>
                <w:rFonts w:hint="default"/>
              </w:rPr>
              <w:t>149900</w:t>
            </w:r>
          </w:p>
        </w:tc>
        <w:tc>
          <w:tcPr>
            <w:tcW w:w="300" w:type="pct"/>
            <w:shd w:val="clear" w:color="auto" w:fill="D8D8D8" w:themeFill="background1" w:themeFillShade="D9"/>
            <w:noWrap/>
            <w:vAlign w:val="bottom"/>
          </w:tcPr>
          <w:p w14:paraId="1D78F458">
            <w:pPr>
              <w:pStyle w:val="55"/>
              <w:keepNext w:val="0"/>
              <w:keepLines w:val="0"/>
              <w:widowControl/>
              <w:suppressLineNumbers w:val="0"/>
              <w:spacing w:before="0" w:beforeAutospacing="0" w:afterAutospacing="0"/>
              <w:ind w:right="0"/>
              <w:rPr>
                <w:rFonts w:hint="default"/>
              </w:rPr>
            </w:pPr>
          </w:p>
        </w:tc>
        <w:tc>
          <w:tcPr>
            <w:tcW w:w="494" w:type="pct"/>
            <w:shd w:val="clear" w:color="auto" w:fill="D8D8D8" w:themeFill="background1" w:themeFillShade="D9"/>
            <w:noWrap/>
            <w:vAlign w:val="bottom"/>
          </w:tcPr>
          <w:p w14:paraId="4442A318">
            <w:pPr>
              <w:pStyle w:val="55"/>
              <w:keepNext w:val="0"/>
              <w:keepLines w:val="0"/>
              <w:widowControl/>
              <w:suppressLineNumbers w:val="0"/>
              <w:spacing w:before="0" w:beforeAutospacing="0" w:afterAutospacing="0"/>
              <w:ind w:right="0"/>
              <w:rPr>
                <w:rFonts w:hint="default"/>
              </w:rPr>
            </w:pPr>
          </w:p>
        </w:tc>
        <w:tc>
          <w:tcPr>
            <w:tcW w:w="677" w:type="pct"/>
            <w:shd w:val="clear" w:color="auto" w:fill="D8D8D8" w:themeFill="background1" w:themeFillShade="D9"/>
            <w:noWrap/>
            <w:vAlign w:val="bottom"/>
          </w:tcPr>
          <w:p w14:paraId="4B77A25D">
            <w:pPr>
              <w:pStyle w:val="55"/>
              <w:keepNext w:val="0"/>
              <w:keepLines w:val="0"/>
              <w:widowControl/>
              <w:suppressLineNumbers w:val="0"/>
              <w:spacing w:before="0" w:beforeAutospacing="0" w:afterAutospacing="0"/>
              <w:ind w:right="0"/>
              <w:rPr>
                <w:rFonts w:hint="default"/>
              </w:rPr>
            </w:pPr>
            <w:r>
              <w:rPr>
                <w:rFonts w:hint="default"/>
              </w:rPr>
              <w:t>99</w:t>
            </w:r>
          </w:p>
        </w:tc>
        <w:tc>
          <w:tcPr>
            <w:tcW w:w="585" w:type="pct"/>
            <w:shd w:val="clear" w:color="auto" w:fill="D8D8D8" w:themeFill="background1" w:themeFillShade="D9"/>
            <w:vAlign w:val="bottom"/>
          </w:tcPr>
          <w:p w14:paraId="479CB109">
            <w:pPr>
              <w:pStyle w:val="55"/>
              <w:keepNext w:val="0"/>
              <w:keepLines w:val="0"/>
              <w:widowControl/>
              <w:suppressLineNumbers w:val="0"/>
              <w:spacing w:before="0" w:beforeAutospacing="0" w:afterAutospacing="0"/>
              <w:ind w:right="0"/>
              <w:rPr>
                <w:rFonts w:hint="default"/>
              </w:rPr>
            </w:pPr>
          </w:p>
        </w:tc>
      </w:tr>
      <w:tr w14:paraId="79948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noWrap/>
            <w:vAlign w:val="bottom"/>
          </w:tcPr>
          <w:p w14:paraId="043A2FEE">
            <w:pPr>
              <w:pStyle w:val="55"/>
              <w:keepNext w:val="0"/>
              <w:keepLines w:val="0"/>
              <w:widowControl/>
              <w:suppressLineNumbers w:val="0"/>
              <w:spacing w:before="0" w:beforeAutospacing="0" w:afterAutospacing="0"/>
              <w:ind w:right="0"/>
              <w:rPr>
                <w:rFonts w:hint="default"/>
              </w:rPr>
            </w:pPr>
            <w:r>
              <w:rPr>
                <w:rFonts w:hint="default"/>
              </w:rPr>
              <w:t xml:space="preserve">BF9-F1 </w:t>
            </w:r>
          </w:p>
        </w:tc>
        <w:tc>
          <w:tcPr>
            <w:tcW w:w="472" w:type="pct"/>
            <w:noWrap/>
            <w:vAlign w:val="bottom"/>
          </w:tcPr>
          <w:p w14:paraId="474D8205">
            <w:pPr>
              <w:pStyle w:val="55"/>
              <w:keepNext w:val="0"/>
              <w:keepLines w:val="0"/>
              <w:widowControl/>
              <w:suppressLineNumbers w:val="0"/>
              <w:spacing w:before="0" w:beforeAutospacing="0" w:afterAutospacing="0"/>
              <w:ind w:right="0"/>
              <w:rPr>
                <w:rFonts w:hint="default" w:eastAsia="Calibri"/>
              </w:rPr>
            </w:pPr>
            <w:r>
              <w:rPr>
                <w:rFonts w:hint="default"/>
              </w:rPr>
              <w:t>155700</w:t>
            </w:r>
          </w:p>
        </w:tc>
        <w:tc>
          <w:tcPr>
            <w:tcW w:w="417" w:type="pct"/>
            <w:noWrap/>
            <w:vAlign w:val="bottom"/>
          </w:tcPr>
          <w:p w14:paraId="0381DB61">
            <w:pPr>
              <w:pStyle w:val="55"/>
              <w:keepNext w:val="0"/>
              <w:keepLines w:val="0"/>
              <w:widowControl/>
              <w:suppressLineNumbers w:val="0"/>
              <w:spacing w:before="0" w:beforeAutospacing="0" w:afterAutospacing="0"/>
              <w:ind w:right="0"/>
              <w:rPr>
                <w:rFonts w:hint="default" w:eastAsia="Calibri"/>
              </w:rPr>
            </w:pPr>
            <w:r>
              <w:rPr>
                <w:rFonts w:hint="default"/>
              </w:rPr>
              <w:t>158500</w:t>
            </w:r>
          </w:p>
        </w:tc>
        <w:tc>
          <w:tcPr>
            <w:tcW w:w="465" w:type="pct"/>
            <w:noWrap/>
            <w:vAlign w:val="bottom"/>
          </w:tcPr>
          <w:p w14:paraId="27C9B862">
            <w:pPr>
              <w:pStyle w:val="55"/>
              <w:keepNext w:val="0"/>
              <w:keepLines w:val="0"/>
              <w:widowControl/>
              <w:suppressLineNumbers w:val="0"/>
              <w:spacing w:before="0" w:beforeAutospacing="0" w:afterAutospacing="0"/>
              <w:ind w:right="0"/>
              <w:rPr>
                <w:rFonts w:hint="default" w:eastAsia="Calibri"/>
              </w:rPr>
            </w:pPr>
            <w:r>
              <w:rPr>
                <w:rFonts w:hint="default"/>
              </w:rPr>
              <w:t>158800</w:t>
            </w:r>
          </w:p>
        </w:tc>
        <w:tc>
          <w:tcPr>
            <w:tcW w:w="461" w:type="pct"/>
            <w:noWrap/>
            <w:vAlign w:val="bottom"/>
          </w:tcPr>
          <w:p w14:paraId="00B35E86">
            <w:pPr>
              <w:pStyle w:val="55"/>
              <w:keepNext w:val="0"/>
              <w:keepLines w:val="0"/>
              <w:widowControl/>
              <w:suppressLineNumbers w:val="0"/>
              <w:spacing w:before="0" w:beforeAutospacing="0" w:afterAutospacing="0"/>
              <w:ind w:right="0"/>
              <w:rPr>
                <w:rFonts w:hint="default" w:eastAsia="Calibri"/>
              </w:rPr>
            </w:pPr>
            <w:r>
              <w:rPr>
                <w:rFonts w:hint="default"/>
              </w:rPr>
              <w:t>156000</w:t>
            </w:r>
          </w:p>
        </w:tc>
        <w:tc>
          <w:tcPr>
            <w:tcW w:w="300" w:type="pct"/>
            <w:noWrap/>
            <w:vAlign w:val="bottom"/>
          </w:tcPr>
          <w:p w14:paraId="7C3DE2C3">
            <w:pPr>
              <w:pStyle w:val="55"/>
              <w:keepNext w:val="0"/>
              <w:keepLines w:val="0"/>
              <w:widowControl/>
              <w:suppressLineNumbers w:val="0"/>
              <w:spacing w:before="0" w:beforeAutospacing="0" w:afterAutospacing="0"/>
              <w:ind w:right="0"/>
              <w:rPr>
                <w:rFonts w:hint="default"/>
              </w:rPr>
            </w:pPr>
            <w:r>
              <w:rPr>
                <w:rFonts w:hint="default"/>
              </w:rPr>
              <w:t>0</w:t>
            </w:r>
          </w:p>
        </w:tc>
        <w:tc>
          <w:tcPr>
            <w:tcW w:w="494" w:type="pct"/>
            <w:noWrap/>
            <w:vAlign w:val="bottom"/>
          </w:tcPr>
          <w:p w14:paraId="6D3159DC">
            <w:pPr>
              <w:pStyle w:val="55"/>
              <w:keepNext w:val="0"/>
              <w:keepLines w:val="0"/>
              <w:widowControl/>
              <w:suppressLineNumbers w:val="0"/>
              <w:spacing w:before="0" w:beforeAutospacing="0" w:afterAutospacing="0"/>
              <w:ind w:right="0"/>
              <w:rPr>
                <w:rFonts w:hint="default"/>
              </w:rPr>
            </w:pPr>
            <w:r>
              <w:rPr>
                <w:rFonts w:hint="default"/>
              </w:rPr>
              <w:t>0</w:t>
            </w:r>
          </w:p>
        </w:tc>
        <w:tc>
          <w:tcPr>
            <w:tcW w:w="677" w:type="pct"/>
            <w:noWrap/>
            <w:vAlign w:val="bottom"/>
          </w:tcPr>
          <w:p w14:paraId="19513E71">
            <w:pPr>
              <w:pStyle w:val="55"/>
              <w:keepNext w:val="0"/>
              <w:keepLines w:val="0"/>
              <w:widowControl/>
              <w:suppressLineNumbers w:val="0"/>
              <w:spacing w:before="0" w:beforeAutospacing="0" w:afterAutospacing="0"/>
              <w:ind w:right="0"/>
              <w:rPr>
                <w:rFonts w:hint="default"/>
              </w:rPr>
            </w:pPr>
            <w:r>
              <w:rPr>
                <w:rFonts w:hint="default"/>
              </w:rPr>
              <w:t>99.1</w:t>
            </w:r>
          </w:p>
        </w:tc>
        <w:tc>
          <w:tcPr>
            <w:tcW w:w="585" w:type="pct"/>
            <w:vAlign w:val="bottom"/>
          </w:tcPr>
          <w:p w14:paraId="5CD52FB8">
            <w:pPr>
              <w:pStyle w:val="55"/>
              <w:keepNext w:val="0"/>
              <w:keepLines w:val="0"/>
              <w:widowControl/>
              <w:suppressLineNumbers w:val="0"/>
              <w:spacing w:before="0" w:beforeAutospacing="0" w:afterAutospacing="0"/>
              <w:ind w:right="0"/>
              <w:rPr>
                <w:rFonts w:hint="default"/>
              </w:rPr>
            </w:pPr>
            <w:r>
              <w:rPr>
                <w:rFonts w:hint="default"/>
              </w:rPr>
              <w:t>94.8</w:t>
            </w:r>
          </w:p>
        </w:tc>
      </w:tr>
      <w:tr w14:paraId="4D14A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noWrap/>
            <w:vAlign w:val="bottom"/>
          </w:tcPr>
          <w:p w14:paraId="523DBF5F">
            <w:pPr>
              <w:pStyle w:val="55"/>
              <w:keepNext w:val="0"/>
              <w:keepLines w:val="0"/>
              <w:widowControl/>
              <w:suppressLineNumbers w:val="0"/>
              <w:spacing w:before="0" w:beforeAutospacing="0" w:afterAutospacing="0"/>
              <w:ind w:right="0"/>
              <w:rPr>
                <w:rFonts w:hint="default"/>
              </w:rPr>
            </w:pPr>
            <w:r>
              <w:rPr>
                <w:rFonts w:hint="default"/>
              </w:rPr>
              <w:t xml:space="preserve">BF9-F4 </w:t>
            </w:r>
          </w:p>
        </w:tc>
        <w:tc>
          <w:tcPr>
            <w:tcW w:w="472" w:type="pct"/>
            <w:noWrap/>
            <w:vAlign w:val="bottom"/>
          </w:tcPr>
          <w:p w14:paraId="25E391C7">
            <w:pPr>
              <w:pStyle w:val="55"/>
              <w:keepNext w:val="0"/>
              <w:keepLines w:val="0"/>
              <w:widowControl/>
              <w:suppressLineNumbers w:val="0"/>
              <w:spacing w:before="0" w:beforeAutospacing="0" w:afterAutospacing="0"/>
              <w:ind w:right="0"/>
              <w:rPr>
                <w:rFonts w:hint="default" w:eastAsia="Calibri"/>
              </w:rPr>
            </w:pPr>
            <w:r>
              <w:rPr>
                <w:rFonts w:hint="default"/>
              </w:rPr>
              <w:t>159300</w:t>
            </w:r>
          </w:p>
        </w:tc>
        <w:tc>
          <w:tcPr>
            <w:tcW w:w="417" w:type="pct"/>
            <w:noWrap/>
            <w:vAlign w:val="bottom"/>
          </w:tcPr>
          <w:p w14:paraId="265C5935">
            <w:pPr>
              <w:pStyle w:val="55"/>
              <w:keepNext w:val="0"/>
              <w:keepLines w:val="0"/>
              <w:widowControl/>
              <w:suppressLineNumbers w:val="0"/>
              <w:spacing w:before="0" w:beforeAutospacing="0" w:afterAutospacing="0"/>
              <w:ind w:right="0"/>
              <w:rPr>
                <w:rFonts w:hint="default" w:eastAsia="Calibri"/>
              </w:rPr>
            </w:pPr>
            <w:r>
              <w:rPr>
                <w:rFonts w:hint="default"/>
              </w:rPr>
              <w:t>161700</w:t>
            </w:r>
          </w:p>
        </w:tc>
        <w:tc>
          <w:tcPr>
            <w:tcW w:w="465" w:type="pct"/>
            <w:noWrap/>
            <w:vAlign w:val="bottom"/>
          </w:tcPr>
          <w:p w14:paraId="3FD71EE5">
            <w:pPr>
              <w:pStyle w:val="55"/>
              <w:keepNext w:val="0"/>
              <w:keepLines w:val="0"/>
              <w:widowControl/>
              <w:suppressLineNumbers w:val="0"/>
              <w:spacing w:before="0" w:beforeAutospacing="0" w:afterAutospacing="0"/>
              <w:ind w:right="0"/>
              <w:rPr>
                <w:rFonts w:hint="default" w:eastAsia="Calibri"/>
              </w:rPr>
            </w:pPr>
            <w:r>
              <w:rPr>
                <w:rFonts w:hint="default"/>
              </w:rPr>
              <w:t>161600</w:t>
            </w:r>
          </w:p>
        </w:tc>
        <w:tc>
          <w:tcPr>
            <w:tcW w:w="461" w:type="pct"/>
            <w:noWrap/>
            <w:vAlign w:val="bottom"/>
          </w:tcPr>
          <w:p w14:paraId="3AC90C76">
            <w:pPr>
              <w:pStyle w:val="55"/>
              <w:keepNext w:val="0"/>
              <w:keepLines w:val="0"/>
              <w:widowControl/>
              <w:suppressLineNumbers w:val="0"/>
              <w:spacing w:before="0" w:beforeAutospacing="0" w:afterAutospacing="0"/>
              <w:ind w:right="0"/>
              <w:rPr>
                <w:rFonts w:hint="default" w:eastAsia="Calibri"/>
              </w:rPr>
            </w:pPr>
            <w:r>
              <w:rPr>
                <w:rFonts w:hint="default"/>
              </w:rPr>
              <w:t>159300</w:t>
            </w:r>
          </w:p>
        </w:tc>
        <w:tc>
          <w:tcPr>
            <w:tcW w:w="300" w:type="pct"/>
            <w:noWrap/>
            <w:vAlign w:val="bottom"/>
          </w:tcPr>
          <w:p w14:paraId="4DEFD977">
            <w:pPr>
              <w:pStyle w:val="55"/>
              <w:keepNext w:val="0"/>
              <w:keepLines w:val="0"/>
              <w:widowControl/>
              <w:suppressLineNumbers w:val="0"/>
              <w:spacing w:before="0" w:beforeAutospacing="0" w:afterAutospacing="0"/>
              <w:ind w:right="0"/>
              <w:rPr>
                <w:rFonts w:hint="default"/>
              </w:rPr>
            </w:pPr>
            <w:r>
              <w:rPr>
                <w:rFonts w:hint="default"/>
              </w:rPr>
              <w:t>0</w:t>
            </w:r>
          </w:p>
        </w:tc>
        <w:tc>
          <w:tcPr>
            <w:tcW w:w="494" w:type="pct"/>
            <w:noWrap/>
            <w:vAlign w:val="bottom"/>
          </w:tcPr>
          <w:p w14:paraId="057698D4">
            <w:pPr>
              <w:pStyle w:val="55"/>
              <w:keepNext w:val="0"/>
              <w:keepLines w:val="0"/>
              <w:widowControl/>
              <w:suppressLineNumbers w:val="0"/>
              <w:spacing w:before="0" w:beforeAutospacing="0" w:afterAutospacing="0"/>
              <w:ind w:right="0"/>
              <w:rPr>
                <w:rFonts w:hint="default"/>
              </w:rPr>
            </w:pPr>
            <w:r>
              <w:rPr>
                <w:rFonts w:hint="default"/>
              </w:rPr>
              <w:t>0</w:t>
            </w:r>
          </w:p>
        </w:tc>
        <w:tc>
          <w:tcPr>
            <w:tcW w:w="677" w:type="pct"/>
            <w:noWrap/>
            <w:vAlign w:val="bottom"/>
          </w:tcPr>
          <w:p w14:paraId="31D1B464">
            <w:pPr>
              <w:pStyle w:val="55"/>
              <w:keepNext w:val="0"/>
              <w:keepLines w:val="0"/>
              <w:widowControl/>
              <w:suppressLineNumbers w:val="0"/>
              <w:spacing w:before="0" w:beforeAutospacing="0" w:afterAutospacing="0"/>
              <w:ind w:right="0"/>
              <w:rPr>
                <w:rFonts w:hint="default"/>
              </w:rPr>
            </w:pPr>
            <w:r>
              <w:rPr>
                <w:rFonts w:hint="default"/>
              </w:rPr>
              <w:t>99.3</w:t>
            </w:r>
          </w:p>
        </w:tc>
        <w:tc>
          <w:tcPr>
            <w:tcW w:w="585" w:type="pct"/>
            <w:vAlign w:val="bottom"/>
          </w:tcPr>
          <w:p w14:paraId="55021CB8">
            <w:pPr>
              <w:pStyle w:val="55"/>
              <w:keepNext w:val="0"/>
              <w:keepLines w:val="0"/>
              <w:widowControl/>
              <w:suppressLineNumbers w:val="0"/>
              <w:spacing w:before="0" w:beforeAutospacing="0" w:afterAutospacing="0"/>
              <w:ind w:right="0"/>
              <w:rPr>
                <w:rFonts w:hint="default"/>
              </w:rPr>
            </w:pPr>
            <w:r>
              <w:rPr>
                <w:rFonts w:hint="default"/>
              </w:rPr>
              <w:t>100.7</w:t>
            </w:r>
          </w:p>
        </w:tc>
      </w:tr>
      <w:tr w14:paraId="47C1D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noWrap/>
            <w:vAlign w:val="bottom"/>
          </w:tcPr>
          <w:p w14:paraId="2C82689B">
            <w:pPr>
              <w:pStyle w:val="55"/>
              <w:keepNext w:val="0"/>
              <w:keepLines w:val="0"/>
              <w:widowControl/>
              <w:suppressLineNumbers w:val="0"/>
              <w:spacing w:before="0" w:beforeAutospacing="0" w:afterAutospacing="0"/>
              <w:ind w:right="0"/>
              <w:rPr>
                <w:rFonts w:hint="default"/>
              </w:rPr>
            </w:pPr>
            <w:r>
              <w:rPr>
                <w:rFonts w:hint="default"/>
              </w:rPr>
              <w:t xml:space="preserve">BF9-F2 </w:t>
            </w:r>
          </w:p>
        </w:tc>
        <w:tc>
          <w:tcPr>
            <w:tcW w:w="472" w:type="pct"/>
            <w:noWrap/>
            <w:vAlign w:val="bottom"/>
          </w:tcPr>
          <w:p w14:paraId="21F3D6C1">
            <w:pPr>
              <w:pStyle w:val="55"/>
              <w:keepNext w:val="0"/>
              <w:keepLines w:val="0"/>
              <w:widowControl/>
              <w:suppressLineNumbers w:val="0"/>
              <w:spacing w:before="0" w:beforeAutospacing="0" w:afterAutospacing="0"/>
              <w:ind w:right="0"/>
              <w:rPr>
                <w:rFonts w:hint="default" w:eastAsia="Calibri"/>
              </w:rPr>
            </w:pPr>
            <w:r>
              <w:rPr>
                <w:rFonts w:hint="default"/>
              </w:rPr>
              <w:t>160700</w:t>
            </w:r>
          </w:p>
        </w:tc>
        <w:tc>
          <w:tcPr>
            <w:tcW w:w="417" w:type="pct"/>
            <w:noWrap/>
            <w:vAlign w:val="bottom"/>
          </w:tcPr>
          <w:p w14:paraId="228278CA">
            <w:pPr>
              <w:pStyle w:val="55"/>
              <w:keepNext w:val="0"/>
              <w:keepLines w:val="0"/>
              <w:widowControl/>
              <w:suppressLineNumbers w:val="0"/>
              <w:spacing w:before="0" w:beforeAutospacing="0" w:afterAutospacing="0"/>
              <w:ind w:right="0"/>
              <w:rPr>
                <w:rFonts w:hint="default" w:eastAsia="Calibri"/>
              </w:rPr>
            </w:pPr>
            <w:r>
              <w:rPr>
                <w:rFonts w:hint="default"/>
              </w:rPr>
              <w:t>164700</w:t>
            </w:r>
          </w:p>
        </w:tc>
        <w:tc>
          <w:tcPr>
            <w:tcW w:w="465" w:type="pct"/>
            <w:noWrap/>
            <w:vAlign w:val="bottom"/>
          </w:tcPr>
          <w:p w14:paraId="0260AC96">
            <w:pPr>
              <w:pStyle w:val="55"/>
              <w:keepNext w:val="0"/>
              <w:keepLines w:val="0"/>
              <w:widowControl/>
              <w:suppressLineNumbers w:val="0"/>
              <w:spacing w:before="0" w:beforeAutospacing="0" w:afterAutospacing="0"/>
              <w:ind w:right="0"/>
              <w:rPr>
                <w:rFonts w:hint="default" w:eastAsia="Calibri"/>
              </w:rPr>
            </w:pPr>
            <w:r>
              <w:rPr>
                <w:rFonts w:hint="default"/>
              </w:rPr>
              <w:t>164000</w:t>
            </w:r>
          </w:p>
        </w:tc>
        <w:tc>
          <w:tcPr>
            <w:tcW w:w="461" w:type="pct"/>
            <w:noWrap/>
            <w:vAlign w:val="bottom"/>
          </w:tcPr>
          <w:p w14:paraId="51C9A9BE">
            <w:pPr>
              <w:pStyle w:val="55"/>
              <w:keepNext w:val="0"/>
              <w:keepLines w:val="0"/>
              <w:widowControl/>
              <w:suppressLineNumbers w:val="0"/>
              <w:spacing w:before="0" w:beforeAutospacing="0" w:afterAutospacing="0"/>
              <w:ind w:right="0"/>
              <w:rPr>
                <w:rFonts w:hint="default" w:eastAsia="Calibri"/>
              </w:rPr>
            </w:pPr>
            <w:r>
              <w:rPr>
                <w:rFonts w:hint="default"/>
              </w:rPr>
              <w:t>160100</w:t>
            </w:r>
          </w:p>
        </w:tc>
        <w:tc>
          <w:tcPr>
            <w:tcW w:w="300" w:type="pct"/>
            <w:noWrap/>
            <w:vAlign w:val="bottom"/>
          </w:tcPr>
          <w:p w14:paraId="4081C128">
            <w:pPr>
              <w:pStyle w:val="55"/>
              <w:keepNext w:val="0"/>
              <w:keepLines w:val="0"/>
              <w:widowControl/>
              <w:suppressLineNumbers w:val="0"/>
              <w:spacing w:before="0" w:beforeAutospacing="0" w:afterAutospacing="0"/>
              <w:ind w:right="0"/>
              <w:rPr>
                <w:rFonts w:hint="default"/>
              </w:rPr>
            </w:pPr>
            <w:r>
              <w:rPr>
                <w:rFonts w:hint="default"/>
              </w:rPr>
              <w:t>0</w:t>
            </w:r>
          </w:p>
        </w:tc>
        <w:tc>
          <w:tcPr>
            <w:tcW w:w="494" w:type="pct"/>
            <w:noWrap/>
            <w:vAlign w:val="bottom"/>
          </w:tcPr>
          <w:p w14:paraId="4CDBF1EC">
            <w:pPr>
              <w:pStyle w:val="55"/>
              <w:keepNext w:val="0"/>
              <w:keepLines w:val="0"/>
              <w:widowControl/>
              <w:suppressLineNumbers w:val="0"/>
              <w:spacing w:before="0" w:beforeAutospacing="0" w:afterAutospacing="0"/>
              <w:ind w:right="0"/>
              <w:rPr>
                <w:rFonts w:hint="default"/>
              </w:rPr>
            </w:pPr>
            <w:r>
              <w:rPr>
                <w:rFonts w:hint="default"/>
              </w:rPr>
              <w:t>0</w:t>
            </w:r>
          </w:p>
        </w:tc>
        <w:tc>
          <w:tcPr>
            <w:tcW w:w="677" w:type="pct"/>
            <w:noWrap/>
            <w:vAlign w:val="bottom"/>
          </w:tcPr>
          <w:p w14:paraId="2CDCD522">
            <w:pPr>
              <w:pStyle w:val="55"/>
              <w:keepNext w:val="0"/>
              <w:keepLines w:val="0"/>
              <w:widowControl/>
              <w:suppressLineNumbers w:val="0"/>
              <w:spacing w:before="0" w:beforeAutospacing="0" w:afterAutospacing="0"/>
              <w:ind w:right="0"/>
              <w:rPr>
                <w:rFonts w:hint="default"/>
              </w:rPr>
            </w:pPr>
            <w:r>
              <w:rPr>
                <w:rFonts w:hint="default"/>
              </w:rPr>
              <w:t>98.9</w:t>
            </w:r>
          </w:p>
        </w:tc>
        <w:tc>
          <w:tcPr>
            <w:tcW w:w="585" w:type="pct"/>
            <w:vAlign w:val="bottom"/>
          </w:tcPr>
          <w:p w14:paraId="2EE9507F">
            <w:pPr>
              <w:pStyle w:val="55"/>
              <w:keepNext w:val="0"/>
              <w:keepLines w:val="0"/>
              <w:widowControl/>
              <w:suppressLineNumbers w:val="0"/>
              <w:spacing w:before="0" w:beforeAutospacing="0" w:afterAutospacing="0"/>
              <w:ind w:right="0"/>
              <w:rPr>
                <w:rFonts w:hint="default"/>
              </w:rPr>
            </w:pPr>
            <w:r>
              <w:rPr>
                <w:rFonts w:hint="default"/>
              </w:rPr>
              <w:t>87.6</w:t>
            </w:r>
          </w:p>
        </w:tc>
      </w:tr>
      <w:tr w14:paraId="1C32D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shd w:val="clear" w:color="auto" w:fill="D8D8D8" w:themeFill="background1" w:themeFillShade="D9"/>
            <w:noWrap/>
            <w:vAlign w:val="bottom"/>
          </w:tcPr>
          <w:p w14:paraId="721A2748">
            <w:pPr>
              <w:pStyle w:val="55"/>
              <w:keepNext w:val="0"/>
              <w:keepLines w:val="0"/>
              <w:widowControl/>
              <w:suppressLineNumbers w:val="0"/>
              <w:spacing w:before="0" w:beforeAutospacing="0" w:afterAutospacing="0"/>
              <w:ind w:right="0"/>
              <w:rPr>
                <w:rFonts w:hint="default"/>
              </w:rPr>
            </w:pPr>
            <w:r>
              <w:rPr>
                <w:rFonts w:hint="default"/>
              </w:rPr>
              <w:t xml:space="preserve">Start Layer 9 </w:t>
            </w:r>
          </w:p>
        </w:tc>
        <w:tc>
          <w:tcPr>
            <w:tcW w:w="472" w:type="pct"/>
            <w:shd w:val="clear" w:color="auto" w:fill="D8D8D8" w:themeFill="background1" w:themeFillShade="D9"/>
            <w:noWrap/>
            <w:vAlign w:val="bottom"/>
          </w:tcPr>
          <w:p w14:paraId="7061DC41">
            <w:pPr>
              <w:pStyle w:val="55"/>
              <w:keepNext w:val="0"/>
              <w:keepLines w:val="0"/>
              <w:widowControl/>
              <w:suppressLineNumbers w:val="0"/>
              <w:spacing w:before="0" w:beforeAutospacing="0" w:afterAutospacing="0"/>
              <w:ind w:right="0"/>
              <w:rPr>
                <w:rFonts w:hint="default"/>
              </w:rPr>
            </w:pPr>
          </w:p>
        </w:tc>
        <w:tc>
          <w:tcPr>
            <w:tcW w:w="417" w:type="pct"/>
            <w:shd w:val="clear" w:color="auto" w:fill="D8D8D8" w:themeFill="background1" w:themeFillShade="D9"/>
            <w:noWrap/>
            <w:vAlign w:val="bottom"/>
          </w:tcPr>
          <w:p w14:paraId="754BA76A">
            <w:pPr>
              <w:pStyle w:val="55"/>
              <w:keepNext w:val="0"/>
              <w:keepLines w:val="0"/>
              <w:widowControl/>
              <w:suppressLineNumbers w:val="0"/>
              <w:spacing w:before="0" w:beforeAutospacing="0" w:afterAutospacing="0"/>
              <w:ind w:right="0"/>
              <w:rPr>
                <w:rFonts w:hint="default"/>
              </w:rPr>
            </w:pPr>
          </w:p>
        </w:tc>
        <w:tc>
          <w:tcPr>
            <w:tcW w:w="465" w:type="pct"/>
            <w:shd w:val="clear" w:color="auto" w:fill="D8D8D8" w:themeFill="background1" w:themeFillShade="D9"/>
            <w:noWrap/>
            <w:vAlign w:val="bottom"/>
          </w:tcPr>
          <w:p w14:paraId="72628CCF">
            <w:pPr>
              <w:pStyle w:val="55"/>
              <w:keepNext w:val="0"/>
              <w:keepLines w:val="0"/>
              <w:widowControl/>
              <w:suppressLineNumbers w:val="0"/>
              <w:spacing w:before="0" w:beforeAutospacing="0" w:afterAutospacing="0"/>
              <w:ind w:right="0"/>
              <w:rPr>
                <w:rFonts w:hint="default" w:eastAsia="Calibri"/>
              </w:rPr>
            </w:pPr>
            <w:r>
              <w:rPr>
                <w:rFonts w:hint="default"/>
              </w:rPr>
              <w:t>167300</w:t>
            </w:r>
          </w:p>
        </w:tc>
        <w:tc>
          <w:tcPr>
            <w:tcW w:w="461" w:type="pct"/>
            <w:shd w:val="clear" w:color="auto" w:fill="D8D8D8" w:themeFill="background1" w:themeFillShade="D9"/>
            <w:noWrap/>
            <w:vAlign w:val="bottom"/>
          </w:tcPr>
          <w:p w14:paraId="49C0D26A">
            <w:pPr>
              <w:pStyle w:val="55"/>
              <w:keepNext w:val="0"/>
              <w:keepLines w:val="0"/>
              <w:widowControl/>
              <w:suppressLineNumbers w:val="0"/>
              <w:spacing w:before="0" w:beforeAutospacing="0" w:afterAutospacing="0"/>
              <w:ind w:right="0"/>
              <w:rPr>
                <w:rFonts w:hint="default" w:eastAsia="Calibri"/>
              </w:rPr>
            </w:pPr>
            <w:r>
              <w:rPr>
                <w:rFonts w:hint="default"/>
              </w:rPr>
              <w:t>160800</w:t>
            </w:r>
          </w:p>
        </w:tc>
        <w:tc>
          <w:tcPr>
            <w:tcW w:w="300" w:type="pct"/>
            <w:shd w:val="clear" w:color="auto" w:fill="D8D8D8" w:themeFill="background1" w:themeFillShade="D9"/>
            <w:noWrap/>
            <w:vAlign w:val="bottom"/>
          </w:tcPr>
          <w:p w14:paraId="05551809">
            <w:pPr>
              <w:pStyle w:val="55"/>
              <w:keepNext w:val="0"/>
              <w:keepLines w:val="0"/>
              <w:widowControl/>
              <w:suppressLineNumbers w:val="0"/>
              <w:spacing w:before="0" w:beforeAutospacing="0" w:afterAutospacing="0"/>
              <w:ind w:right="0"/>
              <w:rPr>
                <w:rFonts w:hint="default"/>
              </w:rPr>
            </w:pPr>
          </w:p>
        </w:tc>
        <w:tc>
          <w:tcPr>
            <w:tcW w:w="494" w:type="pct"/>
            <w:shd w:val="clear" w:color="auto" w:fill="D8D8D8" w:themeFill="background1" w:themeFillShade="D9"/>
            <w:noWrap/>
            <w:vAlign w:val="bottom"/>
          </w:tcPr>
          <w:p w14:paraId="2C87B77C">
            <w:pPr>
              <w:pStyle w:val="55"/>
              <w:keepNext w:val="0"/>
              <w:keepLines w:val="0"/>
              <w:widowControl/>
              <w:suppressLineNumbers w:val="0"/>
              <w:spacing w:before="0" w:beforeAutospacing="0" w:afterAutospacing="0"/>
              <w:ind w:right="0"/>
              <w:rPr>
                <w:rFonts w:hint="default"/>
              </w:rPr>
            </w:pPr>
          </w:p>
        </w:tc>
        <w:tc>
          <w:tcPr>
            <w:tcW w:w="677" w:type="pct"/>
            <w:shd w:val="clear" w:color="auto" w:fill="D8D8D8" w:themeFill="background1" w:themeFillShade="D9"/>
            <w:noWrap/>
            <w:vAlign w:val="bottom"/>
          </w:tcPr>
          <w:p w14:paraId="6D96DBF2">
            <w:pPr>
              <w:pStyle w:val="55"/>
              <w:keepNext w:val="0"/>
              <w:keepLines w:val="0"/>
              <w:widowControl/>
              <w:suppressLineNumbers w:val="0"/>
              <w:spacing w:before="0" w:beforeAutospacing="0" w:afterAutospacing="0"/>
              <w:ind w:right="0"/>
              <w:rPr>
                <w:rFonts w:hint="default"/>
              </w:rPr>
            </w:pPr>
            <w:r>
              <w:rPr>
                <w:rFonts w:hint="default"/>
              </w:rPr>
              <w:t>99.3</w:t>
            </w:r>
          </w:p>
        </w:tc>
        <w:tc>
          <w:tcPr>
            <w:tcW w:w="585" w:type="pct"/>
            <w:shd w:val="clear" w:color="auto" w:fill="D8D8D8" w:themeFill="background1" w:themeFillShade="D9"/>
            <w:vAlign w:val="bottom"/>
          </w:tcPr>
          <w:p w14:paraId="4F80D331">
            <w:pPr>
              <w:pStyle w:val="55"/>
              <w:keepNext w:val="0"/>
              <w:keepLines w:val="0"/>
              <w:widowControl/>
              <w:suppressLineNumbers w:val="0"/>
              <w:spacing w:before="0" w:beforeAutospacing="0" w:afterAutospacing="0"/>
              <w:ind w:right="0"/>
              <w:rPr>
                <w:rFonts w:hint="default"/>
              </w:rPr>
            </w:pPr>
          </w:p>
        </w:tc>
      </w:tr>
      <w:tr w14:paraId="288DF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shd w:val="clear" w:color="auto" w:fill="D8D8D8" w:themeFill="background1" w:themeFillShade="D9"/>
            <w:noWrap/>
            <w:vAlign w:val="bottom"/>
          </w:tcPr>
          <w:p w14:paraId="657FDF51">
            <w:pPr>
              <w:pStyle w:val="55"/>
              <w:keepNext w:val="0"/>
              <w:keepLines w:val="0"/>
              <w:widowControl/>
              <w:suppressLineNumbers w:val="0"/>
              <w:spacing w:before="0" w:beforeAutospacing="0" w:afterAutospacing="0"/>
              <w:ind w:right="0"/>
              <w:rPr>
                <w:rFonts w:hint="default" w:eastAsia="Calibri"/>
              </w:rPr>
            </w:pPr>
            <w:r>
              <w:rPr>
                <w:rFonts w:hint="default"/>
              </w:rPr>
              <w:t xml:space="preserve">End Layer 10 </w:t>
            </w:r>
          </w:p>
        </w:tc>
        <w:tc>
          <w:tcPr>
            <w:tcW w:w="472" w:type="pct"/>
            <w:shd w:val="clear" w:color="auto" w:fill="D8D8D8" w:themeFill="background1" w:themeFillShade="D9"/>
            <w:noWrap/>
            <w:vAlign w:val="bottom"/>
          </w:tcPr>
          <w:p w14:paraId="75A71B63">
            <w:pPr>
              <w:pStyle w:val="55"/>
              <w:keepNext w:val="0"/>
              <w:keepLines w:val="0"/>
              <w:widowControl/>
              <w:suppressLineNumbers w:val="0"/>
              <w:spacing w:before="0" w:beforeAutospacing="0" w:afterAutospacing="0"/>
              <w:ind w:right="0"/>
              <w:rPr>
                <w:rFonts w:hint="default"/>
              </w:rPr>
            </w:pPr>
          </w:p>
        </w:tc>
        <w:tc>
          <w:tcPr>
            <w:tcW w:w="417" w:type="pct"/>
            <w:shd w:val="clear" w:color="auto" w:fill="D8D8D8" w:themeFill="background1" w:themeFillShade="D9"/>
            <w:noWrap/>
            <w:vAlign w:val="bottom"/>
          </w:tcPr>
          <w:p w14:paraId="26D29390">
            <w:pPr>
              <w:pStyle w:val="55"/>
              <w:keepNext w:val="0"/>
              <w:keepLines w:val="0"/>
              <w:widowControl/>
              <w:suppressLineNumbers w:val="0"/>
              <w:spacing w:before="0" w:beforeAutospacing="0" w:afterAutospacing="0"/>
              <w:ind w:right="0"/>
              <w:rPr>
                <w:rFonts w:hint="default"/>
              </w:rPr>
            </w:pPr>
          </w:p>
        </w:tc>
        <w:tc>
          <w:tcPr>
            <w:tcW w:w="465" w:type="pct"/>
            <w:shd w:val="clear" w:color="auto" w:fill="D8D8D8" w:themeFill="background1" w:themeFillShade="D9"/>
            <w:noWrap/>
            <w:vAlign w:val="bottom"/>
          </w:tcPr>
          <w:p w14:paraId="7773B2AE">
            <w:pPr>
              <w:pStyle w:val="55"/>
              <w:keepNext w:val="0"/>
              <w:keepLines w:val="0"/>
              <w:widowControl/>
              <w:suppressLineNumbers w:val="0"/>
              <w:spacing w:before="0" w:beforeAutospacing="0" w:afterAutospacing="0"/>
              <w:ind w:right="0"/>
              <w:rPr>
                <w:rFonts w:hint="default" w:eastAsia="Calibri"/>
              </w:rPr>
            </w:pPr>
            <w:r>
              <w:rPr>
                <w:rFonts w:hint="default"/>
              </w:rPr>
              <w:t>170800</w:t>
            </w:r>
          </w:p>
        </w:tc>
        <w:tc>
          <w:tcPr>
            <w:tcW w:w="461" w:type="pct"/>
            <w:shd w:val="clear" w:color="auto" w:fill="D8D8D8" w:themeFill="background1" w:themeFillShade="D9"/>
            <w:noWrap/>
            <w:vAlign w:val="bottom"/>
          </w:tcPr>
          <w:p w14:paraId="2C9AC655">
            <w:pPr>
              <w:pStyle w:val="55"/>
              <w:keepNext w:val="0"/>
              <w:keepLines w:val="0"/>
              <w:widowControl/>
              <w:suppressLineNumbers w:val="0"/>
              <w:spacing w:before="0" w:beforeAutospacing="0" w:afterAutospacing="0"/>
              <w:ind w:right="0"/>
              <w:rPr>
                <w:rFonts w:hint="default" w:eastAsia="Calibri"/>
              </w:rPr>
            </w:pPr>
            <w:r>
              <w:rPr>
                <w:rFonts w:hint="default"/>
              </w:rPr>
              <w:t>161800</w:t>
            </w:r>
          </w:p>
        </w:tc>
        <w:tc>
          <w:tcPr>
            <w:tcW w:w="300" w:type="pct"/>
            <w:shd w:val="clear" w:color="auto" w:fill="D8D8D8" w:themeFill="background1" w:themeFillShade="D9"/>
            <w:noWrap/>
            <w:vAlign w:val="bottom"/>
          </w:tcPr>
          <w:p w14:paraId="48B76DF1">
            <w:pPr>
              <w:pStyle w:val="55"/>
              <w:keepNext w:val="0"/>
              <w:keepLines w:val="0"/>
              <w:widowControl/>
              <w:suppressLineNumbers w:val="0"/>
              <w:spacing w:before="0" w:beforeAutospacing="0" w:afterAutospacing="0"/>
              <w:ind w:right="0"/>
              <w:rPr>
                <w:rFonts w:hint="default"/>
              </w:rPr>
            </w:pPr>
          </w:p>
        </w:tc>
        <w:tc>
          <w:tcPr>
            <w:tcW w:w="494" w:type="pct"/>
            <w:shd w:val="clear" w:color="auto" w:fill="D8D8D8" w:themeFill="background1" w:themeFillShade="D9"/>
            <w:noWrap/>
            <w:vAlign w:val="bottom"/>
          </w:tcPr>
          <w:p w14:paraId="40017FD5">
            <w:pPr>
              <w:pStyle w:val="55"/>
              <w:keepNext w:val="0"/>
              <w:keepLines w:val="0"/>
              <w:widowControl/>
              <w:suppressLineNumbers w:val="0"/>
              <w:spacing w:before="0" w:beforeAutospacing="0" w:afterAutospacing="0"/>
              <w:ind w:right="0"/>
              <w:rPr>
                <w:rFonts w:hint="default"/>
              </w:rPr>
            </w:pPr>
          </w:p>
        </w:tc>
        <w:tc>
          <w:tcPr>
            <w:tcW w:w="677" w:type="pct"/>
            <w:shd w:val="clear" w:color="auto" w:fill="D8D8D8" w:themeFill="background1" w:themeFillShade="D9"/>
            <w:noWrap/>
            <w:vAlign w:val="bottom"/>
          </w:tcPr>
          <w:p w14:paraId="1491DA95">
            <w:pPr>
              <w:pStyle w:val="55"/>
              <w:keepNext w:val="0"/>
              <w:keepLines w:val="0"/>
              <w:widowControl/>
              <w:suppressLineNumbers w:val="0"/>
              <w:spacing w:before="0" w:beforeAutospacing="0" w:afterAutospacing="0"/>
              <w:ind w:right="0"/>
              <w:rPr>
                <w:rFonts w:hint="default"/>
              </w:rPr>
            </w:pPr>
            <w:r>
              <w:rPr>
                <w:rFonts w:hint="default"/>
              </w:rPr>
              <w:t>98.7</w:t>
            </w:r>
          </w:p>
        </w:tc>
        <w:tc>
          <w:tcPr>
            <w:tcW w:w="585" w:type="pct"/>
            <w:shd w:val="clear" w:color="auto" w:fill="D8D8D8" w:themeFill="background1" w:themeFillShade="D9"/>
            <w:vAlign w:val="bottom"/>
          </w:tcPr>
          <w:p w14:paraId="3A7B558E">
            <w:pPr>
              <w:pStyle w:val="55"/>
              <w:keepNext w:val="0"/>
              <w:keepLines w:val="0"/>
              <w:widowControl/>
              <w:suppressLineNumbers w:val="0"/>
              <w:spacing w:before="0" w:beforeAutospacing="0" w:afterAutospacing="0"/>
              <w:ind w:right="0"/>
              <w:rPr>
                <w:rFonts w:hint="default"/>
              </w:rPr>
            </w:pPr>
          </w:p>
        </w:tc>
      </w:tr>
      <w:tr w14:paraId="10D64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noWrap/>
            <w:vAlign w:val="bottom"/>
          </w:tcPr>
          <w:p w14:paraId="68597FCA">
            <w:pPr>
              <w:pStyle w:val="55"/>
              <w:keepNext w:val="0"/>
              <w:keepLines w:val="0"/>
              <w:widowControl/>
              <w:suppressLineNumbers w:val="0"/>
              <w:spacing w:before="0" w:beforeAutospacing="0" w:afterAutospacing="0"/>
              <w:ind w:right="0"/>
              <w:rPr>
                <w:rFonts w:hint="default"/>
              </w:rPr>
            </w:pPr>
            <w:r>
              <w:rPr>
                <w:rFonts w:hint="default"/>
              </w:rPr>
              <w:t xml:space="preserve">BFD-OSL9 </w:t>
            </w:r>
          </w:p>
        </w:tc>
        <w:tc>
          <w:tcPr>
            <w:tcW w:w="472" w:type="pct"/>
            <w:noWrap/>
            <w:vAlign w:val="bottom"/>
          </w:tcPr>
          <w:p w14:paraId="4C884F42">
            <w:pPr>
              <w:pStyle w:val="55"/>
              <w:keepNext w:val="0"/>
              <w:keepLines w:val="0"/>
              <w:widowControl/>
              <w:suppressLineNumbers w:val="0"/>
              <w:spacing w:before="0" w:beforeAutospacing="0" w:afterAutospacing="0"/>
              <w:ind w:right="0"/>
              <w:rPr>
                <w:rFonts w:hint="default" w:eastAsia="Calibri"/>
              </w:rPr>
            </w:pPr>
            <w:r>
              <w:rPr>
                <w:rFonts w:hint="default"/>
              </w:rPr>
              <w:t>104100</w:t>
            </w:r>
          </w:p>
        </w:tc>
        <w:tc>
          <w:tcPr>
            <w:tcW w:w="417" w:type="pct"/>
            <w:noWrap/>
            <w:vAlign w:val="bottom"/>
          </w:tcPr>
          <w:p w14:paraId="24557FE1">
            <w:pPr>
              <w:pStyle w:val="55"/>
              <w:keepNext w:val="0"/>
              <w:keepLines w:val="0"/>
              <w:widowControl/>
              <w:suppressLineNumbers w:val="0"/>
              <w:spacing w:before="0" w:beforeAutospacing="0" w:afterAutospacing="0"/>
              <w:ind w:right="0"/>
              <w:rPr>
                <w:rFonts w:hint="default" w:eastAsia="Calibri"/>
              </w:rPr>
            </w:pPr>
            <w:r>
              <w:rPr>
                <w:rFonts w:hint="default"/>
              </w:rPr>
              <w:t>140400</w:t>
            </w:r>
          </w:p>
        </w:tc>
        <w:tc>
          <w:tcPr>
            <w:tcW w:w="465" w:type="pct"/>
            <w:noWrap/>
            <w:vAlign w:val="bottom"/>
          </w:tcPr>
          <w:p w14:paraId="7F179999">
            <w:pPr>
              <w:pStyle w:val="55"/>
              <w:keepNext w:val="0"/>
              <w:keepLines w:val="0"/>
              <w:widowControl/>
              <w:suppressLineNumbers w:val="0"/>
              <w:spacing w:before="0" w:beforeAutospacing="0" w:afterAutospacing="0"/>
              <w:ind w:right="0"/>
              <w:rPr>
                <w:rFonts w:hint="default" w:eastAsia="Calibri"/>
              </w:rPr>
            </w:pPr>
            <w:r>
              <w:rPr>
                <w:rFonts w:hint="default"/>
              </w:rPr>
              <w:t>171800</w:t>
            </w:r>
          </w:p>
        </w:tc>
        <w:tc>
          <w:tcPr>
            <w:tcW w:w="461" w:type="pct"/>
            <w:noWrap/>
            <w:vAlign w:val="bottom"/>
          </w:tcPr>
          <w:p w14:paraId="476C91FF">
            <w:pPr>
              <w:pStyle w:val="55"/>
              <w:keepNext w:val="0"/>
              <w:keepLines w:val="0"/>
              <w:widowControl/>
              <w:suppressLineNumbers w:val="0"/>
              <w:spacing w:before="0" w:beforeAutospacing="0" w:afterAutospacing="0"/>
              <w:ind w:right="0"/>
              <w:rPr>
                <w:rFonts w:hint="default" w:eastAsia="Calibri"/>
              </w:rPr>
            </w:pPr>
            <w:r>
              <w:rPr>
                <w:rFonts w:hint="default"/>
              </w:rPr>
              <w:t>162600</w:t>
            </w:r>
          </w:p>
        </w:tc>
        <w:tc>
          <w:tcPr>
            <w:tcW w:w="300" w:type="pct"/>
            <w:noWrap/>
            <w:vAlign w:val="bottom"/>
          </w:tcPr>
          <w:p w14:paraId="2B29B097">
            <w:pPr>
              <w:pStyle w:val="55"/>
              <w:keepNext w:val="0"/>
              <w:keepLines w:val="0"/>
              <w:widowControl/>
              <w:suppressLineNumbers w:val="0"/>
              <w:spacing w:before="0" w:beforeAutospacing="0" w:afterAutospacing="0"/>
              <w:ind w:right="0"/>
              <w:rPr>
                <w:rFonts w:hint="default"/>
              </w:rPr>
            </w:pPr>
            <w:r>
              <w:rPr>
                <w:rFonts w:hint="default"/>
              </w:rPr>
              <w:t>1</w:t>
            </w:r>
          </w:p>
        </w:tc>
        <w:tc>
          <w:tcPr>
            <w:tcW w:w="494" w:type="pct"/>
            <w:noWrap/>
            <w:vAlign w:val="bottom"/>
          </w:tcPr>
          <w:p w14:paraId="7968593C">
            <w:pPr>
              <w:pStyle w:val="55"/>
              <w:keepNext w:val="0"/>
              <w:keepLines w:val="0"/>
              <w:widowControl/>
              <w:suppressLineNumbers w:val="0"/>
              <w:spacing w:before="0" w:beforeAutospacing="0" w:afterAutospacing="0"/>
              <w:ind w:right="0"/>
              <w:rPr>
                <w:rFonts w:hint="default"/>
              </w:rPr>
            </w:pPr>
            <w:r>
              <w:rPr>
                <w:rFonts w:hint="default"/>
              </w:rPr>
              <w:t>1</w:t>
            </w:r>
          </w:p>
        </w:tc>
        <w:tc>
          <w:tcPr>
            <w:tcW w:w="677" w:type="pct"/>
            <w:noWrap/>
            <w:vAlign w:val="bottom"/>
          </w:tcPr>
          <w:p w14:paraId="33343E78">
            <w:pPr>
              <w:pStyle w:val="55"/>
              <w:keepNext w:val="0"/>
              <w:keepLines w:val="0"/>
              <w:widowControl/>
              <w:suppressLineNumbers w:val="0"/>
              <w:spacing w:before="0" w:beforeAutospacing="0" w:afterAutospacing="0"/>
              <w:ind w:right="0"/>
              <w:rPr>
                <w:rFonts w:hint="default"/>
              </w:rPr>
            </w:pPr>
            <w:r>
              <w:rPr>
                <w:rFonts w:hint="default"/>
              </w:rPr>
              <w:t>99.1</w:t>
            </w:r>
          </w:p>
        </w:tc>
        <w:tc>
          <w:tcPr>
            <w:tcW w:w="585" w:type="pct"/>
            <w:vAlign w:val="bottom"/>
          </w:tcPr>
          <w:p w14:paraId="764D5C2E">
            <w:pPr>
              <w:pStyle w:val="55"/>
              <w:keepNext w:val="0"/>
              <w:keepLines w:val="0"/>
              <w:widowControl/>
              <w:suppressLineNumbers w:val="0"/>
              <w:spacing w:before="0" w:beforeAutospacing="0" w:afterAutospacing="0"/>
              <w:ind w:right="0"/>
              <w:rPr>
                <w:rFonts w:hint="default"/>
              </w:rPr>
            </w:pPr>
            <w:r>
              <w:rPr>
                <w:rFonts w:hint="default"/>
              </w:rPr>
              <w:t>65.6</w:t>
            </w:r>
          </w:p>
        </w:tc>
      </w:tr>
      <w:tr w14:paraId="6E910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shd w:val="clear" w:color="auto" w:fill="D8D8D8" w:themeFill="background1" w:themeFillShade="D9"/>
            <w:noWrap/>
            <w:vAlign w:val="bottom"/>
          </w:tcPr>
          <w:p w14:paraId="06A36CF0">
            <w:pPr>
              <w:pStyle w:val="55"/>
              <w:keepNext w:val="0"/>
              <w:keepLines w:val="0"/>
              <w:widowControl/>
              <w:suppressLineNumbers w:val="0"/>
              <w:spacing w:before="0" w:beforeAutospacing="0" w:afterAutospacing="0"/>
              <w:ind w:right="0"/>
              <w:rPr>
                <w:rFonts w:hint="default"/>
              </w:rPr>
            </w:pPr>
            <w:r>
              <w:rPr>
                <w:rFonts w:hint="default"/>
              </w:rPr>
              <w:t xml:space="preserve">Start Layer 10 </w:t>
            </w:r>
          </w:p>
        </w:tc>
        <w:tc>
          <w:tcPr>
            <w:tcW w:w="472" w:type="pct"/>
            <w:shd w:val="clear" w:color="auto" w:fill="D8D8D8" w:themeFill="background1" w:themeFillShade="D9"/>
            <w:noWrap/>
            <w:vAlign w:val="bottom"/>
          </w:tcPr>
          <w:p w14:paraId="4696DECC">
            <w:pPr>
              <w:pStyle w:val="55"/>
              <w:keepNext w:val="0"/>
              <w:keepLines w:val="0"/>
              <w:widowControl/>
              <w:suppressLineNumbers w:val="0"/>
              <w:spacing w:before="0" w:beforeAutospacing="0" w:afterAutospacing="0"/>
              <w:ind w:right="0"/>
              <w:rPr>
                <w:rFonts w:hint="default"/>
              </w:rPr>
            </w:pPr>
          </w:p>
        </w:tc>
        <w:tc>
          <w:tcPr>
            <w:tcW w:w="417" w:type="pct"/>
            <w:shd w:val="clear" w:color="auto" w:fill="D8D8D8" w:themeFill="background1" w:themeFillShade="D9"/>
            <w:noWrap/>
            <w:vAlign w:val="bottom"/>
          </w:tcPr>
          <w:p w14:paraId="24EE0703">
            <w:pPr>
              <w:pStyle w:val="55"/>
              <w:keepNext w:val="0"/>
              <w:keepLines w:val="0"/>
              <w:widowControl/>
              <w:suppressLineNumbers w:val="0"/>
              <w:spacing w:before="0" w:beforeAutospacing="0" w:afterAutospacing="0"/>
              <w:ind w:right="0"/>
              <w:rPr>
                <w:rFonts w:hint="default"/>
              </w:rPr>
            </w:pPr>
          </w:p>
        </w:tc>
        <w:tc>
          <w:tcPr>
            <w:tcW w:w="465" w:type="pct"/>
            <w:shd w:val="clear" w:color="auto" w:fill="D8D8D8" w:themeFill="background1" w:themeFillShade="D9"/>
            <w:noWrap/>
            <w:vAlign w:val="bottom"/>
          </w:tcPr>
          <w:p w14:paraId="5A8FBBD4">
            <w:pPr>
              <w:pStyle w:val="55"/>
              <w:keepNext w:val="0"/>
              <w:keepLines w:val="0"/>
              <w:widowControl/>
              <w:suppressLineNumbers w:val="0"/>
              <w:spacing w:before="0" w:beforeAutospacing="0" w:afterAutospacing="0"/>
              <w:ind w:right="0"/>
              <w:rPr>
                <w:rFonts w:hint="default" w:eastAsia="Calibri"/>
              </w:rPr>
            </w:pPr>
            <w:r>
              <w:rPr>
                <w:rFonts w:hint="default"/>
              </w:rPr>
              <w:t>173100</w:t>
            </w:r>
          </w:p>
        </w:tc>
        <w:tc>
          <w:tcPr>
            <w:tcW w:w="461" w:type="pct"/>
            <w:shd w:val="clear" w:color="auto" w:fill="D8D8D8" w:themeFill="background1" w:themeFillShade="D9"/>
            <w:noWrap/>
            <w:vAlign w:val="bottom"/>
          </w:tcPr>
          <w:p w14:paraId="5725A7A1">
            <w:pPr>
              <w:pStyle w:val="55"/>
              <w:keepNext w:val="0"/>
              <w:keepLines w:val="0"/>
              <w:widowControl/>
              <w:suppressLineNumbers w:val="0"/>
              <w:spacing w:before="0" w:beforeAutospacing="0" w:afterAutospacing="0"/>
              <w:ind w:right="0"/>
              <w:rPr>
                <w:rFonts w:hint="default" w:eastAsia="Calibri"/>
              </w:rPr>
            </w:pPr>
            <w:r>
              <w:rPr>
                <w:rFonts w:hint="default"/>
              </w:rPr>
              <w:t>163300</w:t>
            </w:r>
          </w:p>
        </w:tc>
        <w:tc>
          <w:tcPr>
            <w:tcW w:w="300" w:type="pct"/>
            <w:shd w:val="clear" w:color="auto" w:fill="D8D8D8" w:themeFill="background1" w:themeFillShade="D9"/>
            <w:noWrap/>
            <w:vAlign w:val="bottom"/>
          </w:tcPr>
          <w:p w14:paraId="5A9CAFBE">
            <w:pPr>
              <w:pStyle w:val="55"/>
              <w:keepNext w:val="0"/>
              <w:keepLines w:val="0"/>
              <w:widowControl/>
              <w:suppressLineNumbers w:val="0"/>
              <w:spacing w:before="0" w:beforeAutospacing="0" w:afterAutospacing="0"/>
              <w:ind w:right="0"/>
              <w:rPr>
                <w:rFonts w:hint="default"/>
              </w:rPr>
            </w:pPr>
          </w:p>
        </w:tc>
        <w:tc>
          <w:tcPr>
            <w:tcW w:w="494" w:type="pct"/>
            <w:shd w:val="clear" w:color="auto" w:fill="D8D8D8" w:themeFill="background1" w:themeFillShade="D9"/>
            <w:noWrap/>
            <w:vAlign w:val="bottom"/>
          </w:tcPr>
          <w:p w14:paraId="480EE736">
            <w:pPr>
              <w:pStyle w:val="55"/>
              <w:keepNext w:val="0"/>
              <w:keepLines w:val="0"/>
              <w:widowControl/>
              <w:suppressLineNumbers w:val="0"/>
              <w:spacing w:before="0" w:beforeAutospacing="0" w:afterAutospacing="0"/>
              <w:ind w:right="0"/>
              <w:rPr>
                <w:rFonts w:hint="default"/>
              </w:rPr>
            </w:pPr>
          </w:p>
        </w:tc>
        <w:tc>
          <w:tcPr>
            <w:tcW w:w="677" w:type="pct"/>
            <w:shd w:val="clear" w:color="auto" w:fill="D8D8D8" w:themeFill="background1" w:themeFillShade="D9"/>
            <w:noWrap/>
            <w:vAlign w:val="bottom"/>
          </w:tcPr>
          <w:p w14:paraId="7EC8DEA0">
            <w:pPr>
              <w:pStyle w:val="55"/>
              <w:keepNext w:val="0"/>
              <w:keepLines w:val="0"/>
              <w:widowControl/>
              <w:suppressLineNumbers w:val="0"/>
              <w:spacing w:before="0" w:beforeAutospacing="0" w:afterAutospacing="0"/>
              <w:ind w:right="0"/>
              <w:rPr>
                <w:rFonts w:hint="default"/>
              </w:rPr>
            </w:pPr>
            <w:r>
              <w:rPr>
                <w:rFonts w:hint="default"/>
              </w:rPr>
              <w:t>98.3</w:t>
            </w:r>
          </w:p>
        </w:tc>
        <w:tc>
          <w:tcPr>
            <w:tcW w:w="585" w:type="pct"/>
            <w:shd w:val="clear" w:color="auto" w:fill="D8D8D8" w:themeFill="background1" w:themeFillShade="D9"/>
            <w:vAlign w:val="bottom"/>
          </w:tcPr>
          <w:p w14:paraId="7B11A26C">
            <w:pPr>
              <w:pStyle w:val="55"/>
              <w:keepNext w:val="0"/>
              <w:keepLines w:val="0"/>
              <w:widowControl/>
              <w:suppressLineNumbers w:val="0"/>
              <w:spacing w:before="0" w:beforeAutospacing="0" w:afterAutospacing="0"/>
              <w:ind w:right="0"/>
              <w:rPr>
                <w:rFonts w:hint="default"/>
              </w:rPr>
            </w:pPr>
          </w:p>
        </w:tc>
      </w:tr>
      <w:tr w14:paraId="4CB6D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shd w:val="clear" w:color="auto" w:fill="D8D8D8" w:themeFill="background1" w:themeFillShade="D9"/>
            <w:noWrap/>
            <w:vAlign w:val="bottom"/>
          </w:tcPr>
          <w:p w14:paraId="4C6BE7B6">
            <w:pPr>
              <w:pStyle w:val="55"/>
              <w:keepNext w:val="0"/>
              <w:keepLines w:val="0"/>
              <w:widowControl/>
              <w:suppressLineNumbers w:val="0"/>
              <w:spacing w:before="0" w:beforeAutospacing="0" w:afterAutospacing="0"/>
              <w:ind w:right="0"/>
              <w:rPr>
                <w:rFonts w:hint="default" w:eastAsia="Calibri"/>
              </w:rPr>
            </w:pPr>
            <w:r>
              <w:rPr>
                <w:rFonts w:hint="default"/>
              </w:rPr>
              <w:t xml:space="preserve">End Layer 11 </w:t>
            </w:r>
          </w:p>
        </w:tc>
        <w:tc>
          <w:tcPr>
            <w:tcW w:w="472" w:type="pct"/>
            <w:shd w:val="clear" w:color="auto" w:fill="D8D8D8" w:themeFill="background1" w:themeFillShade="D9"/>
            <w:noWrap/>
            <w:vAlign w:val="bottom"/>
          </w:tcPr>
          <w:p w14:paraId="62A50CC1">
            <w:pPr>
              <w:pStyle w:val="55"/>
              <w:keepNext w:val="0"/>
              <w:keepLines w:val="0"/>
              <w:widowControl/>
              <w:suppressLineNumbers w:val="0"/>
              <w:spacing w:before="0" w:beforeAutospacing="0" w:afterAutospacing="0"/>
              <w:ind w:right="0"/>
              <w:rPr>
                <w:rFonts w:hint="default"/>
              </w:rPr>
            </w:pPr>
          </w:p>
        </w:tc>
        <w:tc>
          <w:tcPr>
            <w:tcW w:w="417" w:type="pct"/>
            <w:shd w:val="clear" w:color="auto" w:fill="D8D8D8" w:themeFill="background1" w:themeFillShade="D9"/>
            <w:noWrap/>
            <w:vAlign w:val="bottom"/>
          </w:tcPr>
          <w:p w14:paraId="70E72792">
            <w:pPr>
              <w:pStyle w:val="55"/>
              <w:keepNext w:val="0"/>
              <w:keepLines w:val="0"/>
              <w:widowControl/>
              <w:suppressLineNumbers w:val="0"/>
              <w:spacing w:before="0" w:beforeAutospacing="0" w:afterAutospacing="0"/>
              <w:ind w:right="0"/>
              <w:rPr>
                <w:rFonts w:hint="default"/>
              </w:rPr>
            </w:pPr>
          </w:p>
        </w:tc>
        <w:tc>
          <w:tcPr>
            <w:tcW w:w="465" w:type="pct"/>
            <w:shd w:val="clear" w:color="auto" w:fill="D8D8D8" w:themeFill="background1" w:themeFillShade="D9"/>
            <w:noWrap/>
            <w:vAlign w:val="bottom"/>
          </w:tcPr>
          <w:p w14:paraId="6EE5F59C">
            <w:pPr>
              <w:pStyle w:val="55"/>
              <w:keepNext w:val="0"/>
              <w:keepLines w:val="0"/>
              <w:widowControl/>
              <w:suppressLineNumbers w:val="0"/>
              <w:spacing w:before="0" w:beforeAutospacing="0" w:afterAutospacing="0"/>
              <w:ind w:right="0"/>
              <w:rPr>
                <w:rFonts w:hint="default" w:eastAsia="Calibri"/>
              </w:rPr>
            </w:pPr>
            <w:r>
              <w:rPr>
                <w:rFonts w:hint="default"/>
              </w:rPr>
              <w:t>174600</w:t>
            </w:r>
          </w:p>
        </w:tc>
        <w:tc>
          <w:tcPr>
            <w:tcW w:w="461" w:type="pct"/>
            <w:shd w:val="clear" w:color="auto" w:fill="D8D8D8" w:themeFill="background1" w:themeFillShade="D9"/>
            <w:noWrap/>
            <w:vAlign w:val="bottom"/>
          </w:tcPr>
          <w:p w14:paraId="070C5F55">
            <w:pPr>
              <w:pStyle w:val="55"/>
              <w:keepNext w:val="0"/>
              <w:keepLines w:val="0"/>
              <w:widowControl/>
              <w:suppressLineNumbers w:val="0"/>
              <w:spacing w:before="0" w:beforeAutospacing="0" w:afterAutospacing="0"/>
              <w:ind w:right="0"/>
              <w:rPr>
                <w:rFonts w:hint="default" w:eastAsia="Calibri"/>
              </w:rPr>
            </w:pPr>
            <w:r>
              <w:rPr>
                <w:rFonts w:hint="default"/>
              </w:rPr>
              <w:t>166700</w:t>
            </w:r>
          </w:p>
        </w:tc>
        <w:tc>
          <w:tcPr>
            <w:tcW w:w="300" w:type="pct"/>
            <w:shd w:val="clear" w:color="auto" w:fill="D8D8D8" w:themeFill="background1" w:themeFillShade="D9"/>
            <w:noWrap/>
            <w:vAlign w:val="bottom"/>
          </w:tcPr>
          <w:p w14:paraId="00B1E486">
            <w:pPr>
              <w:pStyle w:val="55"/>
              <w:keepNext w:val="0"/>
              <w:keepLines w:val="0"/>
              <w:widowControl/>
              <w:suppressLineNumbers w:val="0"/>
              <w:spacing w:before="0" w:beforeAutospacing="0" w:afterAutospacing="0"/>
              <w:ind w:right="0"/>
              <w:rPr>
                <w:rFonts w:hint="default"/>
              </w:rPr>
            </w:pPr>
          </w:p>
        </w:tc>
        <w:tc>
          <w:tcPr>
            <w:tcW w:w="494" w:type="pct"/>
            <w:shd w:val="clear" w:color="auto" w:fill="D8D8D8" w:themeFill="background1" w:themeFillShade="D9"/>
            <w:noWrap/>
            <w:vAlign w:val="bottom"/>
          </w:tcPr>
          <w:p w14:paraId="43989556">
            <w:pPr>
              <w:pStyle w:val="55"/>
              <w:keepNext w:val="0"/>
              <w:keepLines w:val="0"/>
              <w:widowControl/>
              <w:suppressLineNumbers w:val="0"/>
              <w:spacing w:before="0" w:beforeAutospacing="0" w:afterAutospacing="0"/>
              <w:ind w:right="0"/>
              <w:rPr>
                <w:rFonts w:hint="default"/>
              </w:rPr>
            </w:pPr>
          </w:p>
        </w:tc>
        <w:tc>
          <w:tcPr>
            <w:tcW w:w="677" w:type="pct"/>
            <w:shd w:val="clear" w:color="auto" w:fill="D8D8D8" w:themeFill="background1" w:themeFillShade="D9"/>
            <w:noWrap/>
            <w:vAlign w:val="bottom"/>
          </w:tcPr>
          <w:p w14:paraId="4FA5E7F9">
            <w:pPr>
              <w:pStyle w:val="55"/>
              <w:keepNext w:val="0"/>
              <w:keepLines w:val="0"/>
              <w:widowControl/>
              <w:suppressLineNumbers w:val="0"/>
              <w:spacing w:before="0" w:beforeAutospacing="0" w:afterAutospacing="0"/>
              <w:ind w:right="0"/>
              <w:rPr>
                <w:rFonts w:hint="default"/>
              </w:rPr>
            </w:pPr>
            <w:r>
              <w:rPr>
                <w:rFonts w:hint="default"/>
              </w:rPr>
              <w:t>99.2</w:t>
            </w:r>
          </w:p>
        </w:tc>
        <w:tc>
          <w:tcPr>
            <w:tcW w:w="585" w:type="pct"/>
            <w:shd w:val="clear" w:color="auto" w:fill="D8D8D8" w:themeFill="background1" w:themeFillShade="D9"/>
            <w:vAlign w:val="bottom"/>
          </w:tcPr>
          <w:p w14:paraId="2AC117B2">
            <w:pPr>
              <w:pStyle w:val="55"/>
              <w:keepNext w:val="0"/>
              <w:keepLines w:val="0"/>
              <w:widowControl/>
              <w:suppressLineNumbers w:val="0"/>
              <w:spacing w:before="0" w:beforeAutospacing="0" w:afterAutospacing="0"/>
              <w:ind w:right="0"/>
              <w:rPr>
                <w:rFonts w:hint="default"/>
              </w:rPr>
            </w:pPr>
          </w:p>
        </w:tc>
      </w:tr>
      <w:tr w14:paraId="33F97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noWrap/>
            <w:vAlign w:val="bottom"/>
          </w:tcPr>
          <w:p w14:paraId="1CA89E0D">
            <w:pPr>
              <w:pStyle w:val="55"/>
              <w:keepNext w:val="0"/>
              <w:keepLines w:val="0"/>
              <w:widowControl/>
              <w:suppressLineNumbers w:val="0"/>
              <w:spacing w:before="0" w:beforeAutospacing="0" w:afterAutospacing="0"/>
              <w:ind w:right="0"/>
              <w:rPr>
                <w:rFonts w:hint="default"/>
              </w:rPr>
            </w:pPr>
            <w:r>
              <w:rPr>
                <w:rFonts w:hint="default"/>
              </w:rPr>
              <w:t xml:space="preserve">BF11-F2 </w:t>
            </w:r>
          </w:p>
        </w:tc>
        <w:tc>
          <w:tcPr>
            <w:tcW w:w="472" w:type="pct"/>
            <w:noWrap/>
            <w:vAlign w:val="bottom"/>
          </w:tcPr>
          <w:p w14:paraId="0BC40C94">
            <w:pPr>
              <w:pStyle w:val="55"/>
              <w:keepNext w:val="0"/>
              <w:keepLines w:val="0"/>
              <w:widowControl/>
              <w:suppressLineNumbers w:val="0"/>
              <w:spacing w:before="0" w:beforeAutospacing="0" w:afterAutospacing="0"/>
              <w:ind w:right="0"/>
              <w:rPr>
                <w:rFonts w:hint="default" w:eastAsia="Calibri"/>
              </w:rPr>
            </w:pPr>
            <w:r>
              <w:rPr>
                <w:rFonts w:hint="default"/>
              </w:rPr>
              <w:t>171400</w:t>
            </w:r>
          </w:p>
        </w:tc>
        <w:tc>
          <w:tcPr>
            <w:tcW w:w="417" w:type="pct"/>
            <w:noWrap/>
            <w:vAlign w:val="bottom"/>
          </w:tcPr>
          <w:p w14:paraId="7B23318D">
            <w:pPr>
              <w:pStyle w:val="55"/>
              <w:keepNext w:val="0"/>
              <w:keepLines w:val="0"/>
              <w:widowControl/>
              <w:suppressLineNumbers w:val="0"/>
              <w:spacing w:before="0" w:beforeAutospacing="0" w:afterAutospacing="0"/>
              <w:ind w:right="0"/>
              <w:rPr>
                <w:rFonts w:hint="default" w:eastAsia="Calibri"/>
              </w:rPr>
            </w:pPr>
            <w:r>
              <w:rPr>
                <w:rFonts w:hint="default"/>
              </w:rPr>
              <w:t>175400</w:t>
            </w:r>
          </w:p>
        </w:tc>
        <w:tc>
          <w:tcPr>
            <w:tcW w:w="465" w:type="pct"/>
            <w:noWrap/>
            <w:vAlign w:val="bottom"/>
          </w:tcPr>
          <w:p w14:paraId="1030D960">
            <w:pPr>
              <w:pStyle w:val="55"/>
              <w:keepNext w:val="0"/>
              <w:keepLines w:val="0"/>
              <w:widowControl/>
              <w:suppressLineNumbers w:val="0"/>
              <w:spacing w:before="0" w:beforeAutospacing="0" w:afterAutospacing="0"/>
              <w:ind w:right="0"/>
              <w:rPr>
                <w:rFonts w:hint="default" w:eastAsia="Calibri"/>
              </w:rPr>
            </w:pPr>
            <w:r>
              <w:rPr>
                <w:rFonts w:hint="default"/>
              </w:rPr>
              <w:t>175700</w:t>
            </w:r>
          </w:p>
        </w:tc>
        <w:tc>
          <w:tcPr>
            <w:tcW w:w="461" w:type="pct"/>
            <w:noWrap/>
            <w:vAlign w:val="bottom"/>
          </w:tcPr>
          <w:p w14:paraId="3D0FE1C3">
            <w:pPr>
              <w:pStyle w:val="55"/>
              <w:keepNext w:val="0"/>
              <w:keepLines w:val="0"/>
              <w:widowControl/>
              <w:suppressLineNumbers w:val="0"/>
              <w:spacing w:before="0" w:beforeAutospacing="0" w:afterAutospacing="0"/>
              <w:ind w:right="0"/>
              <w:rPr>
                <w:rFonts w:hint="default" w:eastAsia="Calibri"/>
              </w:rPr>
            </w:pPr>
            <w:r>
              <w:rPr>
                <w:rFonts w:hint="default"/>
              </w:rPr>
              <w:t>171800</w:t>
            </w:r>
          </w:p>
        </w:tc>
        <w:tc>
          <w:tcPr>
            <w:tcW w:w="300" w:type="pct"/>
            <w:noWrap/>
            <w:vAlign w:val="bottom"/>
          </w:tcPr>
          <w:p w14:paraId="2554BDEC">
            <w:pPr>
              <w:pStyle w:val="55"/>
              <w:keepNext w:val="0"/>
              <w:keepLines w:val="0"/>
              <w:widowControl/>
              <w:suppressLineNumbers w:val="0"/>
              <w:spacing w:before="0" w:beforeAutospacing="0" w:afterAutospacing="0"/>
              <w:ind w:right="0"/>
              <w:rPr>
                <w:rFonts w:hint="default"/>
              </w:rPr>
            </w:pPr>
            <w:r>
              <w:rPr>
                <w:rFonts w:hint="default"/>
              </w:rPr>
              <w:t>0</w:t>
            </w:r>
          </w:p>
        </w:tc>
        <w:tc>
          <w:tcPr>
            <w:tcW w:w="494" w:type="pct"/>
            <w:noWrap/>
            <w:vAlign w:val="bottom"/>
          </w:tcPr>
          <w:p w14:paraId="3F06D689">
            <w:pPr>
              <w:pStyle w:val="55"/>
              <w:keepNext w:val="0"/>
              <w:keepLines w:val="0"/>
              <w:widowControl/>
              <w:suppressLineNumbers w:val="0"/>
              <w:spacing w:before="0" w:beforeAutospacing="0" w:afterAutospacing="0"/>
              <w:ind w:right="0"/>
              <w:rPr>
                <w:rFonts w:hint="default"/>
              </w:rPr>
            </w:pPr>
            <w:r>
              <w:rPr>
                <w:rFonts w:hint="default"/>
              </w:rPr>
              <w:t>0</w:t>
            </w:r>
          </w:p>
        </w:tc>
        <w:tc>
          <w:tcPr>
            <w:tcW w:w="677" w:type="pct"/>
            <w:noWrap/>
            <w:vAlign w:val="bottom"/>
          </w:tcPr>
          <w:p w14:paraId="04610A68">
            <w:pPr>
              <w:pStyle w:val="55"/>
              <w:keepNext w:val="0"/>
              <w:keepLines w:val="0"/>
              <w:widowControl/>
              <w:suppressLineNumbers w:val="0"/>
              <w:spacing w:before="0" w:beforeAutospacing="0" w:afterAutospacing="0"/>
              <w:ind w:right="0"/>
              <w:rPr>
                <w:rFonts w:hint="default"/>
              </w:rPr>
            </w:pPr>
            <w:r>
              <w:rPr>
                <w:rFonts w:hint="default"/>
              </w:rPr>
              <w:t>98.9</w:t>
            </w:r>
          </w:p>
        </w:tc>
        <w:tc>
          <w:tcPr>
            <w:tcW w:w="585" w:type="pct"/>
            <w:vAlign w:val="bottom"/>
          </w:tcPr>
          <w:p w14:paraId="19D8F9F2">
            <w:pPr>
              <w:pStyle w:val="55"/>
              <w:keepNext w:val="0"/>
              <w:keepLines w:val="0"/>
              <w:widowControl/>
              <w:suppressLineNumbers w:val="0"/>
              <w:spacing w:before="0" w:beforeAutospacing="0" w:afterAutospacing="0"/>
              <w:ind w:right="0"/>
              <w:rPr>
                <w:rFonts w:hint="default"/>
              </w:rPr>
            </w:pPr>
            <w:r>
              <w:rPr>
                <w:rFonts w:hint="default"/>
              </w:rPr>
              <w:t>98.1</w:t>
            </w:r>
          </w:p>
        </w:tc>
      </w:tr>
      <w:tr w14:paraId="401DD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noWrap/>
            <w:vAlign w:val="bottom"/>
          </w:tcPr>
          <w:p w14:paraId="04FC1045">
            <w:pPr>
              <w:pStyle w:val="55"/>
              <w:keepNext w:val="0"/>
              <w:keepLines w:val="0"/>
              <w:widowControl/>
              <w:suppressLineNumbers w:val="0"/>
              <w:spacing w:before="0" w:beforeAutospacing="0" w:afterAutospacing="0"/>
              <w:ind w:right="0"/>
              <w:rPr>
                <w:rFonts w:hint="default" w:eastAsia="Calibri"/>
              </w:rPr>
            </w:pPr>
            <w:r>
              <w:rPr>
                <w:rFonts w:hint="default"/>
              </w:rPr>
              <w:t xml:space="preserve">BF11-F3 </w:t>
            </w:r>
          </w:p>
        </w:tc>
        <w:tc>
          <w:tcPr>
            <w:tcW w:w="472" w:type="pct"/>
            <w:noWrap/>
            <w:vAlign w:val="bottom"/>
          </w:tcPr>
          <w:p w14:paraId="5508CBA1">
            <w:pPr>
              <w:pStyle w:val="55"/>
              <w:keepNext w:val="0"/>
              <w:keepLines w:val="0"/>
              <w:widowControl/>
              <w:suppressLineNumbers w:val="0"/>
              <w:spacing w:before="0" w:beforeAutospacing="0" w:afterAutospacing="0"/>
              <w:ind w:right="0"/>
              <w:rPr>
                <w:rFonts w:hint="default" w:eastAsia="Calibri"/>
              </w:rPr>
            </w:pPr>
            <w:r>
              <w:rPr>
                <w:rFonts w:hint="default"/>
              </w:rPr>
              <w:t>171300</w:t>
            </w:r>
          </w:p>
        </w:tc>
        <w:tc>
          <w:tcPr>
            <w:tcW w:w="417" w:type="pct"/>
            <w:noWrap/>
            <w:vAlign w:val="bottom"/>
          </w:tcPr>
          <w:p w14:paraId="4D78D1E7">
            <w:pPr>
              <w:pStyle w:val="55"/>
              <w:keepNext w:val="0"/>
              <w:keepLines w:val="0"/>
              <w:widowControl/>
              <w:suppressLineNumbers w:val="0"/>
              <w:spacing w:before="0" w:beforeAutospacing="0" w:afterAutospacing="0"/>
              <w:ind w:right="0"/>
              <w:rPr>
                <w:rFonts w:hint="default" w:eastAsia="Calibri"/>
              </w:rPr>
            </w:pPr>
            <w:r>
              <w:rPr>
                <w:rFonts w:hint="default"/>
              </w:rPr>
              <w:t>178500</w:t>
            </w:r>
          </w:p>
        </w:tc>
        <w:tc>
          <w:tcPr>
            <w:tcW w:w="465" w:type="pct"/>
            <w:noWrap/>
            <w:vAlign w:val="bottom"/>
          </w:tcPr>
          <w:p w14:paraId="2F1972C5">
            <w:pPr>
              <w:pStyle w:val="55"/>
              <w:keepNext w:val="0"/>
              <w:keepLines w:val="0"/>
              <w:widowControl/>
              <w:suppressLineNumbers w:val="0"/>
              <w:spacing w:before="0" w:beforeAutospacing="0" w:afterAutospacing="0"/>
              <w:ind w:right="0"/>
              <w:rPr>
                <w:rFonts w:hint="default" w:eastAsia="Calibri"/>
              </w:rPr>
            </w:pPr>
            <w:r>
              <w:rPr>
                <w:rFonts w:hint="default"/>
              </w:rPr>
              <w:t>178600</w:t>
            </w:r>
          </w:p>
        </w:tc>
        <w:tc>
          <w:tcPr>
            <w:tcW w:w="461" w:type="pct"/>
            <w:noWrap/>
            <w:vAlign w:val="bottom"/>
          </w:tcPr>
          <w:p w14:paraId="7E54BFF6">
            <w:pPr>
              <w:pStyle w:val="55"/>
              <w:keepNext w:val="0"/>
              <w:keepLines w:val="0"/>
              <w:widowControl/>
              <w:suppressLineNumbers w:val="0"/>
              <w:spacing w:before="0" w:beforeAutospacing="0" w:afterAutospacing="0"/>
              <w:ind w:right="0"/>
              <w:rPr>
                <w:rFonts w:hint="default" w:eastAsia="Calibri"/>
              </w:rPr>
            </w:pPr>
            <w:r>
              <w:rPr>
                <w:rFonts w:hint="default"/>
              </w:rPr>
              <w:t>172100</w:t>
            </w:r>
          </w:p>
        </w:tc>
        <w:tc>
          <w:tcPr>
            <w:tcW w:w="300" w:type="pct"/>
            <w:noWrap/>
            <w:vAlign w:val="bottom"/>
          </w:tcPr>
          <w:p w14:paraId="14553CC0">
            <w:pPr>
              <w:pStyle w:val="55"/>
              <w:keepNext w:val="0"/>
              <w:keepLines w:val="0"/>
              <w:widowControl/>
              <w:suppressLineNumbers w:val="0"/>
              <w:spacing w:before="0" w:beforeAutospacing="0" w:afterAutospacing="0"/>
              <w:ind w:right="0"/>
              <w:rPr>
                <w:rFonts w:hint="default"/>
              </w:rPr>
            </w:pPr>
            <w:r>
              <w:rPr>
                <w:rFonts w:hint="default"/>
              </w:rPr>
              <w:t>0</w:t>
            </w:r>
          </w:p>
        </w:tc>
        <w:tc>
          <w:tcPr>
            <w:tcW w:w="494" w:type="pct"/>
            <w:noWrap/>
            <w:vAlign w:val="bottom"/>
          </w:tcPr>
          <w:p w14:paraId="2508594F">
            <w:pPr>
              <w:pStyle w:val="55"/>
              <w:keepNext w:val="0"/>
              <w:keepLines w:val="0"/>
              <w:widowControl/>
              <w:suppressLineNumbers w:val="0"/>
              <w:spacing w:before="0" w:beforeAutospacing="0" w:afterAutospacing="0"/>
              <w:ind w:right="0"/>
              <w:rPr>
                <w:rFonts w:hint="default"/>
              </w:rPr>
            </w:pPr>
            <w:r>
              <w:rPr>
                <w:rFonts w:hint="default"/>
              </w:rPr>
              <w:t>0</w:t>
            </w:r>
          </w:p>
        </w:tc>
        <w:tc>
          <w:tcPr>
            <w:tcW w:w="677" w:type="pct"/>
            <w:noWrap/>
            <w:vAlign w:val="bottom"/>
          </w:tcPr>
          <w:p w14:paraId="4C56F115">
            <w:pPr>
              <w:pStyle w:val="55"/>
              <w:keepNext w:val="0"/>
              <w:keepLines w:val="0"/>
              <w:widowControl/>
              <w:suppressLineNumbers w:val="0"/>
              <w:spacing w:before="0" w:beforeAutospacing="0" w:afterAutospacing="0"/>
              <w:ind w:right="0"/>
              <w:rPr>
                <w:rFonts w:hint="default"/>
              </w:rPr>
            </w:pPr>
            <w:r>
              <w:rPr>
                <w:rFonts w:hint="default"/>
              </w:rPr>
              <w:t>98.6</w:t>
            </w:r>
          </w:p>
        </w:tc>
        <w:tc>
          <w:tcPr>
            <w:tcW w:w="585" w:type="pct"/>
            <w:vAlign w:val="bottom"/>
          </w:tcPr>
          <w:p w14:paraId="3E6B941C">
            <w:pPr>
              <w:pStyle w:val="55"/>
              <w:keepNext w:val="0"/>
              <w:keepLines w:val="0"/>
              <w:widowControl/>
              <w:suppressLineNumbers w:val="0"/>
              <w:spacing w:before="0" w:beforeAutospacing="0" w:afterAutospacing="0"/>
              <w:ind w:right="0"/>
              <w:rPr>
                <w:rFonts w:hint="default"/>
              </w:rPr>
            </w:pPr>
            <w:r>
              <w:rPr>
                <w:rFonts w:hint="default"/>
              </w:rPr>
              <w:t>104.3</w:t>
            </w:r>
          </w:p>
        </w:tc>
      </w:tr>
      <w:tr w14:paraId="4A045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noWrap/>
            <w:vAlign w:val="bottom"/>
          </w:tcPr>
          <w:p w14:paraId="54909FF0">
            <w:pPr>
              <w:pStyle w:val="55"/>
              <w:keepNext w:val="0"/>
              <w:keepLines w:val="0"/>
              <w:widowControl/>
              <w:suppressLineNumbers w:val="0"/>
              <w:spacing w:before="0" w:beforeAutospacing="0" w:afterAutospacing="0"/>
              <w:ind w:right="0"/>
              <w:rPr>
                <w:rFonts w:hint="default"/>
              </w:rPr>
            </w:pPr>
            <w:r>
              <w:rPr>
                <w:rFonts w:hint="default"/>
              </w:rPr>
              <w:t xml:space="preserve">BF11-F1 </w:t>
            </w:r>
          </w:p>
        </w:tc>
        <w:tc>
          <w:tcPr>
            <w:tcW w:w="472" w:type="pct"/>
            <w:noWrap/>
            <w:vAlign w:val="bottom"/>
          </w:tcPr>
          <w:p w14:paraId="4B54AEA0">
            <w:pPr>
              <w:pStyle w:val="55"/>
              <w:keepNext w:val="0"/>
              <w:keepLines w:val="0"/>
              <w:widowControl/>
              <w:suppressLineNumbers w:val="0"/>
              <w:spacing w:before="0" w:beforeAutospacing="0" w:afterAutospacing="0"/>
              <w:ind w:right="0"/>
              <w:rPr>
                <w:rFonts w:hint="default" w:eastAsia="Calibri"/>
              </w:rPr>
            </w:pPr>
            <w:r>
              <w:rPr>
                <w:rFonts w:hint="default"/>
              </w:rPr>
              <w:t>181900</w:t>
            </w:r>
          </w:p>
        </w:tc>
        <w:tc>
          <w:tcPr>
            <w:tcW w:w="417" w:type="pct"/>
            <w:noWrap/>
            <w:vAlign w:val="bottom"/>
          </w:tcPr>
          <w:p w14:paraId="0ABC144F">
            <w:pPr>
              <w:pStyle w:val="55"/>
              <w:keepNext w:val="0"/>
              <w:keepLines w:val="0"/>
              <w:widowControl/>
              <w:suppressLineNumbers w:val="0"/>
              <w:spacing w:before="0" w:beforeAutospacing="0" w:afterAutospacing="0"/>
              <w:ind w:right="0"/>
              <w:rPr>
                <w:rFonts w:hint="default" w:eastAsia="Calibri"/>
              </w:rPr>
            </w:pPr>
            <w:r>
              <w:rPr>
                <w:rFonts w:hint="default"/>
              </w:rPr>
              <w:t>188700</w:t>
            </w:r>
          </w:p>
        </w:tc>
        <w:tc>
          <w:tcPr>
            <w:tcW w:w="465" w:type="pct"/>
            <w:noWrap/>
            <w:vAlign w:val="bottom"/>
          </w:tcPr>
          <w:p w14:paraId="6C63C88E">
            <w:pPr>
              <w:pStyle w:val="55"/>
              <w:keepNext w:val="0"/>
              <w:keepLines w:val="0"/>
              <w:widowControl/>
              <w:suppressLineNumbers w:val="0"/>
              <w:spacing w:before="0" w:beforeAutospacing="0" w:afterAutospacing="0"/>
              <w:ind w:right="0"/>
              <w:rPr>
                <w:rFonts w:hint="default" w:eastAsia="Calibri"/>
              </w:rPr>
            </w:pPr>
            <w:r>
              <w:rPr>
                <w:rFonts w:hint="default"/>
              </w:rPr>
              <w:t>186800</w:t>
            </w:r>
          </w:p>
        </w:tc>
        <w:tc>
          <w:tcPr>
            <w:tcW w:w="461" w:type="pct"/>
            <w:noWrap/>
            <w:vAlign w:val="bottom"/>
          </w:tcPr>
          <w:p w14:paraId="4B11CFB8">
            <w:pPr>
              <w:pStyle w:val="55"/>
              <w:keepNext w:val="0"/>
              <w:keepLines w:val="0"/>
              <w:widowControl/>
              <w:suppressLineNumbers w:val="0"/>
              <w:spacing w:before="0" w:beforeAutospacing="0" w:afterAutospacing="0"/>
              <w:ind w:right="0"/>
              <w:rPr>
                <w:rFonts w:hint="default" w:eastAsia="Calibri"/>
              </w:rPr>
            </w:pPr>
            <w:r>
              <w:rPr>
                <w:rFonts w:hint="default"/>
              </w:rPr>
              <w:t>179900</w:t>
            </w:r>
          </w:p>
        </w:tc>
        <w:tc>
          <w:tcPr>
            <w:tcW w:w="300" w:type="pct"/>
            <w:noWrap/>
            <w:vAlign w:val="bottom"/>
          </w:tcPr>
          <w:p w14:paraId="055AA17C">
            <w:pPr>
              <w:pStyle w:val="55"/>
              <w:keepNext w:val="0"/>
              <w:keepLines w:val="0"/>
              <w:widowControl/>
              <w:suppressLineNumbers w:val="0"/>
              <w:spacing w:before="0" w:beforeAutospacing="0" w:afterAutospacing="0"/>
              <w:ind w:right="0"/>
              <w:rPr>
                <w:rFonts w:hint="default"/>
              </w:rPr>
            </w:pPr>
            <w:r>
              <w:rPr>
                <w:rFonts w:hint="default"/>
              </w:rPr>
              <w:t>0</w:t>
            </w:r>
          </w:p>
        </w:tc>
        <w:tc>
          <w:tcPr>
            <w:tcW w:w="494" w:type="pct"/>
            <w:noWrap/>
            <w:vAlign w:val="bottom"/>
          </w:tcPr>
          <w:p w14:paraId="00F1CB25">
            <w:pPr>
              <w:pStyle w:val="55"/>
              <w:keepNext w:val="0"/>
              <w:keepLines w:val="0"/>
              <w:widowControl/>
              <w:suppressLineNumbers w:val="0"/>
              <w:spacing w:before="0" w:beforeAutospacing="0" w:afterAutospacing="0"/>
              <w:ind w:right="0"/>
              <w:rPr>
                <w:rFonts w:hint="default"/>
              </w:rPr>
            </w:pPr>
            <w:r>
              <w:rPr>
                <w:rFonts w:hint="default"/>
              </w:rPr>
              <w:t>0</w:t>
            </w:r>
          </w:p>
        </w:tc>
        <w:tc>
          <w:tcPr>
            <w:tcW w:w="677" w:type="pct"/>
            <w:noWrap/>
            <w:vAlign w:val="bottom"/>
          </w:tcPr>
          <w:p w14:paraId="570B0DA7">
            <w:pPr>
              <w:pStyle w:val="55"/>
              <w:keepNext w:val="0"/>
              <w:keepLines w:val="0"/>
              <w:widowControl/>
              <w:suppressLineNumbers w:val="0"/>
              <w:spacing w:before="0" w:beforeAutospacing="0" w:afterAutospacing="0"/>
              <w:ind w:right="0"/>
              <w:rPr>
                <w:rFonts w:hint="default"/>
              </w:rPr>
            </w:pPr>
            <w:r>
              <w:rPr>
                <w:rFonts w:hint="default"/>
              </w:rPr>
              <w:t>97.5</w:t>
            </w:r>
          </w:p>
        </w:tc>
        <w:tc>
          <w:tcPr>
            <w:tcW w:w="585" w:type="pct"/>
            <w:vAlign w:val="bottom"/>
          </w:tcPr>
          <w:p w14:paraId="5E1796E2">
            <w:pPr>
              <w:pStyle w:val="55"/>
              <w:keepNext w:val="0"/>
              <w:keepLines w:val="0"/>
              <w:widowControl/>
              <w:suppressLineNumbers w:val="0"/>
              <w:spacing w:before="0" w:beforeAutospacing="0" w:afterAutospacing="0"/>
              <w:ind w:right="0"/>
              <w:rPr>
                <w:rFonts w:hint="default"/>
              </w:rPr>
            </w:pPr>
            <w:r>
              <w:rPr>
                <w:rFonts w:hint="default"/>
              </w:rPr>
              <w:t>71.5</w:t>
            </w:r>
          </w:p>
        </w:tc>
      </w:tr>
      <w:tr w14:paraId="2379D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shd w:val="clear" w:color="auto" w:fill="D8D8D8" w:themeFill="background1" w:themeFillShade="D9"/>
            <w:noWrap/>
            <w:vAlign w:val="bottom"/>
          </w:tcPr>
          <w:p w14:paraId="22C65FFC">
            <w:pPr>
              <w:pStyle w:val="55"/>
              <w:keepNext w:val="0"/>
              <w:keepLines w:val="0"/>
              <w:widowControl/>
              <w:suppressLineNumbers w:val="0"/>
              <w:spacing w:before="0" w:beforeAutospacing="0" w:afterAutospacing="0"/>
              <w:ind w:right="0"/>
              <w:rPr>
                <w:rFonts w:hint="default" w:eastAsia="Calibri"/>
              </w:rPr>
            </w:pPr>
            <w:r>
              <w:rPr>
                <w:rFonts w:hint="default"/>
              </w:rPr>
              <w:t xml:space="preserve">Start Layer 11 </w:t>
            </w:r>
          </w:p>
        </w:tc>
        <w:tc>
          <w:tcPr>
            <w:tcW w:w="472" w:type="pct"/>
            <w:shd w:val="clear" w:color="auto" w:fill="D8D8D8" w:themeFill="background1" w:themeFillShade="D9"/>
            <w:noWrap/>
            <w:vAlign w:val="bottom"/>
          </w:tcPr>
          <w:p w14:paraId="2F5D1D51">
            <w:pPr>
              <w:pStyle w:val="55"/>
              <w:keepNext w:val="0"/>
              <w:keepLines w:val="0"/>
              <w:widowControl/>
              <w:suppressLineNumbers w:val="0"/>
              <w:spacing w:before="0" w:beforeAutospacing="0" w:afterAutospacing="0"/>
              <w:ind w:right="0"/>
              <w:rPr>
                <w:rFonts w:hint="default"/>
              </w:rPr>
            </w:pPr>
          </w:p>
        </w:tc>
        <w:tc>
          <w:tcPr>
            <w:tcW w:w="417" w:type="pct"/>
            <w:shd w:val="clear" w:color="auto" w:fill="D8D8D8" w:themeFill="background1" w:themeFillShade="D9"/>
            <w:noWrap/>
            <w:vAlign w:val="bottom"/>
          </w:tcPr>
          <w:p w14:paraId="223A6CF1">
            <w:pPr>
              <w:pStyle w:val="55"/>
              <w:keepNext w:val="0"/>
              <w:keepLines w:val="0"/>
              <w:widowControl/>
              <w:suppressLineNumbers w:val="0"/>
              <w:spacing w:before="0" w:beforeAutospacing="0" w:afterAutospacing="0"/>
              <w:ind w:right="0"/>
              <w:rPr>
                <w:rFonts w:hint="default"/>
              </w:rPr>
            </w:pPr>
          </w:p>
        </w:tc>
        <w:tc>
          <w:tcPr>
            <w:tcW w:w="465" w:type="pct"/>
            <w:shd w:val="clear" w:color="auto" w:fill="D8D8D8" w:themeFill="background1" w:themeFillShade="D9"/>
            <w:noWrap/>
            <w:vAlign w:val="bottom"/>
          </w:tcPr>
          <w:p w14:paraId="36721C17">
            <w:pPr>
              <w:pStyle w:val="55"/>
              <w:keepNext w:val="0"/>
              <w:keepLines w:val="0"/>
              <w:widowControl/>
              <w:suppressLineNumbers w:val="0"/>
              <w:spacing w:before="0" w:beforeAutospacing="0" w:afterAutospacing="0"/>
              <w:ind w:right="0"/>
              <w:rPr>
                <w:rFonts w:hint="default" w:eastAsia="Calibri"/>
              </w:rPr>
            </w:pPr>
            <w:r>
              <w:rPr>
                <w:rFonts w:hint="default"/>
              </w:rPr>
              <w:t>189900</w:t>
            </w:r>
          </w:p>
        </w:tc>
        <w:tc>
          <w:tcPr>
            <w:tcW w:w="461" w:type="pct"/>
            <w:shd w:val="clear" w:color="auto" w:fill="D8D8D8" w:themeFill="background1" w:themeFillShade="D9"/>
            <w:noWrap/>
            <w:vAlign w:val="bottom"/>
          </w:tcPr>
          <w:p w14:paraId="52AC5D38">
            <w:pPr>
              <w:pStyle w:val="55"/>
              <w:keepNext w:val="0"/>
              <w:keepLines w:val="0"/>
              <w:widowControl/>
              <w:suppressLineNumbers w:val="0"/>
              <w:spacing w:before="0" w:beforeAutospacing="0" w:afterAutospacing="0"/>
              <w:ind w:right="0"/>
              <w:rPr>
                <w:rFonts w:hint="default" w:eastAsia="Calibri"/>
              </w:rPr>
            </w:pPr>
            <w:r>
              <w:rPr>
                <w:rFonts w:hint="default"/>
              </w:rPr>
              <w:t>180700</w:t>
            </w:r>
          </w:p>
        </w:tc>
        <w:tc>
          <w:tcPr>
            <w:tcW w:w="300" w:type="pct"/>
            <w:shd w:val="clear" w:color="auto" w:fill="D8D8D8" w:themeFill="background1" w:themeFillShade="D9"/>
            <w:noWrap/>
            <w:vAlign w:val="bottom"/>
          </w:tcPr>
          <w:p w14:paraId="39811665">
            <w:pPr>
              <w:pStyle w:val="55"/>
              <w:keepNext w:val="0"/>
              <w:keepLines w:val="0"/>
              <w:widowControl/>
              <w:suppressLineNumbers w:val="0"/>
              <w:spacing w:before="0" w:beforeAutospacing="0" w:afterAutospacing="0"/>
              <w:ind w:right="0"/>
              <w:rPr>
                <w:rFonts w:hint="default"/>
              </w:rPr>
            </w:pPr>
          </w:p>
        </w:tc>
        <w:tc>
          <w:tcPr>
            <w:tcW w:w="494" w:type="pct"/>
            <w:shd w:val="clear" w:color="auto" w:fill="D8D8D8" w:themeFill="background1" w:themeFillShade="D9"/>
            <w:noWrap/>
            <w:vAlign w:val="bottom"/>
          </w:tcPr>
          <w:p w14:paraId="2844ED7F">
            <w:pPr>
              <w:pStyle w:val="55"/>
              <w:keepNext w:val="0"/>
              <w:keepLines w:val="0"/>
              <w:widowControl/>
              <w:suppressLineNumbers w:val="0"/>
              <w:spacing w:before="0" w:beforeAutospacing="0" w:afterAutospacing="0"/>
              <w:ind w:right="0"/>
              <w:rPr>
                <w:rFonts w:hint="default"/>
              </w:rPr>
            </w:pPr>
          </w:p>
        </w:tc>
        <w:tc>
          <w:tcPr>
            <w:tcW w:w="677" w:type="pct"/>
            <w:shd w:val="clear" w:color="auto" w:fill="D8D8D8" w:themeFill="background1" w:themeFillShade="D9"/>
            <w:noWrap/>
            <w:vAlign w:val="bottom"/>
          </w:tcPr>
          <w:p w14:paraId="7757DB94">
            <w:pPr>
              <w:pStyle w:val="55"/>
              <w:keepNext w:val="0"/>
              <w:keepLines w:val="0"/>
              <w:widowControl/>
              <w:suppressLineNumbers w:val="0"/>
              <w:spacing w:before="0" w:beforeAutospacing="0" w:afterAutospacing="0"/>
              <w:ind w:right="0"/>
              <w:rPr>
                <w:rFonts w:hint="default"/>
              </w:rPr>
            </w:pPr>
            <w:r>
              <w:rPr>
                <w:rFonts w:hint="default"/>
              </w:rPr>
              <w:t>99.2</w:t>
            </w:r>
          </w:p>
        </w:tc>
        <w:tc>
          <w:tcPr>
            <w:tcW w:w="585" w:type="pct"/>
            <w:shd w:val="clear" w:color="auto" w:fill="D8D8D8" w:themeFill="background1" w:themeFillShade="D9"/>
            <w:vAlign w:val="bottom"/>
          </w:tcPr>
          <w:p w14:paraId="008FB0AF">
            <w:pPr>
              <w:pStyle w:val="55"/>
              <w:keepNext w:val="0"/>
              <w:keepLines w:val="0"/>
              <w:widowControl/>
              <w:suppressLineNumbers w:val="0"/>
              <w:spacing w:before="0" w:beforeAutospacing="0" w:afterAutospacing="0"/>
              <w:ind w:right="0"/>
              <w:rPr>
                <w:rFonts w:hint="default"/>
              </w:rPr>
            </w:pPr>
          </w:p>
        </w:tc>
      </w:tr>
      <w:tr w14:paraId="05EC5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shd w:val="clear" w:color="auto" w:fill="D8D8D8" w:themeFill="background1" w:themeFillShade="D9"/>
            <w:noWrap/>
            <w:vAlign w:val="bottom"/>
          </w:tcPr>
          <w:p w14:paraId="15220D66">
            <w:pPr>
              <w:pStyle w:val="55"/>
              <w:keepNext w:val="0"/>
              <w:keepLines w:val="0"/>
              <w:widowControl/>
              <w:suppressLineNumbers w:val="0"/>
              <w:spacing w:before="0" w:beforeAutospacing="0" w:afterAutospacing="0"/>
              <w:ind w:right="0"/>
              <w:rPr>
                <w:rFonts w:hint="default"/>
              </w:rPr>
            </w:pPr>
            <w:r>
              <w:rPr>
                <w:rFonts w:hint="default"/>
              </w:rPr>
              <w:t xml:space="preserve">End Layer 12 </w:t>
            </w:r>
          </w:p>
        </w:tc>
        <w:tc>
          <w:tcPr>
            <w:tcW w:w="472" w:type="pct"/>
            <w:shd w:val="clear" w:color="auto" w:fill="D8D8D8" w:themeFill="background1" w:themeFillShade="D9"/>
            <w:noWrap/>
            <w:vAlign w:val="bottom"/>
          </w:tcPr>
          <w:p w14:paraId="5668C095">
            <w:pPr>
              <w:pStyle w:val="55"/>
              <w:keepNext w:val="0"/>
              <w:keepLines w:val="0"/>
              <w:widowControl/>
              <w:suppressLineNumbers w:val="0"/>
              <w:spacing w:before="0" w:beforeAutospacing="0" w:afterAutospacing="0"/>
              <w:ind w:right="0"/>
              <w:rPr>
                <w:rFonts w:hint="default"/>
              </w:rPr>
            </w:pPr>
          </w:p>
        </w:tc>
        <w:tc>
          <w:tcPr>
            <w:tcW w:w="417" w:type="pct"/>
            <w:shd w:val="clear" w:color="auto" w:fill="D8D8D8" w:themeFill="background1" w:themeFillShade="D9"/>
            <w:noWrap/>
            <w:vAlign w:val="bottom"/>
          </w:tcPr>
          <w:p w14:paraId="0BB0F102">
            <w:pPr>
              <w:pStyle w:val="55"/>
              <w:keepNext w:val="0"/>
              <w:keepLines w:val="0"/>
              <w:widowControl/>
              <w:suppressLineNumbers w:val="0"/>
              <w:spacing w:before="0" w:beforeAutospacing="0" w:afterAutospacing="0"/>
              <w:ind w:right="0"/>
              <w:rPr>
                <w:rFonts w:hint="default"/>
              </w:rPr>
            </w:pPr>
          </w:p>
        </w:tc>
        <w:tc>
          <w:tcPr>
            <w:tcW w:w="465" w:type="pct"/>
            <w:shd w:val="clear" w:color="auto" w:fill="D8D8D8" w:themeFill="background1" w:themeFillShade="D9"/>
            <w:noWrap/>
            <w:vAlign w:val="bottom"/>
          </w:tcPr>
          <w:p w14:paraId="1E1A7F7E">
            <w:pPr>
              <w:pStyle w:val="55"/>
              <w:keepNext w:val="0"/>
              <w:keepLines w:val="0"/>
              <w:widowControl/>
              <w:suppressLineNumbers w:val="0"/>
              <w:spacing w:before="0" w:beforeAutospacing="0" w:afterAutospacing="0"/>
              <w:ind w:right="0"/>
              <w:rPr>
                <w:rFonts w:hint="default" w:eastAsia="Calibri"/>
              </w:rPr>
            </w:pPr>
            <w:r>
              <w:rPr>
                <w:rFonts w:hint="default"/>
              </w:rPr>
              <w:t>193800</w:t>
            </w:r>
          </w:p>
        </w:tc>
        <w:tc>
          <w:tcPr>
            <w:tcW w:w="461" w:type="pct"/>
            <w:shd w:val="clear" w:color="auto" w:fill="D8D8D8" w:themeFill="background1" w:themeFillShade="D9"/>
            <w:noWrap/>
            <w:vAlign w:val="bottom"/>
          </w:tcPr>
          <w:p w14:paraId="7999CD3A">
            <w:pPr>
              <w:pStyle w:val="55"/>
              <w:keepNext w:val="0"/>
              <w:keepLines w:val="0"/>
              <w:widowControl/>
              <w:suppressLineNumbers w:val="0"/>
              <w:spacing w:before="0" w:beforeAutospacing="0" w:afterAutospacing="0"/>
              <w:ind w:right="0"/>
              <w:rPr>
                <w:rFonts w:hint="default" w:eastAsia="Calibri"/>
              </w:rPr>
            </w:pPr>
            <w:r>
              <w:rPr>
                <w:rFonts w:hint="default"/>
              </w:rPr>
              <w:t>181900</w:t>
            </w:r>
          </w:p>
        </w:tc>
        <w:tc>
          <w:tcPr>
            <w:tcW w:w="300" w:type="pct"/>
            <w:shd w:val="clear" w:color="auto" w:fill="D8D8D8" w:themeFill="background1" w:themeFillShade="D9"/>
            <w:noWrap/>
            <w:vAlign w:val="bottom"/>
          </w:tcPr>
          <w:p w14:paraId="1C631CB7">
            <w:pPr>
              <w:pStyle w:val="55"/>
              <w:keepNext w:val="0"/>
              <w:keepLines w:val="0"/>
              <w:widowControl/>
              <w:suppressLineNumbers w:val="0"/>
              <w:spacing w:before="0" w:beforeAutospacing="0" w:afterAutospacing="0"/>
              <w:ind w:right="0"/>
              <w:rPr>
                <w:rFonts w:hint="default"/>
              </w:rPr>
            </w:pPr>
          </w:p>
        </w:tc>
        <w:tc>
          <w:tcPr>
            <w:tcW w:w="494" w:type="pct"/>
            <w:shd w:val="clear" w:color="auto" w:fill="D8D8D8" w:themeFill="background1" w:themeFillShade="D9"/>
            <w:noWrap/>
            <w:vAlign w:val="bottom"/>
          </w:tcPr>
          <w:p w14:paraId="215148A9">
            <w:pPr>
              <w:pStyle w:val="55"/>
              <w:keepNext w:val="0"/>
              <w:keepLines w:val="0"/>
              <w:widowControl/>
              <w:suppressLineNumbers w:val="0"/>
              <w:spacing w:before="0" w:beforeAutospacing="0" w:afterAutospacing="0"/>
              <w:ind w:right="0"/>
              <w:rPr>
                <w:rFonts w:hint="default"/>
              </w:rPr>
            </w:pPr>
          </w:p>
        </w:tc>
        <w:tc>
          <w:tcPr>
            <w:tcW w:w="677" w:type="pct"/>
            <w:shd w:val="clear" w:color="auto" w:fill="D8D8D8" w:themeFill="background1" w:themeFillShade="D9"/>
            <w:noWrap/>
            <w:vAlign w:val="bottom"/>
          </w:tcPr>
          <w:p w14:paraId="465D4D5E">
            <w:pPr>
              <w:pStyle w:val="55"/>
              <w:keepNext w:val="0"/>
              <w:keepLines w:val="0"/>
              <w:widowControl/>
              <w:suppressLineNumbers w:val="0"/>
              <w:spacing w:before="0" w:beforeAutospacing="0" w:afterAutospacing="0"/>
              <w:ind w:right="0"/>
              <w:rPr>
                <w:rFonts w:hint="default"/>
              </w:rPr>
            </w:pPr>
            <w:r>
              <w:rPr>
                <w:rFonts w:hint="default"/>
              </w:rPr>
              <w:t>98.4</w:t>
            </w:r>
          </w:p>
        </w:tc>
        <w:tc>
          <w:tcPr>
            <w:tcW w:w="585" w:type="pct"/>
            <w:shd w:val="clear" w:color="auto" w:fill="D8D8D8" w:themeFill="background1" w:themeFillShade="D9"/>
            <w:vAlign w:val="bottom"/>
          </w:tcPr>
          <w:p w14:paraId="046DDE0D">
            <w:pPr>
              <w:pStyle w:val="55"/>
              <w:keepNext w:val="0"/>
              <w:keepLines w:val="0"/>
              <w:widowControl/>
              <w:suppressLineNumbers w:val="0"/>
              <w:spacing w:before="0" w:beforeAutospacing="0" w:afterAutospacing="0"/>
              <w:ind w:right="0"/>
              <w:rPr>
                <w:rFonts w:hint="default"/>
              </w:rPr>
            </w:pPr>
          </w:p>
        </w:tc>
      </w:tr>
      <w:tr w14:paraId="4B466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noWrap/>
            <w:vAlign w:val="bottom"/>
          </w:tcPr>
          <w:p w14:paraId="56BDE07B">
            <w:pPr>
              <w:pStyle w:val="55"/>
              <w:keepNext w:val="0"/>
              <w:keepLines w:val="0"/>
              <w:widowControl/>
              <w:suppressLineNumbers w:val="0"/>
              <w:spacing w:before="0" w:beforeAutospacing="0" w:afterAutospacing="0"/>
              <w:ind w:right="0"/>
              <w:rPr>
                <w:rFonts w:hint="default"/>
              </w:rPr>
            </w:pPr>
            <w:r>
              <w:rPr>
                <w:rFonts w:hint="default"/>
              </w:rPr>
              <w:t xml:space="preserve">BFD-OSL10 </w:t>
            </w:r>
          </w:p>
        </w:tc>
        <w:tc>
          <w:tcPr>
            <w:tcW w:w="472" w:type="pct"/>
            <w:noWrap/>
            <w:vAlign w:val="bottom"/>
          </w:tcPr>
          <w:p w14:paraId="4D59B2F0">
            <w:pPr>
              <w:pStyle w:val="55"/>
              <w:keepNext w:val="0"/>
              <w:keepLines w:val="0"/>
              <w:widowControl/>
              <w:suppressLineNumbers w:val="0"/>
              <w:spacing w:before="0" w:beforeAutospacing="0" w:afterAutospacing="0"/>
              <w:ind w:right="0"/>
              <w:rPr>
                <w:rFonts w:hint="default"/>
              </w:rPr>
            </w:pPr>
            <w:r>
              <w:rPr>
                <w:rFonts w:hint="default"/>
              </w:rPr>
              <w:t>150200</w:t>
            </w:r>
          </w:p>
        </w:tc>
        <w:tc>
          <w:tcPr>
            <w:tcW w:w="417" w:type="pct"/>
            <w:noWrap/>
            <w:vAlign w:val="bottom"/>
          </w:tcPr>
          <w:p w14:paraId="05327C61">
            <w:pPr>
              <w:pStyle w:val="55"/>
              <w:keepNext w:val="0"/>
              <w:keepLines w:val="0"/>
              <w:widowControl/>
              <w:suppressLineNumbers w:val="0"/>
              <w:spacing w:before="0" w:beforeAutospacing="0" w:afterAutospacing="0"/>
              <w:ind w:right="0"/>
              <w:rPr>
                <w:rFonts w:hint="default"/>
              </w:rPr>
            </w:pPr>
            <w:r>
              <w:rPr>
                <w:rFonts w:hint="default"/>
              </w:rPr>
              <w:t>214600</w:t>
            </w:r>
          </w:p>
        </w:tc>
        <w:tc>
          <w:tcPr>
            <w:tcW w:w="465" w:type="pct"/>
            <w:noWrap/>
            <w:vAlign w:val="bottom"/>
          </w:tcPr>
          <w:p w14:paraId="7CDA4AE2">
            <w:pPr>
              <w:pStyle w:val="55"/>
              <w:keepNext w:val="0"/>
              <w:keepLines w:val="0"/>
              <w:widowControl/>
              <w:suppressLineNumbers w:val="0"/>
              <w:spacing w:before="0" w:beforeAutospacing="0" w:afterAutospacing="0"/>
              <w:ind w:right="0"/>
              <w:rPr>
                <w:rFonts w:hint="default"/>
              </w:rPr>
            </w:pPr>
            <w:r>
              <w:rPr>
                <w:rFonts w:hint="default"/>
              </w:rPr>
              <w:t>195400</w:t>
            </w:r>
          </w:p>
        </w:tc>
        <w:tc>
          <w:tcPr>
            <w:tcW w:w="461" w:type="pct"/>
            <w:noWrap/>
            <w:vAlign w:val="bottom"/>
          </w:tcPr>
          <w:p w14:paraId="5D77C267">
            <w:pPr>
              <w:pStyle w:val="55"/>
              <w:keepNext w:val="0"/>
              <w:keepLines w:val="0"/>
              <w:widowControl/>
              <w:suppressLineNumbers w:val="0"/>
              <w:spacing w:before="0" w:beforeAutospacing="0" w:afterAutospacing="0"/>
              <w:ind w:right="0"/>
              <w:rPr>
                <w:rFonts w:hint="default"/>
              </w:rPr>
            </w:pPr>
            <w:r>
              <w:rPr>
                <w:rFonts w:hint="default"/>
              </w:rPr>
              <w:t>182600</w:t>
            </w:r>
          </w:p>
        </w:tc>
        <w:tc>
          <w:tcPr>
            <w:tcW w:w="300" w:type="pct"/>
            <w:noWrap/>
            <w:vAlign w:val="bottom"/>
          </w:tcPr>
          <w:p w14:paraId="5669BE76">
            <w:pPr>
              <w:pStyle w:val="55"/>
              <w:keepNext w:val="0"/>
              <w:keepLines w:val="0"/>
              <w:widowControl/>
              <w:suppressLineNumbers w:val="0"/>
              <w:spacing w:before="0" w:beforeAutospacing="0" w:afterAutospacing="0"/>
              <w:ind w:right="0"/>
              <w:rPr>
                <w:rFonts w:hint="default"/>
              </w:rPr>
            </w:pPr>
            <w:r>
              <w:rPr>
                <w:rFonts w:hint="default"/>
              </w:rPr>
              <w:t>0</w:t>
            </w:r>
          </w:p>
        </w:tc>
        <w:tc>
          <w:tcPr>
            <w:tcW w:w="494" w:type="pct"/>
            <w:noWrap/>
            <w:vAlign w:val="bottom"/>
          </w:tcPr>
          <w:p w14:paraId="31BC94ED">
            <w:pPr>
              <w:pStyle w:val="55"/>
              <w:keepNext w:val="0"/>
              <w:keepLines w:val="0"/>
              <w:widowControl/>
              <w:suppressLineNumbers w:val="0"/>
              <w:spacing w:before="0" w:beforeAutospacing="0" w:afterAutospacing="0"/>
              <w:ind w:right="0"/>
              <w:rPr>
                <w:rFonts w:hint="default"/>
              </w:rPr>
            </w:pPr>
            <w:r>
              <w:rPr>
                <w:rFonts w:hint="default"/>
              </w:rPr>
              <w:t>0</w:t>
            </w:r>
          </w:p>
        </w:tc>
        <w:tc>
          <w:tcPr>
            <w:tcW w:w="677" w:type="pct"/>
            <w:noWrap/>
            <w:vAlign w:val="bottom"/>
          </w:tcPr>
          <w:p w14:paraId="2AAA1CB1">
            <w:pPr>
              <w:pStyle w:val="55"/>
              <w:keepNext w:val="0"/>
              <w:keepLines w:val="0"/>
              <w:widowControl/>
              <w:suppressLineNumbers w:val="0"/>
              <w:spacing w:before="0" w:beforeAutospacing="0" w:afterAutospacing="0"/>
              <w:ind w:right="0"/>
              <w:rPr>
                <w:rFonts w:hint="default"/>
              </w:rPr>
            </w:pPr>
            <w:r>
              <w:rPr>
                <w:rFonts w:hint="default"/>
              </w:rPr>
              <w:t>99</w:t>
            </w:r>
          </w:p>
        </w:tc>
        <w:tc>
          <w:tcPr>
            <w:tcW w:w="585" w:type="pct"/>
            <w:vAlign w:val="bottom"/>
          </w:tcPr>
          <w:p w14:paraId="5B1B8EE9">
            <w:pPr>
              <w:pStyle w:val="55"/>
              <w:keepNext w:val="0"/>
              <w:keepLines w:val="0"/>
              <w:widowControl/>
              <w:suppressLineNumbers w:val="0"/>
              <w:spacing w:before="0" w:beforeAutospacing="0" w:afterAutospacing="0"/>
              <w:ind w:right="0"/>
              <w:rPr>
                <w:rFonts w:hint="default"/>
              </w:rPr>
            </w:pPr>
            <w:r>
              <w:rPr>
                <w:rFonts w:hint="default"/>
              </w:rPr>
              <w:t>130.6</w:t>
            </w:r>
          </w:p>
        </w:tc>
      </w:tr>
      <w:tr w14:paraId="287D3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shd w:val="clear" w:color="auto" w:fill="D8D8D8" w:themeFill="background1" w:themeFillShade="D9"/>
            <w:noWrap/>
            <w:vAlign w:val="bottom"/>
          </w:tcPr>
          <w:p w14:paraId="67F57718">
            <w:pPr>
              <w:pStyle w:val="55"/>
              <w:keepNext w:val="0"/>
              <w:keepLines w:val="0"/>
              <w:widowControl/>
              <w:suppressLineNumbers w:val="0"/>
              <w:spacing w:before="0" w:beforeAutospacing="0" w:afterAutospacing="0"/>
              <w:ind w:right="0"/>
              <w:rPr>
                <w:rFonts w:hint="default"/>
              </w:rPr>
            </w:pPr>
            <w:r>
              <w:rPr>
                <w:rFonts w:hint="default"/>
              </w:rPr>
              <w:t xml:space="preserve">Start Layer 12 </w:t>
            </w:r>
          </w:p>
        </w:tc>
        <w:tc>
          <w:tcPr>
            <w:tcW w:w="472" w:type="pct"/>
            <w:shd w:val="clear" w:color="auto" w:fill="D8D8D8" w:themeFill="background1" w:themeFillShade="D9"/>
            <w:noWrap/>
            <w:vAlign w:val="bottom"/>
          </w:tcPr>
          <w:p w14:paraId="4EE6AFCE">
            <w:pPr>
              <w:pStyle w:val="55"/>
              <w:keepNext w:val="0"/>
              <w:keepLines w:val="0"/>
              <w:widowControl/>
              <w:suppressLineNumbers w:val="0"/>
              <w:spacing w:before="0" w:beforeAutospacing="0" w:afterAutospacing="0"/>
              <w:ind w:right="0"/>
              <w:rPr>
                <w:rFonts w:hint="default"/>
              </w:rPr>
            </w:pPr>
          </w:p>
        </w:tc>
        <w:tc>
          <w:tcPr>
            <w:tcW w:w="417" w:type="pct"/>
            <w:shd w:val="clear" w:color="auto" w:fill="D8D8D8" w:themeFill="background1" w:themeFillShade="D9"/>
            <w:noWrap/>
            <w:vAlign w:val="bottom"/>
          </w:tcPr>
          <w:p w14:paraId="02F354BF">
            <w:pPr>
              <w:pStyle w:val="55"/>
              <w:keepNext w:val="0"/>
              <w:keepLines w:val="0"/>
              <w:widowControl/>
              <w:suppressLineNumbers w:val="0"/>
              <w:spacing w:before="0" w:beforeAutospacing="0" w:afterAutospacing="0"/>
              <w:ind w:right="0"/>
              <w:rPr>
                <w:rFonts w:hint="default"/>
              </w:rPr>
            </w:pPr>
          </w:p>
        </w:tc>
        <w:tc>
          <w:tcPr>
            <w:tcW w:w="465" w:type="pct"/>
            <w:shd w:val="clear" w:color="auto" w:fill="D8D8D8" w:themeFill="background1" w:themeFillShade="D9"/>
            <w:noWrap/>
            <w:vAlign w:val="bottom"/>
          </w:tcPr>
          <w:p w14:paraId="4C06CDDF">
            <w:pPr>
              <w:pStyle w:val="55"/>
              <w:keepNext w:val="0"/>
              <w:keepLines w:val="0"/>
              <w:widowControl/>
              <w:suppressLineNumbers w:val="0"/>
              <w:spacing w:before="0" w:beforeAutospacing="0" w:afterAutospacing="0"/>
              <w:ind w:right="0"/>
              <w:rPr>
                <w:rFonts w:hint="default"/>
              </w:rPr>
            </w:pPr>
            <w:r>
              <w:rPr>
                <w:rFonts w:hint="default"/>
              </w:rPr>
              <w:t>197300</w:t>
            </w:r>
          </w:p>
        </w:tc>
        <w:tc>
          <w:tcPr>
            <w:tcW w:w="461" w:type="pct"/>
            <w:shd w:val="clear" w:color="auto" w:fill="D8D8D8" w:themeFill="background1" w:themeFillShade="D9"/>
            <w:noWrap/>
            <w:vAlign w:val="bottom"/>
          </w:tcPr>
          <w:p w14:paraId="3C14BD7B">
            <w:pPr>
              <w:pStyle w:val="55"/>
              <w:keepNext w:val="0"/>
              <w:keepLines w:val="0"/>
              <w:widowControl/>
              <w:suppressLineNumbers w:val="0"/>
              <w:spacing w:before="0" w:beforeAutospacing="0" w:afterAutospacing="0"/>
              <w:ind w:right="0"/>
              <w:rPr>
                <w:rFonts w:hint="default"/>
              </w:rPr>
            </w:pPr>
            <w:r>
              <w:rPr>
                <w:rFonts w:hint="default"/>
              </w:rPr>
              <w:t>183100</w:t>
            </w:r>
          </w:p>
        </w:tc>
        <w:tc>
          <w:tcPr>
            <w:tcW w:w="300" w:type="pct"/>
            <w:shd w:val="clear" w:color="auto" w:fill="D8D8D8" w:themeFill="background1" w:themeFillShade="D9"/>
            <w:noWrap/>
            <w:vAlign w:val="bottom"/>
          </w:tcPr>
          <w:p w14:paraId="02B5DD85">
            <w:pPr>
              <w:pStyle w:val="55"/>
              <w:keepNext w:val="0"/>
              <w:keepLines w:val="0"/>
              <w:widowControl/>
              <w:suppressLineNumbers w:val="0"/>
              <w:spacing w:before="0" w:beforeAutospacing="0" w:afterAutospacing="0"/>
              <w:ind w:right="0"/>
              <w:rPr>
                <w:rFonts w:hint="default"/>
              </w:rPr>
            </w:pPr>
          </w:p>
        </w:tc>
        <w:tc>
          <w:tcPr>
            <w:tcW w:w="494" w:type="pct"/>
            <w:shd w:val="clear" w:color="auto" w:fill="D8D8D8" w:themeFill="background1" w:themeFillShade="D9"/>
            <w:noWrap/>
            <w:vAlign w:val="bottom"/>
          </w:tcPr>
          <w:p w14:paraId="15FFF5E2">
            <w:pPr>
              <w:pStyle w:val="55"/>
              <w:keepNext w:val="0"/>
              <w:keepLines w:val="0"/>
              <w:widowControl/>
              <w:suppressLineNumbers w:val="0"/>
              <w:spacing w:before="0" w:beforeAutospacing="0" w:afterAutospacing="0"/>
              <w:ind w:right="0"/>
              <w:rPr>
                <w:rFonts w:hint="default"/>
              </w:rPr>
            </w:pPr>
          </w:p>
        </w:tc>
        <w:tc>
          <w:tcPr>
            <w:tcW w:w="677" w:type="pct"/>
            <w:shd w:val="clear" w:color="auto" w:fill="D8D8D8" w:themeFill="background1" w:themeFillShade="D9"/>
            <w:noWrap/>
            <w:vAlign w:val="bottom"/>
          </w:tcPr>
          <w:p w14:paraId="1788AC48">
            <w:pPr>
              <w:pStyle w:val="55"/>
              <w:keepNext w:val="0"/>
              <w:keepLines w:val="0"/>
              <w:widowControl/>
              <w:suppressLineNumbers w:val="0"/>
              <w:spacing w:before="0" w:beforeAutospacing="0" w:afterAutospacing="0"/>
              <w:ind w:right="0"/>
              <w:rPr>
                <w:rFonts w:hint="default"/>
              </w:rPr>
            </w:pPr>
            <w:r>
              <w:rPr>
                <w:rFonts w:hint="default"/>
              </w:rPr>
              <w:t>97.8</w:t>
            </w:r>
          </w:p>
        </w:tc>
        <w:tc>
          <w:tcPr>
            <w:tcW w:w="585" w:type="pct"/>
            <w:shd w:val="clear" w:color="auto" w:fill="D8D8D8" w:themeFill="background1" w:themeFillShade="D9"/>
            <w:vAlign w:val="bottom"/>
          </w:tcPr>
          <w:p w14:paraId="71461414">
            <w:pPr>
              <w:pStyle w:val="55"/>
              <w:keepNext w:val="0"/>
              <w:keepLines w:val="0"/>
              <w:widowControl/>
              <w:suppressLineNumbers w:val="0"/>
              <w:spacing w:before="0" w:beforeAutospacing="0" w:afterAutospacing="0"/>
              <w:ind w:right="0"/>
              <w:rPr>
                <w:rFonts w:hint="default"/>
              </w:rPr>
            </w:pPr>
          </w:p>
        </w:tc>
      </w:tr>
      <w:tr w14:paraId="0089F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shd w:val="clear" w:color="auto" w:fill="D8D8D8" w:themeFill="background1" w:themeFillShade="D9"/>
            <w:noWrap/>
            <w:vAlign w:val="bottom"/>
          </w:tcPr>
          <w:p w14:paraId="68082A8C">
            <w:pPr>
              <w:pStyle w:val="55"/>
              <w:keepNext w:val="0"/>
              <w:keepLines w:val="0"/>
              <w:widowControl/>
              <w:suppressLineNumbers w:val="0"/>
              <w:spacing w:before="0" w:beforeAutospacing="0" w:afterAutospacing="0"/>
              <w:ind w:right="0"/>
              <w:rPr>
                <w:rFonts w:hint="default"/>
              </w:rPr>
            </w:pPr>
            <w:r>
              <w:rPr>
                <w:rFonts w:hint="default"/>
              </w:rPr>
              <w:t xml:space="preserve">End Layer 13 </w:t>
            </w:r>
          </w:p>
        </w:tc>
        <w:tc>
          <w:tcPr>
            <w:tcW w:w="472" w:type="pct"/>
            <w:shd w:val="clear" w:color="auto" w:fill="D8D8D8" w:themeFill="background1" w:themeFillShade="D9"/>
            <w:noWrap/>
            <w:vAlign w:val="bottom"/>
          </w:tcPr>
          <w:p w14:paraId="1C552337">
            <w:pPr>
              <w:pStyle w:val="55"/>
              <w:keepNext w:val="0"/>
              <w:keepLines w:val="0"/>
              <w:widowControl/>
              <w:suppressLineNumbers w:val="0"/>
              <w:spacing w:before="0" w:beforeAutospacing="0" w:afterAutospacing="0"/>
              <w:ind w:right="0"/>
              <w:rPr>
                <w:rFonts w:hint="default"/>
              </w:rPr>
            </w:pPr>
          </w:p>
        </w:tc>
        <w:tc>
          <w:tcPr>
            <w:tcW w:w="417" w:type="pct"/>
            <w:shd w:val="clear" w:color="auto" w:fill="D8D8D8" w:themeFill="background1" w:themeFillShade="D9"/>
            <w:noWrap/>
            <w:vAlign w:val="bottom"/>
          </w:tcPr>
          <w:p w14:paraId="0934AD1B">
            <w:pPr>
              <w:pStyle w:val="55"/>
              <w:keepNext w:val="0"/>
              <w:keepLines w:val="0"/>
              <w:widowControl/>
              <w:suppressLineNumbers w:val="0"/>
              <w:spacing w:before="0" w:beforeAutospacing="0" w:afterAutospacing="0"/>
              <w:ind w:right="0"/>
              <w:rPr>
                <w:rFonts w:hint="default"/>
              </w:rPr>
            </w:pPr>
          </w:p>
        </w:tc>
        <w:tc>
          <w:tcPr>
            <w:tcW w:w="465" w:type="pct"/>
            <w:shd w:val="clear" w:color="auto" w:fill="D8D8D8" w:themeFill="background1" w:themeFillShade="D9"/>
            <w:noWrap/>
            <w:vAlign w:val="bottom"/>
          </w:tcPr>
          <w:p w14:paraId="44E19A28">
            <w:pPr>
              <w:pStyle w:val="55"/>
              <w:keepNext w:val="0"/>
              <w:keepLines w:val="0"/>
              <w:widowControl/>
              <w:suppressLineNumbers w:val="0"/>
              <w:spacing w:before="0" w:beforeAutospacing="0" w:afterAutospacing="0"/>
              <w:ind w:right="0"/>
              <w:rPr>
                <w:rFonts w:hint="default"/>
              </w:rPr>
            </w:pPr>
            <w:r>
              <w:rPr>
                <w:rFonts w:hint="default"/>
              </w:rPr>
              <w:t>200500</w:t>
            </w:r>
          </w:p>
        </w:tc>
        <w:tc>
          <w:tcPr>
            <w:tcW w:w="461" w:type="pct"/>
            <w:shd w:val="clear" w:color="auto" w:fill="D8D8D8" w:themeFill="background1" w:themeFillShade="D9"/>
            <w:noWrap/>
            <w:vAlign w:val="bottom"/>
          </w:tcPr>
          <w:p w14:paraId="1DE3D6F6">
            <w:pPr>
              <w:pStyle w:val="55"/>
              <w:keepNext w:val="0"/>
              <w:keepLines w:val="0"/>
              <w:widowControl/>
              <w:suppressLineNumbers w:val="0"/>
              <w:spacing w:before="0" w:beforeAutospacing="0" w:afterAutospacing="0"/>
              <w:ind w:right="0"/>
              <w:rPr>
                <w:rFonts w:hint="default"/>
              </w:rPr>
            </w:pPr>
            <w:r>
              <w:rPr>
                <w:rFonts w:hint="default"/>
              </w:rPr>
              <w:t>184500</w:t>
            </w:r>
          </w:p>
        </w:tc>
        <w:tc>
          <w:tcPr>
            <w:tcW w:w="300" w:type="pct"/>
            <w:shd w:val="clear" w:color="auto" w:fill="D8D8D8" w:themeFill="background1" w:themeFillShade="D9"/>
            <w:noWrap/>
            <w:vAlign w:val="bottom"/>
          </w:tcPr>
          <w:p w14:paraId="48BA5A75">
            <w:pPr>
              <w:pStyle w:val="55"/>
              <w:keepNext w:val="0"/>
              <w:keepLines w:val="0"/>
              <w:widowControl/>
              <w:suppressLineNumbers w:val="0"/>
              <w:spacing w:before="0" w:beforeAutospacing="0" w:afterAutospacing="0"/>
              <w:ind w:right="0"/>
              <w:rPr>
                <w:rFonts w:hint="default"/>
              </w:rPr>
            </w:pPr>
          </w:p>
        </w:tc>
        <w:tc>
          <w:tcPr>
            <w:tcW w:w="494" w:type="pct"/>
            <w:shd w:val="clear" w:color="auto" w:fill="D8D8D8" w:themeFill="background1" w:themeFillShade="D9"/>
            <w:noWrap/>
            <w:vAlign w:val="bottom"/>
          </w:tcPr>
          <w:p w14:paraId="302D1219">
            <w:pPr>
              <w:pStyle w:val="55"/>
              <w:keepNext w:val="0"/>
              <w:keepLines w:val="0"/>
              <w:widowControl/>
              <w:suppressLineNumbers w:val="0"/>
              <w:spacing w:before="0" w:beforeAutospacing="0" w:afterAutospacing="0"/>
              <w:ind w:right="0"/>
              <w:rPr>
                <w:rFonts w:hint="default"/>
              </w:rPr>
            </w:pPr>
          </w:p>
        </w:tc>
        <w:tc>
          <w:tcPr>
            <w:tcW w:w="677" w:type="pct"/>
            <w:shd w:val="clear" w:color="auto" w:fill="D8D8D8" w:themeFill="background1" w:themeFillShade="D9"/>
            <w:noWrap/>
            <w:vAlign w:val="bottom"/>
          </w:tcPr>
          <w:p w14:paraId="4C1C0985">
            <w:pPr>
              <w:pStyle w:val="55"/>
              <w:keepNext w:val="0"/>
              <w:keepLines w:val="0"/>
              <w:widowControl/>
              <w:suppressLineNumbers w:val="0"/>
              <w:spacing w:before="0" w:beforeAutospacing="0" w:afterAutospacing="0"/>
              <w:ind w:right="0"/>
              <w:rPr>
                <w:rFonts w:hint="default"/>
              </w:rPr>
            </w:pPr>
            <w:r>
              <w:rPr>
                <w:rFonts w:hint="default"/>
              </w:rPr>
              <w:t>95.4</w:t>
            </w:r>
          </w:p>
        </w:tc>
        <w:tc>
          <w:tcPr>
            <w:tcW w:w="585" w:type="pct"/>
            <w:shd w:val="clear" w:color="auto" w:fill="D8D8D8" w:themeFill="background1" w:themeFillShade="D9"/>
            <w:vAlign w:val="bottom"/>
          </w:tcPr>
          <w:p w14:paraId="6AA6153F">
            <w:pPr>
              <w:pStyle w:val="55"/>
              <w:keepNext w:val="0"/>
              <w:keepLines w:val="0"/>
              <w:widowControl/>
              <w:suppressLineNumbers w:val="0"/>
              <w:spacing w:before="0" w:beforeAutospacing="0" w:afterAutospacing="0"/>
              <w:ind w:right="0"/>
              <w:rPr>
                <w:rFonts w:hint="default"/>
              </w:rPr>
            </w:pPr>
          </w:p>
        </w:tc>
      </w:tr>
      <w:tr w14:paraId="7B49D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noWrap/>
            <w:vAlign w:val="bottom"/>
          </w:tcPr>
          <w:p w14:paraId="48781579">
            <w:pPr>
              <w:pStyle w:val="55"/>
              <w:keepNext w:val="0"/>
              <w:keepLines w:val="0"/>
              <w:widowControl/>
              <w:suppressLineNumbers w:val="0"/>
              <w:spacing w:before="0" w:beforeAutospacing="0" w:afterAutospacing="0"/>
              <w:ind w:right="0"/>
              <w:rPr>
                <w:rFonts w:hint="default"/>
              </w:rPr>
            </w:pPr>
            <w:r>
              <w:rPr>
                <w:rFonts w:hint="default"/>
              </w:rPr>
              <w:t xml:space="preserve">BFD-OSL11 </w:t>
            </w:r>
          </w:p>
        </w:tc>
        <w:tc>
          <w:tcPr>
            <w:tcW w:w="472" w:type="pct"/>
            <w:noWrap/>
            <w:vAlign w:val="bottom"/>
          </w:tcPr>
          <w:p w14:paraId="41DC9348">
            <w:pPr>
              <w:pStyle w:val="55"/>
              <w:keepNext w:val="0"/>
              <w:keepLines w:val="0"/>
              <w:widowControl/>
              <w:suppressLineNumbers w:val="0"/>
              <w:spacing w:before="0" w:beforeAutospacing="0" w:afterAutospacing="0"/>
              <w:ind w:right="0"/>
              <w:rPr>
                <w:rFonts w:hint="default"/>
              </w:rPr>
            </w:pPr>
            <w:r>
              <w:rPr>
                <w:rFonts w:hint="default"/>
              </w:rPr>
              <w:t>141800</w:t>
            </w:r>
          </w:p>
        </w:tc>
        <w:tc>
          <w:tcPr>
            <w:tcW w:w="417" w:type="pct"/>
            <w:noWrap/>
            <w:vAlign w:val="bottom"/>
          </w:tcPr>
          <w:p w14:paraId="460B0BAB">
            <w:pPr>
              <w:pStyle w:val="55"/>
              <w:keepNext w:val="0"/>
              <w:keepLines w:val="0"/>
              <w:widowControl/>
              <w:suppressLineNumbers w:val="0"/>
              <w:spacing w:before="0" w:beforeAutospacing="0" w:afterAutospacing="0"/>
              <w:ind w:right="0"/>
              <w:rPr>
                <w:rFonts w:hint="default"/>
              </w:rPr>
            </w:pPr>
            <w:r>
              <w:rPr>
                <w:rFonts w:hint="default"/>
              </w:rPr>
              <w:t>213700</w:t>
            </w:r>
          </w:p>
        </w:tc>
        <w:tc>
          <w:tcPr>
            <w:tcW w:w="465" w:type="pct"/>
            <w:noWrap/>
            <w:vAlign w:val="bottom"/>
          </w:tcPr>
          <w:p w14:paraId="30CB8925">
            <w:pPr>
              <w:pStyle w:val="55"/>
              <w:keepNext w:val="0"/>
              <w:keepLines w:val="0"/>
              <w:widowControl/>
              <w:suppressLineNumbers w:val="0"/>
              <w:spacing w:before="0" w:beforeAutospacing="0" w:afterAutospacing="0"/>
              <w:ind w:right="0"/>
              <w:rPr>
                <w:rFonts w:hint="default"/>
              </w:rPr>
            </w:pPr>
            <w:r>
              <w:rPr>
                <w:rFonts w:hint="default"/>
              </w:rPr>
              <w:t>201300</w:t>
            </w:r>
          </w:p>
        </w:tc>
        <w:tc>
          <w:tcPr>
            <w:tcW w:w="461" w:type="pct"/>
            <w:noWrap/>
            <w:vAlign w:val="bottom"/>
          </w:tcPr>
          <w:p w14:paraId="0B592B1C">
            <w:pPr>
              <w:pStyle w:val="55"/>
              <w:keepNext w:val="0"/>
              <w:keepLines w:val="0"/>
              <w:widowControl/>
              <w:suppressLineNumbers w:val="0"/>
              <w:spacing w:before="0" w:beforeAutospacing="0" w:afterAutospacing="0"/>
              <w:ind w:right="0"/>
              <w:rPr>
                <w:rFonts w:hint="default"/>
              </w:rPr>
            </w:pPr>
            <w:r>
              <w:rPr>
                <w:rFonts w:hint="default"/>
              </w:rPr>
              <w:t>185000</w:t>
            </w:r>
          </w:p>
        </w:tc>
        <w:tc>
          <w:tcPr>
            <w:tcW w:w="300" w:type="pct"/>
            <w:noWrap/>
            <w:vAlign w:val="bottom"/>
          </w:tcPr>
          <w:p w14:paraId="76D77C67">
            <w:pPr>
              <w:pStyle w:val="55"/>
              <w:keepNext w:val="0"/>
              <w:keepLines w:val="0"/>
              <w:widowControl/>
              <w:suppressLineNumbers w:val="0"/>
              <w:spacing w:before="0" w:beforeAutospacing="0" w:afterAutospacing="0"/>
              <w:ind w:right="0"/>
              <w:rPr>
                <w:rFonts w:hint="default"/>
              </w:rPr>
            </w:pPr>
            <w:r>
              <w:rPr>
                <w:rFonts w:hint="default"/>
              </w:rPr>
              <w:t>0</w:t>
            </w:r>
          </w:p>
        </w:tc>
        <w:tc>
          <w:tcPr>
            <w:tcW w:w="494" w:type="pct"/>
            <w:noWrap/>
            <w:vAlign w:val="bottom"/>
          </w:tcPr>
          <w:p w14:paraId="43CC7434">
            <w:pPr>
              <w:pStyle w:val="55"/>
              <w:keepNext w:val="0"/>
              <w:keepLines w:val="0"/>
              <w:widowControl/>
              <w:suppressLineNumbers w:val="0"/>
              <w:spacing w:before="0" w:beforeAutospacing="0" w:afterAutospacing="0"/>
              <w:ind w:right="0"/>
              <w:rPr>
                <w:rFonts w:hint="default"/>
              </w:rPr>
            </w:pPr>
            <w:r>
              <w:rPr>
                <w:rFonts w:hint="default"/>
              </w:rPr>
              <w:t>0</w:t>
            </w:r>
          </w:p>
        </w:tc>
        <w:tc>
          <w:tcPr>
            <w:tcW w:w="677" w:type="pct"/>
            <w:noWrap/>
            <w:vAlign w:val="bottom"/>
          </w:tcPr>
          <w:p w14:paraId="1592C13D">
            <w:pPr>
              <w:pStyle w:val="55"/>
              <w:keepNext w:val="0"/>
              <w:keepLines w:val="0"/>
              <w:widowControl/>
              <w:suppressLineNumbers w:val="0"/>
              <w:spacing w:before="0" w:beforeAutospacing="0" w:afterAutospacing="0"/>
              <w:ind w:right="0"/>
              <w:rPr>
                <w:rFonts w:hint="default"/>
              </w:rPr>
            </w:pPr>
            <w:r>
              <w:rPr>
                <w:rFonts w:hint="default"/>
              </w:rPr>
              <w:t>97.4</w:t>
            </w:r>
          </w:p>
        </w:tc>
        <w:tc>
          <w:tcPr>
            <w:tcW w:w="585" w:type="pct"/>
            <w:vAlign w:val="bottom"/>
          </w:tcPr>
          <w:p w14:paraId="3A0C0C8A">
            <w:pPr>
              <w:pStyle w:val="55"/>
              <w:keepNext w:val="0"/>
              <w:keepLines w:val="0"/>
              <w:widowControl/>
              <w:suppressLineNumbers w:val="0"/>
              <w:spacing w:before="0" w:beforeAutospacing="0" w:afterAutospacing="0"/>
              <w:ind w:right="0"/>
              <w:rPr>
                <w:rFonts w:hint="default"/>
              </w:rPr>
            </w:pPr>
            <w:r>
              <w:rPr>
                <w:rFonts w:hint="default"/>
              </w:rPr>
              <w:t>100.7</w:t>
            </w:r>
          </w:p>
        </w:tc>
      </w:tr>
      <w:tr w14:paraId="4A812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noWrap/>
            <w:vAlign w:val="bottom"/>
          </w:tcPr>
          <w:p w14:paraId="5B2EEAF9">
            <w:pPr>
              <w:pStyle w:val="55"/>
              <w:keepNext w:val="0"/>
              <w:keepLines w:val="0"/>
              <w:widowControl/>
              <w:suppressLineNumbers w:val="0"/>
              <w:spacing w:before="0" w:beforeAutospacing="0" w:afterAutospacing="0"/>
              <w:ind w:right="0"/>
              <w:rPr>
                <w:rFonts w:hint="default"/>
              </w:rPr>
            </w:pPr>
            <w:r>
              <w:rPr>
                <w:rFonts w:hint="default"/>
              </w:rPr>
              <w:t xml:space="preserve">BFD-OSL12 </w:t>
            </w:r>
          </w:p>
        </w:tc>
        <w:tc>
          <w:tcPr>
            <w:tcW w:w="472" w:type="pct"/>
            <w:noWrap/>
            <w:vAlign w:val="bottom"/>
          </w:tcPr>
          <w:p w14:paraId="31F94B78">
            <w:pPr>
              <w:pStyle w:val="55"/>
              <w:keepNext w:val="0"/>
              <w:keepLines w:val="0"/>
              <w:widowControl/>
              <w:suppressLineNumbers w:val="0"/>
              <w:spacing w:before="0" w:beforeAutospacing="0" w:afterAutospacing="0"/>
              <w:ind w:right="0"/>
              <w:rPr>
                <w:rFonts w:hint="default"/>
              </w:rPr>
            </w:pPr>
            <w:r>
              <w:rPr>
                <w:rFonts w:hint="default"/>
              </w:rPr>
              <w:t>159600</w:t>
            </w:r>
          </w:p>
        </w:tc>
        <w:tc>
          <w:tcPr>
            <w:tcW w:w="417" w:type="pct"/>
            <w:noWrap/>
            <w:vAlign w:val="bottom"/>
          </w:tcPr>
          <w:p w14:paraId="43D0FB7B">
            <w:pPr>
              <w:pStyle w:val="55"/>
              <w:keepNext w:val="0"/>
              <w:keepLines w:val="0"/>
              <w:widowControl/>
              <w:suppressLineNumbers w:val="0"/>
              <w:spacing w:before="0" w:beforeAutospacing="0" w:afterAutospacing="0"/>
              <w:ind w:right="0"/>
              <w:rPr>
                <w:rFonts w:hint="default"/>
              </w:rPr>
            </w:pPr>
            <w:r>
              <w:rPr>
                <w:rFonts w:hint="default"/>
              </w:rPr>
              <w:t>210000</w:t>
            </w:r>
          </w:p>
        </w:tc>
        <w:tc>
          <w:tcPr>
            <w:tcW w:w="465" w:type="pct"/>
            <w:noWrap/>
            <w:vAlign w:val="bottom"/>
          </w:tcPr>
          <w:p w14:paraId="434C8310">
            <w:pPr>
              <w:pStyle w:val="55"/>
              <w:keepNext w:val="0"/>
              <w:keepLines w:val="0"/>
              <w:widowControl/>
              <w:suppressLineNumbers w:val="0"/>
              <w:spacing w:before="0" w:beforeAutospacing="0" w:afterAutospacing="0"/>
              <w:ind w:right="0"/>
              <w:rPr>
                <w:rFonts w:hint="default"/>
              </w:rPr>
            </w:pPr>
            <w:r>
              <w:rPr>
                <w:rFonts w:hint="default"/>
              </w:rPr>
              <w:t>202400</w:t>
            </w:r>
          </w:p>
        </w:tc>
        <w:tc>
          <w:tcPr>
            <w:tcW w:w="461" w:type="pct"/>
            <w:noWrap/>
            <w:vAlign w:val="bottom"/>
          </w:tcPr>
          <w:p w14:paraId="694CCD6F">
            <w:pPr>
              <w:pStyle w:val="55"/>
              <w:keepNext w:val="0"/>
              <w:keepLines w:val="0"/>
              <w:widowControl/>
              <w:suppressLineNumbers w:val="0"/>
              <w:spacing w:before="0" w:beforeAutospacing="0" w:afterAutospacing="0"/>
              <w:ind w:right="0"/>
              <w:rPr>
                <w:rFonts w:hint="default"/>
              </w:rPr>
            </w:pPr>
            <w:r>
              <w:rPr>
                <w:rFonts w:hint="default"/>
              </w:rPr>
              <w:t>185400</w:t>
            </w:r>
          </w:p>
        </w:tc>
        <w:tc>
          <w:tcPr>
            <w:tcW w:w="300" w:type="pct"/>
            <w:noWrap/>
            <w:vAlign w:val="bottom"/>
          </w:tcPr>
          <w:p w14:paraId="4272063F">
            <w:pPr>
              <w:pStyle w:val="55"/>
              <w:keepNext w:val="0"/>
              <w:keepLines w:val="0"/>
              <w:widowControl/>
              <w:suppressLineNumbers w:val="0"/>
              <w:spacing w:before="0" w:beforeAutospacing="0" w:afterAutospacing="0"/>
              <w:ind w:right="0"/>
              <w:rPr>
                <w:rFonts w:hint="default"/>
              </w:rPr>
            </w:pPr>
            <w:r>
              <w:rPr>
                <w:rFonts w:hint="default"/>
              </w:rPr>
              <w:t>0</w:t>
            </w:r>
          </w:p>
        </w:tc>
        <w:tc>
          <w:tcPr>
            <w:tcW w:w="494" w:type="pct"/>
            <w:noWrap/>
            <w:vAlign w:val="bottom"/>
          </w:tcPr>
          <w:p w14:paraId="2B668072">
            <w:pPr>
              <w:pStyle w:val="55"/>
              <w:keepNext w:val="0"/>
              <w:keepLines w:val="0"/>
              <w:widowControl/>
              <w:suppressLineNumbers w:val="0"/>
              <w:spacing w:before="0" w:beforeAutospacing="0" w:afterAutospacing="0"/>
              <w:ind w:right="0"/>
              <w:rPr>
                <w:rFonts w:hint="default"/>
              </w:rPr>
            </w:pPr>
            <w:r>
              <w:rPr>
                <w:rFonts w:hint="default"/>
              </w:rPr>
              <w:t>0</w:t>
            </w:r>
          </w:p>
        </w:tc>
        <w:tc>
          <w:tcPr>
            <w:tcW w:w="677" w:type="pct"/>
            <w:noWrap/>
            <w:vAlign w:val="bottom"/>
          </w:tcPr>
          <w:p w14:paraId="165A5BED">
            <w:pPr>
              <w:pStyle w:val="55"/>
              <w:keepNext w:val="0"/>
              <w:keepLines w:val="0"/>
              <w:widowControl/>
              <w:suppressLineNumbers w:val="0"/>
              <w:spacing w:before="0" w:beforeAutospacing="0" w:afterAutospacing="0"/>
              <w:ind w:right="0"/>
              <w:rPr>
                <w:rFonts w:hint="default"/>
              </w:rPr>
            </w:pPr>
            <w:r>
              <w:rPr>
                <w:rFonts w:hint="default"/>
              </w:rPr>
              <w:t>97</w:t>
            </w:r>
          </w:p>
        </w:tc>
        <w:tc>
          <w:tcPr>
            <w:tcW w:w="585" w:type="pct"/>
            <w:vAlign w:val="bottom"/>
          </w:tcPr>
          <w:p w14:paraId="238543A7">
            <w:pPr>
              <w:pStyle w:val="55"/>
              <w:keepNext w:val="0"/>
              <w:keepLines w:val="0"/>
              <w:widowControl/>
              <w:suppressLineNumbers w:val="0"/>
              <w:spacing w:before="0" w:beforeAutospacing="0" w:afterAutospacing="0"/>
              <w:ind w:right="0"/>
              <w:rPr>
                <w:rFonts w:hint="default"/>
              </w:rPr>
            </w:pPr>
            <w:r>
              <w:rPr>
                <w:rFonts w:hint="default"/>
              </w:rPr>
              <w:t>111.3</w:t>
            </w:r>
          </w:p>
        </w:tc>
      </w:tr>
      <w:tr w14:paraId="3352E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noWrap/>
            <w:vAlign w:val="bottom"/>
          </w:tcPr>
          <w:p w14:paraId="58865B8E">
            <w:pPr>
              <w:pStyle w:val="55"/>
              <w:keepNext w:val="0"/>
              <w:keepLines w:val="0"/>
              <w:widowControl/>
              <w:suppressLineNumbers w:val="0"/>
              <w:spacing w:before="0" w:beforeAutospacing="0" w:afterAutospacing="0"/>
              <w:ind w:right="0"/>
              <w:rPr>
                <w:rFonts w:hint="default"/>
              </w:rPr>
            </w:pPr>
            <w:r>
              <w:rPr>
                <w:rFonts w:hint="default"/>
              </w:rPr>
              <w:t xml:space="preserve">BFD-OSL13 </w:t>
            </w:r>
          </w:p>
        </w:tc>
        <w:tc>
          <w:tcPr>
            <w:tcW w:w="472" w:type="pct"/>
            <w:noWrap/>
            <w:vAlign w:val="bottom"/>
          </w:tcPr>
          <w:p w14:paraId="35733C90">
            <w:pPr>
              <w:pStyle w:val="55"/>
              <w:keepNext w:val="0"/>
              <w:keepLines w:val="0"/>
              <w:widowControl/>
              <w:suppressLineNumbers w:val="0"/>
              <w:spacing w:before="0" w:beforeAutospacing="0" w:afterAutospacing="0"/>
              <w:ind w:right="0"/>
              <w:rPr>
                <w:rFonts w:hint="default"/>
              </w:rPr>
            </w:pPr>
            <w:r>
              <w:rPr>
                <w:rFonts w:hint="default"/>
              </w:rPr>
              <w:t>151400</w:t>
            </w:r>
          </w:p>
        </w:tc>
        <w:tc>
          <w:tcPr>
            <w:tcW w:w="417" w:type="pct"/>
            <w:noWrap/>
            <w:vAlign w:val="bottom"/>
          </w:tcPr>
          <w:p w14:paraId="20E74252">
            <w:pPr>
              <w:pStyle w:val="55"/>
              <w:keepNext w:val="0"/>
              <w:keepLines w:val="0"/>
              <w:widowControl/>
              <w:suppressLineNumbers w:val="0"/>
              <w:spacing w:before="0" w:beforeAutospacing="0" w:afterAutospacing="0"/>
              <w:ind w:right="0"/>
              <w:rPr>
                <w:rFonts w:hint="default"/>
              </w:rPr>
            </w:pPr>
            <w:r>
              <w:rPr>
                <w:rFonts w:hint="default"/>
              </w:rPr>
              <w:t>198400</w:t>
            </w:r>
          </w:p>
        </w:tc>
        <w:tc>
          <w:tcPr>
            <w:tcW w:w="465" w:type="pct"/>
            <w:noWrap/>
            <w:vAlign w:val="bottom"/>
          </w:tcPr>
          <w:p w14:paraId="62E80DBE">
            <w:pPr>
              <w:pStyle w:val="55"/>
              <w:keepNext w:val="0"/>
              <w:keepLines w:val="0"/>
              <w:widowControl/>
              <w:suppressLineNumbers w:val="0"/>
              <w:spacing w:before="0" w:beforeAutospacing="0" w:afterAutospacing="0"/>
              <w:ind w:right="0"/>
              <w:rPr>
                <w:rFonts w:hint="default"/>
              </w:rPr>
            </w:pPr>
            <w:r>
              <w:rPr>
                <w:rFonts w:hint="default"/>
              </w:rPr>
              <w:t>203800</w:t>
            </w:r>
          </w:p>
        </w:tc>
        <w:tc>
          <w:tcPr>
            <w:tcW w:w="461" w:type="pct"/>
            <w:noWrap/>
            <w:vAlign w:val="bottom"/>
          </w:tcPr>
          <w:p w14:paraId="7B641693">
            <w:pPr>
              <w:pStyle w:val="55"/>
              <w:keepNext w:val="0"/>
              <w:keepLines w:val="0"/>
              <w:widowControl/>
              <w:suppressLineNumbers w:val="0"/>
              <w:spacing w:before="0" w:beforeAutospacing="0" w:afterAutospacing="0"/>
              <w:ind w:right="0"/>
              <w:rPr>
                <w:rFonts w:hint="default"/>
              </w:rPr>
            </w:pPr>
            <w:r>
              <w:rPr>
                <w:rFonts w:hint="default"/>
              </w:rPr>
              <w:t>185800</w:t>
            </w:r>
          </w:p>
        </w:tc>
        <w:tc>
          <w:tcPr>
            <w:tcW w:w="300" w:type="pct"/>
            <w:noWrap/>
            <w:vAlign w:val="bottom"/>
          </w:tcPr>
          <w:p w14:paraId="49C2FC77">
            <w:pPr>
              <w:pStyle w:val="55"/>
              <w:keepNext w:val="0"/>
              <w:keepLines w:val="0"/>
              <w:widowControl/>
              <w:suppressLineNumbers w:val="0"/>
              <w:spacing w:before="0" w:beforeAutospacing="0" w:afterAutospacing="0"/>
              <w:ind w:right="0"/>
              <w:rPr>
                <w:rFonts w:hint="default"/>
              </w:rPr>
            </w:pPr>
            <w:r>
              <w:rPr>
                <w:rFonts w:hint="default"/>
              </w:rPr>
              <w:t>0</w:t>
            </w:r>
          </w:p>
        </w:tc>
        <w:tc>
          <w:tcPr>
            <w:tcW w:w="494" w:type="pct"/>
            <w:noWrap/>
            <w:vAlign w:val="bottom"/>
          </w:tcPr>
          <w:p w14:paraId="585C2CD5">
            <w:pPr>
              <w:pStyle w:val="55"/>
              <w:keepNext w:val="0"/>
              <w:keepLines w:val="0"/>
              <w:widowControl/>
              <w:suppressLineNumbers w:val="0"/>
              <w:spacing w:before="0" w:beforeAutospacing="0" w:afterAutospacing="0"/>
              <w:ind w:right="0"/>
              <w:rPr>
                <w:rFonts w:hint="default"/>
              </w:rPr>
            </w:pPr>
            <w:r>
              <w:rPr>
                <w:rFonts w:hint="default"/>
              </w:rPr>
              <w:t>0</w:t>
            </w:r>
          </w:p>
        </w:tc>
        <w:tc>
          <w:tcPr>
            <w:tcW w:w="677" w:type="pct"/>
            <w:noWrap/>
            <w:vAlign w:val="bottom"/>
          </w:tcPr>
          <w:p w14:paraId="6330CBC8">
            <w:pPr>
              <w:pStyle w:val="55"/>
              <w:keepNext w:val="0"/>
              <w:keepLines w:val="0"/>
              <w:widowControl/>
              <w:suppressLineNumbers w:val="0"/>
              <w:spacing w:before="0" w:beforeAutospacing="0" w:afterAutospacing="0"/>
              <w:ind w:right="0"/>
              <w:rPr>
                <w:rFonts w:hint="default"/>
              </w:rPr>
            </w:pPr>
            <w:r>
              <w:rPr>
                <w:rFonts w:hint="default"/>
              </w:rPr>
              <w:t>95.8</w:t>
            </w:r>
          </w:p>
        </w:tc>
        <w:tc>
          <w:tcPr>
            <w:tcW w:w="585" w:type="pct"/>
            <w:vAlign w:val="bottom"/>
          </w:tcPr>
          <w:p w14:paraId="6206A0C7">
            <w:pPr>
              <w:pStyle w:val="55"/>
              <w:keepNext w:val="0"/>
              <w:keepLines w:val="0"/>
              <w:widowControl/>
              <w:suppressLineNumbers w:val="0"/>
              <w:spacing w:before="0" w:beforeAutospacing="0" w:afterAutospacing="0"/>
              <w:ind w:right="0"/>
              <w:rPr>
                <w:rFonts w:hint="default"/>
              </w:rPr>
            </w:pPr>
            <w:r>
              <w:rPr>
                <w:rFonts w:hint="default"/>
              </w:rPr>
              <w:t>45.6</w:t>
            </w:r>
          </w:p>
        </w:tc>
      </w:tr>
      <w:tr w14:paraId="1A654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29" w:type="pct"/>
            <w:shd w:val="clear" w:color="auto" w:fill="D8D8D8" w:themeFill="background1" w:themeFillShade="D9"/>
            <w:noWrap/>
            <w:vAlign w:val="bottom"/>
          </w:tcPr>
          <w:p w14:paraId="0F44EE4A">
            <w:pPr>
              <w:pStyle w:val="55"/>
              <w:keepNext w:val="0"/>
              <w:keepLines w:val="0"/>
              <w:widowControl/>
              <w:suppressLineNumbers w:val="0"/>
              <w:spacing w:before="0" w:beforeAutospacing="0" w:afterAutospacing="0"/>
              <w:ind w:right="0"/>
              <w:rPr>
                <w:rFonts w:hint="default"/>
              </w:rPr>
            </w:pPr>
            <w:r>
              <w:rPr>
                <w:rFonts w:hint="default"/>
              </w:rPr>
              <w:t xml:space="preserve">Start Layer 15 </w:t>
            </w:r>
          </w:p>
        </w:tc>
        <w:tc>
          <w:tcPr>
            <w:tcW w:w="472" w:type="pct"/>
            <w:shd w:val="clear" w:color="auto" w:fill="D8D8D8" w:themeFill="background1" w:themeFillShade="D9"/>
            <w:noWrap/>
            <w:vAlign w:val="bottom"/>
          </w:tcPr>
          <w:p w14:paraId="62763471">
            <w:pPr>
              <w:pStyle w:val="55"/>
              <w:keepNext w:val="0"/>
              <w:keepLines w:val="0"/>
              <w:widowControl/>
              <w:suppressLineNumbers w:val="0"/>
              <w:spacing w:before="0" w:beforeAutospacing="0" w:afterAutospacing="0"/>
              <w:ind w:right="0"/>
              <w:rPr>
                <w:rFonts w:hint="default"/>
              </w:rPr>
            </w:pPr>
          </w:p>
        </w:tc>
        <w:tc>
          <w:tcPr>
            <w:tcW w:w="417" w:type="pct"/>
            <w:shd w:val="clear" w:color="auto" w:fill="D8D8D8" w:themeFill="background1" w:themeFillShade="D9"/>
            <w:noWrap/>
            <w:vAlign w:val="bottom"/>
          </w:tcPr>
          <w:p w14:paraId="6BC6CFA7">
            <w:pPr>
              <w:pStyle w:val="55"/>
              <w:keepNext w:val="0"/>
              <w:keepLines w:val="0"/>
              <w:widowControl/>
              <w:suppressLineNumbers w:val="0"/>
              <w:spacing w:before="0" w:beforeAutospacing="0" w:afterAutospacing="0"/>
              <w:ind w:right="0"/>
              <w:rPr>
                <w:rFonts w:hint="default"/>
              </w:rPr>
            </w:pPr>
          </w:p>
        </w:tc>
        <w:tc>
          <w:tcPr>
            <w:tcW w:w="465" w:type="pct"/>
            <w:shd w:val="clear" w:color="auto" w:fill="D8D8D8" w:themeFill="background1" w:themeFillShade="D9"/>
            <w:noWrap/>
            <w:vAlign w:val="bottom"/>
          </w:tcPr>
          <w:p w14:paraId="45193C7E">
            <w:pPr>
              <w:pStyle w:val="55"/>
              <w:keepNext w:val="0"/>
              <w:keepLines w:val="0"/>
              <w:widowControl/>
              <w:suppressLineNumbers w:val="0"/>
              <w:spacing w:before="0" w:beforeAutospacing="0" w:afterAutospacing="0"/>
              <w:ind w:right="0"/>
              <w:rPr>
                <w:rFonts w:hint="default"/>
              </w:rPr>
            </w:pPr>
            <w:r>
              <w:rPr>
                <w:rFonts w:hint="default"/>
              </w:rPr>
              <w:t>206300</w:t>
            </w:r>
          </w:p>
        </w:tc>
        <w:tc>
          <w:tcPr>
            <w:tcW w:w="461" w:type="pct"/>
            <w:shd w:val="clear" w:color="auto" w:fill="D8D8D8" w:themeFill="background1" w:themeFillShade="D9"/>
            <w:noWrap/>
            <w:vAlign w:val="bottom"/>
          </w:tcPr>
          <w:p w14:paraId="74328D4E">
            <w:pPr>
              <w:pStyle w:val="55"/>
              <w:keepNext w:val="0"/>
              <w:keepLines w:val="0"/>
              <w:widowControl/>
              <w:suppressLineNumbers w:val="0"/>
              <w:spacing w:before="0" w:beforeAutospacing="0" w:afterAutospacing="0"/>
              <w:ind w:right="0"/>
              <w:rPr>
                <w:rFonts w:hint="default"/>
              </w:rPr>
            </w:pPr>
            <w:r>
              <w:rPr>
                <w:rFonts w:hint="default"/>
              </w:rPr>
              <w:t>186100</w:t>
            </w:r>
          </w:p>
        </w:tc>
        <w:tc>
          <w:tcPr>
            <w:tcW w:w="300" w:type="pct"/>
            <w:shd w:val="clear" w:color="auto" w:fill="D8D8D8" w:themeFill="background1" w:themeFillShade="D9"/>
            <w:noWrap/>
            <w:vAlign w:val="bottom"/>
          </w:tcPr>
          <w:p w14:paraId="5263D9E1">
            <w:pPr>
              <w:pStyle w:val="55"/>
              <w:keepNext w:val="0"/>
              <w:keepLines w:val="0"/>
              <w:widowControl/>
              <w:suppressLineNumbers w:val="0"/>
              <w:spacing w:before="0" w:beforeAutospacing="0" w:afterAutospacing="0"/>
              <w:ind w:right="0"/>
              <w:rPr>
                <w:rFonts w:hint="default"/>
              </w:rPr>
            </w:pPr>
          </w:p>
        </w:tc>
        <w:tc>
          <w:tcPr>
            <w:tcW w:w="494" w:type="pct"/>
            <w:shd w:val="clear" w:color="auto" w:fill="D8D8D8" w:themeFill="background1" w:themeFillShade="D9"/>
            <w:noWrap/>
            <w:vAlign w:val="bottom"/>
          </w:tcPr>
          <w:p w14:paraId="5BAA5FFB">
            <w:pPr>
              <w:pStyle w:val="55"/>
              <w:keepNext w:val="0"/>
              <w:keepLines w:val="0"/>
              <w:widowControl/>
              <w:suppressLineNumbers w:val="0"/>
              <w:spacing w:before="0" w:beforeAutospacing="0" w:afterAutospacing="0"/>
              <w:ind w:right="0"/>
              <w:rPr>
                <w:rFonts w:hint="default"/>
              </w:rPr>
            </w:pPr>
          </w:p>
        </w:tc>
        <w:tc>
          <w:tcPr>
            <w:tcW w:w="677" w:type="pct"/>
            <w:shd w:val="clear" w:color="auto" w:fill="D8D8D8" w:themeFill="background1" w:themeFillShade="D9"/>
            <w:noWrap/>
            <w:vAlign w:val="bottom"/>
          </w:tcPr>
          <w:p w14:paraId="323118D2">
            <w:pPr>
              <w:pStyle w:val="55"/>
              <w:keepNext w:val="0"/>
              <w:keepLines w:val="0"/>
              <w:widowControl/>
              <w:suppressLineNumbers w:val="0"/>
              <w:spacing w:before="0" w:beforeAutospacing="0" w:afterAutospacing="0"/>
              <w:ind w:right="0"/>
              <w:rPr>
                <w:rFonts w:hint="default"/>
              </w:rPr>
            </w:pPr>
            <w:r>
              <w:rPr>
                <w:rFonts w:hint="default"/>
              </w:rPr>
              <w:t>33.4</w:t>
            </w:r>
          </w:p>
        </w:tc>
        <w:tc>
          <w:tcPr>
            <w:tcW w:w="585" w:type="pct"/>
            <w:shd w:val="clear" w:color="auto" w:fill="D8D8D8" w:themeFill="background1" w:themeFillShade="D9"/>
            <w:vAlign w:val="bottom"/>
          </w:tcPr>
          <w:p w14:paraId="2091F4B3">
            <w:pPr>
              <w:pStyle w:val="55"/>
              <w:keepNext w:val="0"/>
              <w:keepLines w:val="0"/>
              <w:widowControl/>
              <w:suppressLineNumbers w:val="0"/>
              <w:spacing w:before="0" w:beforeAutospacing="0" w:afterAutospacing="0"/>
              <w:ind w:right="0"/>
              <w:rPr>
                <w:rFonts w:hint="default"/>
              </w:rPr>
            </w:pPr>
          </w:p>
        </w:tc>
      </w:tr>
    </w:tbl>
    <w:p w14:paraId="3AED910E">
      <w:pPr>
        <w:pStyle w:val="43"/>
        <w:rPr>
          <w:b/>
        </w:rPr>
      </w:pPr>
    </w:p>
    <w:p w14:paraId="46E29C41"/>
    <w:p w14:paraId="6C92C929">
      <w:pPr>
        <w:pStyle w:val="7"/>
      </w:pPr>
      <w:r>
        <w:br w:type="column"/>
      </w:r>
      <w:r>
        <w:rPr>
          <w:b/>
          <w:bCs w:val="0"/>
        </w:rPr>
        <w:t xml:space="preserve">Supplementary Table </w:t>
      </w:r>
      <w:r>
        <w:rPr>
          <w:rFonts w:hint="eastAsia"/>
          <w:b/>
          <w:bCs w:val="0"/>
          <w:lang w:val="en-US" w:eastAsia="zh-CN"/>
        </w:rPr>
        <w:t>7</w:t>
      </w:r>
      <w:r>
        <w:t xml:space="preserve"> | MC-ICP-MS U-series dating results on the samples from the Bianfu cave, with </w:t>
      </w:r>
      <w:r>
        <w:rPr>
          <w:rFonts w:eastAsia="等线"/>
        </w:rPr>
        <w:t xml:space="preserve">± </w:t>
      </w:r>
      <w:r>
        <w:t>2σ absolute uncertainties.</w:t>
      </w:r>
    </w:p>
    <w:tbl>
      <w:tblPr>
        <w:tblStyle w:val="24"/>
        <w:tblW w:w="505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674"/>
        <w:gridCol w:w="2014"/>
        <w:gridCol w:w="1169"/>
        <w:gridCol w:w="1416"/>
        <w:gridCol w:w="1225"/>
        <w:gridCol w:w="1500"/>
        <w:gridCol w:w="1164"/>
        <w:gridCol w:w="1164"/>
        <w:gridCol w:w="1592"/>
        <w:gridCol w:w="1276"/>
      </w:tblGrid>
      <w:tr w14:paraId="59101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84" w:type="pct"/>
            <w:noWrap/>
            <w:tcMar>
              <w:left w:w="0" w:type="dxa"/>
              <w:right w:w="0" w:type="dxa"/>
            </w:tcMar>
            <w:vAlign w:val="center"/>
          </w:tcPr>
          <w:p w14:paraId="26F86A8A">
            <w:pPr>
              <w:pStyle w:val="55"/>
              <w:keepNext w:val="0"/>
              <w:keepLines w:val="0"/>
              <w:widowControl/>
              <w:suppressLineNumbers w:val="0"/>
              <w:spacing w:before="0" w:beforeAutospacing="0" w:afterAutospacing="0"/>
              <w:ind w:right="0"/>
              <w:rPr>
                <w:rFonts w:hint="default"/>
              </w:rPr>
            </w:pPr>
            <w:r>
              <w:rPr>
                <w:rFonts w:hint="default"/>
              </w:rPr>
              <w:t>Sample</w:t>
            </w:r>
          </w:p>
        </w:tc>
        <w:tc>
          <w:tcPr>
            <w:tcW w:w="241" w:type="pct"/>
            <w:noWrap/>
            <w:tcMar>
              <w:left w:w="0" w:type="dxa"/>
              <w:right w:w="0" w:type="dxa"/>
            </w:tcMar>
            <w:vAlign w:val="center"/>
          </w:tcPr>
          <w:p w14:paraId="56E073B2">
            <w:pPr>
              <w:pStyle w:val="55"/>
              <w:keepNext w:val="0"/>
              <w:keepLines w:val="0"/>
              <w:widowControl/>
              <w:suppressLineNumbers w:val="0"/>
              <w:spacing w:before="0" w:beforeAutospacing="0" w:afterAutospacing="0"/>
              <w:ind w:right="0"/>
              <w:rPr>
                <w:rFonts w:hint="default"/>
              </w:rPr>
            </w:pPr>
            <w:r>
              <w:rPr>
                <w:rFonts w:hint="default"/>
              </w:rPr>
              <w:t>Layer</w:t>
            </w:r>
          </w:p>
        </w:tc>
        <w:tc>
          <w:tcPr>
            <w:tcW w:w="720" w:type="pct"/>
            <w:noWrap/>
            <w:tcMar>
              <w:left w:w="0" w:type="dxa"/>
              <w:right w:w="0" w:type="dxa"/>
            </w:tcMar>
            <w:vAlign w:val="center"/>
          </w:tcPr>
          <w:p w14:paraId="0CB92C25">
            <w:pPr>
              <w:pStyle w:val="55"/>
              <w:keepNext w:val="0"/>
              <w:keepLines w:val="0"/>
              <w:widowControl/>
              <w:suppressLineNumbers w:val="0"/>
              <w:spacing w:before="0" w:beforeAutospacing="0" w:afterAutospacing="0"/>
              <w:ind w:right="0"/>
              <w:rPr>
                <w:rFonts w:hint="default"/>
              </w:rPr>
            </w:pPr>
            <w:r>
              <w:rPr>
                <w:rFonts w:hint="default"/>
              </w:rPr>
              <w:t>Material</w:t>
            </w:r>
          </w:p>
        </w:tc>
        <w:tc>
          <w:tcPr>
            <w:tcW w:w="418" w:type="pct"/>
            <w:noWrap/>
            <w:tcMar>
              <w:left w:w="0" w:type="dxa"/>
              <w:right w:w="0" w:type="dxa"/>
            </w:tcMar>
            <w:vAlign w:val="center"/>
          </w:tcPr>
          <w:p w14:paraId="319A3A56">
            <w:pPr>
              <w:pStyle w:val="55"/>
              <w:keepNext w:val="0"/>
              <w:keepLines w:val="0"/>
              <w:widowControl/>
              <w:suppressLineNumbers w:val="0"/>
              <w:spacing w:before="0" w:beforeAutospacing="0" w:afterAutospacing="0"/>
              <w:ind w:right="0"/>
              <w:rPr>
                <w:rFonts w:hint="default"/>
              </w:rPr>
            </w:pPr>
            <w:r>
              <w:rPr>
                <w:rFonts w:hint="default"/>
                <w:vertAlign w:val="superscript"/>
              </w:rPr>
              <w:t>238</w:t>
            </w:r>
            <w:r>
              <w:rPr>
                <w:rFonts w:hint="default"/>
              </w:rPr>
              <w:t>U (ppb)</w:t>
            </w:r>
          </w:p>
        </w:tc>
        <w:tc>
          <w:tcPr>
            <w:tcW w:w="506" w:type="pct"/>
            <w:noWrap/>
            <w:tcMar>
              <w:left w:w="0" w:type="dxa"/>
              <w:right w:w="0" w:type="dxa"/>
            </w:tcMar>
            <w:vAlign w:val="center"/>
          </w:tcPr>
          <w:p w14:paraId="6002E836">
            <w:pPr>
              <w:pStyle w:val="55"/>
              <w:keepNext w:val="0"/>
              <w:keepLines w:val="0"/>
              <w:widowControl/>
              <w:suppressLineNumbers w:val="0"/>
              <w:spacing w:before="0" w:beforeAutospacing="0" w:afterAutospacing="0"/>
              <w:ind w:right="0"/>
              <w:rPr>
                <w:rFonts w:hint="default"/>
              </w:rPr>
            </w:pPr>
            <w:r>
              <w:rPr>
                <w:rFonts w:hint="default"/>
                <w:vertAlign w:val="superscript"/>
              </w:rPr>
              <w:t>232</w:t>
            </w:r>
            <w:r>
              <w:rPr>
                <w:rFonts w:hint="default"/>
              </w:rPr>
              <w:t>Th (ppb)</w:t>
            </w:r>
          </w:p>
        </w:tc>
        <w:tc>
          <w:tcPr>
            <w:tcW w:w="438" w:type="pct"/>
            <w:noWrap/>
            <w:tcMar>
              <w:left w:w="0" w:type="dxa"/>
              <w:right w:w="0" w:type="dxa"/>
            </w:tcMar>
            <w:vAlign w:val="center"/>
          </w:tcPr>
          <w:p w14:paraId="50ACB16E">
            <w:pPr>
              <w:pStyle w:val="55"/>
              <w:keepNext w:val="0"/>
              <w:keepLines w:val="0"/>
              <w:widowControl/>
              <w:suppressLineNumbers w:val="0"/>
              <w:spacing w:before="0" w:beforeAutospacing="0" w:afterAutospacing="0"/>
              <w:ind w:right="0"/>
              <w:rPr>
                <w:rFonts w:hint="default"/>
              </w:rPr>
            </w:pPr>
            <w:r>
              <w:rPr>
                <w:rFonts w:hint="default"/>
              </w:rPr>
              <w:t>(</w:t>
            </w:r>
            <w:r>
              <w:rPr>
                <w:rFonts w:hint="default"/>
                <w:vertAlign w:val="superscript"/>
              </w:rPr>
              <w:t>234</w:t>
            </w:r>
            <w:r>
              <w:rPr>
                <w:rFonts w:hint="default"/>
              </w:rPr>
              <w:t>U/</w:t>
            </w:r>
            <w:r>
              <w:rPr>
                <w:rFonts w:hint="default"/>
                <w:vertAlign w:val="superscript"/>
              </w:rPr>
              <w:t>238</w:t>
            </w:r>
            <w:r>
              <w:rPr>
                <w:rFonts w:hint="default"/>
              </w:rPr>
              <w:t>U)</w:t>
            </w:r>
          </w:p>
        </w:tc>
        <w:tc>
          <w:tcPr>
            <w:tcW w:w="536" w:type="pct"/>
            <w:noWrap/>
            <w:tcMar>
              <w:left w:w="0" w:type="dxa"/>
              <w:right w:w="0" w:type="dxa"/>
            </w:tcMar>
            <w:vAlign w:val="center"/>
          </w:tcPr>
          <w:p w14:paraId="22C59B91">
            <w:pPr>
              <w:pStyle w:val="55"/>
              <w:keepNext w:val="0"/>
              <w:keepLines w:val="0"/>
              <w:widowControl/>
              <w:suppressLineNumbers w:val="0"/>
              <w:spacing w:before="0" w:beforeAutospacing="0" w:afterAutospacing="0"/>
              <w:ind w:right="0"/>
              <w:rPr>
                <w:rFonts w:hint="default"/>
              </w:rPr>
            </w:pPr>
            <w:r>
              <w:rPr>
                <w:rFonts w:hint="default"/>
              </w:rPr>
              <w:t>(</w:t>
            </w:r>
            <w:r>
              <w:rPr>
                <w:rFonts w:hint="default"/>
                <w:vertAlign w:val="superscript"/>
              </w:rPr>
              <w:t>230</w:t>
            </w:r>
            <w:r>
              <w:rPr>
                <w:rFonts w:hint="default"/>
              </w:rPr>
              <w:t>Th/</w:t>
            </w:r>
            <w:r>
              <w:rPr>
                <w:rFonts w:hint="default"/>
                <w:vertAlign w:val="superscript"/>
              </w:rPr>
              <w:t>238</w:t>
            </w:r>
            <w:r>
              <w:rPr>
                <w:rFonts w:hint="default"/>
              </w:rPr>
              <w:t>U)</w:t>
            </w:r>
          </w:p>
        </w:tc>
        <w:tc>
          <w:tcPr>
            <w:tcW w:w="416" w:type="pct"/>
            <w:noWrap/>
            <w:tcMar>
              <w:left w:w="0" w:type="dxa"/>
              <w:right w:w="0" w:type="dxa"/>
            </w:tcMar>
            <w:vAlign w:val="center"/>
          </w:tcPr>
          <w:p w14:paraId="64334F35">
            <w:pPr>
              <w:pStyle w:val="55"/>
              <w:keepNext w:val="0"/>
              <w:keepLines w:val="0"/>
              <w:widowControl/>
              <w:suppressLineNumbers w:val="0"/>
              <w:spacing w:before="0" w:beforeAutospacing="0" w:afterAutospacing="0"/>
              <w:ind w:right="0"/>
              <w:rPr>
                <w:rFonts w:hint="default"/>
              </w:rPr>
            </w:pPr>
            <w:r>
              <w:rPr>
                <w:rFonts w:hint="default"/>
              </w:rPr>
              <w:t>(</w:t>
            </w:r>
            <w:r>
              <w:rPr>
                <w:rFonts w:hint="default"/>
                <w:vertAlign w:val="superscript"/>
              </w:rPr>
              <w:t>230</w:t>
            </w:r>
            <w:r>
              <w:rPr>
                <w:rFonts w:hint="default"/>
              </w:rPr>
              <w:t>Th/</w:t>
            </w:r>
            <w:r>
              <w:rPr>
                <w:rFonts w:hint="default"/>
                <w:vertAlign w:val="superscript"/>
              </w:rPr>
              <w:t>232</w:t>
            </w:r>
            <w:r>
              <w:rPr>
                <w:rFonts w:hint="default"/>
              </w:rPr>
              <w:t>Th)</w:t>
            </w:r>
          </w:p>
        </w:tc>
        <w:tc>
          <w:tcPr>
            <w:tcW w:w="416" w:type="pct"/>
            <w:noWrap/>
            <w:tcMar>
              <w:left w:w="0" w:type="dxa"/>
              <w:right w:w="0" w:type="dxa"/>
            </w:tcMar>
            <w:vAlign w:val="center"/>
          </w:tcPr>
          <w:p w14:paraId="69DF027C">
            <w:pPr>
              <w:pStyle w:val="55"/>
              <w:keepNext w:val="0"/>
              <w:keepLines w:val="0"/>
              <w:widowControl/>
              <w:suppressLineNumbers w:val="0"/>
              <w:spacing w:before="0" w:beforeAutospacing="0" w:afterAutospacing="0"/>
              <w:ind w:right="0"/>
              <w:rPr>
                <w:rFonts w:hint="default"/>
                <w:vertAlign w:val="superscript"/>
              </w:rPr>
            </w:pPr>
            <w:r>
              <w:rPr>
                <w:rFonts w:hint="default"/>
              </w:rPr>
              <w:t>Age</w:t>
            </w:r>
            <w:r>
              <w:rPr>
                <w:rFonts w:hint="default"/>
                <w:vertAlign w:val="superscript"/>
              </w:rPr>
              <w:t xml:space="preserve"> </w:t>
            </w:r>
            <w:r>
              <w:rPr>
                <w:rFonts w:hint="default"/>
              </w:rPr>
              <w:t>(ka)</w:t>
            </w:r>
            <w:r>
              <w:rPr>
                <w:rFonts w:hint="default"/>
                <w:vertAlign w:val="superscript"/>
              </w:rPr>
              <w:t>a</w:t>
            </w:r>
          </w:p>
        </w:tc>
        <w:tc>
          <w:tcPr>
            <w:tcW w:w="569" w:type="pct"/>
            <w:vAlign w:val="center"/>
          </w:tcPr>
          <w:p w14:paraId="5E45E923">
            <w:pPr>
              <w:pStyle w:val="55"/>
              <w:keepNext w:val="0"/>
              <w:keepLines w:val="0"/>
              <w:widowControl/>
              <w:suppressLineNumbers w:val="0"/>
              <w:spacing w:before="0" w:beforeAutospacing="0" w:afterAutospacing="0"/>
              <w:ind w:right="0"/>
              <w:rPr>
                <w:rFonts w:hint="default"/>
              </w:rPr>
            </w:pPr>
            <w:r>
              <w:rPr>
                <w:rFonts w:hint="default"/>
              </w:rPr>
              <w:t>Corr. Age (ka)</w:t>
            </w:r>
            <w:r>
              <w:rPr>
                <w:rFonts w:hint="default"/>
                <w:vertAlign w:val="superscript"/>
              </w:rPr>
              <w:t>b</w:t>
            </w:r>
          </w:p>
        </w:tc>
        <w:tc>
          <w:tcPr>
            <w:tcW w:w="457" w:type="pct"/>
            <w:noWrap/>
            <w:tcMar>
              <w:left w:w="0" w:type="dxa"/>
              <w:right w:w="0" w:type="dxa"/>
            </w:tcMar>
            <w:vAlign w:val="center"/>
          </w:tcPr>
          <w:p w14:paraId="767D95D2">
            <w:pPr>
              <w:pStyle w:val="55"/>
              <w:keepNext w:val="0"/>
              <w:keepLines w:val="0"/>
              <w:widowControl/>
              <w:suppressLineNumbers w:val="0"/>
              <w:spacing w:before="0" w:beforeAutospacing="0" w:afterAutospacing="0"/>
              <w:ind w:right="0"/>
              <w:rPr>
                <w:rFonts w:hint="default"/>
                <w:vertAlign w:val="superscript"/>
              </w:rPr>
            </w:pPr>
            <w:r>
              <w:rPr>
                <w:rFonts w:hint="default"/>
              </w:rPr>
              <w:t>(</w:t>
            </w:r>
            <w:r>
              <w:rPr>
                <w:rFonts w:hint="default"/>
                <w:vertAlign w:val="superscript"/>
              </w:rPr>
              <w:t>234</w:t>
            </w:r>
            <w:r>
              <w:rPr>
                <w:rFonts w:hint="default"/>
              </w:rPr>
              <w:t>U/</w:t>
            </w:r>
            <w:r>
              <w:rPr>
                <w:rFonts w:hint="default"/>
                <w:vertAlign w:val="superscript"/>
              </w:rPr>
              <w:t>238</w:t>
            </w:r>
            <w:r>
              <w:rPr>
                <w:rFonts w:hint="default"/>
              </w:rPr>
              <w:t>U)</w:t>
            </w:r>
            <w:r>
              <w:rPr>
                <w:rFonts w:hint="default"/>
                <w:vertAlign w:val="subscript"/>
              </w:rPr>
              <w:t>i</w:t>
            </w:r>
            <w:r>
              <w:rPr>
                <w:rFonts w:hint="default"/>
                <w:vertAlign w:val="superscript"/>
              </w:rPr>
              <w:t>c</w:t>
            </w:r>
          </w:p>
        </w:tc>
      </w:tr>
      <w:tr w14:paraId="70135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84" w:type="pct"/>
            <w:noWrap/>
            <w:tcMar>
              <w:left w:w="0" w:type="dxa"/>
              <w:right w:w="0" w:type="dxa"/>
            </w:tcMar>
            <w:vAlign w:val="center"/>
          </w:tcPr>
          <w:p w14:paraId="145EDF56">
            <w:pPr>
              <w:pStyle w:val="55"/>
              <w:keepNext w:val="0"/>
              <w:keepLines w:val="0"/>
              <w:widowControl/>
              <w:suppressLineNumbers w:val="0"/>
              <w:spacing w:before="0" w:beforeAutospacing="0" w:afterAutospacing="0"/>
              <w:ind w:right="0"/>
              <w:rPr>
                <w:rFonts w:hint="default"/>
              </w:rPr>
            </w:pPr>
            <w:r>
              <w:rPr>
                <w:rFonts w:hint="default"/>
              </w:rPr>
              <w:t>BF3-F1</w:t>
            </w:r>
          </w:p>
        </w:tc>
        <w:tc>
          <w:tcPr>
            <w:tcW w:w="241" w:type="pct"/>
            <w:noWrap/>
            <w:tcMar>
              <w:left w:w="0" w:type="dxa"/>
              <w:right w:w="0" w:type="dxa"/>
            </w:tcMar>
            <w:vAlign w:val="center"/>
          </w:tcPr>
          <w:p w14:paraId="3BC7D2DB">
            <w:pPr>
              <w:pStyle w:val="55"/>
              <w:keepNext w:val="0"/>
              <w:keepLines w:val="0"/>
              <w:widowControl/>
              <w:suppressLineNumbers w:val="0"/>
              <w:spacing w:before="0" w:beforeAutospacing="0" w:afterAutospacing="0"/>
              <w:ind w:right="0"/>
              <w:rPr>
                <w:rFonts w:hint="default"/>
              </w:rPr>
            </w:pPr>
            <w:r>
              <w:rPr>
                <w:rFonts w:hint="default"/>
              </w:rPr>
              <w:t>3</w:t>
            </w:r>
          </w:p>
        </w:tc>
        <w:tc>
          <w:tcPr>
            <w:tcW w:w="720" w:type="pct"/>
            <w:noWrap/>
            <w:tcMar>
              <w:left w:w="0" w:type="dxa"/>
              <w:right w:w="0" w:type="dxa"/>
            </w:tcMar>
            <w:vAlign w:val="center"/>
          </w:tcPr>
          <w:p w14:paraId="65058D09">
            <w:pPr>
              <w:pStyle w:val="55"/>
              <w:keepNext w:val="0"/>
              <w:keepLines w:val="0"/>
              <w:widowControl/>
              <w:suppressLineNumbers w:val="0"/>
              <w:spacing w:before="0" w:beforeAutospacing="0" w:afterAutospacing="0"/>
              <w:ind w:right="0"/>
              <w:rPr>
                <w:rFonts w:hint="default"/>
              </w:rPr>
            </w:pPr>
            <w:r>
              <w:rPr>
                <w:rFonts w:hint="default"/>
              </w:rPr>
              <w:t>flowstone</w:t>
            </w:r>
          </w:p>
        </w:tc>
        <w:tc>
          <w:tcPr>
            <w:tcW w:w="418" w:type="pct"/>
            <w:noWrap/>
            <w:tcMar>
              <w:left w:w="0" w:type="dxa"/>
              <w:right w:w="0" w:type="dxa"/>
            </w:tcMar>
            <w:vAlign w:val="center"/>
          </w:tcPr>
          <w:p w14:paraId="182E61A4">
            <w:pPr>
              <w:pStyle w:val="55"/>
              <w:keepNext w:val="0"/>
              <w:keepLines w:val="0"/>
              <w:widowControl/>
              <w:suppressLineNumbers w:val="0"/>
              <w:spacing w:before="0" w:beforeAutospacing="0" w:afterAutospacing="0"/>
              <w:ind w:right="0"/>
              <w:rPr>
                <w:rFonts w:hint="default"/>
              </w:rPr>
            </w:pPr>
            <w:r>
              <w:rPr>
                <w:rFonts w:hint="default"/>
              </w:rPr>
              <w:t>173.5 ± 0.1</w:t>
            </w:r>
          </w:p>
        </w:tc>
        <w:tc>
          <w:tcPr>
            <w:tcW w:w="506" w:type="pct"/>
            <w:noWrap/>
            <w:tcMar>
              <w:left w:w="0" w:type="dxa"/>
              <w:right w:w="0" w:type="dxa"/>
            </w:tcMar>
            <w:vAlign w:val="center"/>
          </w:tcPr>
          <w:p w14:paraId="07F6F887">
            <w:pPr>
              <w:pStyle w:val="55"/>
              <w:keepNext w:val="0"/>
              <w:keepLines w:val="0"/>
              <w:widowControl/>
              <w:suppressLineNumbers w:val="0"/>
              <w:spacing w:before="0" w:beforeAutospacing="0" w:afterAutospacing="0"/>
              <w:ind w:right="0"/>
              <w:rPr>
                <w:rFonts w:hint="default"/>
              </w:rPr>
            </w:pPr>
            <w:r>
              <w:rPr>
                <w:rFonts w:hint="default"/>
              </w:rPr>
              <w:t>6.31 ± 0.04</w:t>
            </w:r>
          </w:p>
        </w:tc>
        <w:tc>
          <w:tcPr>
            <w:tcW w:w="438" w:type="pct"/>
            <w:noWrap/>
            <w:tcMar>
              <w:left w:w="0" w:type="dxa"/>
              <w:right w:w="0" w:type="dxa"/>
            </w:tcMar>
            <w:vAlign w:val="center"/>
          </w:tcPr>
          <w:p w14:paraId="54063106">
            <w:pPr>
              <w:pStyle w:val="55"/>
              <w:keepNext w:val="0"/>
              <w:keepLines w:val="0"/>
              <w:widowControl/>
              <w:suppressLineNumbers w:val="0"/>
              <w:spacing w:before="0" w:beforeAutospacing="0" w:afterAutospacing="0"/>
              <w:ind w:right="0"/>
              <w:rPr>
                <w:rFonts w:hint="default"/>
              </w:rPr>
            </w:pPr>
            <w:r>
              <w:rPr>
                <w:rFonts w:hint="default"/>
              </w:rPr>
              <w:t>1.162 ± 0.002</w:t>
            </w:r>
          </w:p>
        </w:tc>
        <w:tc>
          <w:tcPr>
            <w:tcW w:w="536" w:type="pct"/>
            <w:noWrap/>
            <w:tcMar>
              <w:left w:w="0" w:type="dxa"/>
              <w:right w:w="0" w:type="dxa"/>
            </w:tcMar>
            <w:vAlign w:val="center"/>
          </w:tcPr>
          <w:p w14:paraId="2518C69A">
            <w:pPr>
              <w:pStyle w:val="55"/>
              <w:keepNext w:val="0"/>
              <w:keepLines w:val="0"/>
              <w:widowControl/>
              <w:suppressLineNumbers w:val="0"/>
              <w:spacing w:before="0" w:beforeAutospacing="0" w:afterAutospacing="0"/>
              <w:ind w:right="0"/>
              <w:rPr>
                <w:rFonts w:hint="default"/>
              </w:rPr>
            </w:pPr>
            <w:r>
              <w:rPr>
                <w:rFonts w:hint="default"/>
              </w:rPr>
              <w:t>0.570 ± 0.003</w:t>
            </w:r>
          </w:p>
        </w:tc>
        <w:tc>
          <w:tcPr>
            <w:tcW w:w="416" w:type="pct"/>
            <w:noWrap/>
            <w:tcMar>
              <w:left w:w="0" w:type="dxa"/>
              <w:right w:w="0" w:type="dxa"/>
            </w:tcMar>
            <w:vAlign w:val="center"/>
          </w:tcPr>
          <w:p w14:paraId="398B376D">
            <w:pPr>
              <w:pStyle w:val="55"/>
              <w:keepNext w:val="0"/>
              <w:keepLines w:val="0"/>
              <w:widowControl/>
              <w:suppressLineNumbers w:val="0"/>
              <w:spacing w:before="0" w:beforeAutospacing="0" w:afterAutospacing="0"/>
              <w:ind w:right="0"/>
              <w:rPr>
                <w:rFonts w:hint="default"/>
              </w:rPr>
            </w:pPr>
            <w:r>
              <w:rPr>
                <w:rFonts w:hint="default"/>
              </w:rPr>
              <w:t>47.9 ± 0.4</w:t>
            </w:r>
          </w:p>
        </w:tc>
        <w:tc>
          <w:tcPr>
            <w:tcW w:w="416" w:type="pct"/>
            <w:noWrap/>
            <w:tcMar>
              <w:left w:w="0" w:type="dxa"/>
              <w:right w:w="0" w:type="dxa"/>
            </w:tcMar>
            <w:vAlign w:val="center"/>
          </w:tcPr>
          <w:p w14:paraId="3EF00E5B">
            <w:pPr>
              <w:pStyle w:val="55"/>
              <w:keepNext w:val="0"/>
              <w:keepLines w:val="0"/>
              <w:widowControl/>
              <w:suppressLineNumbers w:val="0"/>
              <w:spacing w:before="0" w:beforeAutospacing="0" w:afterAutospacing="0"/>
              <w:ind w:right="0"/>
              <w:rPr>
                <w:rFonts w:hint="default"/>
              </w:rPr>
            </w:pPr>
            <w:r>
              <w:rPr>
                <w:rFonts w:hint="default"/>
              </w:rPr>
              <w:t>72.0 ± 0.5</w:t>
            </w:r>
          </w:p>
        </w:tc>
        <w:tc>
          <w:tcPr>
            <w:tcW w:w="569" w:type="pct"/>
            <w:vAlign w:val="center"/>
          </w:tcPr>
          <w:p w14:paraId="2EF9FA8C">
            <w:pPr>
              <w:pStyle w:val="55"/>
              <w:keepNext w:val="0"/>
              <w:keepLines w:val="0"/>
              <w:widowControl/>
              <w:suppressLineNumbers w:val="0"/>
              <w:spacing w:before="0" w:beforeAutospacing="0" w:afterAutospacing="0"/>
              <w:ind w:right="0"/>
              <w:rPr>
                <w:rFonts w:hint="default"/>
              </w:rPr>
            </w:pPr>
            <w:r>
              <w:rPr>
                <w:rFonts w:hint="default"/>
              </w:rPr>
              <w:t>71 ± 0.7</w:t>
            </w:r>
          </w:p>
        </w:tc>
        <w:tc>
          <w:tcPr>
            <w:tcW w:w="457" w:type="pct"/>
            <w:noWrap/>
            <w:tcMar>
              <w:left w:w="0" w:type="dxa"/>
              <w:right w:w="0" w:type="dxa"/>
            </w:tcMar>
            <w:vAlign w:val="center"/>
          </w:tcPr>
          <w:p w14:paraId="6146436E">
            <w:pPr>
              <w:pStyle w:val="55"/>
              <w:keepNext w:val="0"/>
              <w:keepLines w:val="0"/>
              <w:widowControl/>
              <w:suppressLineNumbers w:val="0"/>
              <w:spacing w:before="0" w:beforeAutospacing="0" w:afterAutospacing="0"/>
              <w:ind w:right="0"/>
              <w:rPr>
                <w:rFonts w:hint="default"/>
              </w:rPr>
            </w:pPr>
            <w:r>
              <w:rPr>
                <w:rFonts w:hint="default"/>
              </w:rPr>
              <w:t>199 ± 2</w:t>
            </w:r>
          </w:p>
        </w:tc>
      </w:tr>
      <w:tr w14:paraId="35A80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84" w:type="pct"/>
            <w:noWrap/>
            <w:tcMar>
              <w:left w:w="0" w:type="dxa"/>
              <w:right w:w="0" w:type="dxa"/>
            </w:tcMar>
            <w:vAlign w:val="center"/>
          </w:tcPr>
          <w:p w14:paraId="1BB7E33E">
            <w:pPr>
              <w:pStyle w:val="55"/>
              <w:keepNext w:val="0"/>
              <w:keepLines w:val="0"/>
              <w:widowControl/>
              <w:suppressLineNumbers w:val="0"/>
              <w:spacing w:before="0" w:beforeAutospacing="0" w:afterAutospacing="0"/>
              <w:ind w:right="0"/>
              <w:rPr>
                <w:rFonts w:hint="default"/>
              </w:rPr>
            </w:pPr>
            <w:r>
              <w:rPr>
                <w:rFonts w:hint="default"/>
              </w:rPr>
              <w:t>BF3-F2</w:t>
            </w:r>
          </w:p>
        </w:tc>
        <w:tc>
          <w:tcPr>
            <w:tcW w:w="241" w:type="pct"/>
            <w:noWrap/>
            <w:tcMar>
              <w:left w:w="0" w:type="dxa"/>
              <w:right w:w="0" w:type="dxa"/>
            </w:tcMar>
            <w:vAlign w:val="center"/>
          </w:tcPr>
          <w:p w14:paraId="627FD5B3">
            <w:pPr>
              <w:pStyle w:val="55"/>
              <w:keepNext w:val="0"/>
              <w:keepLines w:val="0"/>
              <w:widowControl/>
              <w:suppressLineNumbers w:val="0"/>
              <w:spacing w:before="0" w:beforeAutospacing="0" w:afterAutospacing="0"/>
              <w:ind w:right="0"/>
              <w:rPr>
                <w:rFonts w:hint="default"/>
              </w:rPr>
            </w:pPr>
            <w:r>
              <w:rPr>
                <w:rFonts w:hint="default"/>
              </w:rPr>
              <w:t>3</w:t>
            </w:r>
          </w:p>
        </w:tc>
        <w:tc>
          <w:tcPr>
            <w:tcW w:w="720" w:type="pct"/>
            <w:noWrap/>
            <w:tcMar>
              <w:left w:w="0" w:type="dxa"/>
              <w:right w:w="0" w:type="dxa"/>
            </w:tcMar>
          </w:tcPr>
          <w:p w14:paraId="20FB6FB8">
            <w:pPr>
              <w:pStyle w:val="55"/>
              <w:keepNext w:val="0"/>
              <w:keepLines w:val="0"/>
              <w:widowControl/>
              <w:suppressLineNumbers w:val="0"/>
              <w:spacing w:before="0" w:beforeAutospacing="0" w:afterAutospacing="0"/>
              <w:ind w:right="0"/>
              <w:rPr>
                <w:rFonts w:hint="default"/>
              </w:rPr>
            </w:pPr>
            <w:r>
              <w:rPr>
                <w:rFonts w:hint="default"/>
              </w:rPr>
              <w:t>flowstone</w:t>
            </w:r>
          </w:p>
        </w:tc>
        <w:tc>
          <w:tcPr>
            <w:tcW w:w="418" w:type="pct"/>
            <w:noWrap/>
            <w:tcMar>
              <w:left w:w="0" w:type="dxa"/>
              <w:right w:w="0" w:type="dxa"/>
            </w:tcMar>
            <w:vAlign w:val="center"/>
          </w:tcPr>
          <w:p w14:paraId="45E6339E">
            <w:pPr>
              <w:pStyle w:val="55"/>
              <w:keepNext w:val="0"/>
              <w:keepLines w:val="0"/>
              <w:widowControl/>
              <w:suppressLineNumbers w:val="0"/>
              <w:spacing w:before="0" w:beforeAutospacing="0" w:afterAutospacing="0"/>
              <w:ind w:right="0"/>
              <w:rPr>
                <w:rFonts w:hint="default"/>
              </w:rPr>
            </w:pPr>
            <w:r>
              <w:rPr>
                <w:rFonts w:hint="default"/>
              </w:rPr>
              <w:t>165.6 ± 0.1</w:t>
            </w:r>
          </w:p>
        </w:tc>
        <w:tc>
          <w:tcPr>
            <w:tcW w:w="506" w:type="pct"/>
            <w:noWrap/>
            <w:tcMar>
              <w:left w:w="0" w:type="dxa"/>
              <w:right w:w="0" w:type="dxa"/>
            </w:tcMar>
            <w:vAlign w:val="center"/>
          </w:tcPr>
          <w:p w14:paraId="2BC376A9">
            <w:pPr>
              <w:pStyle w:val="55"/>
              <w:keepNext w:val="0"/>
              <w:keepLines w:val="0"/>
              <w:widowControl/>
              <w:suppressLineNumbers w:val="0"/>
              <w:spacing w:before="0" w:beforeAutospacing="0" w:afterAutospacing="0"/>
              <w:ind w:right="0"/>
              <w:rPr>
                <w:rFonts w:hint="default"/>
              </w:rPr>
            </w:pPr>
            <w:r>
              <w:rPr>
                <w:rFonts w:hint="default"/>
              </w:rPr>
              <w:t>19.3 ± 0.1</w:t>
            </w:r>
          </w:p>
        </w:tc>
        <w:tc>
          <w:tcPr>
            <w:tcW w:w="438" w:type="pct"/>
            <w:noWrap/>
            <w:tcMar>
              <w:left w:w="0" w:type="dxa"/>
              <w:right w:w="0" w:type="dxa"/>
            </w:tcMar>
            <w:vAlign w:val="center"/>
          </w:tcPr>
          <w:p w14:paraId="3F840065">
            <w:pPr>
              <w:pStyle w:val="55"/>
              <w:keepNext w:val="0"/>
              <w:keepLines w:val="0"/>
              <w:widowControl/>
              <w:suppressLineNumbers w:val="0"/>
              <w:spacing w:before="0" w:beforeAutospacing="0" w:afterAutospacing="0"/>
              <w:ind w:right="0"/>
              <w:rPr>
                <w:rFonts w:hint="default"/>
              </w:rPr>
            </w:pPr>
            <w:r>
              <w:rPr>
                <w:rFonts w:hint="default"/>
              </w:rPr>
              <w:t>1.187 ± 0.001</w:t>
            </w:r>
          </w:p>
        </w:tc>
        <w:tc>
          <w:tcPr>
            <w:tcW w:w="536" w:type="pct"/>
            <w:noWrap/>
            <w:tcMar>
              <w:left w:w="0" w:type="dxa"/>
              <w:right w:w="0" w:type="dxa"/>
            </w:tcMar>
            <w:vAlign w:val="center"/>
          </w:tcPr>
          <w:p w14:paraId="079F7111">
            <w:pPr>
              <w:pStyle w:val="55"/>
              <w:keepNext w:val="0"/>
              <w:keepLines w:val="0"/>
              <w:widowControl/>
              <w:suppressLineNumbers w:val="0"/>
              <w:spacing w:before="0" w:beforeAutospacing="0" w:afterAutospacing="0"/>
              <w:ind w:right="0"/>
              <w:rPr>
                <w:rFonts w:hint="default"/>
              </w:rPr>
            </w:pPr>
            <w:r>
              <w:rPr>
                <w:rFonts w:hint="default"/>
              </w:rPr>
              <w:t>0.609 ± 0.001</w:t>
            </w:r>
          </w:p>
        </w:tc>
        <w:tc>
          <w:tcPr>
            <w:tcW w:w="416" w:type="pct"/>
            <w:noWrap/>
            <w:tcMar>
              <w:left w:w="0" w:type="dxa"/>
              <w:right w:w="0" w:type="dxa"/>
            </w:tcMar>
            <w:vAlign w:val="center"/>
          </w:tcPr>
          <w:p w14:paraId="440FC593">
            <w:pPr>
              <w:pStyle w:val="55"/>
              <w:keepNext w:val="0"/>
              <w:keepLines w:val="0"/>
              <w:widowControl/>
              <w:suppressLineNumbers w:val="0"/>
              <w:spacing w:before="0" w:beforeAutospacing="0" w:afterAutospacing="0"/>
              <w:ind w:right="0"/>
              <w:rPr>
                <w:rFonts w:hint="default"/>
              </w:rPr>
            </w:pPr>
            <w:r>
              <w:rPr>
                <w:rFonts w:hint="default"/>
              </w:rPr>
              <w:t>16.0 ± 0.1</w:t>
            </w:r>
          </w:p>
        </w:tc>
        <w:tc>
          <w:tcPr>
            <w:tcW w:w="416" w:type="pct"/>
            <w:noWrap/>
            <w:tcMar>
              <w:left w:w="0" w:type="dxa"/>
              <w:right w:w="0" w:type="dxa"/>
            </w:tcMar>
            <w:vAlign w:val="center"/>
          </w:tcPr>
          <w:p w14:paraId="36C46642">
            <w:pPr>
              <w:pStyle w:val="55"/>
              <w:keepNext w:val="0"/>
              <w:keepLines w:val="0"/>
              <w:widowControl/>
              <w:suppressLineNumbers w:val="0"/>
              <w:spacing w:before="0" w:beforeAutospacing="0" w:afterAutospacing="0"/>
              <w:ind w:right="0"/>
              <w:rPr>
                <w:rFonts w:hint="default"/>
              </w:rPr>
            </w:pPr>
            <w:r>
              <w:rPr>
                <w:rFonts w:hint="default"/>
              </w:rPr>
              <w:t>76.6 ± 0.2</w:t>
            </w:r>
          </w:p>
        </w:tc>
        <w:tc>
          <w:tcPr>
            <w:tcW w:w="569" w:type="pct"/>
            <w:vAlign w:val="center"/>
          </w:tcPr>
          <w:p w14:paraId="1B0DBF42">
            <w:pPr>
              <w:pStyle w:val="55"/>
              <w:keepNext w:val="0"/>
              <w:keepLines w:val="0"/>
              <w:widowControl/>
              <w:suppressLineNumbers w:val="0"/>
              <w:spacing w:before="0" w:beforeAutospacing="0" w:afterAutospacing="0"/>
              <w:ind w:right="0"/>
              <w:rPr>
                <w:rFonts w:hint="default"/>
              </w:rPr>
            </w:pPr>
            <w:r>
              <w:rPr>
                <w:rFonts w:hint="default"/>
              </w:rPr>
              <w:t>74 ± 1.4</w:t>
            </w:r>
          </w:p>
        </w:tc>
        <w:tc>
          <w:tcPr>
            <w:tcW w:w="457" w:type="pct"/>
            <w:noWrap/>
            <w:tcMar>
              <w:left w:w="0" w:type="dxa"/>
              <w:right w:w="0" w:type="dxa"/>
            </w:tcMar>
            <w:vAlign w:val="center"/>
          </w:tcPr>
          <w:p w14:paraId="3839E532">
            <w:pPr>
              <w:pStyle w:val="55"/>
              <w:keepNext w:val="0"/>
              <w:keepLines w:val="0"/>
              <w:widowControl/>
              <w:suppressLineNumbers w:val="0"/>
              <w:spacing w:before="0" w:beforeAutospacing="0" w:afterAutospacing="0"/>
              <w:ind w:right="0"/>
              <w:rPr>
                <w:rFonts w:hint="default"/>
              </w:rPr>
            </w:pPr>
            <w:r>
              <w:rPr>
                <w:rFonts w:hint="default"/>
              </w:rPr>
              <w:t>231 ± 2</w:t>
            </w:r>
          </w:p>
        </w:tc>
      </w:tr>
      <w:tr w14:paraId="0F43C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84" w:type="pct"/>
            <w:noWrap/>
            <w:tcMar>
              <w:left w:w="0" w:type="dxa"/>
              <w:right w:w="0" w:type="dxa"/>
            </w:tcMar>
            <w:vAlign w:val="center"/>
          </w:tcPr>
          <w:p w14:paraId="4C654506">
            <w:pPr>
              <w:pStyle w:val="55"/>
              <w:keepNext w:val="0"/>
              <w:keepLines w:val="0"/>
              <w:widowControl/>
              <w:suppressLineNumbers w:val="0"/>
              <w:spacing w:before="0" w:beforeAutospacing="0" w:afterAutospacing="0"/>
              <w:ind w:right="0"/>
              <w:rPr>
                <w:rFonts w:hint="default"/>
              </w:rPr>
            </w:pPr>
            <w:r>
              <w:rPr>
                <w:rFonts w:hint="default"/>
              </w:rPr>
              <w:t>BF7-F1</w:t>
            </w:r>
          </w:p>
        </w:tc>
        <w:tc>
          <w:tcPr>
            <w:tcW w:w="241" w:type="pct"/>
            <w:noWrap/>
            <w:tcMar>
              <w:left w:w="0" w:type="dxa"/>
              <w:right w:w="0" w:type="dxa"/>
            </w:tcMar>
            <w:vAlign w:val="center"/>
          </w:tcPr>
          <w:p w14:paraId="50DFAD0A">
            <w:pPr>
              <w:pStyle w:val="55"/>
              <w:keepNext w:val="0"/>
              <w:keepLines w:val="0"/>
              <w:widowControl/>
              <w:suppressLineNumbers w:val="0"/>
              <w:spacing w:before="0" w:beforeAutospacing="0" w:afterAutospacing="0"/>
              <w:ind w:right="0"/>
              <w:rPr>
                <w:rFonts w:hint="default"/>
              </w:rPr>
            </w:pPr>
            <w:r>
              <w:rPr>
                <w:rFonts w:hint="default"/>
              </w:rPr>
              <w:t>7</w:t>
            </w:r>
          </w:p>
        </w:tc>
        <w:tc>
          <w:tcPr>
            <w:tcW w:w="720" w:type="pct"/>
            <w:noWrap/>
            <w:tcMar>
              <w:left w:w="0" w:type="dxa"/>
              <w:right w:w="0" w:type="dxa"/>
            </w:tcMar>
          </w:tcPr>
          <w:p w14:paraId="674320A9">
            <w:pPr>
              <w:pStyle w:val="55"/>
              <w:keepNext w:val="0"/>
              <w:keepLines w:val="0"/>
              <w:widowControl/>
              <w:suppressLineNumbers w:val="0"/>
              <w:spacing w:before="0" w:beforeAutospacing="0" w:afterAutospacing="0"/>
              <w:ind w:right="0"/>
              <w:rPr>
                <w:rFonts w:hint="default"/>
              </w:rPr>
            </w:pPr>
            <w:r>
              <w:rPr>
                <w:rFonts w:hint="default"/>
              </w:rPr>
              <w:t>flowstone</w:t>
            </w:r>
          </w:p>
        </w:tc>
        <w:tc>
          <w:tcPr>
            <w:tcW w:w="418" w:type="pct"/>
            <w:noWrap/>
            <w:tcMar>
              <w:left w:w="0" w:type="dxa"/>
              <w:right w:w="0" w:type="dxa"/>
            </w:tcMar>
            <w:vAlign w:val="center"/>
          </w:tcPr>
          <w:p w14:paraId="72BC4946">
            <w:pPr>
              <w:pStyle w:val="55"/>
              <w:keepNext w:val="0"/>
              <w:keepLines w:val="0"/>
              <w:widowControl/>
              <w:suppressLineNumbers w:val="0"/>
              <w:spacing w:before="0" w:beforeAutospacing="0" w:afterAutospacing="0"/>
              <w:ind w:right="0"/>
              <w:rPr>
                <w:rFonts w:hint="default"/>
              </w:rPr>
            </w:pPr>
            <w:r>
              <w:rPr>
                <w:rFonts w:hint="default"/>
              </w:rPr>
              <w:t>77.8 ± 0.1</w:t>
            </w:r>
          </w:p>
        </w:tc>
        <w:tc>
          <w:tcPr>
            <w:tcW w:w="506" w:type="pct"/>
            <w:noWrap/>
            <w:tcMar>
              <w:left w:w="0" w:type="dxa"/>
              <w:right w:w="0" w:type="dxa"/>
            </w:tcMar>
            <w:vAlign w:val="center"/>
          </w:tcPr>
          <w:p w14:paraId="34ECB26C">
            <w:pPr>
              <w:pStyle w:val="55"/>
              <w:keepNext w:val="0"/>
              <w:keepLines w:val="0"/>
              <w:widowControl/>
              <w:suppressLineNumbers w:val="0"/>
              <w:spacing w:before="0" w:beforeAutospacing="0" w:afterAutospacing="0"/>
              <w:ind w:right="0"/>
              <w:rPr>
                <w:rFonts w:hint="default"/>
              </w:rPr>
            </w:pPr>
            <w:r>
              <w:rPr>
                <w:rFonts w:hint="default"/>
              </w:rPr>
              <w:t>7.50 ± 0.04</w:t>
            </w:r>
          </w:p>
        </w:tc>
        <w:tc>
          <w:tcPr>
            <w:tcW w:w="438" w:type="pct"/>
            <w:noWrap/>
            <w:tcMar>
              <w:left w:w="0" w:type="dxa"/>
              <w:right w:w="0" w:type="dxa"/>
            </w:tcMar>
            <w:vAlign w:val="center"/>
          </w:tcPr>
          <w:p w14:paraId="3F59D5ED">
            <w:pPr>
              <w:pStyle w:val="55"/>
              <w:keepNext w:val="0"/>
              <w:keepLines w:val="0"/>
              <w:widowControl/>
              <w:suppressLineNumbers w:val="0"/>
              <w:spacing w:before="0" w:beforeAutospacing="0" w:afterAutospacing="0"/>
              <w:ind w:right="0"/>
              <w:rPr>
                <w:rFonts w:hint="default"/>
              </w:rPr>
            </w:pPr>
            <w:r>
              <w:rPr>
                <w:rFonts w:hint="default"/>
              </w:rPr>
              <w:t>1.272 ± 0.004</w:t>
            </w:r>
          </w:p>
        </w:tc>
        <w:tc>
          <w:tcPr>
            <w:tcW w:w="536" w:type="pct"/>
            <w:noWrap/>
            <w:tcMar>
              <w:left w:w="0" w:type="dxa"/>
              <w:right w:w="0" w:type="dxa"/>
            </w:tcMar>
            <w:vAlign w:val="center"/>
          </w:tcPr>
          <w:p w14:paraId="061D650F">
            <w:pPr>
              <w:pStyle w:val="55"/>
              <w:keepNext w:val="0"/>
              <w:keepLines w:val="0"/>
              <w:widowControl/>
              <w:suppressLineNumbers w:val="0"/>
              <w:spacing w:before="0" w:beforeAutospacing="0" w:afterAutospacing="0"/>
              <w:ind w:right="0"/>
              <w:rPr>
                <w:rFonts w:hint="default"/>
              </w:rPr>
            </w:pPr>
            <w:r>
              <w:rPr>
                <w:rFonts w:hint="default"/>
              </w:rPr>
              <w:t>0.964 ± 0.003</w:t>
            </w:r>
          </w:p>
        </w:tc>
        <w:tc>
          <w:tcPr>
            <w:tcW w:w="416" w:type="pct"/>
            <w:noWrap/>
            <w:tcMar>
              <w:left w:w="0" w:type="dxa"/>
              <w:right w:w="0" w:type="dxa"/>
            </w:tcMar>
            <w:vAlign w:val="center"/>
          </w:tcPr>
          <w:p w14:paraId="47936C5D">
            <w:pPr>
              <w:pStyle w:val="55"/>
              <w:keepNext w:val="0"/>
              <w:keepLines w:val="0"/>
              <w:widowControl/>
              <w:suppressLineNumbers w:val="0"/>
              <w:spacing w:before="0" w:beforeAutospacing="0" w:afterAutospacing="0"/>
              <w:ind w:right="0"/>
              <w:rPr>
                <w:rFonts w:hint="default"/>
              </w:rPr>
            </w:pPr>
            <w:r>
              <w:rPr>
                <w:rFonts w:hint="default"/>
              </w:rPr>
              <w:t>30.5 ± 0.2</w:t>
            </w:r>
          </w:p>
        </w:tc>
        <w:tc>
          <w:tcPr>
            <w:tcW w:w="416" w:type="pct"/>
            <w:noWrap/>
            <w:tcMar>
              <w:left w:w="0" w:type="dxa"/>
              <w:right w:w="0" w:type="dxa"/>
            </w:tcMar>
            <w:vAlign w:val="center"/>
          </w:tcPr>
          <w:p w14:paraId="0868C475">
            <w:pPr>
              <w:pStyle w:val="55"/>
              <w:keepNext w:val="0"/>
              <w:keepLines w:val="0"/>
              <w:widowControl/>
              <w:suppressLineNumbers w:val="0"/>
              <w:spacing w:before="0" w:beforeAutospacing="0" w:afterAutospacing="0"/>
              <w:ind w:right="0"/>
              <w:rPr>
                <w:rFonts w:hint="default"/>
              </w:rPr>
            </w:pPr>
            <w:r>
              <w:rPr>
                <w:rFonts w:hint="default"/>
              </w:rPr>
              <w:t>142.5 ± 1.3</w:t>
            </w:r>
          </w:p>
        </w:tc>
        <w:tc>
          <w:tcPr>
            <w:tcW w:w="569" w:type="pct"/>
            <w:vAlign w:val="center"/>
          </w:tcPr>
          <w:p w14:paraId="5429CA8D">
            <w:pPr>
              <w:pStyle w:val="55"/>
              <w:keepNext w:val="0"/>
              <w:keepLines w:val="0"/>
              <w:widowControl/>
              <w:suppressLineNumbers w:val="0"/>
              <w:spacing w:before="0" w:beforeAutospacing="0" w:afterAutospacing="0"/>
              <w:ind w:right="0"/>
              <w:rPr>
                <w:rFonts w:hint="default"/>
              </w:rPr>
            </w:pPr>
            <w:r>
              <w:rPr>
                <w:rFonts w:hint="default"/>
              </w:rPr>
              <w:t>140.4 ± 1.6</w:t>
            </w:r>
          </w:p>
        </w:tc>
        <w:tc>
          <w:tcPr>
            <w:tcW w:w="457" w:type="pct"/>
            <w:noWrap/>
            <w:tcMar>
              <w:left w:w="0" w:type="dxa"/>
              <w:right w:w="0" w:type="dxa"/>
            </w:tcMar>
            <w:vAlign w:val="center"/>
          </w:tcPr>
          <w:p w14:paraId="7646B919">
            <w:pPr>
              <w:pStyle w:val="55"/>
              <w:keepNext w:val="0"/>
              <w:keepLines w:val="0"/>
              <w:widowControl/>
              <w:suppressLineNumbers w:val="0"/>
              <w:spacing w:before="0" w:beforeAutospacing="0" w:afterAutospacing="0"/>
              <w:ind w:right="0"/>
              <w:rPr>
                <w:rFonts w:hint="default"/>
              </w:rPr>
            </w:pPr>
            <w:r>
              <w:rPr>
                <w:rFonts w:hint="default"/>
              </w:rPr>
              <w:t>405 ± 6</w:t>
            </w:r>
          </w:p>
        </w:tc>
      </w:tr>
      <w:tr w14:paraId="00203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84" w:type="pct"/>
            <w:noWrap/>
            <w:tcMar>
              <w:left w:w="0" w:type="dxa"/>
              <w:right w:w="0" w:type="dxa"/>
            </w:tcMar>
            <w:vAlign w:val="center"/>
          </w:tcPr>
          <w:p w14:paraId="6710FF33">
            <w:pPr>
              <w:pStyle w:val="55"/>
              <w:keepNext w:val="0"/>
              <w:keepLines w:val="0"/>
              <w:widowControl/>
              <w:suppressLineNumbers w:val="0"/>
              <w:spacing w:before="0" w:beforeAutospacing="0" w:afterAutospacing="0"/>
              <w:ind w:right="0"/>
              <w:rPr>
                <w:rFonts w:hint="default"/>
              </w:rPr>
            </w:pPr>
            <w:r>
              <w:rPr>
                <w:rFonts w:hint="default"/>
              </w:rPr>
              <w:t>BF7-F2</w:t>
            </w:r>
          </w:p>
        </w:tc>
        <w:tc>
          <w:tcPr>
            <w:tcW w:w="241" w:type="pct"/>
            <w:noWrap/>
            <w:tcMar>
              <w:left w:w="0" w:type="dxa"/>
              <w:right w:w="0" w:type="dxa"/>
            </w:tcMar>
            <w:vAlign w:val="center"/>
          </w:tcPr>
          <w:p w14:paraId="3F9D585A">
            <w:pPr>
              <w:pStyle w:val="55"/>
              <w:keepNext w:val="0"/>
              <w:keepLines w:val="0"/>
              <w:widowControl/>
              <w:suppressLineNumbers w:val="0"/>
              <w:spacing w:before="0" w:beforeAutospacing="0" w:afterAutospacing="0"/>
              <w:ind w:right="0"/>
              <w:rPr>
                <w:rFonts w:hint="default"/>
              </w:rPr>
            </w:pPr>
            <w:r>
              <w:rPr>
                <w:rFonts w:hint="default"/>
              </w:rPr>
              <w:t>7</w:t>
            </w:r>
          </w:p>
        </w:tc>
        <w:tc>
          <w:tcPr>
            <w:tcW w:w="720" w:type="pct"/>
            <w:noWrap/>
            <w:tcMar>
              <w:left w:w="0" w:type="dxa"/>
              <w:right w:w="0" w:type="dxa"/>
            </w:tcMar>
          </w:tcPr>
          <w:p w14:paraId="76DE56FF">
            <w:pPr>
              <w:pStyle w:val="55"/>
              <w:keepNext w:val="0"/>
              <w:keepLines w:val="0"/>
              <w:widowControl/>
              <w:suppressLineNumbers w:val="0"/>
              <w:spacing w:before="0" w:beforeAutospacing="0" w:afterAutospacing="0"/>
              <w:ind w:right="0"/>
              <w:rPr>
                <w:rFonts w:hint="default"/>
              </w:rPr>
            </w:pPr>
            <w:r>
              <w:rPr>
                <w:rFonts w:hint="default"/>
              </w:rPr>
              <w:t>flowstone</w:t>
            </w:r>
          </w:p>
        </w:tc>
        <w:tc>
          <w:tcPr>
            <w:tcW w:w="418" w:type="pct"/>
            <w:noWrap/>
            <w:tcMar>
              <w:left w:w="0" w:type="dxa"/>
              <w:right w:w="0" w:type="dxa"/>
            </w:tcMar>
            <w:vAlign w:val="center"/>
          </w:tcPr>
          <w:p w14:paraId="6EF35F6A">
            <w:pPr>
              <w:pStyle w:val="55"/>
              <w:keepNext w:val="0"/>
              <w:keepLines w:val="0"/>
              <w:widowControl/>
              <w:suppressLineNumbers w:val="0"/>
              <w:spacing w:before="0" w:beforeAutospacing="0" w:afterAutospacing="0"/>
              <w:ind w:right="0"/>
              <w:rPr>
                <w:rFonts w:hint="default"/>
              </w:rPr>
            </w:pPr>
            <w:r>
              <w:rPr>
                <w:rFonts w:hint="default"/>
              </w:rPr>
              <w:t>118.9 ± 0.1</w:t>
            </w:r>
          </w:p>
        </w:tc>
        <w:tc>
          <w:tcPr>
            <w:tcW w:w="506" w:type="pct"/>
            <w:noWrap/>
            <w:tcMar>
              <w:left w:w="0" w:type="dxa"/>
              <w:right w:w="0" w:type="dxa"/>
            </w:tcMar>
            <w:vAlign w:val="center"/>
          </w:tcPr>
          <w:p w14:paraId="55895B83">
            <w:pPr>
              <w:pStyle w:val="55"/>
              <w:keepNext w:val="0"/>
              <w:keepLines w:val="0"/>
              <w:widowControl/>
              <w:suppressLineNumbers w:val="0"/>
              <w:spacing w:before="0" w:beforeAutospacing="0" w:afterAutospacing="0"/>
              <w:ind w:right="0"/>
              <w:rPr>
                <w:rFonts w:hint="default"/>
              </w:rPr>
            </w:pPr>
            <w:r>
              <w:rPr>
                <w:rFonts w:hint="default"/>
              </w:rPr>
              <w:t>2.17 ± 0.02</w:t>
            </w:r>
          </w:p>
        </w:tc>
        <w:tc>
          <w:tcPr>
            <w:tcW w:w="438" w:type="pct"/>
            <w:noWrap/>
            <w:tcMar>
              <w:left w:w="0" w:type="dxa"/>
              <w:right w:w="0" w:type="dxa"/>
            </w:tcMar>
            <w:vAlign w:val="center"/>
          </w:tcPr>
          <w:p w14:paraId="14E8589E">
            <w:pPr>
              <w:pStyle w:val="55"/>
              <w:keepNext w:val="0"/>
              <w:keepLines w:val="0"/>
              <w:widowControl/>
              <w:suppressLineNumbers w:val="0"/>
              <w:spacing w:before="0" w:beforeAutospacing="0" w:afterAutospacing="0"/>
              <w:ind w:right="0"/>
              <w:rPr>
                <w:rFonts w:hint="default"/>
              </w:rPr>
            </w:pPr>
            <w:r>
              <w:rPr>
                <w:rFonts w:hint="default"/>
              </w:rPr>
              <w:t>1.167 ± 0.003</w:t>
            </w:r>
          </w:p>
        </w:tc>
        <w:tc>
          <w:tcPr>
            <w:tcW w:w="536" w:type="pct"/>
            <w:noWrap/>
            <w:tcMar>
              <w:left w:w="0" w:type="dxa"/>
              <w:right w:w="0" w:type="dxa"/>
            </w:tcMar>
            <w:vAlign w:val="center"/>
          </w:tcPr>
          <w:p w14:paraId="57172A2F">
            <w:pPr>
              <w:pStyle w:val="55"/>
              <w:keepNext w:val="0"/>
              <w:keepLines w:val="0"/>
              <w:widowControl/>
              <w:suppressLineNumbers w:val="0"/>
              <w:spacing w:before="0" w:beforeAutospacing="0" w:afterAutospacing="0"/>
              <w:ind w:right="0"/>
              <w:rPr>
                <w:rFonts w:hint="default"/>
              </w:rPr>
            </w:pPr>
            <w:r>
              <w:rPr>
                <w:rFonts w:hint="default"/>
              </w:rPr>
              <w:t>0.868 ± 0.003</w:t>
            </w:r>
          </w:p>
        </w:tc>
        <w:tc>
          <w:tcPr>
            <w:tcW w:w="416" w:type="pct"/>
            <w:noWrap/>
            <w:tcMar>
              <w:left w:w="0" w:type="dxa"/>
              <w:right w:w="0" w:type="dxa"/>
            </w:tcMar>
            <w:vAlign w:val="center"/>
          </w:tcPr>
          <w:p w14:paraId="6CD49A40">
            <w:pPr>
              <w:pStyle w:val="55"/>
              <w:keepNext w:val="0"/>
              <w:keepLines w:val="0"/>
              <w:widowControl/>
              <w:suppressLineNumbers w:val="0"/>
              <w:spacing w:before="0" w:beforeAutospacing="0" w:afterAutospacing="0"/>
              <w:ind w:right="0"/>
              <w:rPr>
                <w:rFonts w:hint="default"/>
              </w:rPr>
            </w:pPr>
            <w:r>
              <w:rPr>
                <w:rFonts w:hint="default"/>
              </w:rPr>
              <w:t>145 ± 1</w:t>
            </w:r>
          </w:p>
        </w:tc>
        <w:tc>
          <w:tcPr>
            <w:tcW w:w="416" w:type="pct"/>
            <w:noWrap/>
            <w:tcMar>
              <w:left w:w="0" w:type="dxa"/>
              <w:right w:w="0" w:type="dxa"/>
            </w:tcMar>
            <w:vAlign w:val="center"/>
          </w:tcPr>
          <w:p w14:paraId="58963C52">
            <w:pPr>
              <w:pStyle w:val="55"/>
              <w:keepNext w:val="0"/>
              <w:keepLines w:val="0"/>
              <w:widowControl/>
              <w:suppressLineNumbers w:val="0"/>
              <w:spacing w:before="0" w:beforeAutospacing="0" w:afterAutospacing="0"/>
              <w:ind w:right="0"/>
              <w:rPr>
                <w:rFonts w:hint="default"/>
              </w:rPr>
            </w:pPr>
            <w:r>
              <w:rPr>
                <w:rFonts w:hint="default"/>
              </w:rPr>
              <w:t>140.8 ± 1.2</w:t>
            </w:r>
          </w:p>
        </w:tc>
        <w:tc>
          <w:tcPr>
            <w:tcW w:w="569" w:type="pct"/>
            <w:vAlign w:val="center"/>
          </w:tcPr>
          <w:p w14:paraId="2304C3C2">
            <w:pPr>
              <w:pStyle w:val="55"/>
              <w:keepNext w:val="0"/>
              <w:keepLines w:val="0"/>
              <w:widowControl/>
              <w:suppressLineNumbers w:val="0"/>
              <w:spacing w:before="0" w:beforeAutospacing="0" w:afterAutospacing="0"/>
              <w:ind w:right="0"/>
              <w:rPr>
                <w:rFonts w:hint="default"/>
              </w:rPr>
            </w:pPr>
            <w:r>
              <w:rPr>
                <w:rFonts w:hint="default"/>
              </w:rPr>
              <w:t>140.4 ± 1.2</w:t>
            </w:r>
          </w:p>
        </w:tc>
        <w:tc>
          <w:tcPr>
            <w:tcW w:w="457" w:type="pct"/>
            <w:noWrap/>
            <w:tcMar>
              <w:left w:w="0" w:type="dxa"/>
              <w:right w:w="0" w:type="dxa"/>
            </w:tcMar>
            <w:vAlign w:val="center"/>
          </w:tcPr>
          <w:p w14:paraId="098FB861">
            <w:pPr>
              <w:pStyle w:val="55"/>
              <w:keepNext w:val="0"/>
              <w:keepLines w:val="0"/>
              <w:widowControl/>
              <w:suppressLineNumbers w:val="0"/>
              <w:spacing w:before="0" w:beforeAutospacing="0" w:afterAutospacing="0"/>
              <w:ind w:right="0"/>
              <w:rPr>
                <w:rFonts w:hint="default"/>
              </w:rPr>
            </w:pPr>
            <w:r>
              <w:rPr>
                <w:rFonts w:hint="default"/>
              </w:rPr>
              <w:t>247 ± 5</w:t>
            </w:r>
          </w:p>
        </w:tc>
      </w:tr>
      <w:tr w14:paraId="5EF89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84" w:type="pct"/>
            <w:noWrap/>
            <w:tcMar>
              <w:left w:w="0" w:type="dxa"/>
              <w:right w:w="0" w:type="dxa"/>
            </w:tcMar>
            <w:vAlign w:val="center"/>
          </w:tcPr>
          <w:p w14:paraId="6E93A97B">
            <w:pPr>
              <w:pStyle w:val="55"/>
              <w:keepNext w:val="0"/>
              <w:keepLines w:val="0"/>
              <w:widowControl/>
              <w:suppressLineNumbers w:val="0"/>
              <w:spacing w:before="0" w:beforeAutospacing="0" w:afterAutospacing="0"/>
              <w:ind w:right="0"/>
              <w:rPr>
                <w:rFonts w:hint="default"/>
              </w:rPr>
            </w:pPr>
            <w:r>
              <w:rPr>
                <w:rFonts w:hint="default"/>
              </w:rPr>
              <w:t>BF9-F1</w:t>
            </w:r>
          </w:p>
        </w:tc>
        <w:tc>
          <w:tcPr>
            <w:tcW w:w="241" w:type="pct"/>
            <w:noWrap/>
            <w:tcMar>
              <w:left w:w="0" w:type="dxa"/>
              <w:right w:w="0" w:type="dxa"/>
            </w:tcMar>
            <w:vAlign w:val="center"/>
          </w:tcPr>
          <w:p w14:paraId="59125E95">
            <w:pPr>
              <w:pStyle w:val="55"/>
              <w:keepNext w:val="0"/>
              <w:keepLines w:val="0"/>
              <w:widowControl/>
              <w:suppressLineNumbers w:val="0"/>
              <w:spacing w:before="0" w:beforeAutospacing="0" w:afterAutospacing="0"/>
              <w:ind w:right="0"/>
              <w:rPr>
                <w:rFonts w:hint="default"/>
              </w:rPr>
            </w:pPr>
            <w:r>
              <w:rPr>
                <w:rFonts w:hint="default"/>
              </w:rPr>
              <w:t>9</w:t>
            </w:r>
          </w:p>
        </w:tc>
        <w:tc>
          <w:tcPr>
            <w:tcW w:w="720" w:type="pct"/>
            <w:noWrap/>
            <w:tcMar>
              <w:left w:w="0" w:type="dxa"/>
              <w:right w:w="0" w:type="dxa"/>
            </w:tcMar>
          </w:tcPr>
          <w:p w14:paraId="5E4E226A">
            <w:pPr>
              <w:pStyle w:val="55"/>
              <w:keepNext w:val="0"/>
              <w:keepLines w:val="0"/>
              <w:widowControl/>
              <w:suppressLineNumbers w:val="0"/>
              <w:spacing w:before="0" w:beforeAutospacing="0" w:afterAutospacing="0"/>
              <w:ind w:right="0"/>
              <w:rPr>
                <w:rFonts w:hint="default"/>
              </w:rPr>
            </w:pPr>
            <w:r>
              <w:rPr>
                <w:rFonts w:hint="default"/>
              </w:rPr>
              <w:t>flowstone</w:t>
            </w:r>
          </w:p>
        </w:tc>
        <w:tc>
          <w:tcPr>
            <w:tcW w:w="418" w:type="pct"/>
            <w:noWrap/>
            <w:tcMar>
              <w:left w:w="0" w:type="dxa"/>
              <w:right w:w="0" w:type="dxa"/>
            </w:tcMar>
            <w:vAlign w:val="center"/>
          </w:tcPr>
          <w:p w14:paraId="7C5533F6">
            <w:pPr>
              <w:pStyle w:val="55"/>
              <w:keepNext w:val="0"/>
              <w:keepLines w:val="0"/>
              <w:widowControl/>
              <w:suppressLineNumbers w:val="0"/>
              <w:spacing w:before="0" w:beforeAutospacing="0" w:afterAutospacing="0"/>
              <w:ind w:right="0"/>
              <w:rPr>
                <w:rFonts w:hint="default"/>
              </w:rPr>
            </w:pPr>
            <w:r>
              <w:rPr>
                <w:rFonts w:hint="default"/>
              </w:rPr>
              <w:t>70.47 ± 0.02</w:t>
            </w:r>
          </w:p>
        </w:tc>
        <w:tc>
          <w:tcPr>
            <w:tcW w:w="506" w:type="pct"/>
            <w:noWrap/>
            <w:tcMar>
              <w:left w:w="0" w:type="dxa"/>
              <w:right w:w="0" w:type="dxa"/>
            </w:tcMar>
            <w:vAlign w:val="center"/>
          </w:tcPr>
          <w:p w14:paraId="3E00804B">
            <w:pPr>
              <w:pStyle w:val="55"/>
              <w:keepNext w:val="0"/>
              <w:keepLines w:val="0"/>
              <w:widowControl/>
              <w:suppressLineNumbers w:val="0"/>
              <w:spacing w:before="0" w:beforeAutospacing="0" w:afterAutospacing="0"/>
              <w:ind w:right="0"/>
              <w:rPr>
                <w:rFonts w:hint="default"/>
              </w:rPr>
            </w:pPr>
            <w:r>
              <w:rPr>
                <w:rFonts w:hint="default"/>
              </w:rPr>
              <w:t>1.77 ± 0.01</w:t>
            </w:r>
          </w:p>
        </w:tc>
        <w:tc>
          <w:tcPr>
            <w:tcW w:w="438" w:type="pct"/>
            <w:noWrap/>
            <w:tcMar>
              <w:left w:w="0" w:type="dxa"/>
              <w:right w:w="0" w:type="dxa"/>
            </w:tcMar>
            <w:vAlign w:val="center"/>
          </w:tcPr>
          <w:p w14:paraId="28F04FBA">
            <w:pPr>
              <w:pStyle w:val="55"/>
              <w:keepNext w:val="0"/>
              <w:keepLines w:val="0"/>
              <w:widowControl/>
              <w:suppressLineNumbers w:val="0"/>
              <w:spacing w:before="0" w:beforeAutospacing="0" w:afterAutospacing="0"/>
              <w:ind w:right="0"/>
              <w:rPr>
                <w:rFonts w:hint="default"/>
              </w:rPr>
            </w:pPr>
            <w:r>
              <w:rPr>
                <w:rFonts w:hint="default"/>
              </w:rPr>
              <w:t>1.193 ± 0.001</w:t>
            </w:r>
          </w:p>
        </w:tc>
        <w:tc>
          <w:tcPr>
            <w:tcW w:w="536" w:type="pct"/>
            <w:noWrap/>
            <w:tcMar>
              <w:left w:w="0" w:type="dxa"/>
              <w:right w:w="0" w:type="dxa"/>
            </w:tcMar>
            <w:vAlign w:val="center"/>
          </w:tcPr>
          <w:p w14:paraId="2EACA156">
            <w:pPr>
              <w:pStyle w:val="55"/>
              <w:keepNext w:val="0"/>
              <w:keepLines w:val="0"/>
              <w:widowControl/>
              <w:suppressLineNumbers w:val="0"/>
              <w:spacing w:before="0" w:beforeAutospacing="0" w:afterAutospacing="0"/>
              <w:ind w:right="0"/>
              <w:rPr>
                <w:rFonts w:hint="default"/>
              </w:rPr>
            </w:pPr>
            <w:r>
              <w:rPr>
                <w:rFonts w:hint="default"/>
              </w:rPr>
              <w:t>0.941 ± 0.002</w:t>
            </w:r>
          </w:p>
        </w:tc>
        <w:tc>
          <w:tcPr>
            <w:tcW w:w="416" w:type="pct"/>
            <w:noWrap/>
            <w:tcMar>
              <w:left w:w="0" w:type="dxa"/>
              <w:right w:w="0" w:type="dxa"/>
            </w:tcMar>
            <w:vAlign w:val="center"/>
          </w:tcPr>
          <w:p w14:paraId="5EDC6E3F">
            <w:pPr>
              <w:pStyle w:val="55"/>
              <w:keepNext w:val="0"/>
              <w:keepLines w:val="0"/>
              <w:widowControl/>
              <w:suppressLineNumbers w:val="0"/>
              <w:spacing w:before="0" w:beforeAutospacing="0" w:afterAutospacing="0"/>
              <w:ind w:right="0"/>
              <w:rPr>
                <w:rFonts w:hint="default"/>
              </w:rPr>
            </w:pPr>
            <w:r>
              <w:rPr>
                <w:rFonts w:hint="default"/>
              </w:rPr>
              <w:t>114 ± 1</w:t>
            </w:r>
          </w:p>
        </w:tc>
        <w:tc>
          <w:tcPr>
            <w:tcW w:w="416" w:type="pct"/>
            <w:noWrap/>
            <w:tcMar>
              <w:left w:w="0" w:type="dxa"/>
              <w:right w:w="0" w:type="dxa"/>
            </w:tcMar>
            <w:vAlign w:val="center"/>
          </w:tcPr>
          <w:p w14:paraId="42A32FC2">
            <w:pPr>
              <w:pStyle w:val="55"/>
              <w:keepNext w:val="0"/>
              <w:keepLines w:val="0"/>
              <w:widowControl/>
              <w:suppressLineNumbers w:val="0"/>
              <w:spacing w:before="0" w:beforeAutospacing="0" w:afterAutospacing="0"/>
              <w:ind w:right="0"/>
              <w:rPr>
                <w:rFonts w:hint="default"/>
              </w:rPr>
            </w:pPr>
            <w:r>
              <w:rPr>
                <w:rFonts w:hint="default"/>
              </w:rPr>
              <w:t>157.7 ± 0.6</w:t>
            </w:r>
          </w:p>
        </w:tc>
        <w:tc>
          <w:tcPr>
            <w:tcW w:w="569" w:type="pct"/>
            <w:vAlign w:val="center"/>
          </w:tcPr>
          <w:p w14:paraId="068FA7A5">
            <w:pPr>
              <w:pStyle w:val="55"/>
              <w:keepNext w:val="0"/>
              <w:keepLines w:val="0"/>
              <w:widowControl/>
              <w:suppressLineNumbers w:val="0"/>
              <w:spacing w:before="0" w:beforeAutospacing="0" w:afterAutospacing="0"/>
              <w:ind w:right="0"/>
              <w:rPr>
                <w:rFonts w:hint="default"/>
              </w:rPr>
            </w:pPr>
            <w:r>
              <w:rPr>
                <w:rFonts w:hint="default"/>
              </w:rPr>
              <w:t>157.1 ± 0.7</w:t>
            </w:r>
          </w:p>
        </w:tc>
        <w:tc>
          <w:tcPr>
            <w:tcW w:w="457" w:type="pct"/>
            <w:noWrap/>
            <w:tcMar>
              <w:left w:w="0" w:type="dxa"/>
              <w:right w:w="0" w:type="dxa"/>
            </w:tcMar>
            <w:vAlign w:val="center"/>
          </w:tcPr>
          <w:p w14:paraId="1FB18640">
            <w:pPr>
              <w:pStyle w:val="55"/>
              <w:keepNext w:val="0"/>
              <w:keepLines w:val="0"/>
              <w:widowControl/>
              <w:suppressLineNumbers w:val="0"/>
              <w:spacing w:before="0" w:beforeAutospacing="0" w:afterAutospacing="0"/>
              <w:ind w:right="0"/>
              <w:rPr>
                <w:rFonts w:hint="default"/>
              </w:rPr>
            </w:pPr>
            <w:r>
              <w:rPr>
                <w:rFonts w:hint="default"/>
              </w:rPr>
              <w:t>301 ± 2</w:t>
            </w:r>
          </w:p>
        </w:tc>
      </w:tr>
      <w:tr w14:paraId="05E06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84" w:type="pct"/>
            <w:noWrap/>
            <w:tcMar>
              <w:left w:w="0" w:type="dxa"/>
              <w:right w:w="0" w:type="dxa"/>
            </w:tcMar>
            <w:vAlign w:val="center"/>
          </w:tcPr>
          <w:p w14:paraId="5677E457">
            <w:pPr>
              <w:pStyle w:val="55"/>
              <w:keepNext w:val="0"/>
              <w:keepLines w:val="0"/>
              <w:widowControl/>
              <w:suppressLineNumbers w:val="0"/>
              <w:spacing w:before="0" w:beforeAutospacing="0" w:afterAutospacing="0"/>
              <w:ind w:right="0"/>
              <w:rPr>
                <w:rFonts w:hint="default"/>
              </w:rPr>
            </w:pPr>
            <w:r>
              <w:rPr>
                <w:rFonts w:hint="default"/>
              </w:rPr>
              <w:t>BF9-F2</w:t>
            </w:r>
          </w:p>
        </w:tc>
        <w:tc>
          <w:tcPr>
            <w:tcW w:w="241" w:type="pct"/>
            <w:noWrap/>
            <w:tcMar>
              <w:left w:w="0" w:type="dxa"/>
              <w:right w:w="0" w:type="dxa"/>
            </w:tcMar>
            <w:vAlign w:val="center"/>
          </w:tcPr>
          <w:p w14:paraId="11EE8B5D">
            <w:pPr>
              <w:pStyle w:val="55"/>
              <w:keepNext w:val="0"/>
              <w:keepLines w:val="0"/>
              <w:widowControl/>
              <w:suppressLineNumbers w:val="0"/>
              <w:spacing w:before="0" w:beforeAutospacing="0" w:afterAutospacing="0"/>
              <w:ind w:right="0"/>
              <w:rPr>
                <w:rFonts w:hint="default"/>
              </w:rPr>
            </w:pPr>
            <w:r>
              <w:rPr>
                <w:rFonts w:hint="default"/>
              </w:rPr>
              <w:t>9</w:t>
            </w:r>
          </w:p>
        </w:tc>
        <w:tc>
          <w:tcPr>
            <w:tcW w:w="720" w:type="pct"/>
            <w:noWrap/>
            <w:tcMar>
              <w:left w:w="0" w:type="dxa"/>
              <w:right w:w="0" w:type="dxa"/>
            </w:tcMar>
          </w:tcPr>
          <w:p w14:paraId="2CDFF238">
            <w:pPr>
              <w:pStyle w:val="55"/>
              <w:keepNext w:val="0"/>
              <w:keepLines w:val="0"/>
              <w:widowControl/>
              <w:suppressLineNumbers w:val="0"/>
              <w:spacing w:before="0" w:beforeAutospacing="0" w:afterAutospacing="0"/>
              <w:ind w:right="0"/>
              <w:rPr>
                <w:rFonts w:hint="default"/>
              </w:rPr>
            </w:pPr>
            <w:r>
              <w:rPr>
                <w:rFonts w:hint="default"/>
              </w:rPr>
              <w:t>flowstone</w:t>
            </w:r>
          </w:p>
        </w:tc>
        <w:tc>
          <w:tcPr>
            <w:tcW w:w="418" w:type="pct"/>
            <w:noWrap/>
            <w:tcMar>
              <w:left w:w="0" w:type="dxa"/>
              <w:right w:w="0" w:type="dxa"/>
            </w:tcMar>
            <w:vAlign w:val="center"/>
          </w:tcPr>
          <w:p w14:paraId="5F245772">
            <w:pPr>
              <w:pStyle w:val="55"/>
              <w:keepNext w:val="0"/>
              <w:keepLines w:val="0"/>
              <w:widowControl/>
              <w:suppressLineNumbers w:val="0"/>
              <w:spacing w:before="0" w:beforeAutospacing="0" w:afterAutospacing="0"/>
              <w:ind w:right="0"/>
              <w:rPr>
                <w:rFonts w:hint="default"/>
              </w:rPr>
            </w:pPr>
            <w:r>
              <w:rPr>
                <w:rFonts w:hint="default"/>
              </w:rPr>
              <w:t>70.40 ± 0.02</w:t>
            </w:r>
          </w:p>
        </w:tc>
        <w:tc>
          <w:tcPr>
            <w:tcW w:w="506" w:type="pct"/>
            <w:noWrap/>
            <w:tcMar>
              <w:left w:w="0" w:type="dxa"/>
              <w:right w:w="0" w:type="dxa"/>
            </w:tcMar>
            <w:vAlign w:val="center"/>
          </w:tcPr>
          <w:p w14:paraId="2725A8FE">
            <w:pPr>
              <w:pStyle w:val="55"/>
              <w:keepNext w:val="0"/>
              <w:keepLines w:val="0"/>
              <w:widowControl/>
              <w:suppressLineNumbers w:val="0"/>
              <w:spacing w:before="0" w:beforeAutospacing="0" w:afterAutospacing="0"/>
              <w:ind w:right="0"/>
              <w:rPr>
                <w:rFonts w:hint="default"/>
              </w:rPr>
            </w:pPr>
            <w:r>
              <w:rPr>
                <w:rFonts w:hint="default"/>
              </w:rPr>
              <w:t>3.87 ± 0.02</w:t>
            </w:r>
          </w:p>
        </w:tc>
        <w:tc>
          <w:tcPr>
            <w:tcW w:w="438" w:type="pct"/>
            <w:noWrap/>
            <w:tcMar>
              <w:left w:w="0" w:type="dxa"/>
              <w:right w:w="0" w:type="dxa"/>
            </w:tcMar>
            <w:vAlign w:val="center"/>
          </w:tcPr>
          <w:p w14:paraId="6E2DC24F">
            <w:pPr>
              <w:pStyle w:val="55"/>
              <w:keepNext w:val="0"/>
              <w:keepLines w:val="0"/>
              <w:widowControl/>
              <w:suppressLineNumbers w:val="0"/>
              <w:spacing w:before="0" w:beforeAutospacing="0" w:afterAutospacing="0"/>
              <w:ind w:right="0"/>
              <w:rPr>
                <w:rFonts w:hint="default"/>
              </w:rPr>
            </w:pPr>
            <w:r>
              <w:rPr>
                <w:rFonts w:hint="default"/>
              </w:rPr>
              <w:t>1.193 ± 0.001</w:t>
            </w:r>
          </w:p>
        </w:tc>
        <w:tc>
          <w:tcPr>
            <w:tcW w:w="536" w:type="pct"/>
            <w:noWrap/>
            <w:tcMar>
              <w:left w:w="0" w:type="dxa"/>
              <w:right w:w="0" w:type="dxa"/>
            </w:tcMar>
            <w:vAlign w:val="center"/>
          </w:tcPr>
          <w:p w14:paraId="646A974C">
            <w:pPr>
              <w:pStyle w:val="55"/>
              <w:keepNext w:val="0"/>
              <w:keepLines w:val="0"/>
              <w:widowControl/>
              <w:suppressLineNumbers w:val="0"/>
              <w:spacing w:before="0" w:beforeAutospacing="0" w:afterAutospacing="0"/>
              <w:ind w:right="0"/>
              <w:rPr>
                <w:rFonts w:hint="default"/>
              </w:rPr>
            </w:pPr>
            <w:r>
              <w:rPr>
                <w:rFonts w:hint="default"/>
              </w:rPr>
              <w:t>0.958 ± 0.002</w:t>
            </w:r>
          </w:p>
        </w:tc>
        <w:tc>
          <w:tcPr>
            <w:tcW w:w="416" w:type="pct"/>
            <w:noWrap/>
            <w:tcMar>
              <w:left w:w="0" w:type="dxa"/>
              <w:right w:w="0" w:type="dxa"/>
            </w:tcMar>
            <w:vAlign w:val="center"/>
          </w:tcPr>
          <w:p w14:paraId="65822D97">
            <w:pPr>
              <w:pStyle w:val="55"/>
              <w:keepNext w:val="0"/>
              <w:keepLines w:val="0"/>
              <w:widowControl/>
              <w:suppressLineNumbers w:val="0"/>
              <w:spacing w:before="0" w:beforeAutospacing="0" w:afterAutospacing="0"/>
              <w:ind w:right="0"/>
              <w:rPr>
                <w:rFonts w:hint="default"/>
              </w:rPr>
            </w:pPr>
            <w:r>
              <w:rPr>
                <w:rFonts w:hint="default"/>
              </w:rPr>
              <w:t>53.2 ± 0.3</w:t>
            </w:r>
          </w:p>
        </w:tc>
        <w:tc>
          <w:tcPr>
            <w:tcW w:w="416" w:type="pct"/>
            <w:noWrap/>
            <w:tcMar>
              <w:left w:w="0" w:type="dxa"/>
              <w:right w:w="0" w:type="dxa"/>
            </w:tcMar>
            <w:vAlign w:val="center"/>
          </w:tcPr>
          <w:p w14:paraId="592981FF">
            <w:pPr>
              <w:pStyle w:val="55"/>
              <w:keepNext w:val="0"/>
              <w:keepLines w:val="0"/>
              <w:widowControl/>
              <w:suppressLineNumbers w:val="0"/>
              <w:spacing w:before="0" w:beforeAutospacing="0" w:afterAutospacing="0"/>
              <w:ind w:right="0"/>
              <w:rPr>
                <w:rFonts w:hint="default"/>
              </w:rPr>
            </w:pPr>
            <w:r>
              <w:rPr>
                <w:rFonts w:hint="default"/>
              </w:rPr>
              <w:t>163.9 ± 0.7</w:t>
            </w:r>
          </w:p>
        </w:tc>
        <w:tc>
          <w:tcPr>
            <w:tcW w:w="569" w:type="pct"/>
            <w:vAlign w:val="center"/>
          </w:tcPr>
          <w:p w14:paraId="762CE83A">
            <w:pPr>
              <w:pStyle w:val="55"/>
              <w:keepNext w:val="0"/>
              <w:keepLines w:val="0"/>
              <w:widowControl/>
              <w:suppressLineNumbers w:val="0"/>
              <w:spacing w:before="0" w:beforeAutospacing="0" w:afterAutospacing="0"/>
              <w:ind w:right="0"/>
              <w:rPr>
                <w:rFonts w:hint="default"/>
              </w:rPr>
            </w:pPr>
            <w:r>
              <w:rPr>
                <w:rFonts w:hint="default"/>
              </w:rPr>
              <w:t>162.7 ± 1.0</w:t>
            </w:r>
          </w:p>
        </w:tc>
        <w:tc>
          <w:tcPr>
            <w:tcW w:w="457" w:type="pct"/>
            <w:noWrap/>
            <w:tcMar>
              <w:left w:w="0" w:type="dxa"/>
              <w:right w:w="0" w:type="dxa"/>
            </w:tcMar>
            <w:vAlign w:val="center"/>
          </w:tcPr>
          <w:p w14:paraId="5483ACCF">
            <w:pPr>
              <w:pStyle w:val="55"/>
              <w:keepNext w:val="0"/>
              <w:keepLines w:val="0"/>
              <w:widowControl/>
              <w:suppressLineNumbers w:val="0"/>
              <w:spacing w:before="0" w:beforeAutospacing="0" w:afterAutospacing="0"/>
              <w:ind w:right="0"/>
              <w:rPr>
                <w:rFonts w:hint="default"/>
              </w:rPr>
            </w:pPr>
            <w:r>
              <w:rPr>
                <w:rFonts w:hint="default"/>
              </w:rPr>
              <w:t>305 ± 2</w:t>
            </w:r>
          </w:p>
        </w:tc>
      </w:tr>
      <w:tr w14:paraId="1FA60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84" w:type="pct"/>
            <w:noWrap/>
            <w:tcMar>
              <w:left w:w="0" w:type="dxa"/>
              <w:right w:w="0" w:type="dxa"/>
            </w:tcMar>
            <w:vAlign w:val="center"/>
          </w:tcPr>
          <w:p w14:paraId="2D099CB0">
            <w:pPr>
              <w:pStyle w:val="55"/>
              <w:keepNext w:val="0"/>
              <w:keepLines w:val="0"/>
              <w:widowControl/>
              <w:suppressLineNumbers w:val="0"/>
              <w:spacing w:before="0" w:beforeAutospacing="0" w:afterAutospacing="0"/>
              <w:ind w:right="0"/>
              <w:rPr>
                <w:rFonts w:hint="default"/>
              </w:rPr>
            </w:pPr>
            <w:r>
              <w:rPr>
                <w:rFonts w:hint="default"/>
              </w:rPr>
              <w:t>BF9-F4</w:t>
            </w:r>
          </w:p>
        </w:tc>
        <w:tc>
          <w:tcPr>
            <w:tcW w:w="241" w:type="pct"/>
            <w:noWrap/>
            <w:tcMar>
              <w:left w:w="0" w:type="dxa"/>
              <w:right w:w="0" w:type="dxa"/>
            </w:tcMar>
            <w:vAlign w:val="center"/>
          </w:tcPr>
          <w:p w14:paraId="666D2091">
            <w:pPr>
              <w:pStyle w:val="55"/>
              <w:keepNext w:val="0"/>
              <w:keepLines w:val="0"/>
              <w:widowControl/>
              <w:suppressLineNumbers w:val="0"/>
              <w:spacing w:before="0" w:beforeAutospacing="0" w:afterAutospacing="0"/>
              <w:ind w:right="0"/>
              <w:rPr>
                <w:rFonts w:hint="default"/>
              </w:rPr>
            </w:pPr>
            <w:r>
              <w:rPr>
                <w:rFonts w:hint="default"/>
              </w:rPr>
              <w:t>9</w:t>
            </w:r>
          </w:p>
        </w:tc>
        <w:tc>
          <w:tcPr>
            <w:tcW w:w="720" w:type="pct"/>
            <w:noWrap/>
            <w:tcMar>
              <w:left w:w="0" w:type="dxa"/>
              <w:right w:w="0" w:type="dxa"/>
            </w:tcMar>
          </w:tcPr>
          <w:p w14:paraId="15B2044F">
            <w:pPr>
              <w:pStyle w:val="55"/>
              <w:keepNext w:val="0"/>
              <w:keepLines w:val="0"/>
              <w:widowControl/>
              <w:suppressLineNumbers w:val="0"/>
              <w:spacing w:before="0" w:beforeAutospacing="0" w:afterAutospacing="0"/>
              <w:ind w:right="0"/>
              <w:rPr>
                <w:rFonts w:hint="default"/>
              </w:rPr>
            </w:pPr>
            <w:r>
              <w:rPr>
                <w:rFonts w:hint="default"/>
              </w:rPr>
              <w:t>flowstone</w:t>
            </w:r>
          </w:p>
        </w:tc>
        <w:tc>
          <w:tcPr>
            <w:tcW w:w="418" w:type="pct"/>
            <w:noWrap/>
            <w:tcMar>
              <w:left w:w="0" w:type="dxa"/>
              <w:right w:w="0" w:type="dxa"/>
            </w:tcMar>
            <w:vAlign w:val="center"/>
          </w:tcPr>
          <w:p w14:paraId="3453E9BF">
            <w:pPr>
              <w:pStyle w:val="55"/>
              <w:keepNext w:val="0"/>
              <w:keepLines w:val="0"/>
              <w:widowControl/>
              <w:suppressLineNumbers w:val="0"/>
              <w:spacing w:before="0" w:beforeAutospacing="0" w:afterAutospacing="0"/>
              <w:ind w:right="0"/>
              <w:rPr>
                <w:rFonts w:hint="default"/>
              </w:rPr>
            </w:pPr>
            <w:r>
              <w:rPr>
                <w:rFonts w:hint="default"/>
              </w:rPr>
              <w:t>102.99 ± 0.03</w:t>
            </w:r>
          </w:p>
        </w:tc>
        <w:tc>
          <w:tcPr>
            <w:tcW w:w="506" w:type="pct"/>
            <w:noWrap/>
            <w:tcMar>
              <w:left w:w="0" w:type="dxa"/>
              <w:right w:w="0" w:type="dxa"/>
            </w:tcMar>
            <w:vAlign w:val="center"/>
          </w:tcPr>
          <w:p w14:paraId="5850444F">
            <w:pPr>
              <w:pStyle w:val="55"/>
              <w:keepNext w:val="0"/>
              <w:keepLines w:val="0"/>
              <w:widowControl/>
              <w:suppressLineNumbers w:val="0"/>
              <w:spacing w:before="0" w:beforeAutospacing="0" w:afterAutospacing="0"/>
              <w:ind w:right="0"/>
              <w:rPr>
                <w:rFonts w:hint="default"/>
              </w:rPr>
            </w:pPr>
            <w:r>
              <w:rPr>
                <w:rFonts w:hint="default"/>
              </w:rPr>
              <w:t>1.26 ± 0.01</w:t>
            </w:r>
          </w:p>
        </w:tc>
        <w:tc>
          <w:tcPr>
            <w:tcW w:w="438" w:type="pct"/>
            <w:noWrap/>
            <w:tcMar>
              <w:left w:w="0" w:type="dxa"/>
              <w:right w:w="0" w:type="dxa"/>
            </w:tcMar>
            <w:vAlign w:val="center"/>
          </w:tcPr>
          <w:p w14:paraId="603BA878">
            <w:pPr>
              <w:pStyle w:val="55"/>
              <w:keepNext w:val="0"/>
              <w:keepLines w:val="0"/>
              <w:widowControl/>
              <w:suppressLineNumbers w:val="0"/>
              <w:spacing w:before="0" w:beforeAutospacing="0" w:afterAutospacing="0"/>
              <w:ind w:right="0"/>
              <w:rPr>
                <w:rFonts w:hint="default"/>
              </w:rPr>
            </w:pPr>
            <w:r>
              <w:rPr>
                <w:rFonts w:hint="default"/>
              </w:rPr>
              <w:t>1.172 ± 0.001</w:t>
            </w:r>
          </w:p>
        </w:tc>
        <w:tc>
          <w:tcPr>
            <w:tcW w:w="536" w:type="pct"/>
            <w:noWrap/>
            <w:tcMar>
              <w:left w:w="0" w:type="dxa"/>
              <w:right w:w="0" w:type="dxa"/>
            </w:tcMar>
            <w:vAlign w:val="center"/>
          </w:tcPr>
          <w:p w14:paraId="3AC09410">
            <w:pPr>
              <w:pStyle w:val="55"/>
              <w:keepNext w:val="0"/>
              <w:keepLines w:val="0"/>
              <w:widowControl/>
              <w:suppressLineNumbers w:val="0"/>
              <w:spacing w:before="0" w:beforeAutospacing="0" w:afterAutospacing="0"/>
              <w:ind w:right="0"/>
              <w:rPr>
                <w:rFonts w:hint="default"/>
              </w:rPr>
            </w:pPr>
            <w:r>
              <w:rPr>
                <w:rFonts w:hint="default"/>
              </w:rPr>
              <w:t>0.930 ± 0.001</w:t>
            </w:r>
          </w:p>
        </w:tc>
        <w:tc>
          <w:tcPr>
            <w:tcW w:w="416" w:type="pct"/>
            <w:noWrap/>
            <w:tcMar>
              <w:left w:w="0" w:type="dxa"/>
              <w:right w:w="0" w:type="dxa"/>
            </w:tcMar>
            <w:vAlign w:val="center"/>
          </w:tcPr>
          <w:p w14:paraId="3E038732">
            <w:pPr>
              <w:pStyle w:val="55"/>
              <w:keepNext w:val="0"/>
              <w:keepLines w:val="0"/>
              <w:widowControl/>
              <w:suppressLineNumbers w:val="0"/>
              <w:spacing w:before="0" w:beforeAutospacing="0" w:afterAutospacing="0"/>
              <w:ind w:right="0"/>
              <w:rPr>
                <w:rFonts w:hint="default"/>
              </w:rPr>
            </w:pPr>
            <w:r>
              <w:rPr>
                <w:rFonts w:hint="default"/>
              </w:rPr>
              <w:t>232 ± 2</w:t>
            </w:r>
          </w:p>
        </w:tc>
        <w:tc>
          <w:tcPr>
            <w:tcW w:w="416" w:type="pct"/>
            <w:noWrap/>
            <w:tcMar>
              <w:left w:w="0" w:type="dxa"/>
              <w:right w:w="0" w:type="dxa"/>
            </w:tcMar>
            <w:vAlign w:val="center"/>
          </w:tcPr>
          <w:p w14:paraId="5BEF114A">
            <w:pPr>
              <w:pStyle w:val="55"/>
              <w:keepNext w:val="0"/>
              <w:keepLines w:val="0"/>
              <w:widowControl/>
              <w:suppressLineNumbers w:val="0"/>
              <w:spacing w:before="0" w:beforeAutospacing="0" w:afterAutospacing="0"/>
              <w:ind w:right="0"/>
              <w:rPr>
                <w:rFonts w:hint="default"/>
              </w:rPr>
            </w:pPr>
            <w:r>
              <w:rPr>
                <w:rFonts w:hint="default"/>
              </w:rPr>
              <w:t>160.8 ± 0.6</w:t>
            </w:r>
          </w:p>
        </w:tc>
        <w:tc>
          <w:tcPr>
            <w:tcW w:w="569" w:type="pct"/>
            <w:vAlign w:val="center"/>
          </w:tcPr>
          <w:p w14:paraId="4C3B8298">
            <w:pPr>
              <w:pStyle w:val="55"/>
              <w:keepNext w:val="0"/>
              <w:keepLines w:val="0"/>
              <w:widowControl/>
              <w:suppressLineNumbers w:val="0"/>
              <w:spacing w:before="0" w:beforeAutospacing="0" w:afterAutospacing="0"/>
              <w:ind w:right="0"/>
              <w:rPr>
                <w:rFonts w:hint="default"/>
              </w:rPr>
            </w:pPr>
            <w:r>
              <w:rPr>
                <w:rFonts w:hint="default"/>
              </w:rPr>
              <w:t>160.5 ± 0.6</w:t>
            </w:r>
          </w:p>
        </w:tc>
        <w:tc>
          <w:tcPr>
            <w:tcW w:w="457" w:type="pct"/>
            <w:noWrap/>
            <w:tcMar>
              <w:left w:w="0" w:type="dxa"/>
              <w:right w:w="0" w:type="dxa"/>
            </w:tcMar>
            <w:vAlign w:val="center"/>
          </w:tcPr>
          <w:p w14:paraId="770DA000">
            <w:pPr>
              <w:pStyle w:val="55"/>
              <w:keepNext w:val="0"/>
              <w:keepLines w:val="0"/>
              <w:widowControl/>
              <w:suppressLineNumbers w:val="0"/>
              <w:spacing w:before="0" w:beforeAutospacing="0" w:afterAutospacing="0"/>
              <w:ind w:right="0"/>
              <w:rPr>
                <w:rFonts w:hint="default"/>
              </w:rPr>
            </w:pPr>
            <w:r>
              <w:rPr>
                <w:rFonts w:hint="default"/>
              </w:rPr>
              <w:t>270 ± 2</w:t>
            </w:r>
          </w:p>
        </w:tc>
      </w:tr>
      <w:tr w14:paraId="54671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84" w:type="pct"/>
            <w:noWrap/>
            <w:tcMar>
              <w:left w:w="0" w:type="dxa"/>
              <w:right w:w="0" w:type="dxa"/>
            </w:tcMar>
            <w:vAlign w:val="center"/>
          </w:tcPr>
          <w:p w14:paraId="0B1A82DB">
            <w:pPr>
              <w:pStyle w:val="55"/>
              <w:keepNext w:val="0"/>
              <w:keepLines w:val="0"/>
              <w:widowControl/>
              <w:suppressLineNumbers w:val="0"/>
              <w:spacing w:before="0" w:beforeAutospacing="0" w:afterAutospacing="0"/>
              <w:ind w:right="0"/>
              <w:rPr>
                <w:rFonts w:hint="default"/>
              </w:rPr>
            </w:pPr>
            <w:r>
              <w:rPr>
                <w:rFonts w:hint="default"/>
              </w:rPr>
              <w:t>BF11-F1</w:t>
            </w:r>
          </w:p>
        </w:tc>
        <w:tc>
          <w:tcPr>
            <w:tcW w:w="241" w:type="pct"/>
            <w:noWrap/>
            <w:tcMar>
              <w:left w:w="0" w:type="dxa"/>
              <w:right w:w="0" w:type="dxa"/>
            </w:tcMar>
            <w:vAlign w:val="center"/>
          </w:tcPr>
          <w:p w14:paraId="435C5860">
            <w:pPr>
              <w:pStyle w:val="55"/>
              <w:keepNext w:val="0"/>
              <w:keepLines w:val="0"/>
              <w:widowControl/>
              <w:suppressLineNumbers w:val="0"/>
              <w:spacing w:before="0" w:beforeAutospacing="0" w:afterAutospacing="0"/>
              <w:ind w:right="0"/>
              <w:rPr>
                <w:rFonts w:hint="default"/>
              </w:rPr>
            </w:pPr>
            <w:r>
              <w:rPr>
                <w:rFonts w:hint="default"/>
              </w:rPr>
              <w:t>11</w:t>
            </w:r>
          </w:p>
        </w:tc>
        <w:tc>
          <w:tcPr>
            <w:tcW w:w="720" w:type="pct"/>
            <w:noWrap/>
            <w:tcMar>
              <w:left w:w="0" w:type="dxa"/>
              <w:right w:w="0" w:type="dxa"/>
            </w:tcMar>
          </w:tcPr>
          <w:p w14:paraId="0FFE0AA5">
            <w:pPr>
              <w:pStyle w:val="55"/>
              <w:keepNext w:val="0"/>
              <w:keepLines w:val="0"/>
              <w:widowControl/>
              <w:suppressLineNumbers w:val="0"/>
              <w:spacing w:before="0" w:beforeAutospacing="0" w:afterAutospacing="0"/>
              <w:ind w:right="0"/>
              <w:rPr>
                <w:rFonts w:hint="default"/>
              </w:rPr>
            </w:pPr>
            <w:r>
              <w:rPr>
                <w:rFonts w:hint="default"/>
              </w:rPr>
              <w:t>flowstone</w:t>
            </w:r>
          </w:p>
        </w:tc>
        <w:tc>
          <w:tcPr>
            <w:tcW w:w="418" w:type="pct"/>
            <w:noWrap/>
            <w:tcMar>
              <w:left w:w="0" w:type="dxa"/>
              <w:right w:w="0" w:type="dxa"/>
            </w:tcMar>
            <w:vAlign w:val="center"/>
          </w:tcPr>
          <w:p w14:paraId="248D7299">
            <w:pPr>
              <w:pStyle w:val="55"/>
              <w:keepNext w:val="0"/>
              <w:keepLines w:val="0"/>
              <w:widowControl/>
              <w:suppressLineNumbers w:val="0"/>
              <w:spacing w:before="0" w:beforeAutospacing="0" w:afterAutospacing="0"/>
              <w:ind w:right="0"/>
              <w:rPr>
                <w:rFonts w:hint="default"/>
              </w:rPr>
            </w:pPr>
            <w:r>
              <w:rPr>
                <w:rFonts w:hint="default"/>
              </w:rPr>
              <w:t>87.28 ± 0.04</w:t>
            </w:r>
          </w:p>
        </w:tc>
        <w:tc>
          <w:tcPr>
            <w:tcW w:w="506" w:type="pct"/>
            <w:noWrap/>
            <w:tcMar>
              <w:left w:w="0" w:type="dxa"/>
              <w:right w:w="0" w:type="dxa"/>
            </w:tcMar>
            <w:vAlign w:val="center"/>
          </w:tcPr>
          <w:p w14:paraId="41B14865">
            <w:pPr>
              <w:pStyle w:val="55"/>
              <w:keepNext w:val="0"/>
              <w:keepLines w:val="0"/>
              <w:widowControl/>
              <w:suppressLineNumbers w:val="0"/>
              <w:spacing w:before="0" w:beforeAutospacing="0" w:afterAutospacing="0"/>
              <w:ind w:right="0"/>
              <w:rPr>
                <w:rFonts w:hint="default"/>
              </w:rPr>
            </w:pPr>
            <w:r>
              <w:rPr>
                <w:rFonts w:hint="default"/>
              </w:rPr>
              <w:t>4.97 ± 0.03</w:t>
            </w:r>
          </w:p>
        </w:tc>
        <w:tc>
          <w:tcPr>
            <w:tcW w:w="438" w:type="pct"/>
            <w:noWrap/>
            <w:tcMar>
              <w:left w:w="0" w:type="dxa"/>
              <w:right w:w="0" w:type="dxa"/>
            </w:tcMar>
            <w:vAlign w:val="center"/>
          </w:tcPr>
          <w:p w14:paraId="69E26B48">
            <w:pPr>
              <w:pStyle w:val="55"/>
              <w:keepNext w:val="0"/>
              <w:keepLines w:val="0"/>
              <w:widowControl/>
              <w:suppressLineNumbers w:val="0"/>
              <w:spacing w:before="0" w:beforeAutospacing="0" w:afterAutospacing="0"/>
              <w:ind w:right="0"/>
              <w:rPr>
                <w:rFonts w:hint="default"/>
              </w:rPr>
            </w:pPr>
            <w:r>
              <w:rPr>
                <w:rFonts w:hint="default"/>
              </w:rPr>
              <w:t>1.137 ± 0.002</w:t>
            </w:r>
          </w:p>
        </w:tc>
        <w:tc>
          <w:tcPr>
            <w:tcW w:w="536" w:type="pct"/>
            <w:noWrap/>
            <w:tcMar>
              <w:left w:w="0" w:type="dxa"/>
              <w:right w:w="0" w:type="dxa"/>
            </w:tcMar>
            <w:vAlign w:val="center"/>
          </w:tcPr>
          <w:p w14:paraId="1500FD1C">
            <w:pPr>
              <w:pStyle w:val="55"/>
              <w:keepNext w:val="0"/>
              <w:keepLines w:val="0"/>
              <w:widowControl/>
              <w:suppressLineNumbers w:val="0"/>
              <w:spacing w:before="0" w:beforeAutospacing="0" w:afterAutospacing="0"/>
              <w:ind w:right="0"/>
              <w:rPr>
                <w:rFonts w:hint="default"/>
              </w:rPr>
            </w:pPr>
            <w:r>
              <w:rPr>
                <w:rFonts w:hint="default"/>
              </w:rPr>
              <w:t>0.957 ± 0.003</w:t>
            </w:r>
          </w:p>
        </w:tc>
        <w:tc>
          <w:tcPr>
            <w:tcW w:w="416" w:type="pct"/>
            <w:noWrap/>
            <w:tcMar>
              <w:left w:w="0" w:type="dxa"/>
              <w:right w:w="0" w:type="dxa"/>
            </w:tcMar>
            <w:vAlign w:val="center"/>
          </w:tcPr>
          <w:p w14:paraId="66CFD110">
            <w:pPr>
              <w:pStyle w:val="55"/>
              <w:keepNext w:val="0"/>
              <w:keepLines w:val="0"/>
              <w:widowControl/>
              <w:suppressLineNumbers w:val="0"/>
              <w:spacing w:before="0" w:beforeAutospacing="0" w:afterAutospacing="0"/>
              <w:ind w:right="0"/>
              <w:rPr>
                <w:rFonts w:hint="default"/>
              </w:rPr>
            </w:pPr>
            <w:r>
              <w:rPr>
                <w:rFonts w:hint="default"/>
              </w:rPr>
              <w:t>51.4 ± 0.3</w:t>
            </w:r>
          </w:p>
        </w:tc>
        <w:tc>
          <w:tcPr>
            <w:tcW w:w="416" w:type="pct"/>
            <w:noWrap/>
            <w:tcMar>
              <w:left w:w="0" w:type="dxa"/>
              <w:right w:w="0" w:type="dxa"/>
            </w:tcMar>
            <w:vAlign w:val="center"/>
          </w:tcPr>
          <w:p w14:paraId="7926C54B">
            <w:pPr>
              <w:pStyle w:val="55"/>
              <w:keepNext w:val="0"/>
              <w:keepLines w:val="0"/>
              <w:widowControl/>
              <w:suppressLineNumbers w:val="0"/>
              <w:spacing w:before="0" w:beforeAutospacing="0" w:afterAutospacing="0"/>
              <w:ind w:right="0"/>
              <w:rPr>
                <w:rFonts w:hint="default"/>
              </w:rPr>
            </w:pPr>
            <w:r>
              <w:rPr>
                <w:rFonts w:hint="default"/>
              </w:rPr>
              <w:t>186.7 ± 1.6</w:t>
            </w:r>
          </w:p>
        </w:tc>
        <w:tc>
          <w:tcPr>
            <w:tcW w:w="569" w:type="pct"/>
            <w:vAlign w:val="center"/>
          </w:tcPr>
          <w:p w14:paraId="6FCB1275">
            <w:pPr>
              <w:pStyle w:val="55"/>
              <w:keepNext w:val="0"/>
              <w:keepLines w:val="0"/>
              <w:widowControl/>
              <w:suppressLineNumbers w:val="0"/>
              <w:spacing w:before="0" w:beforeAutospacing="0" w:afterAutospacing="0"/>
              <w:ind w:right="0"/>
              <w:rPr>
                <w:rFonts w:hint="default"/>
              </w:rPr>
            </w:pPr>
            <w:r>
              <w:rPr>
                <w:rFonts w:hint="default"/>
              </w:rPr>
              <w:t>185.3 ± 1.7</w:t>
            </w:r>
          </w:p>
        </w:tc>
        <w:tc>
          <w:tcPr>
            <w:tcW w:w="457" w:type="pct"/>
            <w:noWrap/>
            <w:tcMar>
              <w:left w:w="0" w:type="dxa"/>
              <w:right w:w="0" w:type="dxa"/>
            </w:tcMar>
            <w:vAlign w:val="center"/>
          </w:tcPr>
          <w:p w14:paraId="2413C132">
            <w:pPr>
              <w:pStyle w:val="55"/>
              <w:keepNext w:val="0"/>
              <w:keepLines w:val="0"/>
              <w:widowControl/>
              <w:suppressLineNumbers w:val="0"/>
              <w:spacing w:before="0" w:beforeAutospacing="0" w:afterAutospacing="0"/>
              <w:ind w:right="0"/>
              <w:rPr>
                <w:rFonts w:hint="default"/>
              </w:rPr>
            </w:pPr>
            <w:r>
              <w:rPr>
                <w:rFonts w:hint="default"/>
              </w:rPr>
              <w:t>232 ± 4</w:t>
            </w:r>
          </w:p>
        </w:tc>
      </w:tr>
      <w:tr w14:paraId="53937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84" w:type="pct"/>
            <w:noWrap/>
            <w:tcMar>
              <w:left w:w="0" w:type="dxa"/>
              <w:right w:w="0" w:type="dxa"/>
            </w:tcMar>
            <w:vAlign w:val="center"/>
          </w:tcPr>
          <w:p w14:paraId="700471D8">
            <w:pPr>
              <w:pStyle w:val="55"/>
              <w:keepNext w:val="0"/>
              <w:keepLines w:val="0"/>
              <w:widowControl/>
              <w:suppressLineNumbers w:val="0"/>
              <w:spacing w:before="0" w:beforeAutospacing="0" w:afterAutospacing="0"/>
              <w:ind w:right="0"/>
              <w:rPr>
                <w:rFonts w:hint="default"/>
              </w:rPr>
            </w:pPr>
            <w:r>
              <w:rPr>
                <w:rFonts w:hint="default"/>
              </w:rPr>
              <w:t>BF11-F2</w:t>
            </w:r>
          </w:p>
        </w:tc>
        <w:tc>
          <w:tcPr>
            <w:tcW w:w="241" w:type="pct"/>
            <w:noWrap/>
            <w:tcMar>
              <w:left w:w="0" w:type="dxa"/>
              <w:right w:w="0" w:type="dxa"/>
            </w:tcMar>
            <w:vAlign w:val="center"/>
          </w:tcPr>
          <w:p w14:paraId="6CB64B5A">
            <w:pPr>
              <w:pStyle w:val="55"/>
              <w:keepNext w:val="0"/>
              <w:keepLines w:val="0"/>
              <w:widowControl/>
              <w:suppressLineNumbers w:val="0"/>
              <w:spacing w:before="0" w:beforeAutospacing="0" w:afterAutospacing="0"/>
              <w:ind w:right="0"/>
              <w:rPr>
                <w:rFonts w:hint="default"/>
              </w:rPr>
            </w:pPr>
            <w:r>
              <w:rPr>
                <w:rFonts w:hint="default"/>
              </w:rPr>
              <w:t>11</w:t>
            </w:r>
          </w:p>
        </w:tc>
        <w:tc>
          <w:tcPr>
            <w:tcW w:w="720" w:type="pct"/>
            <w:noWrap/>
            <w:tcMar>
              <w:left w:w="0" w:type="dxa"/>
              <w:right w:w="0" w:type="dxa"/>
            </w:tcMar>
          </w:tcPr>
          <w:p w14:paraId="27CD11C3">
            <w:pPr>
              <w:pStyle w:val="55"/>
              <w:keepNext w:val="0"/>
              <w:keepLines w:val="0"/>
              <w:widowControl/>
              <w:suppressLineNumbers w:val="0"/>
              <w:spacing w:before="0" w:beforeAutospacing="0" w:afterAutospacing="0"/>
              <w:ind w:right="0"/>
              <w:rPr>
                <w:rFonts w:hint="default"/>
              </w:rPr>
            </w:pPr>
            <w:r>
              <w:rPr>
                <w:rFonts w:hint="default"/>
              </w:rPr>
              <w:t>flowstone</w:t>
            </w:r>
          </w:p>
        </w:tc>
        <w:tc>
          <w:tcPr>
            <w:tcW w:w="418" w:type="pct"/>
            <w:noWrap/>
            <w:tcMar>
              <w:left w:w="0" w:type="dxa"/>
              <w:right w:w="0" w:type="dxa"/>
            </w:tcMar>
            <w:vAlign w:val="center"/>
          </w:tcPr>
          <w:p w14:paraId="33D37D38">
            <w:pPr>
              <w:pStyle w:val="55"/>
              <w:keepNext w:val="0"/>
              <w:keepLines w:val="0"/>
              <w:widowControl/>
              <w:suppressLineNumbers w:val="0"/>
              <w:spacing w:before="0" w:beforeAutospacing="0" w:afterAutospacing="0"/>
              <w:ind w:right="0"/>
              <w:rPr>
                <w:rFonts w:hint="default"/>
              </w:rPr>
            </w:pPr>
            <w:r>
              <w:rPr>
                <w:rFonts w:hint="default"/>
              </w:rPr>
              <w:t>102.46 ± 0.02</w:t>
            </w:r>
          </w:p>
        </w:tc>
        <w:tc>
          <w:tcPr>
            <w:tcW w:w="506" w:type="pct"/>
            <w:noWrap/>
            <w:tcMar>
              <w:left w:w="0" w:type="dxa"/>
              <w:right w:w="0" w:type="dxa"/>
            </w:tcMar>
            <w:vAlign w:val="center"/>
          </w:tcPr>
          <w:p w14:paraId="3EB4D9E2">
            <w:pPr>
              <w:pStyle w:val="55"/>
              <w:keepNext w:val="0"/>
              <w:keepLines w:val="0"/>
              <w:widowControl/>
              <w:suppressLineNumbers w:val="0"/>
              <w:spacing w:before="0" w:beforeAutospacing="0" w:afterAutospacing="0"/>
              <w:ind w:right="0"/>
              <w:rPr>
                <w:rFonts w:hint="default"/>
              </w:rPr>
            </w:pPr>
            <w:r>
              <w:rPr>
                <w:rFonts w:hint="default"/>
              </w:rPr>
              <w:t>2.10 ± 0.01</w:t>
            </w:r>
          </w:p>
        </w:tc>
        <w:tc>
          <w:tcPr>
            <w:tcW w:w="438" w:type="pct"/>
            <w:noWrap/>
            <w:tcMar>
              <w:left w:w="0" w:type="dxa"/>
              <w:right w:w="0" w:type="dxa"/>
            </w:tcMar>
            <w:vAlign w:val="center"/>
          </w:tcPr>
          <w:p w14:paraId="33DACAF0">
            <w:pPr>
              <w:pStyle w:val="55"/>
              <w:keepNext w:val="0"/>
              <w:keepLines w:val="0"/>
              <w:widowControl/>
              <w:suppressLineNumbers w:val="0"/>
              <w:spacing w:before="0" w:beforeAutospacing="0" w:afterAutospacing="0"/>
              <w:ind w:right="0"/>
              <w:rPr>
                <w:rFonts w:hint="default"/>
              </w:rPr>
            </w:pPr>
            <w:r>
              <w:rPr>
                <w:rFonts w:hint="default"/>
              </w:rPr>
              <w:t>1.150 ± 0.001</w:t>
            </w:r>
          </w:p>
        </w:tc>
        <w:tc>
          <w:tcPr>
            <w:tcW w:w="536" w:type="pct"/>
            <w:noWrap/>
            <w:tcMar>
              <w:left w:w="0" w:type="dxa"/>
              <w:right w:w="0" w:type="dxa"/>
            </w:tcMar>
            <w:vAlign w:val="center"/>
          </w:tcPr>
          <w:p w14:paraId="4626AA26">
            <w:pPr>
              <w:pStyle w:val="55"/>
              <w:keepNext w:val="0"/>
              <w:keepLines w:val="0"/>
              <w:widowControl/>
              <w:suppressLineNumbers w:val="0"/>
              <w:spacing w:before="0" w:beforeAutospacing="0" w:afterAutospacing="0"/>
              <w:ind w:right="0"/>
              <w:rPr>
                <w:rFonts w:hint="default"/>
              </w:rPr>
            </w:pPr>
            <w:r>
              <w:rPr>
                <w:rFonts w:hint="default"/>
              </w:rPr>
              <w:t>0.942 ± 0.002</w:t>
            </w:r>
          </w:p>
        </w:tc>
        <w:tc>
          <w:tcPr>
            <w:tcW w:w="416" w:type="pct"/>
            <w:noWrap/>
            <w:tcMar>
              <w:left w:w="0" w:type="dxa"/>
              <w:right w:w="0" w:type="dxa"/>
            </w:tcMar>
            <w:vAlign w:val="center"/>
          </w:tcPr>
          <w:p w14:paraId="39C25C11">
            <w:pPr>
              <w:pStyle w:val="55"/>
              <w:keepNext w:val="0"/>
              <w:keepLines w:val="0"/>
              <w:widowControl/>
              <w:suppressLineNumbers w:val="0"/>
              <w:spacing w:before="0" w:beforeAutospacing="0" w:afterAutospacing="0"/>
              <w:ind w:right="0"/>
              <w:rPr>
                <w:rFonts w:hint="default"/>
              </w:rPr>
            </w:pPr>
            <w:r>
              <w:rPr>
                <w:rFonts w:hint="default"/>
              </w:rPr>
              <w:t>140.2 ± 0.9</w:t>
            </w:r>
          </w:p>
        </w:tc>
        <w:tc>
          <w:tcPr>
            <w:tcW w:w="416" w:type="pct"/>
            <w:noWrap/>
            <w:tcMar>
              <w:left w:w="0" w:type="dxa"/>
              <w:right w:w="0" w:type="dxa"/>
            </w:tcMar>
            <w:vAlign w:val="center"/>
          </w:tcPr>
          <w:p w14:paraId="732C239E">
            <w:pPr>
              <w:pStyle w:val="55"/>
              <w:keepNext w:val="0"/>
              <w:keepLines w:val="0"/>
              <w:widowControl/>
              <w:suppressLineNumbers w:val="0"/>
              <w:spacing w:before="0" w:beforeAutospacing="0" w:afterAutospacing="0"/>
              <w:ind w:right="0"/>
              <w:rPr>
                <w:rFonts w:hint="default"/>
              </w:rPr>
            </w:pPr>
            <w:r>
              <w:rPr>
                <w:rFonts w:hint="default"/>
              </w:rPr>
              <w:t>173.8 ± 0.9</w:t>
            </w:r>
          </w:p>
        </w:tc>
        <w:tc>
          <w:tcPr>
            <w:tcW w:w="569" w:type="pct"/>
            <w:vAlign w:val="center"/>
          </w:tcPr>
          <w:p w14:paraId="79A15CD2">
            <w:pPr>
              <w:pStyle w:val="55"/>
              <w:keepNext w:val="0"/>
              <w:keepLines w:val="0"/>
              <w:widowControl/>
              <w:suppressLineNumbers w:val="0"/>
              <w:spacing w:before="0" w:beforeAutospacing="0" w:afterAutospacing="0"/>
              <w:ind w:right="0"/>
              <w:rPr>
                <w:rFonts w:hint="default"/>
              </w:rPr>
            </w:pPr>
            <w:r>
              <w:rPr>
                <w:rFonts w:hint="default"/>
              </w:rPr>
              <w:t>173.4 ± 1.0</w:t>
            </w:r>
          </w:p>
        </w:tc>
        <w:tc>
          <w:tcPr>
            <w:tcW w:w="457" w:type="pct"/>
            <w:noWrap/>
            <w:tcMar>
              <w:left w:w="0" w:type="dxa"/>
              <w:right w:w="0" w:type="dxa"/>
            </w:tcMar>
            <w:vAlign w:val="center"/>
          </w:tcPr>
          <w:p w14:paraId="19CE2AF3">
            <w:pPr>
              <w:pStyle w:val="55"/>
              <w:keepNext w:val="0"/>
              <w:keepLines w:val="0"/>
              <w:widowControl/>
              <w:suppressLineNumbers w:val="0"/>
              <w:spacing w:before="0" w:beforeAutospacing="0" w:afterAutospacing="0"/>
              <w:ind w:right="0"/>
              <w:rPr>
                <w:rFonts w:hint="default"/>
              </w:rPr>
            </w:pPr>
            <w:r>
              <w:rPr>
                <w:rFonts w:hint="default"/>
              </w:rPr>
              <w:t>245 ± 2</w:t>
            </w:r>
          </w:p>
        </w:tc>
      </w:tr>
      <w:tr w14:paraId="5DC86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84" w:type="pct"/>
            <w:noWrap/>
            <w:tcMar>
              <w:left w:w="0" w:type="dxa"/>
              <w:right w:w="0" w:type="dxa"/>
            </w:tcMar>
            <w:vAlign w:val="center"/>
          </w:tcPr>
          <w:p w14:paraId="15F3BEDF">
            <w:pPr>
              <w:pStyle w:val="55"/>
              <w:keepNext w:val="0"/>
              <w:keepLines w:val="0"/>
              <w:widowControl/>
              <w:suppressLineNumbers w:val="0"/>
              <w:spacing w:before="0" w:beforeAutospacing="0" w:afterAutospacing="0"/>
              <w:ind w:right="0"/>
              <w:rPr>
                <w:rFonts w:hint="default"/>
              </w:rPr>
            </w:pPr>
            <w:r>
              <w:rPr>
                <w:rFonts w:hint="default"/>
              </w:rPr>
              <w:t>BF11-F3</w:t>
            </w:r>
          </w:p>
        </w:tc>
        <w:tc>
          <w:tcPr>
            <w:tcW w:w="241" w:type="pct"/>
            <w:noWrap/>
            <w:tcMar>
              <w:left w:w="0" w:type="dxa"/>
              <w:right w:w="0" w:type="dxa"/>
            </w:tcMar>
            <w:vAlign w:val="center"/>
          </w:tcPr>
          <w:p w14:paraId="38682FE3">
            <w:pPr>
              <w:pStyle w:val="55"/>
              <w:keepNext w:val="0"/>
              <w:keepLines w:val="0"/>
              <w:widowControl/>
              <w:suppressLineNumbers w:val="0"/>
              <w:spacing w:before="0" w:beforeAutospacing="0" w:afterAutospacing="0"/>
              <w:ind w:right="0"/>
              <w:rPr>
                <w:rFonts w:hint="default"/>
              </w:rPr>
            </w:pPr>
            <w:r>
              <w:rPr>
                <w:rFonts w:hint="default"/>
              </w:rPr>
              <w:t>11</w:t>
            </w:r>
          </w:p>
        </w:tc>
        <w:tc>
          <w:tcPr>
            <w:tcW w:w="720" w:type="pct"/>
            <w:noWrap/>
            <w:tcMar>
              <w:left w:w="0" w:type="dxa"/>
              <w:right w:w="0" w:type="dxa"/>
            </w:tcMar>
          </w:tcPr>
          <w:p w14:paraId="2021B330">
            <w:pPr>
              <w:pStyle w:val="55"/>
              <w:keepNext w:val="0"/>
              <w:keepLines w:val="0"/>
              <w:widowControl/>
              <w:suppressLineNumbers w:val="0"/>
              <w:spacing w:before="0" w:beforeAutospacing="0" w:afterAutospacing="0"/>
              <w:ind w:right="0"/>
              <w:rPr>
                <w:rFonts w:hint="default"/>
              </w:rPr>
            </w:pPr>
            <w:r>
              <w:rPr>
                <w:rFonts w:hint="default"/>
              </w:rPr>
              <w:t>flowstone</w:t>
            </w:r>
          </w:p>
        </w:tc>
        <w:tc>
          <w:tcPr>
            <w:tcW w:w="418" w:type="pct"/>
            <w:noWrap/>
            <w:tcMar>
              <w:left w:w="0" w:type="dxa"/>
              <w:right w:w="0" w:type="dxa"/>
            </w:tcMar>
            <w:vAlign w:val="center"/>
          </w:tcPr>
          <w:p w14:paraId="46B2435C">
            <w:pPr>
              <w:pStyle w:val="55"/>
              <w:keepNext w:val="0"/>
              <w:keepLines w:val="0"/>
              <w:widowControl/>
              <w:suppressLineNumbers w:val="0"/>
              <w:spacing w:before="0" w:beforeAutospacing="0" w:afterAutospacing="0"/>
              <w:ind w:right="0"/>
              <w:rPr>
                <w:rFonts w:hint="default"/>
              </w:rPr>
            </w:pPr>
            <w:r>
              <w:rPr>
                <w:rFonts w:hint="default"/>
              </w:rPr>
              <w:t>89.8 ± 0.1</w:t>
            </w:r>
          </w:p>
        </w:tc>
        <w:tc>
          <w:tcPr>
            <w:tcW w:w="506" w:type="pct"/>
            <w:noWrap/>
            <w:tcMar>
              <w:left w:w="0" w:type="dxa"/>
              <w:right w:w="0" w:type="dxa"/>
            </w:tcMar>
            <w:vAlign w:val="center"/>
          </w:tcPr>
          <w:p w14:paraId="5EF0BF31">
            <w:pPr>
              <w:pStyle w:val="55"/>
              <w:keepNext w:val="0"/>
              <w:keepLines w:val="0"/>
              <w:widowControl/>
              <w:suppressLineNumbers w:val="0"/>
              <w:spacing w:before="0" w:beforeAutospacing="0" w:afterAutospacing="0"/>
              <w:ind w:right="0"/>
              <w:rPr>
                <w:rFonts w:hint="default"/>
              </w:rPr>
            </w:pPr>
            <w:r>
              <w:rPr>
                <w:rFonts w:hint="default"/>
              </w:rPr>
              <w:t>3.59 ± 0.02</w:t>
            </w:r>
          </w:p>
        </w:tc>
        <w:tc>
          <w:tcPr>
            <w:tcW w:w="438" w:type="pct"/>
            <w:noWrap/>
            <w:tcMar>
              <w:left w:w="0" w:type="dxa"/>
              <w:right w:w="0" w:type="dxa"/>
            </w:tcMar>
            <w:vAlign w:val="center"/>
          </w:tcPr>
          <w:p w14:paraId="09A363BE">
            <w:pPr>
              <w:pStyle w:val="55"/>
              <w:keepNext w:val="0"/>
              <w:keepLines w:val="0"/>
              <w:widowControl/>
              <w:suppressLineNumbers w:val="0"/>
              <w:spacing w:before="0" w:beforeAutospacing="0" w:afterAutospacing="0"/>
              <w:ind w:right="0"/>
              <w:rPr>
                <w:rFonts w:hint="default"/>
              </w:rPr>
            </w:pPr>
            <w:r>
              <w:rPr>
                <w:rFonts w:hint="default"/>
              </w:rPr>
              <w:t>1.143 ± 0.003</w:t>
            </w:r>
          </w:p>
        </w:tc>
        <w:tc>
          <w:tcPr>
            <w:tcW w:w="536" w:type="pct"/>
            <w:noWrap/>
            <w:tcMar>
              <w:left w:w="0" w:type="dxa"/>
              <w:right w:w="0" w:type="dxa"/>
            </w:tcMar>
            <w:vAlign w:val="center"/>
          </w:tcPr>
          <w:p w14:paraId="45FEA109">
            <w:pPr>
              <w:pStyle w:val="55"/>
              <w:keepNext w:val="0"/>
              <w:keepLines w:val="0"/>
              <w:widowControl/>
              <w:suppressLineNumbers w:val="0"/>
              <w:spacing w:before="0" w:beforeAutospacing="0" w:afterAutospacing="0"/>
              <w:ind w:right="0"/>
              <w:rPr>
                <w:rFonts w:hint="default"/>
              </w:rPr>
            </w:pPr>
            <w:r>
              <w:rPr>
                <w:rFonts w:hint="default"/>
              </w:rPr>
              <w:t>0.940 ± 0.003</w:t>
            </w:r>
          </w:p>
        </w:tc>
        <w:tc>
          <w:tcPr>
            <w:tcW w:w="416" w:type="pct"/>
            <w:noWrap/>
            <w:tcMar>
              <w:left w:w="0" w:type="dxa"/>
              <w:right w:w="0" w:type="dxa"/>
            </w:tcMar>
            <w:vAlign w:val="center"/>
          </w:tcPr>
          <w:p w14:paraId="62F70F86">
            <w:pPr>
              <w:pStyle w:val="55"/>
              <w:keepNext w:val="0"/>
              <w:keepLines w:val="0"/>
              <w:widowControl/>
              <w:suppressLineNumbers w:val="0"/>
              <w:spacing w:before="0" w:beforeAutospacing="0" w:afterAutospacing="0"/>
              <w:ind w:right="0"/>
              <w:rPr>
                <w:rFonts w:hint="default"/>
              </w:rPr>
            </w:pPr>
            <w:r>
              <w:rPr>
                <w:rFonts w:hint="default"/>
              </w:rPr>
              <w:t>71.7 ± 0.4</w:t>
            </w:r>
          </w:p>
        </w:tc>
        <w:tc>
          <w:tcPr>
            <w:tcW w:w="416" w:type="pct"/>
            <w:noWrap/>
            <w:tcMar>
              <w:left w:w="0" w:type="dxa"/>
              <w:right w:w="0" w:type="dxa"/>
            </w:tcMar>
            <w:vAlign w:val="center"/>
          </w:tcPr>
          <w:p w14:paraId="4457F97C">
            <w:pPr>
              <w:pStyle w:val="55"/>
              <w:keepNext w:val="0"/>
              <w:keepLines w:val="0"/>
              <w:widowControl/>
              <w:suppressLineNumbers w:val="0"/>
              <w:spacing w:before="0" w:beforeAutospacing="0" w:afterAutospacing="0"/>
              <w:ind w:right="0"/>
              <w:rPr>
                <w:rFonts w:hint="default"/>
              </w:rPr>
            </w:pPr>
            <w:r>
              <w:rPr>
                <w:rFonts w:hint="default"/>
              </w:rPr>
              <w:t>175.9 ± 1.8</w:t>
            </w:r>
          </w:p>
        </w:tc>
        <w:tc>
          <w:tcPr>
            <w:tcW w:w="569" w:type="pct"/>
            <w:vAlign w:val="center"/>
          </w:tcPr>
          <w:p w14:paraId="13F08F5C">
            <w:pPr>
              <w:pStyle w:val="55"/>
              <w:keepNext w:val="0"/>
              <w:keepLines w:val="0"/>
              <w:widowControl/>
              <w:suppressLineNumbers w:val="0"/>
              <w:spacing w:before="0" w:beforeAutospacing="0" w:afterAutospacing="0"/>
              <w:ind w:right="0"/>
              <w:rPr>
                <w:rFonts w:hint="default"/>
              </w:rPr>
            </w:pPr>
            <w:r>
              <w:rPr>
                <w:rFonts w:hint="default"/>
              </w:rPr>
              <w:t>174.9 ± 1.8</w:t>
            </w:r>
          </w:p>
        </w:tc>
        <w:tc>
          <w:tcPr>
            <w:tcW w:w="457" w:type="pct"/>
            <w:noWrap/>
            <w:tcMar>
              <w:left w:w="0" w:type="dxa"/>
              <w:right w:w="0" w:type="dxa"/>
            </w:tcMar>
            <w:vAlign w:val="center"/>
          </w:tcPr>
          <w:p w14:paraId="5F335FAE">
            <w:pPr>
              <w:pStyle w:val="55"/>
              <w:keepNext w:val="0"/>
              <w:keepLines w:val="0"/>
              <w:widowControl/>
              <w:suppressLineNumbers w:val="0"/>
              <w:spacing w:before="0" w:beforeAutospacing="0" w:afterAutospacing="0"/>
              <w:ind w:right="0"/>
              <w:rPr>
                <w:rFonts w:hint="default"/>
              </w:rPr>
            </w:pPr>
            <w:r>
              <w:rPr>
                <w:rFonts w:hint="default"/>
              </w:rPr>
              <w:t>234 ± 4</w:t>
            </w:r>
          </w:p>
        </w:tc>
      </w:tr>
      <w:tr w14:paraId="71801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84" w:type="pct"/>
            <w:noWrap/>
            <w:tcMar>
              <w:left w:w="0" w:type="dxa"/>
              <w:right w:w="0" w:type="dxa"/>
            </w:tcMar>
            <w:vAlign w:val="center"/>
          </w:tcPr>
          <w:p w14:paraId="2169A67A">
            <w:pPr>
              <w:pStyle w:val="55"/>
              <w:keepNext w:val="0"/>
              <w:keepLines w:val="0"/>
              <w:widowControl/>
              <w:suppressLineNumbers w:val="0"/>
              <w:spacing w:before="0" w:beforeAutospacing="0" w:afterAutospacing="0"/>
              <w:ind w:right="0"/>
              <w:rPr>
                <w:rFonts w:hint="default"/>
              </w:rPr>
            </w:pPr>
            <w:r>
              <w:rPr>
                <w:rFonts w:hint="default"/>
              </w:rPr>
              <w:t>BF3-S1</w:t>
            </w:r>
          </w:p>
        </w:tc>
        <w:tc>
          <w:tcPr>
            <w:tcW w:w="241" w:type="pct"/>
            <w:noWrap/>
            <w:tcMar>
              <w:left w:w="0" w:type="dxa"/>
              <w:right w:w="0" w:type="dxa"/>
            </w:tcMar>
            <w:vAlign w:val="center"/>
          </w:tcPr>
          <w:p w14:paraId="27ADD960">
            <w:pPr>
              <w:pStyle w:val="55"/>
              <w:keepNext w:val="0"/>
              <w:keepLines w:val="0"/>
              <w:widowControl/>
              <w:suppressLineNumbers w:val="0"/>
              <w:spacing w:before="0" w:beforeAutospacing="0" w:afterAutospacing="0"/>
              <w:ind w:right="0"/>
              <w:rPr>
                <w:rFonts w:hint="default"/>
              </w:rPr>
            </w:pPr>
            <w:r>
              <w:rPr>
                <w:rFonts w:hint="default"/>
              </w:rPr>
              <w:t>3</w:t>
            </w:r>
          </w:p>
        </w:tc>
        <w:tc>
          <w:tcPr>
            <w:tcW w:w="720" w:type="pct"/>
            <w:noWrap/>
            <w:tcMar>
              <w:left w:w="0" w:type="dxa"/>
              <w:right w:w="0" w:type="dxa"/>
            </w:tcMar>
            <w:vAlign w:val="center"/>
          </w:tcPr>
          <w:p w14:paraId="36852E0D">
            <w:pPr>
              <w:pStyle w:val="55"/>
              <w:keepNext w:val="0"/>
              <w:keepLines w:val="0"/>
              <w:widowControl/>
              <w:suppressLineNumbers w:val="0"/>
              <w:spacing w:before="0" w:beforeAutospacing="0" w:afterAutospacing="0"/>
              <w:ind w:right="0"/>
              <w:rPr>
                <w:rFonts w:hint="default"/>
              </w:rPr>
            </w:pPr>
            <w:r>
              <w:rPr>
                <w:rFonts w:hint="default"/>
              </w:rPr>
              <w:t>speleothem</w:t>
            </w:r>
          </w:p>
        </w:tc>
        <w:tc>
          <w:tcPr>
            <w:tcW w:w="418" w:type="pct"/>
            <w:noWrap/>
            <w:tcMar>
              <w:left w:w="0" w:type="dxa"/>
              <w:right w:w="0" w:type="dxa"/>
            </w:tcMar>
            <w:vAlign w:val="center"/>
          </w:tcPr>
          <w:p w14:paraId="417DE7DA">
            <w:pPr>
              <w:pStyle w:val="55"/>
              <w:keepNext w:val="0"/>
              <w:keepLines w:val="0"/>
              <w:widowControl/>
              <w:suppressLineNumbers w:val="0"/>
              <w:spacing w:before="0" w:beforeAutospacing="0" w:afterAutospacing="0"/>
              <w:ind w:right="0"/>
              <w:rPr>
                <w:rFonts w:hint="default"/>
              </w:rPr>
            </w:pPr>
            <w:r>
              <w:rPr>
                <w:rFonts w:hint="default"/>
              </w:rPr>
              <w:t>154.4 ± 0.1</w:t>
            </w:r>
          </w:p>
        </w:tc>
        <w:tc>
          <w:tcPr>
            <w:tcW w:w="506" w:type="pct"/>
            <w:noWrap/>
            <w:tcMar>
              <w:left w:w="0" w:type="dxa"/>
              <w:right w:w="0" w:type="dxa"/>
            </w:tcMar>
            <w:vAlign w:val="center"/>
          </w:tcPr>
          <w:p w14:paraId="34020ADE">
            <w:pPr>
              <w:pStyle w:val="55"/>
              <w:keepNext w:val="0"/>
              <w:keepLines w:val="0"/>
              <w:widowControl/>
              <w:suppressLineNumbers w:val="0"/>
              <w:spacing w:before="0" w:beforeAutospacing="0" w:afterAutospacing="0"/>
              <w:ind w:right="0"/>
              <w:rPr>
                <w:rFonts w:hint="default"/>
              </w:rPr>
            </w:pPr>
            <w:r>
              <w:rPr>
                <w:rFonts w:hint="default"/>
              </w:rPr>
              <w:t>2.20 ± 0.02</w:t>
            </w:r>
          </w:p>
        </w:tc>
        <w:tc>
          <w:tcPr>
            <w:tcW w:w="438" w:type="pct"/>
            <w:noWrap/>
            <w:tcMar>
              <w:left w:w="0" w:type="dxa"/>
              <w:right w:w="0" w:type="dxa"/>
            </w:tcMar>
            <w:vAlign w:val="center"/>
          </w:tcPr>
          <w:p w14:paraId="0D60E65D">
            <w:pPr>
              <w:pStyle w:val="55"/>
              <w:keepNext w:val="0"/>
              <w:keepLines w:val="0"/>
              <w:widowControl/>
              <w:suppressLineNumbers w:val="0"/>
              <w:spacing w:before="0" w:beforeAutospacing="0" w:afterAutospacing="0"/>
              <w:ind w:right="0"/>
              <w:rPr>
                <w:rFonts w:hint="default"/>
              </w:rPr>
            </w:pPr>
            <w:r>
              <w:rPr>
                <w:rFonts w:hint="default"/>
              </w:rPr>
              <w:t>1.178 ± 0.001</w:t>
            </w:r>
          </w:p>
        </w:tc>
        <w:tc>
          <w:tcPr>
            <w:tcW w:w="536" w:type="pct"/>
            <w:noWrap/>
            <w:tcMar>
              <w:left w:w="0" w:type="dxa"/>
              <w:right w:w="0" w:type="dxa"/>
            </w:tcMar>
            <w:vAlign w:val="center"/>
          </w:tcPr>
          <w:p w14:paraId="404046D8">
            <w:pPr>
              <w:pStyle w:val="55"/>
              <w:keepNext w:val="0"/>
              <w:keepLines w:val="0"/>
              <w:widowControl/>
              <w:suppressLineNumbers w:val="0"/>
              <w:spacing w:before="0" w:beforeAutospacing="0" w:afterAutospacing="0"/>
              <w:ind w:right="0"/>
              <w:rPr>
                <w:rFonts w:hint="default"/>
              </w:rPr>
            </w:pPr>
            <w:r>
              <w:rPr>
                <w:rFonts w:hint="default"/>
              </w:rPr>
              <w:t>1.129 ± 0.002</w:t>
            </w:r>
          </w:p>
        </w:tc>
        <w:tc>
          <w:tcPr>
            <w:tcW w:w="416" w:type="pct"/>
            <w:noWrap/>
            <w:tcMar>
              <w:left w:w="0" w:type="dxa"/>
              <w:right w:w="0" w:type="dxa"/>
            </w:tcMar>
            <w:vAlign w:val="center"/>
          </w:tcPr>
          <w:p w14:paraId="3A34B643">
            <w:pPr>
              <w:pStyle w:val="55"/>
              <w:keepNext w:val="0"/>
              <w:keepLines w:val="0"/>
              <w:widowControl/>
              <w:suppressLineNumbers w:val="0"/>
              <w:spacing w:before="0" w:beforeAutospacing="0" w:afterAutospacing="0"/>
              <w:ind w:right="0"/>
              <w:rPr>
                <w:rFonts w:hint="default"/>
              </w:rPr>
            </w:pPr>
            <w:r>
              <w:rPr>
                <w:rFonts w:hint="default"/>
              </w:rPr>
              <w:t>242 ± 2</w:t>
            </w:r>
          </w:p>
        </w:tc>
        <w:tc>
          <w:tcPr>
            <w:tcW w:w="416" w:type="pct"/>
            <w:noWrap/>
            <w:tcMar>
              <w:left w:w="0" w:type="dxa"/>
              <w:right w:w="0" w:type="dxa"/>
            </w:tcMar>
            <w:vAlign w:val="center"/>
          </w:tcPr>
          <w:p w14:paraId="6DA9185B">
            <w:pPr>
              <w:pStyle w:val="55"/>
              <w:keepNext w:val="0"/>
              <w:keepLines w:val="0"/>
              <w:widowControl/>
              <w:suppressLineNumbers w:val="0"/>
              <w:spacing w:before="0" w:beforeAutospacing="0" w:afterAutospacing="0"/>
              <w:ind w:right="0"/>
              <w:rPr>
                <w:rFonts w:hint="default"/>
              </w:rPr>
            </w:pPr>
            <w:r>
              <w:rPr>
                <w:rFonts w:hint="default"/>
              </w:rPr>
              <w:t>272 ± 3</w:t>
            </w:r>
          </w:p>
        </w:tc>
        <w:tc>
          <w:tcPr>
            <w:tcW w:w="569" w:type="pct"/>
            <w:vAlign w:val="center"/>
          </w:tcPr>
          <w:p w14:paraId="2C762344">
            <w:pPr>
              <w:pStyle w:val="55"/>
              <w:keepNext w:val="0"/>
              <w:keepLines w:val="0"/>
              <w:widowControl/>
              <w:suppressLineNumbers w:val="0"/>
              <w:spacing w:before="0" w:beforeAutospacing="0" w:afterAutospacing="0"/>
              <w:ind w:right="0"/>
              <w:rPr>
                <w:rFonts w:hint="default"/>
              </w:rPr>
            </w:pPr>
            <w:r>
              <w:rPr>
                <w:rFonts w:hint="default"/>
              </w:rPr>
              <w:t>271.8 ± 2.5</w:t>
            </w:r>
          </w:p>
        </w:tc>
        <w:tc>
          <w:tcPr>
            <w:tcW w:w="457" w:type="pct"/>
            <w:noWrap/>
            <w:tcMar>
              <w:left w:w="0" w:type="dxa"/>
              <w:right w:w="0" w:type="dxa"/>
            </w:tcMar>
            <w:vAlign w:val="center"/>
          </w:tcPr>
          <w:p w14:paraId="3CC06863">
            <w:pPr>
              <w:pStyle w:val="55"/>
              <w:keepNext w:val="0"/>
              <w:keepLines w:val="0"/>
              <w:widowControl/>
              <w:suppressLineNumbers w:val="0"/>
              <w:spacing w:before="0" w:beforeAutospacing="0" w:afterAutospacing="0"/>
              <w:ind w:right="0"/>
              <w:rPr>
                <w:rFonts w:hint="default"/>
              </w:rPr>
            </w:pPr>
            <w:r>
              <w:rPr>
                <w:rFonts w:hint="default"/>
              </w:rPr>
              <w:t>384 ± 4</w:t>
            </w:r>
          </w:p>
        </w:tc>
      </w:tr>
      <w:tr w14:paraId="5F545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84" w:type="pct"/>
            <w:noWrap/>
            <w:tcMar>
              <w:left w:w="0" w:type="dxa"/>
              <w:right w:w="0" w:type="dxa"/>
            </w:tcMar>
            <w:vAlign w:val="center"/>
          </w:tcPr>
          <w:p w14:paraId="6DE84CF9">
            <w:pPr>
              <w:pStyle w:val="55"/>
              <w:keepNext w:val="0"/>
              <w:keepLines w:val="0"/>
              <w:widowControl/>
              <w:suppressLineNumbers w:val="0"/>
              <w:spacing w:before="0" w:beforeAutospacing="0" w:afterAutospacing="0"/>
              <w:ind w:right="0"/>
              <w:rPr>
                <w:rFonts w:hint="default"/>
              </w:rPr>
            </w:pPr>
            <w:r>
              <w:rPr>
                <w:rFonts w:hint="default"/>
              </w:rPr>
              <w:t>BF7-S1</w:t>
            </w:r>
          </w:p>
        </w:tc>
        <w:tc>
          <w:tcPr>
            <w:tcW w:w="241" w:type="pct"/>
            <w:noWrap/>
            <w:tcMar>
              <w:left w:w="0" w:type="dxa"/>
              <w:right w:w="0" w:type="dxa"/>
            </w:tcMar>
            <w:vAlign w:val="center"/>
          </w:tcPr>
          <w:p w14:paraId="14D6DA71">
            <w:pPr>
              <w:pStyle w:val="55"/>
              <w:keepNext w:val="0"/>
              <w:keepLines w:val="0"/>
              <w:widowControl/>
              <w:suppressLineNumbers w:val="0"/>
              <w:spacing w:before="0" w:beforeAutospacing="0" w:afterAutospacing="0"/>
              <w:ind w:right="0"/>
              <w:rPr>
                <w:rFonts w:hint="default"/>
              </w:rPr>
            </w:pPr>
            <w:r>
              <w:rPr>
                <w:rFonts w:hint="default"/>
              </w:rPr>
              <w:t>7</w:t>
            </w:r>
          </w:p>
        </w:tc>
        <w:tc>
          <w:tcPr>
            <w:tcW w:w="720" w:type="pct"/>
            <w:noWrap/>
            <w:tcMar>
              <w:left w:w="0" w:type="dxa"/>
              <w:right w:w="0" w:type="dxa"/>
            </w:tcMar>
            <w:vAlign w:val="center"/>
          </w:tcPr>
          <w:p w14:paraId="6FB8742A">
            <w:pPr>
              <w:pStyle w:val="55"/>
              <w:keepNext w:val="0"/>
              <w:keepLines w:val="0"/>
              <w:widowControl/>
              <w:suppressLineNumbers w:val="0"/>
              <w:spacing w:before="0" w:beforeAutospacing="0" w:afterAutospacing="0"/>
              <w:ind w:right="0"/>
              <w:rPr>
                <w:rFonts w:hint="default"/>
              </w:rPr>
            </w:pPr>
            <w:r>
              <w:rPr>
                <w:rFonts w:hint="default"/>
              </w:rPr>
              <w:t>speleothem</w:t>
            </w:r>
          </w:p>
        </w:tc>
        <w:tc>
          <w:tcPr>
            <w:tcW w:w="418" w:type="pct"/>
            <w:noWrap/>
            <w:tcMar>
              <w:left w:w="0" w:type="dxa"/>
              <w:right w:w="0" w:type="dxa"/>
            </w:tcMar>
            <w:vAlign w:val="center"/>
          </w:tcPr>
          <w:p w14:paraId="6E3720B5">
            <w:pPr>
              <w:pStyle w:val="55"/>
              <w:keepNext w:val="0"/>
              <w:keepLines w:val="0"/>
              <w:widowControl/>
              <w:suppressLineNumbers w:val="0"/>
              <w:spacing w:before="0" w:beforeAutospacing="0" w:afterAutospacing="0"/>
              <w:ind w:right="0"/>
              <w:rPr>
                <w:rFonts w:hint="default"/>
              </w:rPr>
            </w:pPr>
            <w:r>
              <w:rPr>
                <w:rFonts w:hint="default"/>
              </w:rPr>
              <w:t>46.72 ± 0.02</w:t>
            </w:r>
          </w:p>
        </w:tc>
        <w:tc>
          <w:tcPr>
            <w:tcW w:w="506" w:type="pct"/>
            <w:noWrap/>
            <w:tcMar>
              <w:left w:w="0" w:type="dxa"/>
              <w:right w:w="0" w:type="dxa"/>
            </w:tcMar>
            <w:vAlign w:val="center"/>
          </w:tcPr>
          <w:p w14:paraId="797B1017">
            <w:pPr>
              <w:pStyle w:val="55"/>
              <w:keepNext w:val="0"/>
              <w:keepLines w:val="0"/>
              <w:widowControl/>
              <w:suppressLineNumbers w:val="0"/>
              <w:spacing w:before="0" w:beforeAutospacing="0" w:afterAutospacing="0"/>
              <w:ind w:right="0"/>
              <w:rPr>
                <w:rFonts w:hint="default"/>
              </w:rPr>
            </w:pPr>
            <w:r>
              <w:rPr>
                <w:rFonts w:hint="default"/>
              </w:rPr>
              <w:t>3.98 ± 0.02</w:t>
            </w:r>
          </w:p>
        </w:tc>
        <w:tc>
          <w:tcPr>
            <w:tcW w:w="438" w:type="pct"/>
            <w:noWrap/>
            <w:tcMar>
              <w:left w:w="0" w:type="dxa"/>
              <w:right w:w="0" w:type="dxa"/>
            </w:tcMar>
            <w:vAlign w:val="center"/>
          </w:tcPr>
          <w:p w14:paraId="20C0CB48">
            <w:pPr>
              <w:pStyle w:val="55"/>
              <w:keepNext w:val="0"/>
              <w:keepLines w:val="0"/>
              <w:widowControl/>
              <w:suppressLineNumbers w:val="0"/>
              <w:spacing w:before="0" w:beforeAutospacing="0" w:afterAutospacing="0"/>
              <w:ind w:right="0"/>
              <w:rPr>
                <w:rFonts w:hint="default"/>
              </w:rPr>
            </w:pPr>
            <w:r>
              <w:rPr>
                <w:rFonts w:hint="default"/>
              </w:rPr>
              <w:t>1.129 ± 0.002</w:t>
            </w:r>
          </w:p>
        </w:tc>
        <w:tc>
          <w:tcPr>
            <w:tcW w:w="536" w:type="pct"/>
            <w:noWrap/>
            <w:tcMar>
              <w:left w:w="0" w:type="dxa"/>
              <w:right w:w="0" w:type="dxa"/>
            </w:tcMar>
            <w:vAlign w:val="center"/>
          </w:tcPr>
          <w:p w14:paraId="2DA341CD">
            <w:pPr>
              <w:pStyle w:val="55"/>
              <w:keepNext w:val="0"/>
              <w:keepLines w:val="0"/>
              <w:widowControl/>
              <w:suppressLineNumbers w:val="0"/>
              <w:spacing w:before="0" w:beforeAutospacing="0" w:afterAutospacing="0"/>
              <w:ind w:right="0"/>
              <w:rPr>
                <w:rFonts w:hint="default"/>
              </w:rPr>
            </w:pPr>
            <w:r>
              <w:rPr>
                <w:rFonts w:hint="default"/>
              </w:rPr>
              <w:t>1.077 ± 0.003</w:t>
            </w:r>
          </w:p>
        </w:tc>
        <w:tc>
          <w:tcPr>
            <w:tcW w:w="416" w:type="pct"/>
            <w:noWrap/>
            <w:tcMar>
              <w:left w:w="0" w:type="dxa"/>
              <w:right w:w="0" w:type="dxa"/>
            </w:tcMar>
            <w:vAlign w:val="center"/>
          </w:tcPr>
          <w:p w14:paraId="166EA1D8">
            <w:pPr>
              <w:pStyle w:val="55"/>
              <w:keepNext w:val="0"/>
              <w:keepLines w:val="0"/>
              <w:widowControl/>
              <w:suppressLineNumbers w:val="0"/>
              <w:spacing w:before="0" w:beforeAutospacing="0" w:afterAutospacing="0"/>
              <w:ind w:right="0"/>
              <w:rPr>
                <w:rFonts w:hint="default"/>
              </w:rPr>
            </w:pPr>
            <w:r>
              <w:rPr>
                <w:rFonts w:hint="default"/>
              </w:rPr>
              <w:t>38.6 ± 0.2</w:t>
            </w:r>
          </w:p>
        </w:tc>
        <w:tc>
          <w:tcPr>
            <w:tcW w:w="416" w:type="pct"/>
            <w:noWrap/>
            <w:tcMar>
              <w:left w:w="0" w:type="dxa"/>
              <w:right w:w="0" w:type="dxa"/>
            </w:tcMar>
            <w:vAlign w:val="center"/>
          </w:tcPr>
          <w:p w14:paraId="197661BD">
            <w:pPr>
              <w:pStyle w:val="55"/>
              <w:keepNext w:val="0"/>
              <w:keepLines w:val="0"/>
              <w:widowControl/>
              <w:suppressLineNumbers w:val="0"/>
              <w:spacing w:before="0" w:beforeAutospacing="0" w:afterAutospacing="0"/>
              <w:ind w:right="0"/>
              <w:rPr>
                <w:rFonts w:hint="default"/>
              </w:rPr>
            </w:pPr>
            <w:r>
              <w:rPr>
                <w:rFonts w:hint="default"/>
              </w:rPr>
              <w:t>279 ± 4</w:t>
            </w:r>
          </w:p>
        </w:tc>
        <w:tc>
          <w:tcPr>
            <w:tcW w:w="569" w:type="pct"/>
            <w:vAlign w:val="center"/>
          </w:tcPr>
          <w:p w14:paraId="306C5399">
            <w:pPr>
              <w:pStyle w:val="55"/>
              <w:keepNext w:val="0"/>
              <w:keepLines w:val="0"/>
              <w:widowControl/>
              <w:suppressLineNumbers w:val="0"/>
              <w:spacing w:before="0" w:beforeAutospacing="0" w:afterAutospacing="0"/>
              <w:ind w:right="0"/>
              <w:rPr>
                <w:rFonts w:hint="default"/>
              </w:rPr>
            </w:pPr>
            <w:r>
              <w:rPr>
                <w:rFonts w:hint="default"/>
              </w:rPr>
              <w:t>277.0 ± 4.3</w:t>
            </w:r>
          </w:p>
        </w:tc>
        <w:tc>
          <w:tcPr>
            <w:tcW w:w="457" w:type="pct"/>
            <w:noWrap/>
            <w:tcMar>
              <w:left w:w="0" w:type="dxa"/>
              <w:right w:w="0" w:type="dxa"/>
            </w:tcMar>
            <w:vAlign w:val="center"/>
          </w:tcPr>
          <w:p w14:paraId="20E2B211">
            <w:pPr>
              <w:pStyle w:val="55"/>
              <w:keepNext w:val="0"/>
              <w:keepLines w:val="0"/>
              <w:widowControl/>
              <w:suppressLineNumbers w:val="0"/>
              <w:spacing w:before="0" w:beforeAutospacing="0" w:afterAutospacing="0"/>
              <w:ind w:right="0"/>
              <w:rPr>
                <w:rFonts w:hint="default"/>
              </w:rPr>
            </w:pPr>
            <w:r>
              <w:rPr>
                <w:rFonts w:hint="default"/>
              </w:rPr>
              <w:t>281 ± 5</w:t>
            </w:r>
          </w:p>
        </w:tc>
      </w:tr>
      <w:tr w14:paraId="7806B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84" w:type="pct"/>
            <w:noWrap/>
            <w:tcMar>
              <w:left w:w="0" w:type="dxa"/>
              <w:right w:w="0" w:type="dxa"/>
            </w:tcMar>
            <w:vAlign w:val="center"/>
          </w:tcPr>
          <w:p w14:paraId="606AF779">
            <w:pPr>
              <w:pStyle w:val="55"/>
              <w:keepNext w:val="0"/>
              <w:keepLines w:val="0"/>
              <w:widowControl/>
              <w:suppressLineNumbers w:val="0"/>
              <w:spacing w:before="0" w:beforeAutospacing="0" w:afterAutospacing="0"/>
              <w:ind w:right="0"/>
              <w:rPr>
                <w:rFonts w:hint="default"/>
              </w:rPr>
            </w:pPr>
            <w:r>
              <w:rPr>
                <w:rFonts w:hint="default"/>
              </w:rPr>
              <w:t>BF7-S2</w:t>
            </w:r>
          </w:p>
        </w:tc>
        <w:tc>
          <w:tcPr>
            <w:tcW w:w="241" w:type="pct"/>
            <w:noWrap/>
            <w:tcMar>
              <w:left w:w="0" w:type="dxa"/>
              <w:right w:w="0" w:type="dxa"/>
            </w:tcMar>
            <w:vAlign w:val="center"/>
          </w:tcPr>
          <w:p w14:paraId="1A8F92DF">
            <w:pPr>
              <w:pStyle w:val="55"/>
              <w:keepNext w:val="0"/>
              <w:keepLines w:val="0"/>
              <w:widowControl/>
              <w:suppressLineNumbers w:val="0"/>
              <w:spacing w:before="0" w:beforeAutospacing="0" w:afterAutospacing="0"/>
              <w:ind w:right="0"/>
              <w:rPr>
                <w:rFonts w:hint="default"/>
              </w:rPr>
            </w:pPr>
            <w:r>
              <w:rPr>
                <w:rFonts w:hint="default"/>
              </w:rPr>
              <w:t>7</w:t>
            </w:r>
          </w:p>
        </w:tc>
        <w:tc>
          <w:tcPr>
            <w:tcW w:w="720" w:type="pct"/>
            <w:noWrap/>
            <w:tcMar>
              <w:left w:w="0" w:type="dxa"/>
              <w:right w:w="0" w:type="dxa"/>
            </w:tcMar>
            <w:vAlign w:val="center"/>
          </w:tcPr>
          <w:p w14:paraId="7965B577">
            <w:pPr>
              <w:pStyle w:val="55"/>
              <w:keepNext w:val="0"/>
              <w:keepLines w:val="0"/>
              <w:widowControl/>
              <w:suppressLineNumbers w:val="0"/>
              <w:spacing w:before="0" w:beforeAutospacing="0" w:afterAutospacing="0"/>
              <w:ind w:right="0"/>
              <w:rPr>
                <w:rFonts w:hint="default"/>
              </w:rPr>
            </w:pPr>
            <w:r>
              <w:rPr>
                <w:rFonts w:hint="default"/>
              </w:rPr>
              <w:t>speleothem</w:t>
            </w:r>
          </w:p>
        </w:tc>
        <w:tc>
          <w:tcPr>
            <w:tcW w:w="418" w:type="pct"/>
            <w:noWrap/>
            <w:tcMar>
              <w:left w:w="0" w:type="dxa"/>
              <w:right w:w="0" w:type="dxa"/>
            </w:tcMar>
            <w:vAlign w:val="center"/>
          </w:tcPr>
          <w:p w14:paraId="00710DF9">
            <w:pPr>
              <w:pStyle w:val="55"/>
              <w:keepNext w:val="0"/>
              <w:keepLines w:val="0"/>
              <w:widowControl/>
              <w:suppressLineNumbers w:val="0"/>
              <w:spacing w:before="0" w:beforeAutospacing="0" w:afterAutospacing="0"/>
              <w:ind w:right="0"/>
              <w:rPr>
                <w:rFonts w:hint="default"/>
              </w:rPr>
            </w:pPr>
            <w:r>
              <w:rPr>
                <w:rFonts w:hint="default"/>
              </w:rPr>
              <w:t>218.5 ± 0.1</w:t>
            </w:r>
          </w:p>
        </w:tc>
        <w:tc>
          <w:tcPr>
            <w:tcW w:w="506" w:type="pct"/>
            <w:noWrap/>
            <w:tcMar>
              <w:left w:w="0" w:type="dxa"/>
              <w:right w:w="0" w:type="dxa"/>
            </w:tcMar>
            <w:vAlign w:val="center"/>
          </w:tcPr>
          <w:p w14:paraId="04D5D3E3">
            <w:pPr>
              <w:pStyle w:val="55"/>
              <w:keepNext w:val="0"/>
              <w:keepLines w:val="0"/>
              <w:widowControl/>
              <w:suppressLineNumbers w:val="0"/>
              <w:spacing w:before="0" w:beforeAutospacing="0" w:afterAutospacing="0"/>
              <w:ind w:right="0"/>
              <w:rPr>
                <w:rFonts w:hint="default"/>
              </w:rPr>
            </w:pPr>
            <w:r>
              <w:rPr>
                <w:rFonts w:hint="default"/>
              </w:rPr>
              <w:t>0.97 ± 0.01</w:t>
            </w:r>
          </w:p>
        </w:tc>
        <w:tc>
          <w:tcPr>
            <w:tcW w:w="438" w:type="pct"/>
            <w:noWrap/>
            <w:tcMar>
              <w:left w:w="0" w:type="dxa"/>
              <w:right w:w="0" w:type="dxa"/>
            </w:tcMar>
            <w:vAlign w:val="center"/>
          </w:tcPr>
          <w:p w14:paraId="2C8B3C66">
            <w:pPr>
              <w:pStyle w:val="55"/>
              <w:keepNext w:val="0"/>
              <w:keepLines w:val="0"/>
              <w:widowControl/>
              <w:suppressLineNumbers w:val="0"/>
              <w:spacing w:before="0" w:beforeAutospacing="0" w:afterAutospacing="0"/>
              <w:ind w:right="0"/>
              <w:rPr>
                <w:rFonts w:hint="default"/>
              </w:rPr>
            </w:pPr>
            <w:r>
              <w:rPr>
                <w:rFonts w:hint="default"/>
              </w:rPr>
              <w:t>1.282 ± 0.001</w:t>
            </w:r>
          </w:p>
        </w:tc>
        <w:tc>
          <w:tcPr>
            <w:tcW w:w="536" w:type="pct"/>
            <w:noWrap/>
            <w:tcMar>
              <w:left w:w="0" w:type="dxa"/>
              <w:right w:w="0" w:type="dxa"/>
            </w:tcMar>
            <w:vAlign w:val="center"/>
          </w:tcPr>
          <w:p w14:paraId="2BD64480">
            <w:pPr>
              <w:pStyle w:val="55"/>
              <w:keepNext w:val="0"/>
              <w:keepLines w:val="0"/>
              <w:widowControl/>
              <w:suppressLineNumbers w:val="0"/>
              <w:spacing w:before="0" w:beforeAutospacing="0" w:afterAutospacing="0"/>
              <w:ind w:right="0"/>
              <w:rPr>
                <w:rFonts w:hint="default"/>
              </w:rPr>
            </w:pPr>
            <w:r>
              <w:rPr>
                <w:rFonts w:hint="default"/>
              </w:rPr>
              <w:t>1.168 ± 0.002</w:t>
            </w:r>
          </w:p>
        </w:tc>
        <w:tc>
          <w:tcPr>
            <w:tcW w:w="416" w:type="pct"/>
            <w:noWrap/>
            <w:tcMar>
              <w:left w:w="0" w:type="dxa"/>
              <w:right w:w="0" w:type="dxa"/>
            </w:tcMar>
            <w:vAlign w:val="center"/>
          </w:tcPr>
          <w:p w14:paraId="2BA85F00">
            <w:pPr>
              <w:pStyle w:val="55"/>
              <w:keepNext w:val="0"/>
              <w:keepLines w:val="0"/>
              <w:widowControl/>
              <w:suppressLineNumbers w:val="0"/>
              <w:spacing w:before="0" w:beforeAutospacing="0" w:afterAutospacing="0"/>
              <w:ind w:right="0"/>
              <w:rPr>
                <w:rFonts w:hint="default"/>
              </w:rPr>
            </w:pPr>
            <w:r>
              <w:rPr>
                <w:rFonts w:hint="default"/>
              </w:rPr>
              <w:t>803 ± 10</w:t>
            </w:r>
          </w:p>
        </w:tc>
        <w:tc>
          <w:tcPr>
            <w:tcW w:w="416" w:type="pct"/>
            <w:noWrap/>
            <w:tcMar>
              <w:left w:w="0" w:type="dxa"/>
              <w:right w:w="0" w:type="dxa"/>
            </w:tcMar>
            <w:vAlign w:val="center"/>
          </w:tcPr>
          <w:p w14:paraId="2C120C01">
            <w:pPr>
              <w:pStyle w:val="55"/>
              <w:keepNext w:val="0"/>
              <w:keepLines w:val="0"/>
              <w:widowControl/>
              <w:suppressLineNumbers w:val="0"/>
              <w:spacing w:before="0" w:beforeAutospacing="0" w:afterAutospacing="0"/>
              <w:ind w:right="0"/>
              <w:rPr>
                <w:rFonts w:hint="default"/>
              </w:rPr>
            </w:pPr>
            <w:r>
              <w:rPr>
                <w:rFonts w:hint="default"/>
              </w:rPr>
              <w:t>217 ± 1</w:t>
            </w:r>
          </w:p>
        </w:tc>
        <w:tc>
          <w:tcPr>
            <w:tcW w:w="569" w:type="pct"/>
            <w:vAlign w:val="center"/>
          </w:tcPr>
          <w:p w14:paraId="248467DE">
            <w:pPr>
              <w:pStyle w:val="55"/>
              <w:keepNext w:val="0"/>
              <w:keepLines w:val="0"/>
              <w:widowControl/>
              <w:suppressLineNumbers w:val="0"/>
              <w:spacing w:before="0" w:beforeAutospacing="0" w:afterAutospacing="0"/>
              <w:ind w:right="0"/>
              <w:rPr>
                <w:rFonts w:hint="default"/>
              </w:rPr>
            </w:pPr>
            <w:r>
              <w:rPr>
                <w:rFonts w:hint="default"/>
              </w:rPr>
              <w:t>216.8 ± 1.2</w:t>
            </w:r>
          </w:p>
        </w:tc>
        <w:tc>
          <w:tcPr>
            <w:tcW w:w="457" w:type="pct"/>
            <w:noWrap/>
            <w:tcMar>
              <w:left w:w="0" w:type="dxa"/>
              <w:right w:w="0" w:type="dxa"/>
            </w:tcMar>
            <w:vAlign w:val="center"/>
          </w:tcPr>
          <w:p w14:paraId="71D31A41">
            <w:pPr>
              <w:pStyle w:val="55"/>
              <w:keepNext w:val="0"/>
              <w:keepLines w:val="0"/>
              <w:widowControl/>
              <w:suppressLineNumbers w:val="0"/>
              <w:spacing w:before="0" w:beforeAutospacing="0" w:afterAutospacing="0"/>
              <w:ind w:right="0"/>
              <w:rPr>
                <w:rFonts w:hint="default"/>
              </w:rPr>
            </w:pPr>
            <w:r>
              <w:rPr>
                <w:rFonts w:hint="default"/>
              </w:rPr>
              <w:t>520 ± 2</w:t>
            </w:r>
          </w:p>
        </w:tc>
      </w:tr>
      <w:tr w14:paraId="5D6A3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84" w:type="pct"/>
            <w:noWrap/>
            <w:tcMar>
              <w:left w:w="0" w:type="dxa"/>
              <w:right w:w="0" w:type="dxa"/>
            </w:tcMar>
            <w:vAlign w:val="center"/>
          </w:tcPr>
          <w:p w14:paraId="0069CF07">
            <w:pPr>
              <w:pStyle w:val="55"/>
              <w:keepNext w:val="0"/>
              <w:keepLines w:val="0"/>
              <w:widowControl/>
              <w:suppressLineNumbers w:val="0"/>
              <w:spacing w:before="0" w:beforeAutospacing="0" w:afterAutospacing="0"/>
              <w:ind w:right="0"/>
              <w:rPr>
                <w:rFonts w:hint="default"/>
              </w:rPr>
            </w:pPr>
            <w:r>
              <w:rPr>
                <w:rFonts w:hint="default"/>
              </w:rPr>
              <w:t>BF7-S3</w:t>
            </w:r>
          </w:p>
        </w:tc>
        <w:tc>
          <w:tcPr>
            <w:tcW w:w="241" w:type="pct"/>
            <w:noWrap/>
            <w:tcMar>
              <w:left w:w="0" w:type="dxa"/>
              <w:right w:w="0" w:type="dxa"/>
            </w:tcMar>
            <w:vAlign w:val="center"/>
          </w:tcPr>
          <w:p w14:paraId="4486DB84">
            <w:pPr>
              <w:pStyle w:val="55"/>
              <w:keepNext w:val="0"/>
              <w:keepLines w:val="0"/>
              <w:widowControl/>
              <w:suppressLineNumbers w:val="0"/>
              <w:spacing w:before="0" w:beforeAutospacing="0" w:afterAutospacing="0"/>
              <w:ind w:right="0"/>
              <w:rPr>
                <w:rFonts w:hint="default"/>
              </w:rPr>
            </w:pPr>
            <w:r>
              <w:rPr>
                <w:rFonts w:hint="default"/>
              </w:rPr>
              <w:t>7</w:t>
            </w:r>
          </w:p>
        </w:tc>
        <w:tc>
          <w:tcPr>
            <w:tcW w:w="720" w:type="pct"/>
            <w:noWrap/>
            <w:tcMar>
              <w:left w:w="0" w:type="dxa"/>
              <w:right w:w="0" w:type="dxa"/>
            </w:tcMar>
            <w:vAlign w:val="center"/>
          </w:tcPr>
          <w:p w14:paraId="0C6659D8">
            <w:pPr>
              <w:pStyle w:val="55"/>
              <w:keepNext w:val="0"/>
              <w:keepLines w:val="0"/>
              <w:widowControl/>
              <w:suppressLineNumbers w:val="0"/>
              <w:spacing w:before="0" w:beforeAutospacing="0" w:afterAutospacing="0"/>
              <w:ind w:right="0"/>
              <w:rPr>
                <w:rFonts w:hint="default"/>
              </w:rPr>
            </w:pPr>
            <w:r>
              <w:rPr>
                <w:rFonts w:hint="default"/>
              </w:rPr>
              <w:t>speleothem</w:t>
            </w:r>
          </w:p>
        </w:tc>
        <w:tc>
          <w:tcPr>
            <w:tcW w:w="418" w:type="pct"/>
            <w:noWrap/>
            <w:tcMar>
              <w:left w:w="0" w:type="dxa"/>
              <w:right w:w="0" w:type="dxa"/>
            </w:tcMar>
            <w:vAlign w:val="center"/>
          </w:tcPr>
          <w:p w14:paraId="459159CF">
            <w:pPr>
              <w:pStyle w:val="55"/>
              <w:keepNext w:val="0"/>
              <w:keepLines w:val="0"/>
              <w:widowControl/>
              <w:suppressLineNumbers w:val="0"/>
              <w:spacing w:before="0" w:beforeAutospacing="0" w:afterAutospacing="0"/>
              <w:ind w:right="0"/>
              <w:rPr>
                <w:rFonts w:hint="default"/>
              </w:rPr>
            </w:pPr>
            <w:r>
              <w:rPr>
                <w:rFonts w:hint="default"/>
              </w:rPr>
              <w:t>265.7 ± 0.1</w:t>
            </w:r>
          </w:p>
        </w:tc>
        <w:tc>
          <w:tcPr>
            <w:tcW w:w="506" w:type="pct"/>
            <w:noWrap/>
            <w:tcMar>
              <w:left w:w="0" w:type="dxa"/>
              <w:right w:w="0" w:type="dxa"/>
            </w:tcMar>
            <w:vAlign w:val="center"/>
          </w:tcPr>
          <w:p w14:paraId="4751D5ED">
            <w:pPr>
              <w:pStyle w:val="55"/>
              <w:keepNext w:val="0"/>
              <w:keepLines w:val="0"/>
              <w:widowControl/>
              <w:suppressLineNumbers w:val="0"/>
              <w:spacing w:before="0" w:beforeAutospacing="0" w:afterAutospacing="0"/>
              <w:ind w:right="0"/>
              <w:rPr>
                <w:rFonts w:hint="default"/>
              </w:rPr>
            </w:pPr>
            <w:r>
              <w:rPr>
                <w:rFonts w:hint="default"/>
              </w:rPr>
              <w:t>0.25 ± 0.01</w:t>
            </w:r>
          </w:p>
        </w:tc>
        <w:tc>
          <w:tcPr>
            <w:tcW w:w="438" w:type="pct"/>
            <w:noWrap/>
            <w:tcMar>
              <w:left w:w="0" w:type="dxa"/>
              <w:right w:w="0" w:type="dxa"/>
            </w:tcMar>
            <w:vAlign w:val="center"/>
          </w:tcPr>
          <w:p w14:paraId="1DC03B47">
            <w:pPr>
              <w:pStyle w:val="55"/>
              <w:keepNext w:val="0"/>
              <w:keepLines w:val="0"/>
              <w:widowControl/>
              <w:suppressLineNumbers w:val="0"/>
              <w:spacing w:before="0" w:beforeAutospacing="0" w:afterAutospacing="0"/>
              <w:ind w:right="0"/>
              <w:rPr>
                <w:rFonts w:hint="default"/>
              </w:rPr>
            </w:pPr>
            <w:r>
              <w:rPr>
                <w:rFonts w:hint="default"/>
              </w:rPr>
              <w:t>1.010 ± 0.001</w:t>
            </w:r>
          </w:p>
        </w:tc>
        <w:tc>
          <w:tcPr>
            <w:tcW w:w="536" w:type="pct"/>
            <w:noWrap/>
            <w:tcMar>
              <w:left w:w="0" w:type="dxa"/>
              <w:right w:w="0" w:type="dxa"/>
            </w:tcMar>
            <w:vAlign w:val="center"/>
          </w:tcPr>
          <w:p w14:paraId="5831C9FB">
            <w:pPr>
              <w:pStyle w:val="55"/>
              <w:keepNext w:val="0"/>
              <w:keepLines w:val="0"/>
              <w:widowControl/>
              <w:suppressLineNumbers w:val="0"/>
              <w:spacing w:before="0" w:beforeAutospacing="0" w:afterAutospacing="0"/>
              <w:ind w:right="0"/>
              <w:rPr>
                <w:rFonts w:hint="default"/>
              </w:rPr>
            </w:pPr>
            <w:r>
              <w:rPr>
                <w:rFonts w:hint="default"/>
              </w:rPr>
              <w:t>1.012 ± 0.002</w:t>
            </w:r>
          </w:p>
        </w:tc>
        <w:tc>
          <w:tcPr>
            <w:tcW w:w="416" w:type="pct"/>
            <w:noWrap/>
            <w:tcMar>
              <w:left w:w="0" w:type="dxa"/>
              <w:right w:w="0" w:type="dxa"/>
            </w:tcMar>
            <w:vAlign w:val="center"/>
          </w:tcPr>
          <w:p w14:paraId="61F57305">
            <w:pPr>
              <w:pStyle w:val="55"/>
              <w:keepNext w:val="0"/>
              <w:keepLines w:val="0"/>
              <w:widowControl/>
              <w:suppressLineNumbers w:val="0"/>
              <w:spacing w:before="0" w:beforeAutospacing="0" w:afterAutospacing="0"/>
              <w:ind w:right="0"/>
              <w:rPr>
                <w:rFonts w:hint="default"/>
              </w:rPr>
            </w:pPr>
            <w:r>
              <w:rPr>
                <w:rFonts w:hint="default"/>
              </w:rPr>
              <w:t>3298 ± 134</w:t>
            </w:r>
          </w:p>
        </w:tc>
        <w:tc>
          <w:tcPr>
            <w:tcW w:w="416" w:type="pct"/>
            <w:noWrap/>
            <w:tcMar>
              <w:left w:w="0" w:type="dxa"/>
              <w:right w:w="0" w:type="dxa"/>
            </w:tcMar>
            <w:vAlign w:val="center"/>
          </w:tcPr>
          <w:p w14:paraId="45049A60">
            <w:pPr>
              <w:pStyle w:val="55"/>
              <w:keepNext w:val="0"/>
              <w:keepLines w:val="0"/>
              <w:widowControl/>
              <w:suppressLineNumbers w:val="0"/>
              <w:spacing w:before="0" w:beforeAutospacing="0" w:afterAutospacing="0"/>
              <w:ind w:right="0"/>
              <w:rPr>
                <w:rFonts w:hint="default"/>
              </w:rPr>
            </w:pPr>
            <w:r>
              <w:rPr>
                <w:rFonts w:hint="default"/>
              </w:rPr>
              <w:t>665 ± 111</w:t>
            </w:r>
          </w:p>
        </w:tc>
        <w:tc>
          <w:tcPr>
            <w:tcW w:w="569" w:type="pct"/>
            <w:vAlign w:val="center"/>
          </w:tcPr>
          <w:p w14:paraId="17E4096D">
            <w:pPr>
              <w:pStyle w:val="55"/>
              <w:keepNext w:val="0"/>
              <w:keepLines w:val="0"/>
              <w:widowControl/>
              <w:suppressLineNumbers w:val="0"/>
              <w:spacing w:before="0" w:beforeAutospacing="0" w:afterAutospacing="0"/>
              <w:ind w:right="0"/>
              <w:rPr>
                <w:rFonts w:hint="default"/>
              </w:rPr>
            </w:pPr>
            <w:r>
              <w:rPr>
                <w:rFonts w:hint="default"/>
              </w:rPr>
              <w:t>665 ± 111</w:t>
            </w:r>
          </w:p>
        </w:tc>
        <w:tc>
          <w:tcPr>
            <w:tcW w:w="457" w:type="pct"/>
            <w:noWrap/>
            <w:tcMar>
              <w:left w:w="0" w:type="dxa"/>
              <w:right w:w="0" w:type="dxa"/>
            </w:tcMar>
            <w:vAlign w:val="center"/>
          </w:tcPr>
          <w:p w14:paraId="40EEBE0F">
            <w:pPr>
              <w:pStyle w:val="55"/>
              <w:keepNext w:val="0"/>
              <w:keepLines w:val="0"/>
              <w:widowControl/>
              <w:suppressLineNumbers w:val="0"/>
              <w:spacing w:before="0" w:beforeAutospacing="0" w:afterAutospacing="0"/>
              <w:ind w:right="0"/>
              <w:rPr>
                <w:rFonts w:hint="default"/>
              </w:rPr>
            </w:pPr>
            <w:r>
              <w:rPr>
                <w:rFonts w:hint="default"/>
              </w:rPr>
              <w:t>65 ± 21</w:t>
            </w:r>
          </w:p>
        </w:tc>
      </w:tr>
      <w:tr w14:paraId="0C025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84" w:type="pct"/>
            <w:noWrap/>
            <w:tcMar>
              <w:left w:w="0" w:type="dxa"/>
              <w:right w:w="0" w:type="dxa"/>
            </w:tcMar>
            <w:vAlign w:val="center"/>
          </w:tcPr>
          <w:p w14:paraId="19AB8D0A">
            <w:pPr>
              <w:pStyle w:val="55"/>
              <w:keepNext w:val="0"/>
              <w:keepLines w:val="0"/>
              <w:widowControl/>
              <w:suppressLineNumbers w:val="0"/>
              <w:spacing w:before="0" w:beforeAutospacing="0" w:afterAutospacing="0"/>
              <w:ind w:right="0"/>
              <w:rPr>
                <w:rFonts w:hint="default"/>
              </w:rPr>
            </w:pPr>
            <w:r>
              <w:rPr>
                <w:rFonts w:hint="default"/>
              </w:rPr>
              <w:t>BF7-S4</w:t>
            </w:r>
          </w:p>
        </w:tc>
        <w:tc>
          <w:tcPr>
            <w:tcW w:w="241" w:type="pct"/>
            <w:noWrap/>
            <w:tcMar>
              <w:left w:w="0" w:type="dxa"/>
              <w:right w:w="0" w:type="dxa"/>
            </w:tcMar>
            <w:vAlign w:val="center"/>
          </w:tcPr>
          <w:p w14:paraId="4EC8C21C">
            <w:pPr>
              <w:pStyle w:val="55"/>
              <w:keepNext w:val="0"/>
              <w:keepLines w:val="0"/>
              <w:widowControl/>
              <w:suppressLineNumbers w:val="0"/>
              <w:spacing w:before="0" w:beforeAutospacing="0" w:afterAutospacing="0"/>
              <w:ind w:right="0"/>
              <w:rPr>
                <w:rFonts w:hint="default"/>
              </w:rPr>
            </w:pPr>
            <w:r>
              <w:rPr>
                <w:rFonts w:hint="default"/>
              </w:rPr>
              <w:t>7</w:t>
            </w:r>
          </w:p>
        </w:tc>
        <w:tc>
          <w:tcPr>
            <w:tcW w:w="720" w:type="pct"/>
            <w:noWrap/>
            <w:tcMar>
              <w:left w:w="0" w:type="dxa"/>
              <w:right w:w="0" w:type="dxa"/>
            </w:tcMar>
            <w:vAlign w:val="center"/>
          </w:tcPr>
          <w:p w14:paraId="53FFDAAA">
            <w:pPr>
              <w:pStyle w:val="55"/>
              <w:keepNext w:val="0"/>
              <w:keepLines w:val="0"/>
              <w:widowControl/>
              <w:suppressLineNumbers w:val="0"/>
              <w:spacing w:before="0" w:beforeAutospacing="0" w:afterAutospacing="0"/>
              <w:ind w:right="0"/>
              <w:rPr>
                <w:rFonts w:hint="default"/>
              </w:rPr>
            </w:pPr>
            <w:r>
              <w:rPr>
                <w:rFonts w:hint="default"/>
              </w:rPr>
              <w:t>speleothem</w:t>
            </w:r>
          </w:p>
        </w:tc>
        <w:tc>
          <w:tcPr>
            <w:tcW w:w="418" w:type="pct"/>
            <w:noWrap/>
            <w:tcMar>
              <w:left w:w="0" w:type="dxa"/>
              <w:right w:w="0" w:type="dxa"/>
            </w:tcMar>
            <w:vAlign w:val="center"/>
          </w:tcPr>
          <w:p w14:paraId="0A99935C">
            <w:pPr>
              <w:pStyle w:val="55"/>
              <w:keepNext w:val="0"/>
              <w:keepLines w:val="0"/>
              <w:widowControl/>
              <w:suppressLineNumbers w:val="0"/>
              <w:spacing w:before="0" w:beforeAutospacing="0" w:afterAutospacing="0"/>
              <w:ind w:right="0"/>
              <w:rPr>
                <w:rFonts w:hint="default"/>
              </w:rPr>
            </w:pPr>
            <w:r>
              <w:rPr>
                <w:rFonts w:hint="default"/>
              </w:rPr>
              <w:t>450.4 ± 0.2</w:t>
            </w:r>
          </w:p>
        </w:tc>
        <w:tc>
          <w:tcPr>
            <w:tcW w:w="506" w:type="pct"/>
            <w:noWrap/>
            <w:tcMar>
              <w:left w:w="0" w:type="dxa"/>
              <w:right w:w="0" w:type="dxa"/>
            </w:tcMar>
            <w:vAlign w:val="center"/>
          </w:tcPr>
          <w:p w14:paraId="63567D41">
            <w:pPr>
              <w:pStyle w:val="55"/>
              <w:keepNext w:val="0"/>
              <w:keepLines w:val="0"/>
              <w:widowControl/>
              <w:suppressLineNumbers w:val="0"/>
              <w:spacing w:before="0" w:beforeAutospacing="0" w:afterAutospacing="0"/>
              <w:ind w:right="0"/>
              <w:rPr>
                <w:rFonts w:hint="default"/>
              </w:rPr>
            </w:pPr>
            <w:r>
              <w:rPr>
                <w:rFonts w:hint="default"/>
              </w:rPr>
              <w:t>2.89 ± 0.02</w:t>
            </w:r>
          </w:p>
        </w:tc>
        <w:tc>
          <w:tcPr>
            <w:tcW w:w="438" w:type="pct"/>
            <w:noWrap/>
            <w:tcMar>
              <w:left w:w="0" w:type="dxa"/>
              <w:right w:w="0" w:type="dxa"/>
            </w:tcMar>
            <w:vAlign w:val="center"/>
          </w:tcPr>
          <w:p w14:paraId="63F39E7C">
            <w:pPr>
              <w:pStyle w:val="55"/>
              <w:keepNext w:val="0"/>
              <w:keepLines w:val="0"/>
              <w:widowControl/>
              <w:suppressLineNumbers w:val="0"/>
              <w:spacing w:before="0" w:beforeAutospacing="0" w:afterAutospacing="0"/>
              <w:ind w:right="0"/>
              <w:rPr>
                <w:rFonts w:hint="default"/>
              </w:rPr>
            </w:pPr>
            <w:r>
              <w:rPr>
                <w:rFonts w:hint="default"/>
              </w:rPr>
              <w:t>1.146 ± 0.001</w:t>
            </w:r>
          </w:p>
        </w:tc>
        <w:tc>
          <w:tcPr>
            <w:tcW w:w="536" w:type="pct"/>
            <w:noWrap/>
            <w:tcMar>
              <w:left w:w="0" w:type="dxa"/>
              <w:right w:w="0" w:type="dxa"/>
            </w:tcMar>
            <w:vAlign w:val="center"/>
          </w:tcPr>
          <w:p w14:paraId="34CF7BA1">
            <w:pPr>
              <w:pStyle w:val="55"/>
              <w:keepNext w:val="0"/>
              <w:keepLines w:val="0"/>
              <w:widowControl/>
              <w:suppressLineNumbers w:val="0"/>
              <w:spacing w:before="0" w:beforeAutospacing="0" w:afterAutospacing="0"/>
              <w:ind w:right="0"/>
              <w:rPr>
                <w:rFonts w:hint="default"/>
              </w:rPr>
            </w:pPr>
            <w:r>
              <w:rPr>
                <w:rFonts w:hint="default"/>
              </w:rPr>
              <w:t>1.131 ± 0.002</w:t>
            </w:r>
          </w:p>
        </w:tc>
        <w:tc>
          <w:tcPr>
            <w:tcW w:w="416" w:type="pct"/>
            <w:noWrap/>
            <w:tcMar>
              <w:left w:w="0" w:type="dxa"/>
              <w:right w:w="0" w:type="dxa"/>
            </w:tcMar>
            <w:vAlign w:val="center"/>
          </w:tcPr>
          <w:p w14:paraId="3B5D6EA0">
            <w:pPr>
              <w:pStyle w:val="55"/>
              <w:keepNext w:val="0"/>
              <w:keepLines w:val="0"/>
              <w:widowControl/>
              <w:suppressLineNumbers w:val="0"/>
              <w:spacing w:before="0" w:beforeAutospacing="0" w:afterAutospacing="0"/>
              <w:ind w:right="0"/>
              <w:rPr>
                <w:rFonts w:hint="default"/>
              </w:rPr>
            </w:pPr>
            <w:r>
              <w:rPr>
                <w:rFonts w:hint="default"/>
              </w:rPr>
              <w:t>539 ± 4</w:t>
            </w:r>
          </w:p>
        </w:tc>
        <w:tc>
          <w:tcPr>
            <w:tcW w:w="416" w:type="pct"/>
            <w:noWrap/>
            <w:tcMar>
              <w:left w:w="0" w:type="dxa"/>
              <w:right w:w="0" w:type="dxa"/>
            </w:tcMar>
            <w:vAlign w:val="center"/>
          </w:tcPr>
          <w:p w14:paraId="6E20DAC2">
            <w:pPr>
              <w:pStyle w:val="55"/>
              <w:keepNext w:val="0"/>
              <w:keepLines w:val="0"/>
              <w:widowControl/>
              <w:suppressLineNumbers w:val="0"/>
              <w:spacing w:before="0" w:beforeAutospacing="0" w:afterAutospacing="0"/>
              <w:ind w:right="0"/>
              <w:rPr>
                <w:rFonts w:hint="default"/>
              </w:rPr>
            </w:pPr>
            <w:r>
              <w:rPr>
                <w:rFonts w:hint="default"/>
              </w:rPr>
              <w:t>322 ± 3</w:t>
            </w:r>
          </w:p>
        </w:tc>
        <w:tc>
          <w:tcPr>
            <w:tcW w:w="569" w:type="pct"/>
            <w:vAlign w:val="center"/>
          </w:tcPr>
          <w:p w14:paraId="6F8C27E6">
            <w:pPr>
              <w:pStyle w:val="55"/>
              <w:keepNext w:val="0"/>
              <w:keepLines w:val="0"/>
              <w:widowControl/>
              <w:suppressLineNumbers w:val="0"/>
              <w:spacing w:before="0" w:beforeAutospacing="0" w:afterAutospacing="0"/>
              <w:ind w:right="0"/>
              <w:rPr>
                <w:rFonts w:hint="default"/>
              </w:rPr>
            </w:pPr>
            <w:r>
              <w:rPr>
                <w:rFonts w:hint="default"/>
              </w:rPr>
              <w:t>321.9 ± 3.4</w:t>
            </w:r>
          </w:p>
        </w:tc>
        <w:tc>
          <w:tcPr>
            <w:tcW w:w="457" w:type="pct"/>
            <w:noWrap/>
            <w:tcMar>
              <w:left w:w="0" w:type="dxa"/>
              <w:right w:w="0" w:type="dxa"/>
            </w:tcMar>
            <w:vAlign w:val="center"/>
          </w:tcPr>
          <w:p w14:paraId="3740E61A">
            <w:pPr>
              <w:pStyle w:val="55"/>
              <w:keepNext w:val="0"/>
              <w:keepLines w:val="0"/>
              <w:widowControl/>
              <w:suppressLineNumbers w:val="0"/>
              <w:spacing w:before="0" w:beforeAutospacing="0" w:afterAutospacing="0"/>
              <w:ind w:right="0"/>
              <w:rPr>
                <w:rFonts w:hint="default"/>
              </w:rPr>
            </w:pPr>
            <w:r>
              <w:rPr>
                <w:rFonts w:hint="default"/>
              </w:rPr>
              <w:t>362 ± 4</w:t>
            </w:r>
          </w:p>
        </w:tc>
      </w:tr>
      <w:tr w14:paraId="3E901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84" w:type="pct"/>
            <w:noWrap/>
            <w:tcMar>
              <w:left w:w="0" w:type="dxa"/>
              <w:right w:w="0" w:type="dxa"/>
            </w:tcMar>
            <w:vAlign w:val="center"/>
          </w:tcPr>
          <w:p w14:paraId="35A34CDB">
            <w:pPr>
              <w:pStyle w:val="55"/>
              <w:keepNext w:val="0"/>
              <w:keepLines w:val="0"/>
              <w:widowControl/>
              <w:suppressLineNumbers w:val="0"/>
              <w:spacing w:before="0" w:beforeAutospacing="0" w:afterAutospacing="0"/>
              <w:ind w:right="0"/>
              <w:rPr>
                <w:rFonts w:hint="default"/>
              </w:rPr>
            </w:pPr>
            <w:r>
              <w:rPr>
                <w:rFonts w:hint="default"/>
              </w:rPr>
              <w:t>BF11-S1</w:t>
            </w:r>
          </w:p>
        </w:tc>
        <w:tc>
          <w:tcPr>
            <w:tcW w:w="241" w:type="pct"/>
            <w:noWrap/>
            <w:tcMar>
              <w:left w:w="0" w:type="dxa"/>
              <w:right w:w="0" w:type="dxa"/>
            </w:tcMar>
            <w:vAlign w:val="center"/>
          </w:tcPr>
          <w:p w14:paraId="3CE68BBA">
            <w:pPr>
              <w:pStyle w:val="55"/>
              <w:keepNext w:val="0"/>
              <w:keepLines w:val="0"/>
              <w:widowControl/>
              <w:suppressLineNumbers w:val="0"/>
              <w:spacing w:before="0" w:beforeAutospacing="0" w:afterAutospacing="0"/>
              <w:ind w:right="0"/>
              <w:rPr>
                <w:rFonts w:hint="default"/>
              </w:rPr>
            </w:pPr>
            <w:r>
              <w:rPr>
                <w:rFonts w:hint="default"/>
              </w:rPr>
              <w:t>11</w:t>
            </w:r>
          </w:p>
        </w:tc>
        <w:tc>
          <w:tcPr>
            <w:tcW w:w="720" w:type="pct"/>
            <w:noWrap/>
            <w:tcMar>
              <w:left w:w="0" w:type="dxa"/>
              <w:right w:w="0" w:type="dxa"/>
            </w:tcMar>
            <w:vAlign w:val="center"/>
          </w:tcPr>
          <w:p w14:paraId="587BBBF3">
            <w:pPr>
              <w:pStyle w:val="55"/>
              <w:keepNext w:val="0"/>
              <w:keepLines w:val="0"/>
              <w:widowControl/>
              <w:suppressLineNumbers w:val="0"/>
              <w:spacing w:before="0" w:beforeAutospacing="0" w:afterAutospacing="0"/>
              <w:ind w:right="0"/>
              <w:rPr>
                <w:rFonts w:hint="default"/>
              </w:rPr>
            </w:pPr>
            <w:r>
              <w:rPr>
                <w:rFonts w:hint="default"/>
              </w:rPr>
              <w:t>speleothem</w:t>
            </w:r>
          </w:p>
        </w:tc>
        <w:tc>
          <w:tcPr>
            <w:tcW w:w="418" w:type="pct"/>
            <w:noWrap/>
            <w:tcMar>
              <w:left w:w="0" w:type="dxa"/>
              <w:right w:w="0" w:type="dxa"/>
            </w:tcMar>
            <w:vAlign w:val="center"/>
          </w:tcPr>
          <w:p w14:paraId="1A2FBF0F">
            <w:pPr>
              <w:pStyle w:val="55"/>
              <w:keepNext w:val="0"/>
              <w:keepLines w:val="0"/>
              <w:widowControl/>
              <w:suppressLineNumbers w:val="0"/>
              <w:spacing w:before="0" w:beforeAutospacing="0" w:afterAutospacing="0"/>
              <w:ind w:right="0"/>
              <w:rPr>
                <w:rFonts w:hint="default"/>
              </w:rPr>
            </w:pPr>
            <w:r>
              <w:rPr>
                <w:rFonts w:hint="default"/>
              </w:rPr>
              <w:t>912.6 ± 0.6</w:t>
            </w:r>
          </w:p>
        </w:tc>
        <w:tc>
          <w:tcPr>
            <w:tcW w:w="506" w:type="pct"/>
            <w:noWrap/>
            <w:tcMar>
              <w:left w:w="0" w:type="dxa"/>
              <w:right w:w="0" w:type="dxa"/>
            </w:tcMar>
            <w:vAlign w:val="center"/>
          </w:tcPr>
          <w:p w14:paraId="5ECD5312">
            <w:pPr>
              <w:pStyle w:val="55"/>
              <w:keepNext w:val="0"/>
              <w:keepLines w:val="0"/>
              <w:widowControl/>
              <w:suppressLineNumbers w:val="0"/>
              <w:spacing w:before="0" w:beforeAutospacing="0" w:afterAutospacing="0"/>
              <w:ind w:right="0"/>
              <w:rPr>
                <w:rFonts w:hint="default"/>
              </w:rPr>
            </w:pPr>
            <w:r>
              <w:rPr>
                <w:rFonts w:hint="default"/>
              </w:rPr>
              <w:t>1.80 ± 0.01</w:t>
            </w:r>
          </w:p>
        </w:tc>
        <w:tc>
          <w:tcPr>
            <w:tcW w:w="438" w:type="pct"/>
            <w:noWrap/>
            <w:tcMar>
              <w:left w:w="0" w:type="dxa"/>
              <w:right w:w="0" w:type="dxa"/>
            </w:tcMar>
            <w:vAlign w:val="center"/>
          </w:tcPr>
          <w:p w14:paraId="7BB862C2">
            <w:pPr>
              <w:pStyle w:val="55"/>
              <w:keepNext w:val="0"/>
              <w:keepLines w:val="0"/>
              <w:widowControl/>
              <w:suppressLineNumbers w:val="0"/>
              <w:spacing w:before="0" w:beforeAutospacing="0" w:afterAutospacing="0"/>
              <w:ind w:right="0"/>
              <w:rPr>
                <w:rFonts w:hint="default"/>
              </w:rPr>
            </w:pPr>
            <w:r>
              <w:rPr>
                <w:rFonts w:hint="default"/>
              </w:rPr>
              <w:t>1.040 ± 0.001</w:t>
            </w:r>
          </w:p>
        </w:tc>
        <w:tc>
          <w:tcPr>
            <w:tcW w:w="536" w:type="pct"/>
            <w:noWrap/>
            <w:tcMar>
              <w:left w:w="0" w:type="dxa"/>
              <w:right w:w="0" w:type="dxa"/>
            </w:tcMar>
            <w:vAlign w:val="center"/>
          </w:tcPr>
          <w:p w14:paraId="33840E4A">
            <w:pPr>
              <w:pStyle w:val="55"/>
              <w:keepNext w:val="0"/>
              <w:keepLines w:val="0"/>
              <w:widowControl/>
              <w:suppressLineNumbers w:val="0"/>
              <w:spacing w:before="0" w:beforeAutospacing="0" w:afterAutospacing="0"/>
              <w:ind w:right="0"/>
              <w:rPr>
                <w:rFonts w:hint="default"/>
              </w:rPr>
            </w:pPr>
            <w:r>
              <w:rPr>
                <w:rFonts w:hint="default"/>
              </w:rPr>
              <w:t>1.058 ± 0.001</w:t>
            </w:r>
          </w:p>
        </w:tc>
        <w:tc>
          <w:tcPr>
            <w:tcW w:w="416" w:type="pct"/>
            <w:noWrap/>
            <w:tcMar>
              <w:left w:w="0" w:type="dxa"/>
              <w:right w:w="0" w:type="dxa"/>
            </w:tcMar>
            <w:vAlign w:val="center"/>
          </w:tcPr>
          <w:p w14:paraId="72794CAD">
            <w:pPr>
              <w:pStyle w:val="55"/>
              <w:keepNext w:val="0"/>
              <w:keepLines w:val="0"/>
              <w:widowControl/>
              <w:suppressLineNumbers w:val="0"/>
              <w:spacing w:before="0" w:beforeAutospacing="0" w:afterAutospacing="0"/>
              <w:ind w:right="0"/>
              <w:rPr>
                <w:rFonts w:hint="default"/>
              </w:rPr>
            </w:pPr>
            <w:r>
              <w:rPr>
                <w:rFonts w:hint="default"/>
              </w:rPr>
              <w:t>1639 ± 10</w:t>
            </w:r>
          </w:p>
        </w:tc>
        <w:tc>
          <w:tcPr>
            <w:tcW w:w="416" w:type="pct"/>
            <w:noWrap/>
            <w:tcMar>
              <w:left w:w="0" w:type="dxa"/>
              <w:right w:w="0" w:type="dxa"/>
            </w:tcMar>
            <w:vAlign w:val="center"/>
          </w:tcPr>
          <w:p w14:paraId="2DE8977B">
            <w:pPr>
              <w:pStyle w:val="55"/>
              <w:keepNext w:val="0"/>
              <w:keepLines w:val="0"/>
              <w:widowControl/>
              <w:suppressLineNumbers w:val="0"/>
              <w:spacing w:before="0" w:beforeAutospacing="0" w:afterAutospacing="0"/>
              <w:ind w:right="0"/>
              <w:rPr>
                <w:rFonts w:hint="default"/>
              </w:rPr>
            </w:pPr>
            <w:r>
              <w:rPr>
                <w:rFonts w:hint="default"/>
              </w:rPr>
              <w:t>&gt;600</w:t>
            </w:r>
          </w:p>
        </w:tc>
        <w:tc>
          <w:tcPr>
            <w:tcW w:w="569" w:type="pct"/>
            <w:vAlign w:val="center"/>
          </w:tcPr>
          <w:p w14:paraId="36F09B10">
            <w:pPr>
              <w:pStyle w:val="55"/>
              <w:keepNext w:val="0"/>
              <w:keepLines w:val="0"/>
              <w:widowControl/>
              <w:suppressLineNumbers w:val="0"/>
              <w:spacing w:before="0" w:beforeAutospacing="0" w:afterAutospacing="0"/>
              <w:ind w:right="0"/>
              <w:rPr>
                <w:rFonts w:hint="default"/>
              </w:rPr>
            </w:pPr>
            <w:r>
              <w:rPr>
                <w:rFonts w:hint="default"/>
              </w:rPr>
              <w:t>-</w:t>
            </w:r>
          </w:p>
        </w:tc>
        <w:tc>
          <w:tcPr>
            <w:tcW w:w="457" w:type="pct"/>
            <w:noWrap/>
            <w:tcMar>
              <w:left w:w="0" w:type="dxa"/>
              <w:right w:w="0" w:type="dxa"/>
            </w:tcMar>
            <w:vAlign w:val="center"/>
          </w:tcPr>
          <w:p w14:paraId="061AC291">
            <w:pPr>
              <w:pStyle w:val="55"/>
              <w:keepNext w:val="0"/>
              <w:keepLines w:val="0"/>
              <w:widowControl/>
              <w:suppressLineNumbers w:val="0"/>
              <w:spacing w:before="0" w:beforeAutospacing="0" w:afterAutospacing="0"/>
              <w:ind w:right="0"/>
              <w:rPr>
                <w:rFonts w:hint="default"/>
              </w:rPr>
            </w:pPr>
            <w:r>
              <w:rPr>
                <w:rFonts w:hint="default"/>
              </w:rPr>
              <w:t>-</w:t>
            </w:r>
          </w:p>
        </w:tc>
      </w:tr>
      <w:tr w14:paraId="4893C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84" w:type="pct"/>
            <w:noWrap/>
            <w:tcMar>
              <w:left w:w="0" w:type="dxa"/>
              <w:right w:w="0" w:type="dxa"/>
            </w:tcMar>
            <w:vAlign w:val="center"/>
          </w:tcPr>
          <w:p w14:paraId="4E39B4F5">
            <w:pPr>
              <w:pStyle w:val="55"/>
              <w:keepNext w:val="0"/>
              <w:keepLines w:val="0"/>
              <w:widowControl/>
              <w:suppressLineNumbers w:val="0"/>
              <w:spacing w:before="0" w:beforeAutospacing="0" w:afterAutospacing="0"/>
              <w:ind w:right="0"/>
              <w:rPr>
                <w:rFonts w:hint="default"/>
              </w:rPr>
            </w:pPr>
            <w:r>
              <w:rPr>
                <w:rFonts w:hint="default"/>
              </w:rPr>
              <w:t>BF7-H1</w:t>
            </w:r>
          </w:p>
        </w:tc>
        <w:tc>
          <w:tcPr>
            <w:tcW w:w="241" w:type="pct"/>
            <w:noWrap/>
            <w:tcMar>
              <w:left w:w="0" w:type="dxa"/>
              <w:right w:w="0" w:type="dxa"/>
            </w:tcMar>
            <w:vAlign w:val="center"/>
          </w:tcPr>
          <w:p w14:paraId="730F3CAF">
            <w:pPr>
              <w:pStyle w:val="55"/>
              <w:keepNext w:val="0"/>
              <w:keepLines w:val="0"/>
              <w:widowControl/>
              <w:suppressLineNumbers w:val="0"/>
              <w:spacing w:before="0" w:beforeAutospacing="0" w:afterAutospacing="0"/>
              <w:ind w:right="0"/>
              <w:rPr>
                <w:rFonts w:hint="default"/>
              </w:rPr>
            </w:pPr>
            <w:r>
              <w:rPr>
                <w:rFonts w:hint="default"/>
              </w:rPr>
              <w:t>7</w:t>
            </w:r>
          </w:p>
        </w:tc>
        <w:tc>
          <w:tcPr>
            <w:tcW w:w="720" w:type="pct"/>
            <w:noWrap/>
            <w:tcMar>
              <w:left w:w="0" w:type="dxa"/>
              <w:right w:w="0" w:type="dxa"/>
            </w:tcMar>
            <w:vAlign w:val="center"/>
          </w:tcPr>
          <w:p w14:paraId="25C5F4A9">
            <w:pPr>
              <w:pStyle w:val="55"/>
              <w:keepNext w:val="0"/>
              <w:keepLines w:val="0"/>
              <w:widowControl/>
              <w:suppressLineNumbers w:val="0"/>
              <w:spacing w:before="0" w:beforeAutospacing="0" w:afterAutospacing="0"/>
              <w:ind w:right="0"/>
              <w:rPr>
                <w:rFonts w:hint="default"/>
              </w:rPr>
            </w:pPr>
            <w:r>
              <w:rPr>
                <w:rFonts w:hint="default"/>
              </w:rPr>
              <w:t>human tooth</w:t>
            </w:r>
          </w:p>
        </w:tc>
        <w:tc>
          <w:tcPr>
            <w:tcW w:w="418" w:type="pct"/>
            <w:noWrap/>
            <w:tcMar>
              <w:left w:w="0" w:type="dxa"/>
              <w:right w:w="0" w:type="dxa"/>
            </w:tcMar>
            <w:vAlign w:val="center"/>
          </w:tcPr>
          <w:p w14:paraId="071C21D2">
            <w:pPr>
              <w:pStyle w:val="55"/>
              <w:keepNext w:val="0"/>
              <w:keepLines w:val="0"/>
              <w:widowControl/>
              <w:suppressLineNumbers w:val="0"/>
              <w:spacing w:before="0" w:beforeAutospacing="0" w:afterAutospacing="0"/>
              <w:ind w:right="0"/>
              <w:rPr>
                <w:rFonts w:hint="default"/>
              </w:rPr>
            </w:pPr>
            <w:r>
              <w:rPr>
                <w:rFonts w:hint="default"/>
              </w:rPr>
              <w:t>7257 ± 2</w:t>
            </w:r>
          </w:p>
        </w:tc>
        <w:tc>
          <w:tcPr>
            <w:tcW w:w="506" w:type="pct"/>
            <w:noWrap/>
            <w:tcMar>
              <w:left w:w="0" w:type="dxa"/>
              <w:right w:w="0" w:type="dxa"/>
            </w:tcMar>
            <w:vAlign w:val="center"/>
          </w:tcPr>
          <w:p w14:paraId="5FFB155B">
            <w:pPr>
              <w:pStyle w:val="55"/>
              <w:keepNext w:val="0"/>
              <w:keepLines w:val="0"/>
              <w:widowControl/>
              <w:suppressLineNumbers w:val="0"/>
              <w:spacing w:before="0" w:beforeAutospacing="0" w:afterAutospacing="0"/>
              <w:ind w:right="0"/>
              <w:rPr>
                <w:rFonts w:hint="default"/>
              </w:rPr>
            </w:pPr>
            <w:r>
              <w:rPr>
                <w:rFonts w:hint="default"/>
              </w:rPr>
              <w:t>26 ± 1</w:t>
            </w:r>
          </w:p>
        </w:tc>
        <w:tc>
          <w:tcPr>
            <w:tcW w:w="438" w:type="pct"/>
            <w:noWrap/>
            <w:tcMar>
              <w:left w:w="0" w:type="dxa"/>
              <w:right w:w="0" w:type="dxa"/>
            </w:tcMar>
            <w:vAlign w:val="center"/>
          </w:tcPr>
          <w:p w14:paraId="5D191FE2">
            <w:pPr>
              <w:pStyle w:val="55"/>
              <w:keepNext w:val="0"/>
              <w:keepLines w:val="0"/>
              <w:widowControl/>
              <w:suppressLineNumbers w:val="0"/>
              <w:spacing w:before="0" w:beforeAutospacing="0" w:afterAutospacing="0"/>
              <w:ind w:right="0"/>
              <w:rPr>
                <w:rFonts w:hint="default"/>
              </w:rPr>
            </w:pPr>
            <w:r>
              <w:rPr>
                <w:rFonts w:hint="default"/>
              </w:rPr>
              <w:t>1.167 ± 0.001</w:t>
            </w:r>
          </w:p>
        </w:tc>
        <w:tc>
          <w:tcPr>
            <w:tcW w:w="536" w:type="pct"/>
            <w:noWrap/>
            <w:tcMar>
              <w:left w:w="0" w:type="dxa"/>
              <w:right w:w="0" w:type="dxa"/>
            </w:tcMar>
            <w:vAlign w:val="center"/>
          </w:tcPr>
          <w:p w14:paraId="63939C1A">
            <w:pPr>
              <w:pStyle w:val="55"/>
              <w:keepNext w:val="0"/>
              <w:keepLines w:val="0"/>
              <w:widowControl/>
              <w:suppressLineNumbers w:val="0"/>
              <w:spacing w:before="0" w:beforeAutospacing="0" w:afterAutospacing="0"/>
              <w:ind w:right="0"/>
              <w:rPr>
                <w:rFonts w:hint="default"/>
              </w:rPr>
            </w:pPr>
            <w:r>
              <w:rPr>
                <w:rFonts w:hint="default"/>
              </w:rPr>
              <w:t>0.650 ± 0.001</w:t>
            </w:r>
          </w:p>
        </w:tc>
        <w:tc>
          <w:tcPr>
            <w:tcW w:w="416" w:type="pct"/>
            <w:noWrap/>
            <w:tcMar>
              <w:left w:w="0" w:type="dxa"/>
              <w:right w:w="0" w:type="dxa"/>
            </w:tcMar>
            <w:vAlign w:val="center"/>
          </w:tcPr>
          <w:p w14:paraId="283A06BC">
            <w:pPr>
              <w:pStyle w:val="55"/>
              <w:keepNext w:val="0"/>
              <w:keepLines w:val="0"/>
              <w:widowControl/>
              <w:suppressLineNumbers w:val="0"/>
              <w:spacing w:before="0" w:beforeAutospacing="0" w:afterAutospacing="0"/>
              <w:ind w:right="0"/>
              <w:rPr>
                <w:rFonts w:hint="default"/>
              </w:rPr>
            </w:pPr>
            <w:r>
              <w:rPr>
                <w:rFonts w:hint="default"/>
              </w:rPr>
              <w:t>556 ± 12</w:t>
            </w:r>
          </w:p>
        </w:tc>
        <w:tc>
          <w:tcPr>
            <w:tcW w:w="416" w:type="pct"/>
            <w:noWrap/>
            <w:tcMar>
              <w:left w:w="0" w:type="dxa"/>
              <w:right w:w="0" w:type="dxa"/>
            </w:tcMar>
            <w:vAlign w:val="center"/>
          </w:tcPr>
          <w:p w14:paraId="16427F81">
            <w:pPr>
              <w:pStyle w:val="55"/>
              <w:keepNext w:val="0"/>
              <w:keepLines w:val="0"/>
              <w:widowControl/>
              <w:suppressLineNumbers w:val="0"/>
              <w:spacing w:before="0" w:beforeAutospacing="0" w:afterAutospacing="0"/>
              <w:ind w:right="0"/>
              <w:rPr>
                <w:rFonts w:hint="default"/>
              </w:rPr>
            </w:pPr>
            <w:r>
              <w:rPr>
                <w:rFonts w:hint="default"/>
              </w:rPr>
              <w:t>86.5 ± 0.3</w:t>
            </w:r>
          </w:p>
        </w:tc>
        <w:tc>
          <w:tcPr>
            <w:tcW w:w="569" w:type="pct"/>
            <w:vAlign w:val="center"/>
          </w:tcPr>
          <w:p w14:paraId="4CB432DB">
            <w:pPr>
              <w:pStyle w:val="55"/>
              <w:keepNext w:val="0"/>
              <w:keepLines w:val="0"/>
              <w:widowControl/>
              <w:suppressLineNumbers w:val="0"/>
              <w:spacing w:before="0" w:beforeAutospacing="0" w:afterAutospacing="0"/>
              <w:ind w:right="0"/>
              <w:rPr>
                <w:rFonts w:hint="default"/>
              </w:rPr>
            </w:pPr>
            <w:r>
              <w:rPr>
                <w:rFonts w:hint="default"/>
              </w:rPr>
              <w:t>86.4 ± 0.3</w:t>
            </w:r>
          </w:p>
        </w:tc>
        <w:tc>
          <w:tcPr>
            <w:tcW w:w="457" w:type="pct"/>
            <w:noWrap/>
            <w:tcMar>
              <w:left w:w="0" w:type="dxa"/>
              <w:right w:w="0" w:type="dxa"/>
            </w:tcMar>
            <w:vAlign w:val="center"/>
          </w:tcPr>
          <w:p w14:paraId="520B51F6">
            <w:pPr>
              <w:pStyle w:val="55"/>
              <w:keepNext w:val="0"/>
              <w:keepLines w:val="0"/>
              <w:widowControl/>
              <w:suppressLineNumbers w:val="0"/>
              <w:spacing w:before="0" w:beforeAutospacing="0" w:afterAutospacing="0"/>
              <w:ind w:right="0"/>
              <w:rPr>
                <w:rFonts w:hint="default"/>
              </w:rPr>
            </w:pPr>
            <w:r>
              <w:rPr>
                <w:rFonts w:hint="default"/>
              </w:rPr>
              <w:t>213 ± 2</w:t>
            </w:r>
          </w:p>
        </w:tc>
      </w:tr>
      <w:tr w14:paraId="34AF0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84" w:type="pct"/>
            <w:noWrap/>
            <w:tcMar>
              <w:left w:w="0" w:type="dxa"/>
              <w:right w:w="0" w:type="dxa"/>
            </w:tcMar>
            <w:vAlign w:val="center"/>
          </w:tcPr>
          <w:p w14:paraId="6FDB7292">
            <w:pPr>
              <w:pStyle w:val="55"/>
              <w:keepNext w:val="0"/>
              <w:keepLines w:val="0"/>
              <w:widowControl/>
              <w:suppressLineNumbers w:val="0"/>
              <w:spacing w:before="0" w:beforeAutospacing="0" w:afterAutospacing="0"/>
              <w:ind w:right="0"/>
              <w:rPr>
                <w:rFonts w:hint="default"/>
              </w:rPr>
            </w:pPr>
            <w:r>
              <w:rPr>
                <w:rFonts w:hint="default"/>
              </w:rPr>
              <w:t>BF7-H2</w:t>
            </w:r>
          </w:p>
        </w:tc>
        <w:tc>
          <w:tcPr>
            <w:tcW w:w="241" w:type="pct"/>
            <w:noWrap/>
            <w:tcMar>
              <w:left w:w="0" w:type="dxa"/>
              <w:right w:w="0" w:type="dxa"/>
            </w:tcMar>
            <w:vAlign w:val="center"/>
          </w:tcPr>
          <w:p w14:paraId="5A955DD1">
            <w:pPr>
              <w:pStyle w:val="55"/>
              <w:keepNext w:val="0"/>
              <w:keepLines w:val="0"/>
              <w:widowControl/>
              <w:suppressLineNumbers w:val="0"/>
              <w:spacing w:before="0" w:beforeAutospacing="0" w:afterAutospacing="0"/>
              <w:ind w:right="0"/>
              <w:rPr>
                <w:rFonts w:hint="default"/>
              </w:rPr>
            </w:pPr>
            <w:r>
              <w:rPr>
                <w:rFonts w:hint="default"/>
              </w:rPr>
              <w:t>7</w:t>
            </w:r>
          </w:p>
        </w:tc>
        <w:tc>
          <w:tcPr>
            <w:tcW w:w="720" w:type="pct"/>
            <w:noWrap/>
            <w:tcMar>
              <w:left w:w="0" w:type="dxa"/>
              <w:right w:w="0" w:type="dxa"/>
            </w:tcMar>
            <w:vAlign w:val="center"/>
          </w:tcPr>
          <w:p w14:paraId="2E4A1BE3">
            <w:pPr>
              <w:pStyle w:val="55"/>
              <w:keepNext w:val="0"/>
              <w:keepLines w:val="0"/>
              <w:widowControl/>
              <w:suppressLineNumbers w:val="0"/>
              <w:spacing w:before="0" w:beforeAutospacing="0" w:afterAutospacing="0"/>
              <w:ind w:right="0"/>
              <w:rPr>
                <w:rFonts w:hint="default"/>
              </w:rPr>
            </w:pPr>
            <w:r>
              <w:rPr>
                <w:rFonts w:hint="default"/>
              </w:rPr>
              <w:t>human tooth</w:t>
            </w:r>
          </w:p>
        </w:tc>
        <w:tc>
          <w:tcPr>
            <w:tcW w:w="418" w:type="pct"/>
            <w:noWrap/>
            <w:tcMar>
              <w:left w:w="0" w:type="dxa"/>
              <w:right w:w="0" w:type="dxa"/>
            </w:tcMar>
            <w:vAlign w:val="center"/>
          </w:tcPr>
          <w:p w14:paraId="360A45D9">
            <w:pPr>
              <w:pStyle w:val="55"/>
              <w:keepNext w:val="0"/>
              <w:keepLines w:val="0"/>
              <w:widowControl/>
              <w:suppressLineNumbers w:val="0"/>
              <w:spacing w:before="0" w:beforeAutospacing="0" w:afterAutospacing="0"/>
              <w:ind w:right="0"/>
              <w:rPr>
                <w:rFonts w:hint="default"/>
              </w:rPr>
            </w:pPr>
            <w:r>
              <w:rPr>
                <w:rFonts w:hint="default"/>
              </w:rPr>
              <w:t>5406 ± 7</w:t>
            </w:r>
          </w:p>
        </w:tc>
        <w:tc>
          <w:tcPr>
            <w:tcW w:w="506" w:type="pct"/>
            <w:noWrap/>
            <w:tcMar>
              <w:left w:w="0" w:type="dxa"/>
              <w:right w:w="0" w:type="dxa"/>
            </w:tcMar>
            <w:vAlign w:val="center"/>
          </w:tcPr>
          <w:p w14:paraId="29641121">
            <w:pPr>
              <w:pStyle w:val="55"/>
              <w:keepNext w:val="0"/>
              <w:keepLines w:val="0"/>
              <w:widowControl/>
              <w:suppressLineNumbers w:val="0"/>
              <w:spacing w:before="0" w:beforeAutospacing="0" w:afterAutospacing="0"/>
              <w:ind w:right="0"/>
              <w:rPr>
                <w:rFonts w:hint="default"/>
              </w:rPr>
            </w:pPr>
            <w:r>
              <w:rPr>
                <w:rFonts w:hint="default"/>
              </w:rPr>
              <w:t>105 ± 1</w:t>
            </w:r>
          </w:p>
        </w:tc>
        <w:tc>
          <w:tcPr>
            <w:tcW w:w="438" w:type="pct"/>
            <w:noWrap/>
            <w:tcMar>
              <w:left w:w="0" w:type="dxa"/>
              <w:right w:w="0" w:type="dxa"/>
            </w:tcMar>
            <w:vAlign w:val="center"/>
          </w:tcPr>
          <w:p w14:paraId="760D7824">
            <w:pPr>
              <w:pStyle w:val="55"/>
              <w:keepNext w:val="0"/>
              <w:keepLines w:val="0"/>
              <w:widowControl/>
              <w:suppressLineNumbers w:val="0"/>
              <w:spacing w:before="0" w:beforeAutospacing="0" w:afterAutospacing="0"/>
              <w:ind w:right="0"/>
              <w:rPr>
                <w:rFonts w:hint="default"/>
              </w:rPr>
            </w:pPr>
            <w:r>
              <w:rPr>
                <w:rFonts w:hint="default"/>
              </w:rPr>
              <w:t>1.186 ± 0.003</w:t>
            </w:r>
          </w:p>
        </w:tc>
        <w:tc>
          <w:tcPr>
            <w:tcW w:w="536" w:type="pct"/>
            <w:noWrap/>
            <w:tcMar>
              <w:left w:w="0" w:type="dxa"/>
              <w:right w:w="0" w:type="dxa"/>
            </w:tcMar>
            <w:vAlign w:val="center"/>
          </w:tcPr>
          <w:p w14:paraId="32606763">
            <w:pPr>
              <w:pStyle w:val="55"/>
              <w:keepNext w:val="0"/>
              <w:keepLines w:val="0"/>
              <w:widowControl/>
              <w:suppressLineNumbers w:val="0"/>
              <w:spacing w:before="0" w:beforeAutospacing="0" w:afterAutospacing="0"/>
              <w:ind w:right="0"/>
              <w:rPr>
                <w:rFonts w:hint="default"/>
              </w:rPr>
            </w:pPr>
            <w:r>
              <w:rPr>
                <w:rFonts w:hint="default"/>
              </w:rPr>
              <w:t>0.736 ± 0.002</w:t>
            </w:r>
          </w:p>
        </w:tc>
        <w:tc>
          <w:tcPr>
            <w:tcW w:w="416" w:type="pct"/>
            <w:noWrap/>
            <w:tcMar>
              <w:left w:w="0" w:type="dxa"/>
              <w:right w:w="0" w:type="dxa"/>
            </w:tcMar>
            <w:vAlign w:val="center"/>
          </w:tcPr>
          <w:p w14:paraId="2E82BA17">
            <w:pPr>
              <w:pStyle w:val="55"/>
              <w:keepNext w:val="0"/>
              <w:keepLines w:val="0"/>
              <w:widowControl/>
              <w:suppressLineNumbers w:val="0"/>
              <w:spacing w:before="0" w:beforeAutospacing="0" w:afterAutospacing="0"/>
              <w:ind w:right="0"/>
              <w:rPr>
                <w:rFonts w:hint="default"/>
              </w:rPr>
            </w:pPr>
            <w:r>
              <w:rPr>
                <w:rFonts w:hint="default"/>
              </w:rPr>
              <w:t>116 ± 1</w:t>
            </w:r>
          </w:p>
        </w:tc>
        <w:tc>
          <w:tcPr>
            <w:tcW w:w="416" w:type="pct"/>
            <w:noWrap/>
            <w:tcMar>
              <w:left w:w="0" w:type="dxa"/>
              <w:right w:w="0" w:type="dxa"/>
            </w:tcMar>
            <w:vAlign w:val="center"/>
          </w:tcPr>
          <w:p w14:paraId="375E5DBB">
            <w:pPr>
              <w:pStyle w:val="55"/>
              <w:keepNext w:val="0"/>
              <w:keepLines w:val="0"/>
              <w:widowControl/>
              <w:suppressLineNumbers w:val="0"/>
              <w:spacing w:before="0" w:beforeAutospacing="0" w:afterAutospacing="0"/>
              <w:ind w:right="0"/>
              <w:rPr>
                <w:rFonts w:hint="default"/>
              </w:rPr>
            </w:pPr>
            <w:r>
              <w:rPr>
                <w:rFonts w:hint="default"/>
              </w:rPr>
              <w:t>102.1 ± 0.7</w:t>
            </w:r>
          </w:p>
        </w:tc>
        <w:tc>
          <w:tcPr>
            <w:tcW w:w="569" w:type="pct"/>
            <w:vAlign w:val="center"/>
          </w:tcPr>
          <w:p w14:paraId="2FA6C5E5">
            <w:pPr>
              <w:pStyle w:val="55"/>
              <w:keepNext w:val="0"/>
              <w:keepLines w:val="0"/>
              <w:widowControl/>
              <w:suppressLineNumbers w:val="0"/>
              <w:spacing w:before="0" w:beforeAutospacing="0" w:afterAutospacing="0"/>
              <w:ind w:right="0"/>
              <w:rPr>
                <w:rFonts w:hint="default"/>
              </w:rPr>
            </w:pPr>
            <w:r>
              <w:rPr>
                <w:rFonts w:hint="default"/>
              </w:rPr>
              <w:t>101.6 ± 0.7</w:t>
            </w:r>
          </w:p>
        </w:tc>
        <w:tc>
          <w:tcPr>
            <w:tcW w:w="457" w:type="pct"/>
            <w:noWrap/>
            <w:tcMar>
              <w:left w:w="0" w:type="dxa"/>
              <w:right w:w="0" w:type="dxa"/>
            </w:tcMar>
            <w:vAlign w:val="center"/>
          </w:tcPr>
          <w:p w14:paraId="4A43EDB0">
            <w:pPr>
              <w:pStyle w:val="55"/>
              <w:keepNext w:val="0"/>
              <w:keepLines w:val="0"/>
              <w:widowControl/>
              <w:suppressLineNumbers w:val="0"/>
              <w:spacing w:before="0" w:beforeAutospacing="0" w:afterAutospacing="0"/>
              <w:ind w:right="0"/>
              <w:rPr>
                <w:rFonts w:hint="default"/>
              </w:rPr>
            </w:pPr>
            <w:r>
              <w:rPr>
                <w:rFonts w:hint="default"/>
              </w:rPr>
              <w:t>247 ± 4</w:t>
            </w:r>
          </w:p>
        </w:tc>
      </w:tr>
      <w:tr w14:paraId="58A53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84" w:type="pct"/>
            <w:noWrap/>
            <w:tcMar>
              <w:left w:w="0" w:type="dxa"/>
              <w:right w:w="0" w:type="dxa"/>
            </w:tcMar>
            <w:vAlign w:val="center"/>
          </w:tcPr>
          <w:p w14:paraId="040C0FB4">
            <w:pPr>
              <w:pStyle w:val="55"/>
              <w:keepNext w:val="0"/>
              <w:keepLines w:val="0"/>
              <w:widowControl/>
              <w:suppressLineNumbers w:val="0"/>
              <w:spacing w:before="0" w:beforeAutospacing="0" w:afterAutospacing="0"/>
              <w:ind w:right="0"/>
              <w:rPr>
                <w:rFonts w:hint="default"/>
              </w:rPr>
            </w:pPr>
            <w:r>
              <w:rPr>
                <w:rFonts w:hint="default"/>
              </w:rPr>
              <w:t>BF7-H3</w:t>
            </w:r>
          </w:p>
        </w:tc>
        <w:tc>
          <w:tcPr>
            <w:tcW w:w="241" w:type="pct"/>
            <w:noWrap/>
            <w:tcMar>
              <w:left w:w="0" w:type="dxa"/>
              <w:right w:w="0" w:type="dxa"/>
            </w:tcMar>
            <w:vAlign w:val="center"/>
          </w:tcPr>
          <w:p w14:paraId="5BD74BDE">
            <w:pPr>
              <w:pStyle w:val="55"/>
              <w:keepNext w:val="0"/>
              <w:keepLines w:val="0"/>
              <w:widowControl/>
              <w:suppressLineNumbers w:val="0"/>
              <w:spacing w:before="0" w:beforeAutospacing="0" w:afterAutospacing="0"/>
              <w:ind w:right="0"/>
              <w:rPr>
                <w:rFonts w:hint="default"/>
              </w:rPr>
            </w:pPr>
            <w:r>
              <w:rPr>
                <w:rFonts w:hint="default"/>
              </w:rPr>
              <w:t>7</w:t>
            </w:r>
          </w:p>
        </w:tc>
        <w:tc>
          <w:tcPr>
            <w:tcW w:w="720" w:type="pct"/>
            <w:noWrap/>
            <w:tcMar>
              <w:left w:w="0" w:type="dxa"/>
              <w:right w:w="0" w:type="dxa"/>
            </w:tcMar>
            <w:vAlign w:val="center"/>
          </w:tcPr>
          <w:p w14:paraId="6905C980">
            <w:pPr>
              <w:pStyle w:val="55"/>
              <w:keepNext w:val="0"/>
              <w:keepLines w:val="0"/>
              <w:widowControl/>
              <w:suppressLineNumbers w:val="0"/>
              <w:spacing w:before="0" w:beforeAutospacing="0" w:afterAutospacing="0"/>
              <w:ind w:right="0"/>
              <w:rPr>
                <w:rFonts w:hint="default"/>
              </w:rPr>
            </w:pPr>
            <w:r>
              <w:rPr>
                <w:rFonts w:hint="default"/>
              </w:rPr>
              <w:t>human limb bone</w:t>
            </w:r>
          </w:p>
        </w:tc>
        <w:tc>
          <w:tcPr>
            <w:tcW w:w="418" w:type="pct"/>
            <w:noWrap/>
            <w:tcMar>
              <w:left w:w="0" w:type="dxa"/>
              <w:right w:w="0" w:type="dxa"/>
            </w:tcMar>
            <w:vAlign w:val="center"/>
          </w:tcPr>
          <w:p w14:paraId="71286687">
            <w:pPr>
              <w:pStyle w:val="55"/>
              <w:keepNext w:val="0"/>
              <w:keepLines w:val="0"/>
              <w:widowControl/>
              <w:suppressLineNumbers w:val="0"/>
              <w:spacing w:before="0" w:beforeAutospacing="0" w:afterAutospacing="0"/>
              <w:ind w:right="0"/>
              <w:rPr>
                <w:rFonts w:hint="default"/>
              </w:rPr>
            </w:pPr>
            <w:r>
              <w:rPr>
                <w:rFonts w:hint="default"/>
              </w:rPr>
              <w:t>22679 ± 6</w:t>
            </w:r>
          </w:p>
        </w:tc>
        <w:tc>
          <w:tcPr>
            <w:tcW w:w="506" w:type="pct"/>
            <w:noWrap/>
            <w:tcMar>
              <w:left w:w="0" w:type="dxa"/>
              <w:right w:w="0" w:type="dxa"/>
            </w:tcMar>
            <w:vAlign w:val="center"/>
          </w:tcPr>
          <w:p w14:paraId="7E1275E0">
            <w:pPr>
              <w:pStyle w:val="55"/>
              <w:keepNext w:val="0"/>
              <w:keepLines w:val="0"/>
              <w:widowControl/>
              <w:suppressLineNumbers w:val="0"/>
              <w:spacing w:before="0" w:beforeAutospacing="0" w:afterAutospacing="0"/>
              <w:ind w:right="0"/>
              <w:rPr>
                <w:rFonts w:hint="default"/>
              </w:rPr>
            </w:pPr>
            <w:r>
              <w:rPr>
                <w:rFonts w:hint="default"/>
              </w:rPr>
              <w:t>57 ± 1</w:t>
            </w:r>
          </w:p>
        </w:tc>
        <w:tc>
          <w:tcPr>
            <w:tcW w:w="438" w:type="pct"/>
            <w:noWrap/>
            <w:tcMar>
              <w:left w:w="0" w:type="dxa"/>
              <w:right w:w="0" w:type="dxa"/>
            </w:tcMar>
            <w:vAlign w:val="center"/>
          </w:tcPr>
          <w:p w14:paraId="0C027E7E">
            <w:pPr>
              <w:pStyle w:val="55"/>
              <w:keepNext w:val="0"/>
              <w:keepLines w:val="0"/>
              <w:widowControl/>
              <w:suppressLineNumbers w:val="0"/>
              <w:spacing w:before="0" w:beforeAutospacing="0" w:afterAutospacing="0"/>
              <w:ind w:right="0"/>
              <w:rPr>
                <w:rFonts w:hint="default"/>
              </w:rPr>
            </w:pPr>
            <w:r>
              <w:rPr>
                <w:rFonts w:hint="default"/>
              </w:rPr>
              <w:t>1.182 ± 0.001</w:t>
            </w:r>
          </w:p>
        </w:tc>
        <w:tc>
          <w:tcPr>
            <w:tcW w:w="536" w:type="pct"/>
            <w:noWrap/>
            <w:tcMar>
              <w:left w:w="0" w:type="dxa"/>
              <w:right w:w="0" w:type="dxa"/>
            </w:tcMar>
            <w:vAlign w:val="center"/>
          </w:tcPr>
          <w:p w14:paraId="05E7D61D">
            <w:pPr>
              <w:pStyle w:val="55"/>
              <w:keepNext w:val="0"/>
              <w:keepLines w:val="0"/>
              <w:widowControl/>
              <w:suppressLineNumbers w:val="0"/>
              <w:spacing w:before="0" w:beforeAutospacing="0" w:afterAutospacing="0"/>
              <w:ind w:right="0"/>
              <w:rPr>
                <w:rFonts w:hint="default"/>
              </w:rPr>
            </w:pPr>
            <w:r>
              <w:rPr>
                <w:rFonts w:hint="default"/>
              </w:rPr>
              <w:t>0.836 ± 0.002</w:t>
            </w:r>
          </w:p>
        </w:tc>
        <w:tc>
          <w:tcPr>
            <w:tcW w:w="416" w:type="pct"/>
            <w:noWrap/>
            <w:tcMar>
              <w:left w:w="0" w:type="dxa"/>
              <w:right w:w="0" w:type="dxa"/>
            </w:tcMar>
            <w:vAlign w:val="center"/>
          </w:tcPr>
          <w:p w14:paraId="23550D4F">
            <w:pPr>
              <w:pStyle w:val="55"/>
              <w:keepNext w:val="0"/>
              <w:keepLines w:val="0"/>
              <w:widowControl/>
              <w:suppressLineNumbers w:val="0"/>
              <w:spacing w:before="0" w:beforeAutospacing="0" w:afterAutospacing="0"/>
              <w:ind w:right="0"/>
              <w:rPr>
                <w:rFonts w:hint="default"/>
              </w:rPr>
            </w:pPr>
            <w:r>
              <w:rPr>
                <w:rFonts w:hint="default"/>
              </w:rPr>
              <w:t>1011 ± 13</w:t>
            </w:r>
          </w:p>
        </w:tc>
        <w:tc>
          <w:tcPr>
            <w:tcW w:w="416" w:type="pct"/>
            <w:noWrap/>
            <w:tcMar>
              <w:left w:w="0" w:type="dxa"/>
              <w:right w:w="0" w:type="dxa"/>
            </w:tcMar>
            <w:vAlign w:val="center"/>
          </w:tcPr>
          <w:p w14:paraId="2AEE4C18">
            <w:pPr>
              <w:pStyle w:val="55"/>
              <w:keepNext w:val="0"/>
              <w:keepLines w:val="0"/>
              <w:widowControl/>
              <w:suppressLineNumbers w:val="0"/>
              <w:spacing w:before="0" w:beforeAutospacing="0" w:afterAutospacing="0"/>
              <w:ind w:right="0"/>
              <w:rPr>
                <w:rFonts w:hint="default"/>
              </w:rPr>
            </w:pPr>
            <w:r>
              <w:rPr>
                <w:rFonts w:hint="default"/>
              </w:rPr>
              <w:t>127.5 ± 0.5</w:t>
            </w:r>
          </w:p>
        </w:tc>
        <w:tc>
          <w:tcPr>
            <w:tcW w:w="569" w:type="pct"/>
            <w:vAlign w:val="center"/>
          </w:tcPr>
          <w:p w14:paraId="77DD2F59">
            <w:pPr>
              <w:pStyle w:val="55"/>
              <w:keepNext w:val="0"/>
              <w:keepLines w:val="0"/>
              <w:widowControl/>
              <w:suppressLineNumbers w:val="0"/>
              <w:spacing w:before="0" w:beforeAutospacing="0" w:afterAutospacing="0"/>
              <w:ind w:right="0"/>
              <w:rPr>
                <w:rFonts w:hint="default"/>
              </w:rPr>
            </w:pPr>
            <w:r>
              <w:rPr>
                <w:rFonts w:hint="default"/>
              </w:rPr>
              <w:t>127.5 ± 0.5</w:t>
            </w:r>
          </w:p>
        </w:tc>
        <w:tc>
          <w:tcPr>
            <w:tcW w:w="457" w:type="pct"/>
            <w:noWrap/>
            <w:tcMar>
              <w:left w:w="0" w:type="dxa"/>
              <w:right w:w="0" w:type="dxa"/>
            </w:tcMar>
            <w:vAlign w:val="center"/>
          </w:tcPr>
          <w:p w14:paraId="30C7B4A5">
            <w:pPr>
              <w:pStyle w:val="55"/>
              <w:keepNext w:val="0"/>
              <w:keepLines w:val="0"/>
              <w:widowControl/>
              <w:suppressLineNumbers w:val="0"/>
              <w:spacing w:before="0" w:beforeAutospacing="0" w:afterAutospacing="0"/>
              <w:ind w:right="0"/>
              <w:rPr>
                <w:rFonts w:hint="default"/>
              </w:rPr>
            </w:pPr>
            <w:r>
              <w:rPr>
                <w:rFonts w:hint="default"/>
              </w:rPr>
              <w:t>261 ± 1</w:t>
            </w:r>
          </w:p>
        </w:tc>
      </w:tr>
      <w:tr w14:paraId="51D0E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84" w:type="pct"/>
            <w:noWrap/>
            <w:tcMar>
              <w:left w:w="0" w:type="dxa"/>
              <w:right w:w="0" w:type="dxa"/>
            </w:tcMar>
            <w:vAlign w:val="center"/>
          </w:tcPr>
          <w:p w14:paraId="384905D5">
            <w:pPr>
              <w:pStyle w:val="55"/>
              <w:keepNext w:val="0"/>
              <w:keepLines w:val="0"/>
              <w:widowControl/>
              <w:suppressLineNumbers w:val="0"/>
              <w:spacing w:before="0" w:beforeAutospacing="0" w:afterAutospacing="0"/>
              <w:ind w:right="0"/>
              <w:rPr>
                <w:rFonts w:hint="default"/>
              </w:rPr>
            </w:pPr>
            <w:r>
              <w:rPr>
                <w:rFonts w:hint="default"/>
              </w:rPr>
              <w:t>BF9-H1</w:t>
            </w:r>
          </w:p>
        </w:tc>
        <w:tc>
          <w:tcPr>
            <w:tcW w:w="241" w:type="pct"/>
            <w:noWrap/>
            <w:tcMar>
              <w:left w:w="0" w:type="dxa"/>
              <w:right w:w="0" w:type="dxa"/>
            </w:tcMar>
            <w:vAlign w:val="center"/>
          </w:tcPr>
          <w:p w14:paraId="5BF3068B">
            <w:pPr>
              <w:pStyle w:val="55"/>
              <w:keepNext w:val="0"/>
              <w:keepLines w:val="0"/>
              <w:widowControl/>
              <w:suppressLineNumbers w:val="0"/>
              <w:spacing w:before="0" w:beforeAutospacing="0" w:afterAutospacing="0"/>
              <w:ind w:right="0"/>
              <w:rPr>
                <w:rFonts w:hint="default"/>
              </w:rPr>
            </w:pPr>
            <w:r>
              <w:rPr>
                <w:rFonts w:hint="default"/>
              </w:rPr>
              <w:t>9</w:t>
            </w:r>
          </w:p>
        </w:tc>
        <w:tc>
          <w:tcPr>
            <w:tcW w:w="720" w:type="pct"/>
            <w:noWrap/>
            <w:tcMar>
              <w:left w:w="0" w:type="dxa"/>
              <w:right w:w="0" w:type="dxa"/>
            </w:tcMar>
            <w:vAlign w:val="center"/>
          </w:tcPr>
          <w:p w14:paraId="16E024CD">
            <w:pPr>
              <w:pStyle w:val="55"/>
              <w:keepNext w:val="0"/>
              <w:keepLines w:val="0"/>
              <w:widowControl/>
              <w:suppressLineNumbers w:val="0"/>
              <w:spacing w:before="0" w:beforeAutospacing="0" w:afterAutospacing="0"/>
              <w:ind w:right="0"/>
              <w:rPr>
                <w:rFonts w:hint="default"/>
              </w:rPr>
            </w:pPr>
            <w:r>
              <w:rPr>
                <w:rFonts w:hint="default"/>
              </w:rPr>
              <w:t>human skull fragment</w:t>
            </w:r>
          </w:p>
        </w:tc>
        <w:tc>
          <w:tcPr>
            <w:tcW w:w="418" w:type="pct"/>
            <w:noWrap/>
            <w:tcMar>
              <w:left w:w="0" w:type="dxa"/>
              <w:right w:w="0" w:type="dxa"/>
            </w:tcMar>
            <w:vAlign w:val="center"/>
          </w:tcPr>
          <w:p w14:paraId="0D956EC6">
            <w:pPr>
              <w:pStyle w:val="55"/>
              <w:keepNext w:val="0"/>
              <w:keepLines w:val="0"/>
              <w:widowControl/>
              <w:suppressLineNumbers w:val="0"/>
              <w:spacing w:before="0" w:beforeAutospacing="0" w:afterAutospacing="0"/>
              <w:ind w:right="0"/>
              <w:rPr>
                <w:rFonts w:hint="default"/>
              </w:rPr>
            </w:pPr>
            <w:r>
              <w:rPr>
                <w:rFonts w:hint="default"/>
              </w:rPr>
              <w:t>13273 ± 3</w:t>
            </w:r>
          </w:p>
        </w:tc>
        <w:tc>
          <w:tcPr>
            <w:tcW w:w="506" w:type="pct"/>
            <w:noWrap/>
            <w:tcMar>
              <w:left w:w="0" w:type="dxa"/>
              <w:right w:w="0" w:type="dxa"/>
            </w:tcMar>
            <w:vAlign w:val="center"/>
          </w:tcPr>
          <w:p w14:paraId="49C0A864">
            <w:pPr>
              <w:pStyle w:val="55"/>
              <w:keepNext w:val="0"/>
              <w:keepLines w:val="0"/>
              <w:widowControl/>
              <w:suppressLineNumbers w:val="0"/>
              <w:spacing w:before="0" w:beforeAutospacing="0" w:afterAutospacing="0"/>
              <w:ind w:right="0"/>
              <w:rPr>
                <w:rFonts w:hint="default"/>
              </w:rPr>
            </w:pPr>
            <w:r>
              <w:rPr>
                <w:rFonts w:hint="default"/>
              </w:rPr>
              <w:t>458 ± 3</w:t>
            </w:r>
          </w:p>
        </w:tc>
        <w:tc>
          <w:tcPr>
            <w:tcW w:w="438" w:type="pct"/>
            <w:noWrap/>
            <w:tcMar>
              <w:left w:w="0" w:type="dxa"/>
              <w:right w:w="0" w:type="dxa"/>
            </w:tcMar>
            <w:vAlign w:val="center"/>
          </w:tcPr>
          <w:p w14:paraId="13DDFB99">
            <w:pPr>
              <w:pStyle w:val="55"/>
              <w:keepNext w:val="0"/>
              <w:keepLines w:val="0"/>
              <w:widowControl/>
              <w:suppressLineNumbers w:val="0"/>
              <w:spacing w:before="0" w:beforeAutospacing="0" w:afterAutospacing="0"/>
              <w:ind w:right="0"/>
              <w:rPr>
                <w:rFonts w:hint="default"/>
              </w:rPr>
            </w:pPr>
            <w:r>
              <w:rPr>
                <w:rFonts w:hint="default"/>
              </w:rPr>
              <w:t>1.189 ± 0.001</w:t>
            </w:r>
          </w:p>
        </w:tc>
        <w:tc>
          <w:tcPr>
            <w:tcW w:w="536" w:type="pct"/>
            <w:noWrap/>
            <w:tcMar>
              <w:left w:w="0" w:type="dxa"/>
              <w:right w:w="0" w:type="dxa"/>
            </w:tcMar>
            <w:vAlign w:val="center"/>
          </w:tcPr>
          <w:p w14:paraId="64B5A971">
            <w:pPr>
              <w:pStyle w:val="55"/>
              <w:keepNext w:val="0"/>
              <w:keepLines w:val="0"/>
              <w:widowControl/>
              <w:suppressLineNumbers w:val="0"/>
              <w:spacing w:before="0" w:beforeAutospacing="0" w:afterAutospacing="0"/>
              <w:ind w:right="0"/>
              <w:rPr>
                <w:rFonts w:hint="default"/>
              </w:rPr>
            </w:pPr>
            <w:r>
              <w:rPr>
                <w:rFonts w:hint="default"/>
              </w:rPr>
              <w:t>0.814 ± 0.002</w:t>
            </w:r>
          </w:p>
        </w:tc>
        <w:tc>
          <w:tcPr>
            <w:tcW w:w="416" w:type="pct"/>
            <w:noWrap/>
            <w:tcMar>
              <w:left w:w="0" w:type="dxa"/>
              <w:right w:w="0" w:type="dxa"/>
            </w:tcMar>
            <w:vAlign w:val="center"/>
          </w:tcPr>
          <w:p w14:paraId="0FE187A8">
            <w:pPr>
              <w:pStyle w:val="55"/>
              <w:keepNext w:val="0"/>
              <w:keepLines w:val="0"/>
              <w:widowControl/>
              <w:suppressLineNumbers w:val="0"/>
              <w:spacing w:before="0" w:beforeAutospacing="0" w:afterAutospacing="0"/>
              <w:ind w:right="0"/>
              <w:rPr>
                <w:rFonts w:hint="default"/>
              </w:rPr>
            </w:pPr>
            <w:r>
              <w:rPr>
                <w:rFonts w:hint="default"/>
              </w:rPr>
              <w:t>72.1 ± 0.4</w:t>
            </w:r>
          </w:p>
        </w:tc>
        <w:tc>
          <w:tcPr>
            <w:tcW w:w="416" w:type="pct"/>
            <w:noWrap/>
            <w:tcMar>
              <w:left w:w="0" w:type="dxa"/>
              <w:right w:w="0" w:type="dxa"/>
            </w:tcMar>
            <w:vAlign w:val="center"/>
          </w:tcPr>
          <w:p w14:paraId="12A9A276">
            <w:pPr>
              <w:pStyle w:val="55"/>
              <w:keepNext w:val="0"/>
              <w:keepLines w:val="0"/>
              <w:widowControl/>
              <w:suppressLineNumbers w:val="0"/>
              <w:spacing w:before="0" w:beforeAutospacing="0" w:afterAutospacing="0"/>
              <w:ind w:right="0"/>
              <w:rPr>
                <w:rFonts w:hint="default"/>
              </w:rPr>
            </w:pPr>
            <w:r>
              <w:rPr>
                <w:rFonts w:hint="default"/>
              </w:rPr>
              <w:t>120.1 ± 0.5</w:t>
            </w:r>
          </w:p>
        </w:tc>
        <w:tc>
          <w:tcPr>
            <w:tcW w:w="569" w:type="pct"/>
            <w:vAlign w:val="center"/>
          </w:tcPr>
          <w:p w14:paraId="7BFEDE56">
            <w:pPr>
              <w:pStyle w:val="55"/>
              <w:keepNext w:val="0"/>
              <w:keepLines w:val="0"/>
              <w:widowControl/>
              <w:suppressLineNumbers w:val="0"/>
              <w:spacing w:before="0" w:beforeAutospacing="0" w:afterAutospacing="0"/>
              <w:ind w:right="0"/>
              <w:rPr>
                <w:rFonts w:hint="default"/>
              </w:rPr>
            </w:pPr>
            <w:r>
              <w:rPr>
                <w:rFonts w:hint="default"/>
              </w:rPr>
              <w:t>119.3 ± 0.6</w:t>
            </w:r>
          </w:p>
        </w:tc>
        <w:tc>
          <w:tcPr>
            <w:tcW w:w="457" w:type="pct"/>
            <w:noWrap/>
            <w:tcMar>
              <w:left w:w="0" w:type="dxa"/>
              <w:right w:w="0" w:type="dxa"/>
            </w:tcMar>
            <w:vAlign w:val="center"/>
          </w:tcPr>
          <w:p w14:paraId="7C09E9ED">
            <w:pPr>
              <w:pStyle w:val="55"/>
              <w:keepNext w:val="0"/>
              <w:keepLines w:val="0"/>
              <w:widowControl/>
              <w:suppressLineNumbers w:val="0"/>
              <w:spacing w:before="0" w:beforeAutospacing="0" w:afterAutospacing="0"/>
              <w:ind w:right="0"/>
              <w:rPr>
                <w:rFonts w:hint="default"/>
              </w:rPr>
            </w:pPr>
            <w:r>
              <w:rPr>
                <w:rFonts w:hint="default"/>
              </w:rPr>
              <w:t>265 ± 2</w:t>
            </w:r>
          </w:p>
        </w:tc>
      </w:tr>
    </w:tbl>
    <w:p w14:paraId="7152C815">
      <w:pPr>
        <w:pStyle w:val="56"/>
        <w:rPr>
          <w:vertAlign w:val="baseline"/>
        </w:rPr>
      </w:pPr>
    </w:p>
    <w:p w14:paraId="16F718A1">
      <w:pPr>
        <w:pStyle w:val="56"/>
        <w:rPr>
          <w:vertAlign w:val="baseline"/>
        </w:rPr>
      </w:pPr>
      <w:r>
        <w:t>a</w:t>
      </w:r>
      <w:r>
        <w:rPr>
          <w:vertAlign w:val="baseline"/>
        </w:rPr>
        <w:t xml:space="preserve"> Ages reported as ka before present (BP), where the present is defined as the year 1950 CE. </w:t>
      </w:r>
    </w:p>
    <w:p w14:paraId="27E61045">
      <w:pPr>
        <w:pStyle w:val="56"/>
        <w:rPr>
          <w:vertAlign w:val="baseline"/>
        </w:rPr>
      </w:pPr>
      <w:r>
        <w:t>b</w:t>
      </w:r>
      <w:r>
        <w:rPr>
          <w:vertAlign w:val="baseline"/>
        </w:rPr>
        <w:t xml:space="preserve"> U-series ages were corrected with assumption of the initial </w:t>
      </w:r>
      <w:r>
        <w:t>230</w:t>
      </w:r>
      <w:r>
        <w:rPr>
          <w:vertAlign w:val="baseline"/>
        </w:rPr>
        <w:t>Th/</w:t>
      </w:r>
      <w:r>
        <w:t>232</w:t>
      </w:r>
      <w:r>
        <w:rPr>
          <w:vertAlign w:val="baseline"/>
        </w:rPr>
        <w:t xml:space="preserve">Th atomic ratio of 4.4 ± 2.2×10-6, a value for a material at secular equilibrium, with the bulk earth </w:t>
      </w:r>
      <w:r>
        <w:t>232</w:t>
      </w:r>
      <w:r>
        <w:rPr>
          <w:vertAlign w:val="baseline"/>
        </w:rPr>
        <w:t>Th/</w:t>
      </w:r>
      <w:r>
        <w:t>238</w:t>
      </w:r>
      <w:r>
        <w:rPr>
          <w:vertAlign w:val="baseline"/>
        </w:rPr>
        <w:t>U value of 3.8 and with an assumed error of 50%.</w:t>
      </w:r>
    </w:p>
    <w:p w14:paraId="7D915AE9">
      <w:pPr>
        <w:pStyle w:val="56"/>
        <w:rPr>
          <w:vertAlign w:val="baseline"/>
        </w:rPr>
      </w:pPr>
      <w:r>
        <w:t>c</w:t>
      </w:r>
      <w:r>
        <w:rPr>
          <w:vertAlign w:val="baseline"/>
        </w:rPr>
        <w:t xml:space="preserve"> The back calculated initial </w:t>
      </w:r>
      <w:r>
        <w:t>234</w:t>
      </w:r>
      <w:r>
        <w:rPr>
          <w:vertAlign w:val="baseline"/>
        </w:rPr>
        <w:t>U/</w:t>
      </w:r>
      <w:r>
        <w:t>238</w:t>
      </w:r>
      <w:r>
        <w:rPr>
          <w:vertAlign w:val="baseline"/>
        </w:rPr>
        <w:t>U activity ratio.</w:t>
      </w:r>
    </w:p>
    <w:p w14:paraId="7A8E6E9B">
      <w:pPr>
        <w:pStyle w:val="56"/>
      </w:pPr>
    </w:p>
    <w:p w14:paraId="564352D4">
      <w:pPr>
        <w:pStyle w:val="7"/>
        <w:rPr>
          <w:b/>
          <w:bCs w:val="0"/>
        </w:rPr>
      </w:pPr>
    </w:p>
    <w:p w14:paraId="76CF0AEA">
      <w:pPr>
        <w:pStyle w:val="7"/>
        <w:rPr>
          <w:b/>
          <w:bCs w:val="0"/>
        </w:rPr>
      </w:pPr>
    </w:p>
    <w:p w14:paraId="760869A7">
      <w:pPr>
        <w:pStyle w:val="7"/>
        <w:rPr>
          <w:b/>
          <w:bCs w:val="0"/>
        </w:rPr>
      </w:pPr>
    </w:p>
    <w:p w14:paraId="040A6E04">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pPr>
      <w:r>
        <w:rPr>
          <w:b/>
        </w:rPr>
        <w:t xml:space="preserve">Supplementary Table </w:t>
      </w:r>
      <w:r>
        <w:rPr>
          <w:rFonts w:hint="eastAsia"/>
          <w:b/>
          <w:bCs/>
          <w:lang w:val="en-US" w:eastAsia="zh-CN"/>
        </w:rPr>
        <w:t>8</w:t>
      </w:r>
      <w:r>
        <w:t xml:space="preserve"> | </w:t>
      </w:r>
      <w:r>
        <w:rPr>
          <w:rFonts w:hint="eastAsia"/>
        </w:rPr>
        <w:t>The assignment of pollen taxa to PFTs.</w:t>
      </w:r>
    </w:p>
    <w:tbl>
      <w:tblPr>
        <w:tblStyle w:val="25"/>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80"/>
        <w:gridCol w:w="4726"/>
        <w:gridCol w:w="7938"/>
      </w:tblGrid>
      <w:tr w14:paraId="11D29A0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26" w:type="pct"/>
            <w:tcBorders>
              <w:bottom w:val="single" w:color="auto" w:sz="4" w:space="0"/>
            </w:tcBorders>
            <w:vAlign w:val="center"/>
          </w:tcPr>
          <w:p w14:paraId="73B6E65E">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Abbr.</w:t>
            </w:r>
          </w:p>
        </w:tc>
        <w:tc>
          <w:tcPr>
            <w:tcW w:w="1707" w:type="pct"/>
            <w:tcBorders>
              <w:bottom w:val="single" w:color="auto" w:sz="4" w:space="0"/>
            </w:tcBorders>
            <w:vAlign w:val="center"/>
          </w:tcPr>
          <w:p w14:paraId="1D5C7E15">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Plant functional type</w:t>
            </w:r>
          </w:p>
        </w:tc>
        <w:tc>
          <w:tcPr>
            <w:tcW w:w="2867" w:type="pct"/>
            <w:tcBorders>
              <w:bottom w:val="single" w:color="auto" w:sz="4" w:space="0"/>
            </w:tcBorders>
            <w:vAlign w:val="center"/>
          </w:tcPr>
          <w:p w14:paraId="0C664B16">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P</w:t>
            </w:r>
            <w:r>
              <w:rPr>
                <w:rFonts w:hint="default"/>
                <w:kern w:val="2"/>
                <w:sz w:val="20"/>
                <w:szCs w:val="20"/>
              </w:rPr>
              <w:t>ollen taxa</w:t>
            </w:r>
          </w:p>
        </w:tc>
      </w:tr>
      <w:tr w14:paraId="5CDCD89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26" w:type="pct"/>
            <w:tcBorders>
              <w:top w:val="nil"/>
              <w:bottom w:val="nil"/>
            </w:tcBorders>
            <w:vAlign w:val="center"/>
          </w:tcPr>
          <w:p w14:paraId="0DD6C391">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t</w:t>
            </w:r>
            <w:r>
              <w:rPr>
                <w:rFonts w:hint="default"/>
                <w:kern w:val="2"/>
                <w:sz w:val="20"/>
                <w:szCs w:val="20"/>
              </w:rPr>
              <w:t>e</w:t>
            </w:r>
          </w:p>
        </w:tc>
        <w:tc>
          <w:tcPr>
            <w:tcW w:w="1707" w:type="pct"/>
            <w:tcBorders>
              <w:top w:val="nil"/>
              <w:bottom w:val="nil"/>
            </w:tcBorders>
            <w:vAlign w:val="center"/>
          </w:tcPr>
          <w:p w14:paraId="65AB54FD">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t</w:t>
            </w:r>
            <w:r>
              <w:rPr>
                <w:rFonts w:hint="default"/>
                <w:kern w:val="2"/>
                <w:sz w:val="20"/>
                <w:szCs w:val="20"/>
              </w:rPr>
              <w:t>ropical evergreen</w:t>
            </w:r>
          </w:p>
        </w:tc>
        <w:tc>
          <w:tcPr>
            <w:tcW w:w="2867" w:type="pct"/>
            <w:tcBorders>
              <w:top w:val="nil"/>
              <w:bottom w:val="nil"/>
            </w:tcBorders>
            <w:vAlign w:val="center"/>
          </w:tcPr>
          <w:p w14:paraId="7368DC79">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Ericaceae, Euphorbiaceae</w:t>
            </w:r>
          </w:p>
        </w:tc>
      </w:tr>
      <w:tr w14:paraId="7A2A353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26" w:type="pct"/>
            <w:vAlign w:val="center"/>
          </w:tcPr>
          <w:p w14:paraId="08275D1A">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s</w:t>
            </w:r>
            <w:r>
              <w:rPr>
                <w:rFonts w:hint="default"/>
                <w:kern w:val="2"/>
                <w:sz w:val="20"/>
                <w:szCs w:val="20"/>
              </w:rPr>
              <w:t>tme</w:t>
            </w:r>
          </w:p>
        </w:tc>
        <w:tc>
          <w:tcPr>
            <w:tcW w:w="1707" w:type="pct"/>
            <w:vAlign w:val="center"/>
          </w:tcPr>
          <w:p w14:paraId="24259005">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south subtropical evergreen broadleaf</w:t>
            </w:r>
          </w:p>
        </w:tc>
        <w:tc>
          <w:tcPr>
            <w:tcW w:w="2867" w:type="pct"/>
            <w:vAlign w:val="center"/>
          </w:tcPr>
          <w:p w14:paraId="21A6782C">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 xml:space="preserve">Euphorbiaceae, </w:t>
            </w:r>
            <w:r>
              <w:rPr>
                <w:rFonts w:hint="eastAsia"/>
                <w:i/>
                <w:iCs/>
                <w:kern w:val="2"/>
                <w:sz w:val="20"/>
                <w:szCs w:val="20"/>
              </w:rPr>
              <w:t>Symplocos</w:t>
            </w:r>
            <w:r>
              <w:rPr>
                <w:rFonts w:hint="eastAsia"/>
                <w:kern w:val="2"/>
                <w:sz w:val="20"/>
                <w:szCs w:val="20"/>
              </w:rPr>
              <w:t>, Theaceae</w:t>
            </w:r>
          </w:p>
        </w:tc>
      </w:tr>
      <w:tr w14:paraId="1B3E28B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26" w:type="pct"/>
            <w:vAlign w:val="center"/>
          </w:tcPr>
          <w:p w14:paraId="66847BD7">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wte</w:t>
            </w:r>
          </w:p>
        </w:tc>
        <w:tc>
          <w:tcPr>
            <w:tcW w:w="1707" w:type="pct"/>
            <w:vAlign w:val="center"/>
          </w:tcPr>
          <w:p w14:paraId="1521B315">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subtropical evergreen</w:t>
            </w:r>
          </w:p>
        </w:tc>
        <w:tc>
          <w:tcPr>
            <w:tcW w:w="2867" w:type="pct"/>
            <w:vAlign w:val="center"/>
          </w:tcPr>
          <w:p w14:paraId="29C90D63">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i/>
                <w:iCs/>
                <w:kern w:val="2"/>
                <w:sz w:val="20"/>
                <w:szCs w:val="20"/>
              </w:rPr>
              <w:t xml:space="preserve">Alnus, </w:t>
            </w:r>
            <w:r>
              <w:rPr>
                <w:rFonts w:hint="eastAsia"/>
                <w:kern w:val="2"/>
                <w:sz w:val="20"/>
                <w:szCs w:val="20"/>
              </w:rPr>
              <w:t xml:space="preserve">Ericaceae, Euphorbiaceae, </w:t>
            </w:r>
            <w:r>
              <w:rPr>
                <w:rFonts w:hint="eastAsia"/>
                <w:i/>
                <w:iCs/>
                <w:kern w:val="2"/>
                <w:sz w:val="20"/>
                <w:szCs w:val="20"/>
              </w:rPr>
              <w:t>Ligustrum</w:t>
            </w:r>
            <w:r>
              <w:rPr>
                <w:rFonts w:hint="default"/>
                <w:kern w:val="2"/>
                <w:sz w:val="20"/>
                <w:szCs w:val="20"/>
              </w:rPr>
              <w:t>,</w:t>
            </w:r>
            <w:r>
              <w:rPr>
                <w:rFonts w:hint="eastAsia"/>
                <w:kern w:val="2"/>
                <w:sz w:val="20"/>
                <w:szCs w:val="20"/>
              </w:rPr>
              <w:t xml:space="preserve"> </w:t>
            </w:r>
            <w:r>
              <w:rPr>
                <w:rFonts w:hint="eastAsia"/>
                <w:i/>
                <w:iCs/>
                <w:kern w:val="2"/>
                <w:sz w:val="20"/>
                <w:szCs w:val="20"/>
              </w:rPr>
              <w:t>Pistacia</w:t>
            </w:r>
            <w:r>
              <w:rPr>
                <w:rFonts w:hint="eastAsia"/>
                <w:kern w:val="2"/>
                <w:sz w:val="20"/>
                <w:szCs w:val="20"/>
              </w:rPr>
              <w:t>,</w:t>
            </w:r>
            <w:r>
              <w:rPr>
                <w:rFonts w:hint="default"/>
                <w:i/>
                <w:iCs/>
                <w:kern w:val="2"/>
                <w:sz w:val="20"/>
                <w:szCs w:val="20"/>
              </w:rPr>
              <w:t xml:space="preserve"> Quercus</w:t>
            </w:r>
            <w:r>
              <w:rPr>
                <w:rFonts w:hint="eastAsia"/>
                <w:i/>
                <w:iCs/>
                <w:kern w:val="2"/>
                <w:sz w:val="20"/>
                <w:szCs w:val="20"/>
              </w:rPr>
              <w:t xml:space="preserve"> (deciduous)</w:t>
            </w:r>
            <w:r>
              <w:rPr>
                <w:rFonts w:hint="default"/>
                <w:kern w:val="2"/>
                <w:sz w:val="20"/>
                <w:szCs w:val="20"/>
              </w:rPr>
              <w:t>,</w:t>
            </w:r>
            <w:r>
              <w:rPr>
                <w:rFonts w:hint="eastAsia"/>
                <w:kern w:val="2"/>
                <w:sz w:val="20"/>
                <w:szCs w:val="20"/>
              </w:rPr>
              <w:t xml:space="preserve"> </w:t>
            </w:r>
            <w:r>
              <w:rPr>
                <w:rFonts w:hint="default"/>
                <w:i/>
                <w:iCs/>
                <w:kern w:val="2"/>
                <w:sz w:val="20"/>
                <w:szCs w:val="20"/>
              </w:rPr>
              <w:t>Quercus</w:t>
            </w:r>
            <w:r>
              <w:rPr>
                <w:rFonts w:hint="eastAsia"/>
                <w:i/>
                <w:iCs/>
                <w:kern w:val="2"/>
                <w:sz w:val="20"/>
                <w:szCs w:val="20"/>
              </w:rPr>
              <w:t xml:space="preserve"> (evergreen), Symplocos</w:t>
            </w:r>
            <w:r>
              <w:rPr>
                <w:rFonts w:hint="eastAsia"/>
                <w:kern w:val="2"/>
                <w:sz w:val="20"/>
                <w:szCs w:val="20"/>
              </w:rPr>
              <w:t>, Theaceae</w:t>
            </w:r>
          </w:p>
        </w:tc>
      </w:tr>
      <w:tr w14:paraId="3EA91B0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26" w:type="pct"/>
            <w:vAlign w:val="center"/>
          </w:tcPr>
          <w:p w14:paraId="351DADC1">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t</w:t>
            </w:r>
            <w:r>
              <w:rPr>
                <w:rFonts w:hint="default"/>
                <w:kern w:val="2"/>
                <w:sz w:val="20"/>
                <w:szCs w:val="20"/>
              </w:rPr>
              <w:t>s</w:t>
            </w:r>
          </w:p>
        </w:tc>
        <w:tc>
          <w:tcPr>
            <w:tcW w:w="1707" w:type="pct"/>
            <w:vAlign w:val="center"/>
          </w:tcPr>
          <w:p w14:paraId="240B5597">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subtropical summergreen tree</w:t>
            </w:r>
          </w:p>
        </w:tc>
        <w:tc>
          <w:tcPr>
            <w:tcW w:w="2867" w:type="pct"/>
            <w:vAlign w:val="center"/>
          </w:tcPr>
          <w:p w14:paraId="0770EB1C">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i/>
                <w:iCs/>
                <w:kern w:val="2"/>
                <w:sz w:val="20"/>
                <w:szCs w:val="20"/>
              </w:rPr>
              <w:t>Betula</w:t>
            </w:r>
            <w:r>
              <w:rPr>
                <w:rFonts w:hint="default"/>
                <w:kern w:val="2"/>
                <w:sz w:val="20"/>
                <w:szCs w:val="20"/>
              </w:rPr>
              <w:t xml:space="preserve">, </w:t>
            </w:r>
            <w:r>
              <w:rPr>
                <w:rFonts w:hint="default"/>
                <w:i/>
                <w:iCs/>
                <w:kern w:val="2"/>
                <w:sz w:val="20"/>
                <w:szCs w:val="20"/>
              </w:rPr>
              <w:t>Carpinus</w:t>
            </w:r>
            <w:r>
              <w:rPr>
                <w:rFonts w:hint="default"/>
                <w:kern w:val="2"/>
                <w:sz w:val="20"/>
                <w:szCs w:val="20"/>
              </w:rPr>
              <w:t xml:space="preserve">, </w:t>
            </w:r>
            <w:r>
              <w:rPr>
                <w:rFonts w:hint="default"/>
                <w:i/>
                <w:iCs/>
                <w:kern w:val="2"/>
                <w:sz w:val="20"/>
                <w:szCs w:val="20"/>
              </w:rPr>
              <w:t>Corylus</w:t>
            </w:r>
            <w:r>
              <w:rPr>
                <w:rFonts w:hint="default"/>
                <w:kern w:val="2"/>
                <w:sz w:val="20"/>
                <w:szCs w:val="20"/>
              </w:rPr>
              <w:t xml:space="preserve">, </w:t>
            </w:r>
            <w:r>
              <w:rPr>
                <w:rFonts w:hint="eastAsia"/>
                <w:i/>
                <w:iCs/>
                <w:kern w:val="2"/>
                <w:sz w:val="20"/>
                <w:szCs w:val="20"/>
              </w:rPr>
              <w:t>Juglans</w:t>
            </w:r>
            <w:r>
              <w:rPr>
                <w:rFonts w:hint="eastAsia"/>
                <w:kern w:val="2"/>
                <w:sz w:val="20"/>
                <w:szCs w:val="20"/>
              </w:rPr>
              <w:t xml:space="preserve">, </w:t>
            </w:r>
            <w:r>
              <w:rPr>
                <w:rFonts w:hint="eastAsia"/>
                <w:i/>
                <w:iCs/>
                <w:kern w:val="2"/>
                <w:sz w:val="20"/>
                <w:szCs w:val="20"/>
              </w:rPr>
              <w:t>Pterocarya</w:t>
            </w:r>
            <w:r>
              <w:rPr>
                <w:rFonts w:hint="eastAsia"/>
                <w:kern w:val="2"/>
                <w:sz w:val="20"/>
                <w:szCs w:val="20"/>
              </w:rPr>
              <w:t xml:space="preserve">, </w:t>
            </w:r>
            <w:r>
              <w:rPr>
                <w:rFonts w:hint="default"/>
                <w:i/>
                <w:iCs/>
                <w:kern w:val="2"/>
                <w:sz w:val="20"/>
                <w:szCs w:val="20"/>
              </w:rPr>
              <w:t>Ulmus</w:t>
            </w:r>
            <w:r>
              <w:rPr>
                <w:rFonts w:hint="eastAsia"/>
                <w:kern w:val="2"/>
                <w:sz w:val="20"/>
                <w:szCs w:val="20"/>
              </w:rPr>
              <w:t xml:space="preserve">, </w:t>
            </w:r>
            <w:r>
              <w:rPr>
                <w:rFonts w:hint="eastAsia"/>
                <w:i/>
                <w:iCs/>
                <w:kern w:val="2"/>
                <w:sz w:val="20"/>
                <w:szCs w:val="20"/>
              </w:rPr>
              <w:t>Zelkova</w:t>
            </w:r>
          </w:p>
        </w:tc>
      </w:tr>
      <w:tr w14:paraId="3A80B20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26" w:type="pct"/>
            <w:vAlign w:val="center"/>
          </w:tcPr>
          <w:p w14:paraId="1AF82551">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wtc</w:t>
            </w:r>
          </w:p>
        </w:tc>
        <w:tc>
          <w:tcPr>
            <w:tcW w:w="1707" w:type="pct"/>
            <w:vAlign w:val="center"/>
          </w:tcPr>
          <w:p w14:paraId="4E8E207B">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subtropical conifer</w:t>
            </w:r>
          </w:p>
        </w:tc>
        <w:tc>
          <w:tcPr>
            <w:tcW w:w="2867" w:type="pct"/>
            <w:vAlign w:val="center"/>
          </w:tcPr>
          <w:p w14:paraId="43E6B74B">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i/>
                <w:iCs/>
                <w:kern w:val="2"/>
                <w:sz w:val="20"/>
                <w:szCs w:val="20"/>
              </w:rPr>
            </w:pPr>
            <w:r>
              <w:rPr>
                <w:rFonts w:hint="eastAsia"/>
                <w:i/>
                <w:iCs/>
                <w:kern w:val="2"/>
                <w:sz w:val="20"/>
                <w:szCs w:val="20"/>
              </w:rPr>
              <w:t>Tsuga</w:t>
            </w:r>
          </w:p>
        </w:tc>
      </w:tr>
      <w:tr w14:paraId="05021FF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26" w:type="pct"/>
            <w:vAlign w:val="center"/>
          </w:tcPr>
          <w:p w14:paraId="23980D0D">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t</w:t>
            </w:r>
            <w:r>
              <w:rPr>
                <w:rFonts w:hint="default"/>
                <w:kern w:val="2"/>
                <w:sz w:val="20"/>
                <w:szCs w:val="20"/>
              </w:rPr>
              <w:t>s3</w:t>
            </w:r>
          </w:p>
        </w:tc>
        <w:tc>
          <w:tcPr>
            <w:tcW w:w="1707" w:type="pct"/>
            <w:vAlign w:val="center"/>
          </w:tcPr>
          <w:p w14:paraId="1A8E7564">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subtropical summergreen shrub</w:t>
            </w:r>
          </w:p>
        </w:tc>
        <w:tc>
          <w:tcPr>
            <w:tcW w:w="2867" w:type="pct"/>
            <w:vAlign w:val="center"/>
          </w:tcPr>
          <w:p w14:paraId="7D127DB8">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i/>
                <w:iCs/>
                <w:kern w:val="2"/>
                <w:sz w:val="20"/>
                <w:szCs w:val="20"/>
              </w:rPr>
              <w:t>Ligustrum</w:t>
            </w:r>
            <w:r>
              <w:rPr>
                <w:rFonts w:hint="eastAsia"/>
                <w:kern w:val="2"/>
                <w:sz w:val="20"/>
                <w:szCs w:val="20"/>
              </w:rPr>
              <w:t xml:space="preserve">, </w:t>
            </w:r>
            <w:r>
              <w:rPr>
                <w:rFonts w:hint="eastAsia"/>
                <w:i/>
                <w:iCs/>
                <w:kern w:val="2"/>
                <w:sz w:val="20"/>
                <w:szCs w:val="20"/>
              </w:rPr>
              <w:t>Rosa</w:t>
            </w:r>
          </w:p>
        </w:tc>
      </w:tr>
      <w:tr w14:paraId="2DD833C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26" w:type="pct"/>
            <w:vAlign w:val="center"/>
          </w:tcPr>
          <w:p w14:paraId="4627D0AC">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t</w:t>
            </w:r>
            <w:r>
              <w:rPr>
                <w:rFonts w:hint="default"/>
                <w:kern w:val="2"/>
                <w:sz w:val="20"/>
                <w:szCs w:val="20"/>
              </w:rPr>
              <w:t>ef</w:t>
            </w:r>
          </w:p>
        </w:tc>
        <w:tc>
          <w:tcPr>
            <w:tcW w:w="1707" w:type="pct"/>
            <w:vAlign w:val="center"/>
          </w:tcPr>
          <w:p w14:paraId="03D7FBD5">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tropical and subtropical evergreen forbs</w:t>
            </w:r>
          </w:p>
        </w:tc>
        <w:tc>
          <w:tcPr>
            <w:tcW w:w="2867" w:type="pct"/>
            <w:vAlign w:val="center"/>
          </w:tcPr>
          <w:p w14:paraId="710EBB55">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Convolvulaceae, Euphorbiaceae,</w:t>
            </w:r>
            <w:r>
              <w:rPr>
                <w:rFonts w:hint="default"/>
                <w:kern w:val="2"/>
                <w:sz w:val="20"/>
                <w:szCs w:val="20"/>
              </w:rPr>
              <w:t xml:space="preserve"> Poaceae</w:t>
            </w:r>
          </w:p>
        </w:tc>
      </w:tr>
      <w:tr w14:paraId="08F2728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26" w:type="pct"/>
            <w:vAlign w:val="center"/>
          </w:tcPr>
          <w:p w14:paraId="5C787BBB">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wt2</w:t>
            </w:r>
          </w:p>
        </w:tc>
        <w:tc>
          <w:tcPr>
            <w:tcW w:w="1707" w:type="pct"/>
            <w:vAlign w:val="center"/>
          </w:tcPr>
          <w:p w14:paraId="3350444E">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subtropical schlerophyllous shrub</w:t>
            </w:r>
          </w:p>
        </w:tc>
        <w:tc>
          <w:tcPr>
            <w:tcW w:w="2867" w:type="pct"/>
            <w:vAlign w:val="center"/>
          </w:tcPr>
          <w:p w14:paraId="63D46A7B">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Ericaceae</w:t>
            </w:r>
          </w:p>
        </w:tc>
      </w:tr>
      <w:tr w14:paraId="20A2215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26" w:type="pct"/>
            <w:vAlign w:val="center"/>
          </w:tcPr>
          <w:p w14:paraId="1F829F3F">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t</w:t>
            </w:r>
            <w:r>
              <w:rPr>
                <w:rFonts w:hint="default"/>
                <w:kern w:val="2"/>
                <w:sz w:val="20"/>
                <w:szCs w:val="20"/>
              </w:rPr>
              <w:t>s1</w:t>
            </w:r>
          </w:p>
        </w:tc>
        <w:tc>
          <w:tcPr>
            <w:tcW w:w="1707" w:type="pct"/>
            <w:vAlign w:val="center"/>
          </w:tcPr>
          <w:p w14:paraId="3CED8C24">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warm-temperate summergreen</w:t>
            </w:r>
          </w:p>
        </w:tc>
        <w:tc>
          <w:tcPr>
            <w:tcW w:w="2867" w:type="pct"/>
            <w:vAlign w:val="center"/>
          </w:tcPr>
          <w:p w14:paraId="34ABFEE5">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i/>
                <w:iCs/>
                <w:kern w:val="2"/>
                <w:sz w:val="20"/>
                <w:szCs w:val="20"/>
              </w:rPr>
              <w:t>Alnus</w:t>
            </w:r>
            <w:r>
              <w:rPr>
                <w:rFonts w:hint="eastAsia"/>
                <w:kern w:val="2"/>
                <w:sz w:val="20"/>
                <w:szCs w:val="20"/>
              </w:rPr>
              <w:t xml:space="preserve">, </w:t>
            </w:r>
            <w:r>
              <w:rPr>
                <w:rFonts w:hint="default"/>
                <w:i/>
                <w:iCs/>
                <w:kern w:val="2"/>
                <w:sz w:val="20"/>
                <w:szCs w:val="20"/>
              </w:rPr>
              <w:t>Carpinus</w:t>
            </w:r>
            <w:r>
              <w:rPr>
                <w:rFonts w:hint="default"/>
                <w:kern w:val="2"/>
                <w:sz w:val="20"/>
                <w:szCs w:val="20"/>
              </w:rPr>
              <w:t xml:space="preserve">, </w:t>
            </w:r>
            <w:r>
              <w:rPr>
                <w:rFonts w:hint="default"/>
                <w:i/>
                <w:iCs/>
                <w:kern w:val="2"/>
                <w:sz w:val="20"/>
                <w:szCs w:val="20"/>
              </w:rPr>
              <w:t>Corylus</w:t>
            </w:r>
            <w:r>
              <w:rPr>
                <w:rFonts w:hint="default"/>
                <w:kern w:val="2"/>
                <w:sz w:val="20"/>
                <w:szCs w:val="20"/>
              </w:rPr>
              <w:t xml:space="preserve">, </w:t>
            </w:r>
            <w:r>
              <w:rPr>
                <w:rFonts w:hint="eastAsia"/>
                <w:i/>
                <w:iCs/>
                <w:kern w:val="2"/>
                <w:sz w:val="20"/>
                <w:szCs w:val="20"/>
              </w:rPr>
              <w:t>Hippophae</w:t>
            </w:r>
            <w:r>
              <w:rPr>
                <w:rFonts w:hint="eastAsia"/>
                <w:kern w:val="2"/>
                <w:sz w:val="20"/>
                <w:szCs w:val="20"/>
              </w:rPr>
              <w:t xml:space="preserve">, </w:t>
            </w:r>
            <w:r>
              <w:rPr>
                <w:rFonts w:hint="eastAsia"/>
                <w:i/>
                <w:iCs/>
                <w:kern w:val="2"/>
                <w:sz w:val="20"/>
                <w:szCs w:val="20"/>
              </w:rPr>
              <w:t>Juglans</w:t>
            </w:r>
            <w:r>
              <w:rPr>
                <w:rFonts w:hint="eastAsia"/>
                <w:kern w:val="2"/>
                <w:sz w:val="20"/>
                <w:szCs w:val="20"/>
              </w:rPr>
              <w:t>,</w:t>
            </w:r>
            <w:r>
              <w:rPr>
                <w:rFonts w:hint="eastAsia"/>
                <w:i/>
                <w:iCs/>
                <w:kern w:val="2"/>
                <w:sz w:val="20"/>
                <w:szCs w:val="20"/>
              </w:rPr>
              <w:t xml:space="preserve"> Pterocarya</w:t>
            </w:r>
            <w:r>
              <w:rPr>
                <w:rFonts w:hint="default"/>
                <w:kern w:val="2"/>
                <w:sz w:val="20"/>
                <w:szCs w:val="20"/>
              </w:rPr>
              <w:t xml:space="preserve">, </w:t>
            </w:r>
            <w:r>
              <w:rPr>
                <w:rFonts w:hint="default"/>
                <w:i/>
                <w:iCs/>
                <w:kern w:val="2"/>
                <w:sz w:val="20"/>
                <w:szCs w:val="20"/>
              </w:rPr>
              <w:t>Quercus</w:t>
            </w:r>
            <w:r>
              <w:rPr>
                <w:rFonts w:hint="eastAsia"/>
                <w:i/>
                <w:iCs/>
                <w:kern w:val="2"/>
                <w:sz w:val="20"/>
                <w:szCs w:val="20"/>
              </w:rPr>
              <w:t xml:space="preserve"> (deciduous)</w:t>
            </w:r>
            <w:r>
              <w:rPr>
                <w:rFonts w:hint="default"/>
                <w:kern w:val="2"/>
                <w:sz w:val="20"/>
                <w:szCs w:val="20"/>
              </w:rPr>
              <w:t xml:space="preserve">, </w:t>
            </w:r>
            <w:r>
              <w:rPr>
                <w:rFonts w:hint="eastAsia"/>
                <w:i/>
                <w:iCs/>
                <w:kern w:val="2"/>
                <w:sz w:val="20"/>
                <w:szCs w:val="20"/>
              </w:rPr>
              <w:t>Rosa</w:t>
            </w:r>
            <w:r>
              <w:rPr>
                <w:rFonts w:hint="eastAsia"/>
                <w:kern w:val="2"/>
                <w:sz w:val="20"/>
                <w:szCs w:val="20"/>
              </w:rPr>
              <w:t>,</w:t>
            </w:r>
            <w:r>
              <w:rPr>
                <w:rFonts w:hint="default"/>
                <w:i/>
                <w:iCs/>
                <w:kern w:val="2"/>
                <w:sz w:val="20"/>
                <w:szCs w:val="20"/>
              </w:rPr>
              <w:t xml:space="preserve"> Tilia</w:t>
            </w:r>
            <w:r>
              <w:rPr>
                <w:rFonts w:hint="default"/>
                <w:kern w:val="2"/>
                <w:sz w:val="20"/>
                <w:szCs w:val="20"/>
              </w:rPr>
              <w:t xml:space="preserve">, </w:t>
            </w:r>
            <w:r>
              <w:rPr>
                <w:rFonts w:hint="default"/>
                <w:i/>
                <w:iCs/>
                <w:kern w:val="2"/>
                <w:sz w:val="20"/>
                <w:szCs w:val="20"/>
              </w:rPr>
              <w:t>Ulmus</w:t>
            </w:r>
            <w:r>
              <w:rPr>
                <w:rFonts w:hint="eastAsia"/>
                <w:kern w:val="2"/>
                <w:sz w:val="20"/>
                <w:szCs w:val="20"/>
              </w:rPr>
              <w:t xml:space="preserve">, </w:t>
            </w:r>
            <w:r>
              <w:rPr>
                <w:rFonts w:hint="eastAsia"/>
                <w:i/>
                <w:iCs/>
                <w:kern w:val="2"/>
                <w:sz w:val="20"/>
                <w:szCs w:val="20"/>
              </w:rPr>
              <w:t>Zelkova</w:t>
            </w:r>
          </w:p>
        </w:tc>
      </w:tr>
      <w:tr w14:paraId="794635A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26" w:type="pct"/>
            <w:vAlign w:val="center"/>
          </w:tcPr>
          <w:p w14:paraId="5C820610">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b</w:t>
            </w:r>
            <w:r>
              <w:rPr>
                <w:rFonts w:hint="default"/>
                <w:kern w:val="2"/>
                <w:sz w:val="20"/>
                <w:szCs w:val="20"/>
              </w:rPr>
              <w:t>ts</w:t>
            </w:r>
          </w:p>
        </w:tc>
        <w:tc>
          <w:tcPr>
            <w:tcW w:w="1707" w:type="pct"/>
            <w:vAlign w:val="center"/>
          </w:tcPr>
          <w:p w14:paraId="66D9D956">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cool-temperate summergreen broadleaf</w:t>
            </w:r>
          </w:p>
        </w:tc>
        <w:tc>
          <w:tcPr>
            <w:tcW w:w="2867" w:type="pct"/>
            <w:vAlign w:val="center"/>
          </w:tcPr>
          <w:p w14:paraId="65741F62">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i/>
                <w:iCs/>
                <w:kern w:val="2"/>
                <w:sz w:val="20"/>
                <w:szCs w:val="20"/>
              </w:rPr>
              <w:t>Betula</w:t>
            </w:r>
            <w:r>
              <w:rPr>
                <w:rFonts w:hint="default"/>
                <w:kern w:val="2"/>
                <w:sz w:val="20"/>
                <w:szCs w:val="20"/>
              </w:rPr>
              <w:t xml:space="preserve">, </w:t>
            </w:r>
            <w:r>
              <w:rPr>
                <w:rFonts w:hint="default"/>
                <w:i/>
                <w:iCs/>
                <w:kern w:val="2"/>
                <w:sz w:val="20"/>
                <w:szCs w:val="20"/>
              </w:rPr>
              <w:t>Carpinus</w:t>
            </w:r>
            <w:r>
              <w:rPr>
                <w:rFonts w:hint="default"/>
                <w:kern w:val="2"/>
                <w:sz w:val="20"/>
                <w:szCs w:val="20"/>
              </w:rPr>
              <w:t xml:space="preserve">, </w:t>
            </w:r>
            <w:r>
              <w:rPr>
                <w:rFonts w:hint="eastAsia"/>
                <w:i/>
                <w:iCs/>
                <w:kern w:val="2"/>
                <w:sz w:val="20"/>
                <w:szCs w:val="20"/>
              </w:rPr>
              <w:t>Dipsacus</w:t>
            </w:r>
            <w:r>
              <w:rPr>
                <w:rFonts w:hint="eastAsia"/>
                <w:kern w:val="2"/>
                <w:sz w:val="20"/>
                <w:szCs w:val="20"/>
              </w:rPr>
              <w:t xml:space="preserve">, </w:t>
            </w:r>
            <w:r>
              <w:rPr>
                <w:rFonts w:hint="eastAsia"/>
                <w:i/>
                <w:iCs/>
                <w:kern w:val="2"/>
                <w:sz w:val="20"/>
                <w:szCs w:val="20"/>
              </w:rPr>
              <w:t>Juglans</w:t>
            </w:r>
            <w:r>
              <w:rPr>
                <w:rFonts w:hint="eastAsia"/>
                <w:kern w:val="2"/>
                <w:sz w:val="20"/>
                <w:szCs w:val="20"/>
              </w:rPr>
              <w:t xml:space="preserve">, </w:t>
            </w:r>
            <w:r>
              <w:rPr>
                <w:rFonts w:hint="eastAsia"/>
                <w:i/>
                <w:iCs/>
                <w:kern w:val="2"/>
                <w:sz w:val="20"/>
                <w:szCs w:val="20"/>
              </w:rPr>
              <w:t>Lonicera</w:t>
            </w:r>
            <w:r>
              <w:rPr>
                <w:rFonts w:hint="eastAsia"/>
                <w:kern w:val="2"/>
                <w:sz w:val="20"/>
                <w:szCs w:val="20"/>
              </w:rPr>
              <w:t xml:space="preserve">, </w:t>
            </w:r>
            <w:r>
              <w:rPr>
                <w:rFonts w:hint="default"/>
                <w:i/>
                <w:iCs/>
                <w:kern w:val="2"/>
                <w:sz w:val="20"/>
                <w:szCs w:val="20"/>
              </w:rPr>
              <w:t>Quercus</w:t>
            </w:r>
            <w:r>
              <w:rPr>
                <w:rFonts w:hint="eastAsia"/>
                <w:i/>
                <w:iCs/>
                <w:kern w:val="2"/>
                <w:sz w:val="20"/>
                <w:szCs w:val="20"/>
              </w:rPr>
              <w:t xml:space="preserve"> (deciduous), </w:t>
            </w:r>
            <w:r>
              <w:rPr>
                <w:rFonts w:hint="default"/>
                <w:kern w:val="2"/>
                <w:sz w:val="20"/>
                <w:szCs w:val="20"/>
              </w:rPr>
              <w:t>Rosaceae,</w:t>
            </w:r>
            <w:r>
              <w:rPr>
                <w:rFonts w:hint="eastAsia"/>
                <w:kern w:val="2"/>
                <w:sz w:val="20"/>
                <w:szCs w:val="20"/>
              </w:rPr>
              <w:t xml:space="preserve"> </w:t>
            </w:r>
            <w:r>
              <w:rPr>
                <w:rFonts w:hint="default"/>
                <w:i/>
                <w:iCs/>
                <w:kern w:val="2"/>
                <w:sz w:val="20"/>
                <w:szCs w:val="20"/>
              </w:rPr>
              <w:t>Tilia</w:t>
            </w:r>
            <w:r>
              <w:rPr>
                <w:rFonts w:hint="default"/>
                <w:kern w:val="2"/>
                <w:sz w:val="20"/>
                <w:szCs w:val="20"/>
              </w:rPr>
              <w:t xml:space="preserve">, </w:t>
            </w:r>
            <w:r>
              <w:rPr>
                <w:rFonts w:hint="default"/>
                <w:i/>
                <w:iCs/>
                <w:kern w:val="2"/>
                <w:sz w:val="20"/>
                <w:szCs w:val="20"/>
              </w:rPr>
              <w:t>Ulmus</w:t>
            </w:r>
            <w:r>
              <w:rPr>
                <w:rFonts w:hint="eastAsia"/>
                <w:kern w:val="2"/>
                <w:sz w:val="20"/>
                <w:szCs w:val="20"/>
              </w:rPr>
              <w:t xml:space="preserve">, </w:t>
            </w:r>
            <w:r>
              <w:rPr>
                <w:rFonts w:hint="eastAsia"/>
                <w:i/>
                <w:iCs/>
                <w:kern w:val="2"/>
                <w:sz w:val="20"/>
                <w:szCs w:val="20"/>
              </w:rPr>
              <w:t>Zelkova</w:t>
            </w:r>
          </w:p>
        </w:tc>
      </w:tr>
      <w:tr w14:paraId="32E249B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26" w:type="pct"/>
            <w:vAlign w:val="center"/>
          </w:tcPr>
          <w:p w14:paraId="3CD75CB8">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t</w:t>
            </w:r>
            <w:r>
              <w:rPr>
                <w:rFonts w:hint="default"/>
                <w:kern w:val="2"/>
                <w:sz w:val="20"/>
                <w:szCs w:val="20"/>
              </w:rPr>
              <w:t>bs</w:t>
            </w:r>
          </w:p>
        </w:tc>
        <w:tc>
          <w:tcPr>
            <w:tcW w:w="1707" w:type="pct"/>
            <w:vAlign w:val="center"/>
          </w:tcPr>
          <w:p w14:paraId="18A320AB">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cool-temperate summergreen shrub</w:t>
            </w:r>
          </w:p>
        </w:tc>
        <w:tc>
          <w:tcPr>
            <w:tcW w:w="2867" w:type="pct"/>
            <w:vAlign w:val="center"/>
          </w:tcPr>
          <w:p w14:paraId="37217530">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i/>
                <w:iCs/>
                <w:kern w:val="2"/>
                <w:sz w:val="20"/>
                <w:szCs w:val="20"/>
              </w:rPr>
            </w:pPr>
            <w:r>
              <w:rPr>
                <w:rFonts w:hint="default"/>
                <w:i/>
                <w:iCs/>
                <w:kern w:val="2"/>
                <w:sz w:val="20"/>
                <w:szCs w:val="20"/>
              </w:rPr>
              <w:t>Ulmus</w:t>
            </w:r>
            <w:r>
              <w:rPr>
                <w:rFonts w:hint="eastAsia"/>
                <w:kern w:val="2"/>
                <w:sz w:val="20"/>
                <w:szCs w:val="20"/>
              </w:rPr>
              <w:t xml:space="preserve">, </w:t>
            </w:r>
            <w:r>
              <w:rPr>
                <w:rFonts w:hint="eastAsia"/>
                <w:i/>
                <w:iCs/>
                <w:kern w:val="2"/>
                <w:sz w:val="20"/>
                <w:szCs w:val="20"/>
              </w:rPr>
              <w:t>Zelkova</w:t>
            </w:r>
          </w:p>
        </w:tc>
      </w:tr>
      <w:tr w14:paraId="7AE52DF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26" w:type="pct"/>
            <w:vAlign w:val="center"/>
          </w:tcPr>
          <w:p w14:paraId="3F9B0C59">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c</w:t>
            </w:r>
            <w:r>
              <w:rPr>
                <w:rFonts w:hint="default"/>
                <w:kern w:val="2"/>
                <w:sz w:val="20"/>
                <w:szCs w:val="20"/>
              </w:rPr>
              <w:t>tc</w:t>
            </w:r>
          </w:p>
        </w:tc>
        <w:tc>
          <w:tcPr>
            <w:tcW w:w="1707" w:type="pct"/>
            <w:vAlign w:val="center"/>
          </w:tcPr>
          <w:p w14:paraId="08383825">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cool-temperate evergreen conifer</w:t>
            </w:r>
          </w:p>
        </w:tc>
        <w:tc>
          <w:tcPr>
            <w:tcW w:w="2867" w:type="pct"/>
            <w:vAlign w:val="center"/>
          </w:tcPr>
          <w:p w14:paraId="6DA244F6">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i/>
                <w:iCs/>
                <w:kern w:val="2"/>
                <w:sz w:val="20"/>
                <w:szCs w:val="20"/>
              </w:rPr>
            </w:pPr>
            <w:r>
              <w:rPr>
                <w:rFonts w:hint="eastAsia"/>
                <w:i/>
                <w:iCs/>
                <w:kern w:val="2"/>
                <w:sz w:val="20"/>
                <w:szCs w:val="20"/>
              </w:rPr>
              <w:t>P</w:t>
            </w:r>
            <w:r>
              <w:rPr>
                <w:rFonts w:hint="default"/>
                <w:i/>
                <w:iCs/>
                <w:kern w:val="2"/>
                <w:sz w:val="20"/>
                <w:szCs w:val="20"/>
              </w:rPr>
              <w:t>icea</w:t>
            </w:r>
          </w:p>
        </w:tc>
      </w:tr>
      <w:tr w14:paraId="7CD92D1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26" w:type="pct"/>
            <w:vAlign w:val="center"/>
          </w:tcPr>
          <w:p w14:paraId="22AE5345">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b</w:t>
            </w:r>
            <w:r>
              <w:rPr>
                <w:rFonts w:hint="default"/>
                <w:kern w:val="2"/>
                <w:sz w:val="20"/>
                <w:szCs w:val="20"/>
              </w:rPr>
              <w:t>s</w:t>
            </w:r>
          </w:p>
        </w:tc>
        <w:tc>
          <w:tcPr>
            <w:tcW w:w="1707" w:type="pct"/>
            <w:vAlign w:val="center"/>
          </w:tcPr>
          <w:p w14:paraId="757C5883">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boreal summergreen</w:t>
            </w:r>
          </w:p>
        </w:tc>
        <w:tc>
          <w:tcPr>
            <w:tcW w:w="2867" w:type="pct"/>
            <w:vAlign w:val="center"/>
          </w:tcPr>
          <w:p w14:paraId="25DCD7EB">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i/>
                <w:iCs/>
                <w:kern w:val="2"/>
                <w:sz w:val="20"/>
                <w:szCs w:val="20"/>
              </w:rPr>
              <w:t>Betula</w:t>
            </w:r>
            <w:r>
              <w:rPr>
                <w:rFonts w:hint="default"/>
                <w:kern w:val="2"/>
                <w:sz w:val="20"/>
                <w:szCs w:val="20"/>
              </w:rPr>
              <w:t xml:space="preserve">, </w:t>
            </w:r>
            <w:r>
              <w:rPr>
                <w:rFonts w:hint="default"/>
                <w:i/>
                <w:iCs/>
                <w:kern w:val="2"/>
                <w:sz w:val="20"/>
                <w:szCs w:val="20"/>
              </w:rPr>
              <w:t>Corylus</w:t>
            </w:r>
            <w:r>
              <w:rPr>
                <w:rFonts w:hint="default"/>
                <w:kern w:val="2"/>
                <w:sz w:val="20"/>
                <w:szCs w:val="20"/>
              </w:rPr>
              <w:t>,</w:t>
            </w:r>
            <w:r>
              <w:rPr>
                <w:rFonts w:hint="eastAsia"/>
                <w:kern w:val="2"/>
                <w:sz w:val="20"/>
                <w:szCs w:val="20"/>
              </w:rPr>
              <w:t xml:space="preserve"> Ericaceae</w:t>
            </w:r>
            <w:r>
              <w:rPr>
                <w:rFonts w:hint="default"/>
                <w:kern w:val="2"/>
                <w:sz w:val="20"/>
                <w:szCs w:val="20"/>
              </w:rPr>
              <w:t xml:space="preserve">, </w:t>
            </w:r>
            <w:r>
              <w:rPr>
                <w:rFonts w:hint="eastAsia"/>
                <w:i/>
                <w:iCs/>
                <w:kern w:val="2"/>
                <w:sz w:val="20"/>
                <w:szCs w:val="20"/>
              </w:rPr>
              <w:t>Lonicera</w:t>
            </w:r>
            <w:r>
              <w:rPr>
                <w:rFonts w:hint="eastAsia"/>
                <w:kern w:val="2"/>
                <w:sz w:val="20"/>
                <w:szCs w:val="20"/>
              </w:rPr>
              <w:t xml:space="preserve">, </w:t>
            </w:r>
            <w:r>
              <w:rPr>
                <w:rFonts w:hint="default"/>
                <w:i/>
                <w:iCs/>
                <w:kern w:val="2"/>
                <w:sz w:val="20"/>
                <w:szCs w:val="20"/>
              </w:rPr>
              <w:t>Quercus</w:t>
            </w:r>
            <w:r>
              <w:rPr>
                <w:rFonts w:hint="eastAsia"/>
                <w:i/>
                <w:iCs/>
                <w:kern w:val="2"/>
                <w:sz w:val="20"/>
                <w:szCs w:val="20"/>
              </w:rPr>
              <w:t xml:space="preserve"> (deciduous)</w:t>
            </w:r>
          </w:p>
        </w:tc>
      </w:tr>
      <w:tr w14:paraId="1B80F5C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26" w:type="pct"/>
            <w:vAlign w:val="center"/>
          </w:tcPr>
          <w:p w14:paraId="1F141CF4">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b</w:t>
            </w:r>
            <w:r>
              <w:rPr>
                <w:rFonts w:hint="default"/>
                <w:kern w:val="2"/>
                <w:sz w:val="20"/>
                <w:szCs w:val="20"/>
              </w:rPr>
              <w:t>ec</w:t>
            </w:r>
          </w:p>
        </w:tc>
        <w:tc>
          <w:tcPr>
            <w:tcW w:w="1707" w:type="pct"/>
            <w:vAlign w:val="center"/>
          </w:tcPr>
          <w:p w14:paraId="28F2E3EC">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Boreal evergreen conifer</w:t>
            </w:r>
          </w:p>
        </w:tc>
        <w:tc>
          <w:tcPr>
            <w:tcW w:w="2867" w:type="pct"/>
            <w:vAlign w:val="center"/>
          </w:tcPr>
          <w:p w14:paraId="15429484">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i/>
                <w:iCs/>
                <w:kern w:val="2"/>
                <w:sz w:val="20"/>
                <w:szCs w:val="20"/>
              </w:rPr>
              <w:t>Abies</w:t>
            </w:r>
            <w:r>
              <w:rPr>
                <w:rFonts w:hint="eastAsia"/>
                <w:kern w:val="2"/>
                <w:sz w:val="20"/>
                <w:szCs w:val="20"/>
              </w:rPr>
              <w:t>,</w:t>
            </w:r>
            <w:r>
              <w:rPr>
                <w:rFonts w:hint="default"/>
                <w:i/>
                <w:iCs/>
                <w:kern w:val="2"/>
                <w:sz w:val="20"/>
                <w:szCs w:val="20"/>
              </w:rPr>
              <w:t xml:space="preserve"> Picea</w:t>
            </w:r>
            <w:r>
              <w:rPr>
                <w:rFonts w:hint="default"/>
                <w:kern w:val="2"/>
                <w:sz w:val="20"/>
                <w:szCs w:val="20"/>
              </w:rPr>
              <w:t xml:space="preserve">, </w:t>
            </w:r>
            <w:r>
              <w:rPr>
                <w:rFonts w:hint="default"/>
                <w:i/>
                <w:iCs/>
                <w:kern w:val="2"/>
                <w:sz w:val="20"/>
                <w:szCs w:val="20"/>
              </w:rPr>
              <w:t>Pinus</w:t>
            </w:r>
          </w:p>
        </w:tc>
      </w:tr>
      <w:tr w14:paraId="3D1E0C9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26" w:type="pct"/>
            <w:vAlign w:val="center"/>
          </w:tcPr>
          <w:p w14:paraId="26B38D98">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c</w:t>
            </w:r>
            <w:r>
              <w:rPr>
                <w:rFonts w:hint="default"/>
                <w:kern w:val="2"/>
                <w:sz w:val="20"/>
                <w:szCs w:val="20"/>
              </w:rPr>
              <w:t>tm</w:t>
            </w:r>
          </w:p>
        </w:tc>
        <w:tc>
          <w:tcPr>
            <w:tcW w:w="1707" w:type="pct"/>
            <w:vAlign w:val="center"/>
          </w:tcPr>
          <w:p w14:paraId="74CB5053">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cool-temperate meadow forb</w:t>
            </w:r>
          </w:p>
        </w:tc>
        <w:tc>
          <w:tcPr>
            <w:tcW w:w="2867" w:type="pct"/>
            <w:vAlign w:val="center"/>
          </w:tcPr>
          <w:p w14:paraId="2C3101D1">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Caryophyllaceae,</w:t>
            </w:r>
            <w:r>
              <w:rPr>
                <w:rFonts w:hint="eastAsia"/>
                <w:kern w:val="2"/>
                <w:sz w:val="20"/>
                <w:szCs w:val="20"/>
              </w:rPr>
              <w:t xml:space="preserve"> Convolvulaceae, </w:t>
            </w:r>
            <w:r>
              <w:rPr>
                <w:rFonts w:hint="eastAsia"/>
                <w:i/>
                <w:iCs/>
                <w:kern w:val="2"/>
                <w:sz w:val="20"/>
                <w:szCs w:val="20"/>
              </w:rPr>
              <w:t>Epilobium</w:t>
            </w:r>
            <w:r>
              <w:rPr>
                <w:rFonts w:hint="eastAsia"/>
                <w:kern w:val="2"/>
                <w:sz w:val="20"/>
                <w:szCs w:val="20"/>
              </w:rPr>
              <w:t>, Euphorbiaceae</w:t>
            </w:r>
            <w:r>
              <w:rPr>
                <w:rFonts w:hint="default"/>
                <w:kern w:val="2"/>
                <w:sz w:val="20"/>
                <w:szCs w:val="20"/>
              </w:rPr>
              <w:t>,</w:t>
            </w:r>
            <w:r>
              <w:rPr>
                <w:rFonts w:hint="eastAsia"/>
                <w:kern w:val="2"/>
                <w:sz w:val="20"/>
                <w:szCs w:val="20"/>
              </w:rPr>
              <w:t xml:space="preserve"> </w:t>
            </w:r>
            <w:r>
              <w:rPr>
                <w:rFonts w:hint="eastAsia"/>
                <w:i/>
                <w:iCs/>
                <w:kern w:val="2"/>
                <w:sz w:val="20"/>
                <w:szCs w:val="20"/>
              </w:rPr>
              <w:t>Geranium</w:t>
            </w:r>
            <w:r>
              <w:rPr>
                <w:rFonts w:hint="default"/>
                <w:kern w:val="2"/>
                <w:sz w:val="20"/>
                <w:szCs w:val="20"/>
              </w:rPr>
              <w:t>,</w:t>
            </w:r>
            <w:r>
              <w:rPr>
                <w:rFonts w:hint="eastAsia"/>
                <w:kern w:val="2"/>
                <w:sz w:val="20"/>
                <w:szCs w:val="20"/>
              </w:rPr>
              <w:t xml:space="preserve"> Lamiaceae,</w:t>
            </w:r>
            <w:r>
              <w:rPr>
                <w:rFonts w:hint="default"/>
                <w:kern w:val="2"/>
                <w:sz w:val="20"/>
                <w:szCs w:val="20"/>
              </w:rPr>
              <w:t xml:space="preserve"> Liliaceae, Ranunculaceae</w:t>
            </w:r>
            <w:r>
              <w:rPr>
                <w:rFonts w:hint="eastAsia"/>
                <w:kern w:val="2"/>
                <w:sz w:val="20"/>
                <w:szCs w:val="20"/>
              </w:rPr>
              <w:t>, Violaceae</w:t>
            </w:r>
          </w:p>
        </w:tc>
      </w:tr>
      <w:tr w14:paraId="5B2B720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26" w:type="pct"/>
            <w:vAlign w:val="center"/>
          </w:tcPr>
          <w:p w14:paraId="4382F29F">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g</w:t>
            </w:r>
          </w:p>
        </w:tc>
        <w:tc>
          <w:tcPr>
            <w:tcW w:w="1707" w:type="pct"/>
            <w:vAlign w:val="center"/>
          </w:tcPr>
          <w:p w14:paraId="64F07FB3">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g</w:t>
            </w:r>
            <w:r>
              <w:rPr>
                <w:rFonts w:hint="default"/>
                <w:kern w:val="2"/>
                <w:sz w:val="20"/>
                <w:szCs w:val="20"/>
              </w:rPr>
              <w:t>rass</w:t>
            </w:r>
          </w:p>
        </w:tc>
        <w:tc>
          <w:tcPr>
            <w:tcW w:w="2867" w:type="pct"/>
            <w:vAlign w:val="center"/>
          </w:tcPr>
          <w:p w14:paraId="08078510">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Poaceae</w:t>
            </w:r>
          </w:p>
        </w:tc>
      </w:tr>
      <w:tr w14:paraId="2127046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26" w:type="pct"/>
            <w:vAlign w:val="center"/>
          </w:tcPr>
          <w:p w14:paraId="09508667">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t</w:t>
            </w:r>
            <w:r>
              <w:rPr>
                <w:rFonts w:hint="default"/>
                <w:kern w:val="2"/>
                <w:sz w:val="20"/>
                <w:szCs w:val="20"/>
              </w:rPr>
              <w:t>f</w:t>
            </w:r>
          </w:p>
        </w:tc>
        <w:tc>
          <w:tcPr>
            <w:tcW w:w="1707" w:type="pct"/>
            <w:vAlign w:val="center"/>
          </w:tcPr>
          <w:p w14:paraId="4260A07B">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cool-temperate steppe forb</w:t>
            </w:r>
          </w:p>
        </w:tc>
        <w:tc>
          <w:tcPr>
            <w:tcW w:w="2867" w:type="pct"/>
            <w:vAlign w:val="center"/>
          </w:tcPr>
          <w:p w14:paraId="5E7B5DF4">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Amaranthaceae</w:t>
            </w:r>
            <w:r>
              <w:rPr>
                <w:rFonts w:hint="eastAsia"/>
                <w:kern w:val="2"/>
                <w:sz w:val="20"/>
                <w:szCs w:val="20"/>
              </w:rPr>
              <w:t xml:space="preserve"> (Chenopodiaceae)</w:t>
            </w:r>
            <w:r>
              <w:rPr>
                <w:rFonts w:hint="default"/>
                <w:kern w:val="2"/>
                <w:sz w:val="20"/>
                <w:szCs w:val="20"/>
              </w:rPr>
              <w:t xml:space="preserve">, </w:t>
            </w:r>
            <w:r>
              <w:rPr>
                <w:rFonts w:hint="default"/>
                <w:i/>
                <w:iCs/>
                <w:kern w:val="2"/>
                <w:sz w:val="20"/>
                <w:szCs w:val="20"/>
              </w:rPr>
              <w:t>Artemisia</w:t>
            </w:r>
            <w:r>
              <w:rPr>
                <w:rFonts w:hint="default"/>
                <w:kern w:val="2"/>
                <w:sz w:val="20"/>
                <w:szCs w:val="20"/>
              </w:rPr>
              <w:t>, Caryophyllaceae,</w:t>
            </w:r>
            <w:r>
              <w:rPr>
                <w:rFonts w:hint="eastAsia"/>
                <w:kern w:val="2"/>
                <w:sz w:val="20"/>
                <w:szCs w:val="20"/>
              </w:rPr>
              <w:t xml:space="preserve"> Convolvulaceae, Euphorbiaceae, Lamiaceae, </w:t>
            </w:r>
            <w:r>
              <w:rPr>
                <w:rFonts w:hint="default"/>
                <w:kern w:val="2"/>
                <w:sz w:val="20"/>
                <w:szCs w:val="20"/>
              </w:rPr>
              <w:t xml:space="preserve">Liliaceae, </w:t>
            </w:r>
            <w:r>
              <w:rPr>
                <w:rFonts w:hint="eastAsia"/>
                <w:i/>
                <w:iCs/>
                <w:kern w:val="2"/>
                <w:sz w:val="20"/>
                <w:szCs w:val="20"/>
              </w:rPr>
              <w:t>Patrinia</w:t>
            </w:r>
            <w:r>
              <w:rPr>
                <w:rFonts w:hint="eastAsia"/>
                <w:kern w:val="2"/>
                <w:sz w:val="20"/>
                <w:szCs w:val="20"/>
              </w:rPr>
              <w:t>,</w:t>
            </w:r>
            <w:r>
              <w:rPr>
                <w:rFonts w:hint="default"/>
                <w:kern w:val="2"/>
                <w:sz w:val="20"/>
                <w:szCs w:val="20"/>
              </w:rPr>
              <w:t xml:space="preserve"> Polygonaceae, Ranunculaceae,</w:t>
            </w:r>
            <w:r>
              <w:rPr>
                <w:rFonts w:hint="eastAsia"/>
                <w:kern w:val="2"/>
                <w:sz w:val="20"/>
                <w:szCs w:val="20"/>
              </w:rPr>
              <w:t xml:space="preserve"> Scrophulariaceae, Solanaceae, </w:t>
            </w:r>
            <w:r>
              <w:rPr>
                <w:rFonts w:hint="eastAsia"/>
                <w:i/>
                <w:iCs/>
                <w:kern w:val="2"/>
                <w:sz w:val="20"/>
                <w:szCs w:val="20"/>
              </w:rPr>
              <w:t>Taraxacum</w:t>
            </w:r>
            <w:r>
              <w:rPr>
                <w:rFonts w:hint="eastAsia"/>
                <w:kern w:val="2"/>
                <w:sz w:val="20"/>
                <w:szCs w:val="20"/>
              </w:rPr>
              <w:t>, Violaceae</w:t>
            </w:r>
          </w:p>
        </w:tc>
      </w:tr>
      <w:tr w14:paraId="31EFE8F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26" w:type="pct"/>
            <w:vAlign w:val="center"/>
          </w:tcPr>
          <w:p w14:paraId="77E80EE5">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d</w:t>
            </w:r>
            <w:r>
              <w:rPr>
                <w:rFonts w:hint="default"/>
                <w:kern w:val="2"/>
                <w:sz w:val="20"/>
                <w:szCs w:val="20"/>
              </w:rPr>
              <w:t>sf</w:t>
            </w:r>
          </w:p>
        </w:tc>
        <w:tc>
          <w:tcPr>
            <w:tcW w:w="1707" w:type="pct"/>
            <w:vAlign w:val="center"/>
          </w:tcPr>
          <w:p w14:paraId="23CAC70A">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cool-temperate desert forb</w:t>
            </w:r>
          </w:p>
        </w:tc>
        <w:tc>
          <w:tcPr>
            <w:tcW w:w="2867" w:type="pct"/>
            <w:vAlign w:val="center"/>
          </w:tcPr>
          <w:p w14:paraId="7358DA0A">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i/>
                <w:iCs/>
                <w:kern w:val="2"/>
                <w:sz w:val="20"/>
                <w:szCs w:val="20"/>
              </w:rPr>
              <w:t>Artemisia</w:t>
            </w:r>
            <w:r>
              <w:rPr>
                <w:rFonts w:hint="default"/>
                <w:kern w:val="2"/>
                <w:sz w:val="20"/>
                <w:szCs w:val="20"/>
              </w:rPr>
              <w:t>, Caryophyllaceae, Liliaceae,</w:t>
            </w:r>
            <w:r>
              <w:rPr>
                <w:rFonts w:hint="eastAsia"/>
                <w:kern w:val="2"/>
                <w:sz w:val="20"/>
                <w:szCs w:val="20"/>
              </w:rPr>
              <w:t xml:space="preserve"> Scrophulariaceae, Violaceae</w:t>
            </w:r>
          </w:p>
        </w:tc>
      </w:tr>
      <w:tr w14:paraId="6029482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26" w:type="pct"/>
            <w:vAlign w:val="center"/>
          </w:tcPr>
          <w:p w14:paraId="7706E8D7">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t</w:t>
            </w:r>
            <w:r>
              <w:rPr>
                <w:rFonts w:hint="default"/>
                <w:kern w:val="2"/>
                <w:sz w:val="20"/>
                <w:szCs w:val="20"/>
              </w:rPr>
              <w:t>ds</w:t>
            </w:r>
          </w:p>
        </w:tc>
        <w:tc>
          <w:tcPr>
            <w:tcW w:w="1707" w:type="pct"/>
            <w:vAlign w:val="center"/>
          </w:tcPr>
          <w:p w14:paraId="2F0C47AF">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cool-temperate desert shrub</w:t>
            </w:r>
          </w:p>
        </w:tc>
        <w:tc>
          <w:tcPr>
            <w:tcW w:w="2867" w:type="pct"/>
            <w:vAlign w:val="center"/>
          </w:tcPr>
          <w:p w14:paraId="1AF1B54F">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Amaranthaceae</w:t>
            </w:r>
            <w:r>
              <w:rPr>
                <w:rFonts w:hint="eastAsia"/>
                <w:kern w:val="2"/>
                <w:sz w:val="20"/>
                <w:szCs w:val="20"/>
              </w:rPr>
              <w:t xml:space="preserve"> (Chenopodiaceae)</w:t>
            </w:r>
            <w:r>
              <w:rPr>
                <w:rFonts w:hint="default"/>
                <w:kern w:val="2"/>
                <w:sz w:val="20"/>
                <w:szCs w:val="20"/>
              </w:rPr>
              <w:t xml:space="preserve">, Caryophyllaceae, </w:t>
            </w:r>
            <w:r>
              <w:rPr>
                <w:rFonts w:hint="default"/>
                <w:i/>
                <w:iCs/>
                <w:kern w:val="2"/>
                <w:sz w:val="20"/>
                <w:szCs w:val="20"/>
              </w:rPr>
              <w:t>Ephedra</w:t>
            </w:r>
          </w:p>
        </w:tc>
      </w:tr>
      <w:tr w14:paraId="4D5EC0A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26" w:type="pct"/>
            <w:vAlign w:val="center"/>
          </w:tcPr>
          <w:p w14:paraId="5E4F3E07">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a</w:t>
            </w:r>
            <w:r>
              <w:rPr>
                <w:rFonts w:hint="default"/>
                <w:kern w:val="2"/>
                <w:sz w:val="20"/>
                <w:szCs w:val="20"/>
              </w:rPr>
              <w:t>a</w:t>
            </w:r>
          </w:p>
        </w:tc>
        <w:tc>
          <w:tcPr>
            <w:tcW w:w="1707" w:type="pct"/>
            <w:vAlign w:val="center"/>
          </w:tcPr>
          <w:p w14:paraId="625A5EC6">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arctic-alpine dwarf shrub</w:t>
            </w:r>
          </w:p>
        </w:tc>
        <w:tc>
          <w:tcPr>
            <w:tcW w:w="2867" w:type="pct"/>
            <w:vAlign w:val="center"/>
          </w:tcPr>
          <w:p w14:paraId="0020BBFD">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i/>
                <w:iCs/>
                <w:kern w:val="2"/>
                <w:sz w:val="20"/>
                <w:szCs w:val="20"/>
              </w:rPr>
              <w:t>Betula</w:t>
            </w:r>
            <w:r>
              <w:rPr>
                <w:rFonts w:hint="default"/>
                <w:kern w:val="2"/>
                <w:sz w:val="20"/>
                <w:szCs w:val="20"/>
              </w:rPr>
              <w:t xml:space="preserve">, </w:t>
            </w:r>
            <w:r>
              <w:rPr>
                <w:rFonts w:hint="default"/>
                <w:i/>
                <w:iCs/>
                <w:kern w:val="2"/>
                <w:sz w:val="20"/>
                <w:szCs w:val="20"/>
              </w:rPr>
              <w:t>Corylus</w:t>
            </w:r>
            <w:r>
              <w:rPr>
                <w:rFonts w:hint="default"/>
                <w:kern w:val="2"/>
                <w:sz w:val="20"/>
                <w:szCs w:val="20"/>
              </w:rPr>
              <w:t xml:space="preserve">, </w:t>
            </w:r>
            <w:r>
              <w:rPr>
                <w:rFonts w:hint="eastAsia"/>
                <w:kern w:val="2"/>
                <w:sz w:val="20"/>
                <w:szCs w:val="20"/>
              </w:rPr>
              <w:t>Ericaceae,</w:t>
            </w:r>
            <w:r>
              <w:rPr>
                <w:rFonts w:hint="default"/>
                <w:kern w:val="2"/>
                <w:sz w:val="20"/>
                <w:szCs w:val="20"/>
              </w:rPr>
              <w:t xml:space="preserve"> Rosaceae, </w:t>
            </w:r>
            <w:r>
              <w:rPr>
                <w:rFonts w:hint="default"/>
                <w:i/>
                <w:iCs/>
                <w:kern w:val="2"/>
                <w:sz w:val="20"/>
                <w:szCs w:val="20"/>
              </w:rPr>
              <w:t>Ulmus</w:t>
            </w:r>
          </w:p>
        </w:tc>
      </w:tr>
      <w:tr w14:paraId="6D391BB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26" w:type="pct"/>
            <w:vAlign w:val="center"/>
          </w:tcPr>
          <w:p w14:paraId="15C3901D">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a</w:t>
            </w:r>
            <w:r>
              <w:rPr>
                <w:rFonts w:hint="default"/>
                <w:kern w:val="2"/>
                <w:sz w:val="20"/>
                <w:szCs w:val="20"/>
              </w:rPr>
              <w:t>m</w:t>
            </w:r>
          </w:p>
        </w:tc>
        <w:tc>
          <w:tcPr>
            <w:tcW w:w="1707" w:type="pct"/>
            <w:vAlign w:val="center"/>
          </w:tcPr>
          <w:p w14:paraId="531CE11A">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alpine meadow forb</w:t>
            </w:r>
          </w:p>
        </w:tc>
        <w:tc>
          <w:tcPr>
            <w:tcW w:w="2867" w:type="pct"/>
            <w:vAlign w:val="center"/>
          </w:tcPr>
          <w:p w14:paraId="579423F3">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Cyperaceae, Geranium</w:t>
            </w:r>
            <w:r>
              <w:rPr>
                <w:rFonts w:hint="default"/>
                <w:kern w:val="2"/>
                <w:sz w:val="20"/>
                <w:szCs w:val="20"/>
              </w:rPr>
              <w:t>, Liliaceae, Ranunculaceae</w:t>
            </w:r>
          </w:p>
        </w:tc>
      </w:tr>
      <w:tr w14:paraId="363954A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26" w:type="pct"/>
            <w:vAlign w:val="center"/>
          </w:tcPr>
          <w:p w14:paraId="2C0B67CD">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a</w:t>
            </w:r>
            <w:r>
              <w:rPr>
                <w:rFonts w:hint="default"/>
                <w:kern w:val="2"/>
                <w:sz w:val="20"/>
                <w:szCs w:val="20"/>
              </w:rPr>
              <w:t>f</w:t>
            </w:r>
          </w:p>
        </w:tc>
        <w:tc>
          <w:tcPr>
            <w:tcW w:w="1707" w:type="pct"/>
            <w:vAlign w:val="center"/>
          </w:tcPr>
          <w:p w14:paraId="10BED124">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arctic-alpine forb</w:t>
            </w:r>
          </w:p>
        </w:tc>
        <w:tc>
          <w:tcPr>
            <w:tcW w:w="2867" w:type="pct"/>
            <w:vAlign w:val="center"/>
          </w:tcPr>
          <w:p w14:paraId="45F1357D">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i/>
                <w:iCs/>
                <w:kern w:val="2"/>
                <w:sz w:val="20"/>
                <w:szCs w:val="20"/>
              </w:rPr>
              <w:t>Aster</w:t>
            </w:r>
            <w:r>
              <w:rPr>
                <w:rFonts w:hint="default"/>
                <w:kern w:val="2"/>
                <w:sz w:val="20"/>
                <w:szCs w:val="20"/>
              </w:rPr>
              <w:t>,</w:t>
            </w:r>
            <w:r>
              <w:rPr>
                <w:rFonts w:hint="eastAsia"/>
                <w:kern w:val="2"/>
                <w:sz w:val="20"/>
                <w:szCs w:val="20"/>
              </w:rPr>
              <w:t xml:space="preserve"> Asteraceae</w:t>
            </w:r>
            <w:r>
              <w:rPr>
                <w:rFonts w:hint="default"/>
                <w:kern w:val="2"/>
                <w:sz w:val="20"/>
                <w:szCs w:val="20"/>
              </w:rPr>
              <w:t>, Caryophyllaceae,</w:t>
            </w:r>
            <w:r>
              <w:rPr>
                <w:rFonts w:hint="eastAsia"/>
                <w:kern w:val="2"/>
                <w:sz w:val="20"/>
                <w:szCs w:val="20"/>
              </w:rPr>
              <w:t xml:space="preserve"> Lamiaceae,</w:t>
            </w:r>
            <w:r>
              <w:rPr>
                <w:rFonts w:hint="default"/>
                <w:kern w:val="2"/>
                <w:sz w:val="20"/>
                <w:szCs w:val="20"/>
              </w:rPr>
              <w:t xml:space="preserve"> Liliaceae, Ranunculaceae</w:t>
            </w:r>
          </w:p>
        </w:tc>
      </w:tr>
      <w:tr w14:paraId="47A44CB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26" w:type="pct"/>
            <w:vAlign w:val="center"/>
          </w:tcPr>
          <w:p w14:paraId="55A663AF">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a</w:t>
            </w:r>
            <w:r>
              <w:rPr>
                <w:rFonts w:hint="default"/>
                <w:kern w:val="2"/>
                <w:sz w:val="20"/>
                <w:szCs w:val="20"/>
              </w:rPr>
              <w:t>ds</w:t>
            </w:r>
          </w:p>
        </w:tc>
        <w:tc>
          <w:tcPr>
            <w:tcW w:w="1707" w:type="pct"/>
            <w:vAlign w:val="center"/>
          </w:tcPr>
          <w:p w14:paraId="43245536">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alpine desert shrub</w:t>
            </w:r>
          </w:p>
        </w:tc>
        <w:tc>
          <w:tcPr>
            <w:tcW w:w="2867" w:type="pct"/>
            <w:vAlign w:val="center"/>
          </w:tcPr>
          <w:p w14:paraId="09BD4EEF">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Amaranthaceae</w:t>
            </w:r>
            <w:r>
              <w:rPr>
                <w:rFonts w:hint="eastAsia"/>
                <w:kern w:val="2"/>
                <w:sz w:val="20"/>
                <w:szCs w:val="20"/>
              </w:rPr>
              <w:t xml:space="preserve"> (Chenopodiaceae)</w:t>
            </w:r>
            <w:r>
              <w:rPr>
                <w:rFonts w:hint="default"/>
                <w:kern w:val="2"/>
                <w:sz w:val="20"/>
                <w:szCs w:val="20"/>
              </w:rPr>
              <w:t xml:space="preserve">, </w:t>
            </w:r>
            <w:r>
              <w:rPr>
                <w:rFonts w:hint="default"/>
                <w:i/>
                <w:iCs/>
                <w:kern w:val="2"/>
                <w:sz w:val="20"/>
                <w:szCs w:val="20"/>
              </w:rPr>
              <w:t>Ephedra</w:t>
            </w:r>
          </w:p>
        </w:tc>
      </w:tr>
      <w:tr w14:paraId="57BD5A3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26" w:type="pct"/>
            <w:vAlign w:val="center"/>
          </w:tcPr>
          <w:p w14:paraId="10860A3D">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e</w:t>
            </w:r>
            <w:r>
              <w:rPr>
                <w:rFonts w:hint="default"/>
                <w:kern w:val="2"/>
                <w:sz w:val="20"/>
                <w:szCs w:val="20"/>
              </w:rPr>
              <w:t>c</w:t>
            </w:r>
          </w:p>
        </w:tc>
        <w:tc>
          <w:tcPr>
            <w:tcW w:w="1707" w:type="pct"/>
            <w:vAlign w:val="center"/>
          </w:tcPr>
          <w:p w14:paraId="08EB8871">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eurythermic conifer</w:t>
            </w:r>
          </w:p>
        </w:tc>
        <w:tc>
          <w:tcPr>
            <w:tcW w:w="2867" w:type="pct"/>
            <w:vAlign w:val="center"/>
          </w:tcPr>
          <w:p w14:paraId="711C2886">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i/>
                <w:iCs/>
                <w:kern w:val="2"/>
                <w:sz w:val="20"/>
                <w:szCs w:val="20"/>
              </w:rPr>
            </w:pPr>
            <w:r>
              <w:rPr>
                <w:rFonts w:hint="eastAsia"/>
                <w:i/>
                <w:iCs/>
                <w:kern w:val="2"/>
                <w:sz w:val="20"/>
                <w:szCs w:val="20"/>
              </w:rPr>
              <w:t>P</w:t>
            </w:r>
            <w:r>
              <w:rPr>
                <w:rFonts w:hint="default"/>
                <w:i/>
                <w:iCs/>
                <w:kern w:val="2"/>
                <w:sz w:val="20"/>
                <w:szCs w:val="20"/>
              </w:rPr>
              <w:t>inus</w:t>
            </w:r>
          </w:p>
        </w:tc>
      </w:tr>
    </w:tbl>
    <w:p w14:paraId="72F66446"/>
    <w:p w14:paraId="625D3FF0"/>
    <w:p w14:paraId="5DA20DB8"/>
    <w:p w14:paraId="20369516"/>
    <w:p w14:paraId="1146AA24"/>
    <w:p w14:paraId="40C78E1F"/>
    <w:p w14:paraId="042341ED"/>
    <w:p w14:paraId="6FAC68CB"/>
    <w:p w14:paraId="48A3AAD5"/>
    <w:p w14:paraId="24DF9E41"/>
    <w:p w14:paraId="31CBE581"/>
    <w:p w14:paraId="36D805C5"/>
    <w:p w14:paraId="0440F2B8"/>
    <w:p w14:paraId="1C185AB4"/>
    <w:p w14:paraId="7022E69E"/>
    <w:p w14:paraId="04323069"/>
    <w:p w14:paraId="680595E1">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b/>
        </w:rPr>
      </w:pPr>
    </w:p>
    <w:p w14:paraId="7630C9AA">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pPr>
      <w:r>
        <w:rPr>
          <w:b/>
        </w:rPr>
        <w:t xml:space="preserve">Supplementary Table </w:t>
      </w:r>
      <w:r>
        <w:rPr>
          <w:rFonts w:hint="eastAsia"/>
          <w:b/>
          <w:bCs/>
          <w:lang w:val="en-US" w:eastAsia="zh-CN"/>
        </w:rPr>
        <w:t>9</w:t>
      </w:r>
      <w:r>
        <w:t xml:space="preserve"> |</w:t>
      </w:r>
      <w:r>
        <w:rPr>
          <w:rFonts w:hint="eastAsia"/>
        </w:rPr>
        <w:t xml:space="preserve"> Defining biomes using PFTs after</w:t>
      </w:r>
      <w:r>
        <w:rPr>
          <w:rFonts w:hint="eastAsia"/>
          <w:highlight w:val="none"/>
          <w:lang w:val="en-US" w:eastAsia="zh-CN"/>
        </w:rPr>
        <w:t xml:space="preserve"> Sun et al.</w:t>
      </w:r>
      <w:r>
        <w:rPr>
          <w:rFonts w:hint="eastAsia"/>
          <w:highlight w:val="none"/>
          <w:vertAlign w:val="superscript"/>
          <w:lang w:val="en-US" w:eastAsia="zh-CN"/>
        </w:rPr>
        <w:t>23</w:t>
      </w:r>
      <w:r>
        <w:rPr>
          <w:rFonts w:hint="eastAsia"/>
          <w:highlight w:val="none"/>
        </w:rPr>
        <w:t>.</w:t>
      </w:r>
    </w:p>
    <w:tbl>
      <w:tblPr>
        <w:tblStyle w:val="25"/>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00"/>
        <w:gridCol w:w="4220"/>
        <w:gridCol w:w="2686"/>
      </w:tblGrid>
      <w:tr w14:paraId="0BF1D79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00" w:type="dxa"/>
            <w:tcBorders>
              <w:bottom w:val="single" w:color="auto" w:sz="4" w:space="0"/>
            </w:tcBorders>
            <w:vAlign w:val="center"/>
          </w:tcPr>
          <w:p w14:paraId="192242E2">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Code</w:t>
            </w:r>
          </w:p>
        </w:tc>
        <w:tc>
          <w:tcPr>
            <w:tcW w:w="4220" w:type="dxa"/>
            <w:tcBorders>
              <w:bottom w:val="single" w:color="auto" w:sz="4" w:space="0"/>
            </w:tcBorders>
            <w:vAlign w:val="center"/>
          </w:tcPr>
          <w:p w14:paraId="738D067D">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B</w:t>
            </w:r>
            <w:r>
              <w:rPr>
                <w:rFonts w:hint="default"/>
                <w:kern w:val="2"/>
                <w:sz w:val="20"/>
                <w:szCs w:val="20"/>
              </w:rPr>
              <w:t>iome</w:t>
            </w:r>
          </w:p>
        </w:tc>
        <w:tc>
          <w:tcPr>
            <w:tcW w:w="2686" w:type="dxa"/>
            <w:tcBorders>
              <w:bottom w:val="single" w:color="auto" w:sz="4" w:space="0"/>
            </w:tcBorders>
            <w:vAlign w:val="center"/>
          </w:tcPr>
          <w:p w14:paraId="095C07F8">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Plant functional types</w:t>
            </w:r>
          </w:p>
        </w:tc>
      </w:tr>
      <w:tr w14:paraId="7F20E4E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00" w:type="dxa"/>
            <w:tcBorders>
              <w:top w:val="single" w:color="auto" w:sz="4" w:space="0"/>
            </w:tcBorders>
            <w:vAlign w:val="center"/>
          </w:tcPr>
          <w:p w14:paraId="21C0002C">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TRFO</w:t>
            </w:r>
          </w:p>
        </w:tc>
        <w:tc>
          <w:tcPr>
            <w:tcW w:w="4220" w:type="dxa"/>
            <w:tcBorders>
              <w:top w:val="single" w:color="auto" w:sz="4" w:space="0"/>
            </w:tcBorders>
            <w:vAlign w:val="center"/>
          </w:tcPr>
          <w:p w14:paraId="237E13BF">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Tropical rain forest</w:t>
            </w:r>
          </w:p>
        </w:tc>
        <w:tc>
          <w:tcPr>
            <w:tcW w:w="2686" w:type="dxa"/>
            <w:tcBorders>
              <w:top w:val="single" w:color="auto" w:sz="4" w:space="0"/>
            </w:tcBorders>
            <w:vAlign w:val="center"/>
          </w:tcPr>
          <w:p w14:paraId="1864C96E">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t</w:t>
            </w:r>
            <w:r>
              <w:rPr>
                <w:rFonts w:hint="default"/>
                <w:kern w:val="2"/>
                <w:sz w:val="20"/>
                <w:szCs w:val="20"/>
              </w:rPr>
              <w:t>e, wte</w:t>
            </w:r>
          </w:p>
        </w:tc>
      </w:tr>
      <w:tr w14:paraId="68BF4C1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00" w:type="dxa"/>
            <w:vAlign w:val="center"/>
          </w:tcPr>
          <w:p w14:paraId="2F4AF24B">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TSFO</w:t>
            </w:r>
          </w:p>
        </w:tc>
        <w:tc>
          <w:tcPr>
            <w:tcW w:w="4220" w:type="dxa"/>
            <w:vAlign w:val="center"/>
          </w:tcPr>
          <w:p w14:paraId="23677A7A">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Tropical seasonal forest</w:t>
            </w:r>
          </w:p>
        </w:tc>
        <w:tc>
          <w:tcPr>
            <w:tcW w:w="2686" w:type="dxa"/>
            <w:vAlign w:val="center"/>
          </w:tcPr>
          <w:p w14:paraId="28B7BE63">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 xml:space="preserve">tr, </w:t>
            </w:r>
            <w:r>
              <w:rPr>
                <w:rFonts w:hint="default"/>
                <w:kern w:val="2"/>
                <w:sz w:val="20"/>
                <w:szCs w:val="20"/>
              </w:rPr>
              <w:t>te,</w:t>
            </w:r>
            <w:r>
              <w:rPr>
                <w:rFonts w:hint="eastAsia"/>
                <w:kern w:val="2"/>
                <w:sz w:val="20"/>
                <w:szCs w:val="20"/>
              </w:rPr>
              <w:t xml:space="preserve"> </w:t>
            </w:r>
            <w:r>
              <w:rPr>
                <w:rFonts w:hint="default"/>
                <w:kern w:val="2"/>
                <w:sz w:val="20"/>
                <w:szCs w:val="20"/>
              </w:rPr>
              <w:t>stme</w:t>
            </w:r>
          </w:p>
        </w:tc>
      </w:tr>
      <w:tr w14:paraId="1DB35A7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00" w:type="dxa"/>
            <w:vAlign w:val="center"/>
          </w:tcPr>
          <w:p w14:paraId="02F1ED2F">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TDFO</w:t>
            </w:r>
          </w:p>
        </w:tc>
        <w:tc>
          <w:tcPr>
            <w:tcW w:w="4220" w:type="dxa"/>
            <w:vAlign w:val="center"/>
          </w:tcPr>
          <w:p w14:paraId="59F0A6AC">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Tropical dry forest</w:t>
            </w:r>
          </w:p>
        </w:tc>
        <w:tc>
          <w:tcPr>
            <w:tcW w:w="2686" w:type="dxa"/>
            <w:vAlign w:val="center"/>
          </w:tcPr>
          <w:p w14:paraId="6B2A3AB6">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ts3</w:t>
            </w:r>
            <w:r>
              <w:rPr>
                <w:rFonts w:hint="eastAsia"/>
                <w:kern w:val="2"/>
                <w:sz w:val="20"/>
                <w:szCs w:val="20"/>
              </w:rPr>
              <w:t>, wt2</w:t>
            </w:r>
          </w:p>
        </w:tc>
      </w:tr>
      <w:tr w14:paraId="51247CB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00" w:type="dxa"/>
            <w:vAlign w:val="center"/>
          </w:tcPr>
          <w:p w14:paraId="49502CC4">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TEDE</w:t>
            </w:r>
          </w:p>
        </w:tc>
        <w:tc>
          <w:tcPr>
            <w:tcW w:w="4220" w:type="dxa"/>
            <w:vAlign w:val="center"/>
          </w:tcPr>
          <w:p w14:paraId="3449D224">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Warm-temperate mixed forest</w:t>
            </w:r>
          </w:p>
        </w:tc>
        <w:tc>
          <w:tcPr>
            <w:tcW w:w="2686" w:type="dxa"/>
            <w:vAlign w:val="center"/>
          </w:tcPr>
          <w:p w14:paraId="7FF44ADA">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ts1, g, ec</w:t>
            </w:r>
          </w:p>
        </w:tc>
      </w:tr>
      <w:tr w14:paraId="4486A97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00" w:type="dxa"/>
            <w:vAlign w:val="center"/>
          </w:tcPr>
          <w:p w14:paraId="11A99ADA">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WAMF</w:t>
            </w:r>
          </w:p>
        </w:tc>
        <w:tc>
          <w:tcPr>
            <w:tcW w:w="4220" w:type="dxa"/>
            <w:vAlign w:val="center"/>
          </w:tcPr>
          <w:p w14:paraId="625E56FA">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North subtropical mixed forest</w:t>
            </w:r>
          </w:p>
        </w:tc>
        <w:tc>
          <w:tcPr>
            <w:tcW w:w="2686" w:type="dxa"/>
            <w:vAlign w:val="center"/>
          </w:tcPr>
          <w:p w14:paraId="3930EC5E">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wte, ts, ts3, ec</w:t>
            </w:r>
          </w:p>
        </w:tc>
      </w:tr>
      <w:tr w14:paraId="28CD7C0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00" w:type="dxa"/>
            <w:vAlign w:val="center"/>
          </w:tcPr>
          <w:p w14:paraId="1A84A29C">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MTFO</w:t>
            </w:r>
          </w:p>
        </w:tc>
        <w:tc>
          <w:tcPr>
            <w:tcW w:w="4220" w:type="dxa"/>
            <w:vAlign w:val="center"/>
          </w:tcPr>
          <w:p w14:paraId="67F8B746">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Middle subtropical broadleaf evergreen forest</w:t>
            </w:r>
          </w:p>
        </w:tc>
        <w:tc>
          <w:tcPr>
            <w:tcW w:w="2686" w:type="dxa"/>
            <w:vAlign w:val="center"/>
          </w:tcPr>
          <w:p w14:paraId="3DB9B6D8">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 xml:space="preserve">wte, </w:t>
            </w:r>
            <w:r>
              <w:rPr>
                <w:rFonts w:hint="eastAsia"/>
                <w:kern w:val="2"/>
                <w:sz w:val="20"/>
                <w:szCs w:val="20"/>
              </w:rPr>
              <w:t xml:space="preserve">wtc, </w:t>
            </w:r>
            <w:r>
              <w:rPr>
                <w:rFonts w:hint="default"/>
                <w:kern w:val="2"/>
                <w:sz w:val="20"/>
                <w:szCs w:val="20"/>
              </w:rPr>
              <w:t>ts3, ec</w:t>
            </w:r>
          </w:p>
        </w:tc>
      </w:tr>
      <w:tr w14:paraId="280699A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00" w:type="dxa"/>
            <w:vAlign w:val="center"/>
          </w:tcPr>
          <w:p w14:paraId="0D108023">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STFO</w:t>
            </w:r>
          </w:p>
        </w:tc>
        <w:tc>
          <w:tcPr>
            <w:tcW w:w="4220" w:type="dxa"/>
            <w:vAlign w:val="center"/>
          </w:tcPr>
          <w:p w14:paraId="0E0B52AE">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South subtropical broadleaf evergreen</w:t>
            </w:r>
          </w:p>
        </w:tc>
        <w:tc>
          <w:tcPr>
            <w:tcW w:w="2686" w:type="dxa"/>
            <w:vAlign w:val="center"/>
          </w:tcPr>
          <w:p w14:paraId="72045BDE">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 xml:space="preserve">stme, wte, </w:t>
            </w:r>
            <w:r>
              <w:rPr>
                <w:rFonts w:hint="eastAsia"/>
                <w:kern w:val="2"/>
                <w:sz w:val="20"/>
                <w:szCs w:val="20"/>
              </w:rPr>
              <w:t>wtc</w:t>
            </w:r>
          </w:p>
        </w:tc>
      </w:tr>
      <w:tr w14:paraId="2BB674F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00" w:type="dxa"/>
            <w:vAlign w:val="center"/>
          </w:tcPr>
          <w:p w14:paraId="6BA4F093">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COMX</w:t>
            </w:r>
          </w:p>
        </w:tc>
        <w:tc>
          <w:tcPr>
            <w:tcW w:w="4220" w:type="dxa"/>
            <w:vAlign w:val="center"/>
          </w:tcPr>
          <w:p w14:paraId="33E7FD6B">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Cool-temperate mixed forest</w:t>
            </w:r>
          </w:p>
        </w:tc>
        <w:tc>
          <w:tcPr>
            <w:tcW w:w="2686" w:type="dxa"/>
            <w:vAlign w:val="center"/>
          </w:tcPr>
          <w:p w14:paraId="3B95CF4A">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bts, ctc,</w:t>
            </w:r>
            <w:r>
              <w:rPr>
                <w:rFonts w:hint="eastAsia"/>
                <w:kern w:val="2"/>
                <w:sz w:val="20"/>
                <w:szCs w:val="20"/>
              </w:rPr>
              <w:t xml:space="preserve"> </w:t>
            </w:r>
            <w:r>
              <w:rPr>
                <w:rFonts w:hint="default"/>
                <w:kern w:val="2"/>
                <w:sz w:val="20"/>
                <w:szCs w:val="20"/>
              </w:rPr>
              <w:t>ec</w:t>
            </w:r>
          </w:p>
        </w:tc>
      </w:tr>
      <w:tr w14:paraId="0570A08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00" w:type="dxa"/>
            <w:vAlign w:val="center"/>
          </w:tcPr>
          <w:p w14:paraId="77ED378C">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CLDC</w:t>
            </w:r>
          </w:p>
        </w:tc>
        <w:tc>
          <w:tcPr>
            <w:tcW w:w="4220" w:type="dxa"/>
            <w:vAlign w:val="center"/>
          </w:tcPr>
          <w:p w14:paraId="4A9C2367">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Cold-temperate summergreen conifer forest</w:t>
            </w:r>
          </w:p>
        </w:tc>
        <w:tc>
          <w:tcPr>
            <w:tcW w:w="2686" w:type="dxa"/>
            <w:vAlign w:val="center"/>
          </w:tcPr>
          <w:p w14:paraId="47A8EA8A">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bs</w:t>
            </w:r>
            <w:r>
              <w:rPr>
                <w:rFonts w:hint="eastAsia"/>
                <w:kern w:val="2"/>
                <w:sz w:val="20"/>
                <w:szCs w:val="20"/>
              </w:rPr>
              <w:t xml:space="preserve">, </w:t>
            </w:r>
            <w:r>
              <w:rPr>
                <w:rFonts w:hint="default"/>
                <w:kern w:val="2"/>
                <w:sz w:val="20"/>
                <w:szCs w:val="20"/>
              </w:rPr>
              <w:t>ec</w:t>
            </w:r>
          </w:p>
        </w:tc>
      </w:tr>
      <w:tr w14:paraId="5C34CFD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00" w:type="dxa"/>
            <w:vAlign w:val="center"/>
          </w:tcPr>
          <w:p w14:paraId="655561F7">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CLEC</w:t>
            </w:r>
          </w:p>
        </w:tc>
        <w:tc>
          <w:tcPr>
            <w:tcW w:w="4220" w:type="dxa"/>
            <w:vAlign w:val="center"/>
          </w:tcPr>
          <w:p w14:paraId="7BD5CAB1">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Cold-temperate evergreen conifer forest</w:t>
            </w:r>
          </w:p>
        </w:tc>
        <w:tc>
          <w:tcPr>
            <w:tcW w:w="2686" w:type="dxa"/>
            <w:vAlign w:val="center"/>
          </w:tcPr>
          <w:p w14:paraId="367AC814">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bec, ec</w:t>
            </w:r>
          </w:p>
        </w:tc>
      </w:tr>
      <w:tr w14:paraId="3886D9F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00" w:type="dxa"/>
            <w:vAlign w:val="center"/>
          </w:tcPr>
          <w:p w14:paraId="2E73BA7F">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XERO</w:t>
            </w:r>
          </w:p>
        </w:tc>
        <w:tc>
          <w:tcPr>
            <w:tcW w:w="4220" w:type="dxa"/>
            <w:vAlign w:val="center"/>
          </w:tcPr>
          <w:p w14:paraId="4D2745EF">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Scarsed woods/scrub</w:t>
            </w:r>
          </w:p>
        </w:tc>
        <w:tc>
          <w:tcPr>
            <w:tcW w:w="2686" w:type="dxa"/>
            <w:vAlign w:val="center"/>
          </w:tcPr>
          <w:p w14:paraId="37DF7B6B">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wt2</w:t>
            </w:r>
          </w:p>
        </w:tc>
      </w:tr>
      <w:tr w14:paraId="143495E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00" w:type="dxa"/>
            <w:vAlign w:val="center"/>
          </w:tcPr>
          <w:p w14:paraId="1196370C">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DESE</w:t>
            </w:r>
          </w:p>
        </w:tc>
        <w:tc>
          <w:tcPr>
            <w:tcW w:w="4220" w:type="dxa"/>
            <w:vAlign w:val="center"/>
          </w:tcPr>
          <w:p w14:paraId="680F8E5C">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Desert</w:t>
            </w:r>
          </w:p>
        </w:tc>
        <w:tc>
          <w:tcPr>
            <w:tcW w:w="2686" w:type="dxa"/>
            <w:vAlign w:val="center"/>
          </w:tcPr>
          <w:p w14:paraId="3DF07F4C">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tds, ads</w:t>
            </w:r>
          </w:p>
        </w:tc>
      </w:tr>
      <w:tr w14:paraId="48D562A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00" w:type="dxa"/>
            <w:vAlign w:val="center"/>
          </w:tcPr>
          <w:p w14:paraId="129CA6B9">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TEDS</w:t>
            </w:r>
          </w:p>
        </w:tc>
        <w:tc>
          <w:tcPr>
            <w:tcW w:w="4220" w:type="dxa"/>
            <w:vAlign w:val="center"/>
          </w:tcPr>
          <w:p w14:paraId="1C62D8AC">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Cool-temperate desert steppe</w:t>
            </w:r>
          </w:p>
        </w:tc>
        <w:tc>
          <w:tcPr>
            <w:tcW w:w="2686" w:type="dxa"/>
            <w:vAlign w:val="center"/>
          </w:tcPr>
          <w:p w14:paraId="444914E7">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g, dsf</w:t>
            </w:r>
          </w:p>
        </w:tc>
      </w:tr>
      <w:tr w14:paraId="51E9736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00" w:type="dxa"/>
            <w:vAlign w:val="center"/>
          </w:tcPr>
          <w:p w14:paraId="61239455">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STEP</w:t>
            </w:r>
          </w:p>
        </w:tc>
        <w:tc>
          <w:tcPr>
            <w:tcW w:w="4220" w:type="dxa"/>
            <w:vAlign w:val="center"/>
          </w:tcPr>
          <w:p w14:paraId="6BA3CAB6">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Cool-temperate steppe</w:t>
            </w:r>
          </w:p>
        </w:tc>
        <w:tc>
          <w:tcPr>
            <w:tcW w:w="2686" w:type="dxa"/>
            <w:vAlign w:val="center"/>
          </w:tcPr>
          <w:p w14:paraId="36B7F917">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g, tf</w:t>
            </w:r>
          </w:p>
        </w:tc>
      </w:tr>
      <w:tr w14:paraId="2257296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00" w:type="dxa"/>
            <w:vAlign w:val="center"/>
          </w:tcPr>
          <w:p w14:paraId="5AF17BF8">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TEME</w:t>
            </w:r>
          </w:p>
        </w:tc>
        <w:tc>
          <w:tcPr>
            <w:tcW w:w="4220" w:type="dxa"/>
            <w:vAlign w:val="center"/>
          </w:tcPr>
          <w:p w14:paraId="3E6BEA8E">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Cool-temperate meadow steppe</w:t>
            </w:r>
          </w:p>
        </w:tc>
        <w:tc>
          <w:tcPr>
            <w:tcW w:w="2686" w:type="dxa"/>
            <w:vAlign w:val="center"/>
          </w:tcPr>
          <w:p w14:paraId="3C81A830">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g, ctm</w:t>
            </w:r>
          </w:p>
        </w:tc>
      </w:tr>
      <w:tr w14:paraId="48C648B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00" w:type="dxa"/>
            <w:vAlign w:val="center"/>
          </w:tcPr>
          <w:p w14:paraId="4087612F">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TEFS</w:t>
            </w:r>
          </w:p>
        </w:tc>
        <w:tc>
          <w:tcPr>
            <w:tcW w:w="4220" w:type="dxa"/>
            <w:vAlign w:val="center"/>
          </w:tcPr>
          <w:p w14:paraId="6C3307AF">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Cool-temperate forest steppe</w:t>
            </w:r>
          </w:p>
        </w:tc>
        <w:tc>
          <w:tcPr>
            <w:tcW w:w="2686" w:type="dxa"/>
            <w:vAlign w:val="center"/>
          </w:tcPr>
          <w:p w14:paraId="1B738BE6">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tbs, tf</w:t>
            </w:r>
          </w:p>
        </w:tc>
      </w:tr>
      <w:tr w14:paraId="5DB441B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00" w:type="dxa"/>
            <w:vAlign w:val="center"/>
          </w:tcPr>
          <w:p w14:paraId="278B89C4">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ALME</w:t>
            </w:r>
          </w:p>
        </w:tc>
        <w:tc>
          <w:tcPr>
            <w:tcW w:w="4220" w:type="dxa"/>
            <w:vAlign w:val="center"/>
          </w:tcPr>
          <w:p w14:paraId="275B39F8">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Alpine meadow</w:t>
            </w:r>
          </w:p>
        </w:tc>
        <w:tc>
          <w:tcPr>
            <w:tcW w:w="2686" w:type="dxa"/>
            <w:vAlign w:val="center"/>
          </w:tcPr>
          <w:p w14:paraId="2E2D8073">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aa, am</w:t>
            </w:r>
          </w:p>
        </w:tc>
      </w:tr>
      <w:tr w14:paraId="51DD074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00" w:type="dxa"/>
            <w:vAlign w:val="center"/>
          </w:tcPr>
          <w:p w14:paraId="0C9C2756">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eastAsia"/>
                <w:kern w:val="2"/>
                <w:sz w:val="20"/>
                <w:szCs w:val="20"/>
              </w:rPr>
              <w:t>ALST</w:t>
            </w:r>
          </w:p>
        </w:tc>
        <w:tc>
          <w:tcPr>
            <w:tcW w:w="4220" w:type="dxa"/>
            <w:vAlign w:val="center"/>
          </w:tcPr>
          <w:p w14:paraId="012C9FB1">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Alpine steppe</w:t>
            </w:r>
          </w:p>
        </w:tc>
        <w:tc>
          <w:tcPr>
            <w:tcW w:w="2686" w:type="dxa"/>
            <w:vAlign w:val="center"/>
          </w:tcPr>
          <w:p w14:paraId="2FCE4CAB">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0"/>
              <w:textAlignment w:val="auto"/>
              <w:rPr>
                <w:rFonts w:hint="default"/>
                <w:kern w:val="2"/>
                <w:sz w:val="20"/>
                <w:szCs w:val="20"/>
              </w:rPr>
            </w:pPr>
            <w:r>
              <w:rPr>
                <w:rFonts w:hint="default"/>
                <w:kern w:val="2"/>
                <w:sz w:val="20"/>
                <w:szCs w:val="20"/>
              </w:rPr>
              <w:t>am, af</w:t>
            </w:r>
          </w:p>
        </w:tc>
      </w:tr>
    </w:tbl>
    <w:p w14:paraId="6A56E3F8"/>
    <w:p w14:paraId="7D2FC051">
      <w:pPr>
        <w:pStyle w:val="7"/>
        <w:rPr>
          <w:b/>
          <w:bCs w:val="0"/>
        </w:rPr>
      </w:pPr>
    </w:p>
    <w:p w14:paraId="4B921B78">
      <w:pPr>
        <w:pStyle w:val="7"/>
        <w:rPr>
          <w:b/>
          <w:bCs w:val="0"/>
        </w:rPr>
      </w:pPr>
    </w:p>
    <w:p w14:paraId="3F4EDBCF">
      <w:pPr>
        <w:pStyle w:val="7"/>
        <w:rPr>
          <w:b/>
          <w:bCs w:val="0"/>
        </w:rPr>
      </w:pPr>
    </w:p>
    <w:p w14:paraId="329C01D4">
      <w:pPr>
        <w:pStyle w:val="7"/>
        <w:rPr>
          <w:b/>
          <w:bCs w:val="0"/>
        </w:rPr>
      </w:pPr>
    </w:p>
    <w:p w14:paraId="27D7AABE">
      <w:pPr>
        <w:pStyle w:val="7"/>
        <w:keepNext w:val="0"/>
        <w:keepLines w:val="0"/>
        <w:pageBreakBefore w:val="0"/>
        <w:widowControl/>
        <w:kinsoku/>
        <w:wordWrap/>
        <w:overflowPunct/>
        <w:topLinePunct w:val="0"/>
        <w:autoSpaceDE/>
        <w:autoSpaceDN/>
        <w:bidi w:val="0"/>
        <w:adjustRightInd/>
        <w:snapToGrid/>
        <w:textAlignment w:val="auto"/>
        <w:rPr>
          <w:b/>
          <w:bCs w:val="0"/>
        </w:rPr>
      </w:pPr>
    </w:p>
    <w:p w14:paraId="252ED251">
      <w:pPr>
        <w:pStyle w:val="7"/>
        <w:keepNext w:val="0"/>
        <w:keepLines w:val="0"/>
        <w:pageBreakBefore w:val="0"/>
        <w:widowControl/>
        <w:kinsoku/>
        <w:wordWrap/>
        <w:overflowPunct/>
        <w:topLinePunct w:val="0"/>
        <w:autoSpaceDE/>
        <w:autoSpaceDN/>
        <w:bidi w:val="0"/>
        <w:adjustRightInd/>
        <w:snapToGrid/>
        <w:textAlignment w:val="auto"/>
        <w:rPr>
          <w:rFonts w:eastAsia="Times New Roman"/>
        </w:rPr>
      </w:pPr>
      <w:r>
        <w:rPr>
          <w:b/>
          <w:bCs w:val="0"/>
        </w:rPr>
        <w:t xml:space="preserve">Supplementary Table </w:t>
      </w:r>
      <w:r>
        <w:rPr>
          <w:rFonts w:hint="eastAsia"/>
          <w:b/>
          <w:bCs w:val="0"/>
          <w:lang w:val="en-US" w:eastAsia="zh-CN"/>
        </w:rPr>
        <w:t>10</w:t>
      </w:r>
      <w:r>
        <w:rPr>
          <w:b/>
          <w:bCs w:val="0"/>
        </w:rPr>
        <w:t xml:space="preserve"> </w:t>
      </w:r>
      <w:r>
        <w:rPr>
          <w:iCs/>
        </w:rPr>
        <w:t>|</w:t>
      </w:r>
      <w:r>
        <w:t xml:space="preserve"> The categories, occlusal wear degrees, meisodistal and buccolingual dimensions of teeth from Bianfu Cave</w:t>
      </w:r>
      <w:r>
        <w:rPr>
          <w:rFonts w:hint="eastAsia"/>
          <w:vertAlign w:val="superscript"/>
          <w:lang w:val="en-US" w:eastAsia="zh-CN"/>
        </w:rPr>
        <w:t>*</w:t>
      </w:r>
      <w:r>
        <w:t xml:space="preserve">. </w:t>
      </w:r>
    </w:p>
    <w:tbl>
      <w:tblPr>
        <w:tblStyle w:val="34"/>
        <w:tblW w:w="9338" w:type="dxa"/>
        <w:tblInd w:w="0"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51"/>
        <w:gridCol w:w="1701"/>
        <w:gridCol w:w="1251"/>
        <w:gridCol w:w="1664"/>
        <w:gridCol w:w="1671"/>
      </w:tblGrid>
      <w:tr w14:paraId="5C1E5461">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1" w:type="dxa"/>
            <w:tcBorders>
              <w:top w:val="single" w:color="000000" w:sz="4" w:space="0"/>
              <w:bottom w:val="single" w:color="000000" w:sz="4" w:space="0"/>
            </w:tcBorders>
          </w:tcPr>
          <w:p w14:paraId="1047294C">
            <w:pPr>
              <w:pStyle w:val="55"/>
            </w:pPr>
          </w:p>
        </w:tc>
        <w:tc>
          <w:tcPr>
            <w:tcW w:w="1701" w:type="dxa"/>
            <w:tcBorders>
              <w:top w:val="single" w:color="000000" w:sz="4" w:space="0"/>
              <w:bottom w:val="single" w:color="000000" w:sz="4" w:space="0"/>
            </w:tcBorders>
          </w:tcPr>
          <w:p w14:paraId="1508011C">
            <w:pPr>
              <w:pStyle w:val="55"/>
            </w:pPr>
            <w:r>
              <w:t>Category</w:t>
            </w:r>
          </w:p>
        </w:tc>
        <w:tc>
          <w:tcPr>
            <w:tcW w:w="1251" w:type="dxa"/>
            <w:tcBorders>
              <w:top w:val="single" w:color="000000" w:sz="4" w:space="0"/>
              <w:bottom w:val="single" w:color="000000" w:sz="4" w:space="0"/>
            </w:tcBorders>
          </w:tcPr>
          <w:p w14:paraId="6F1F40FF">
            <w:pPr>
              <w:pStyle w:val="55"/>
            </w:pPr>
            <w:r>
              <w:t>Occlusal wear</w:t>
            </w:r>
          </w:p>
        </w:tc>
        <w:tc>
          <w:tcPr>
            <w:tcW w:w="1664" w:type="dxa"/>
            <w:tcBorders>
              <w:top w:val="single" w:color="000000" w:sz="4" w:space="0"/>
              <w:bottom w:val="single" w:color="000000" w:sz="4" w:space="0"/>
            </w:tcBorders>
          </w:tcPr>
          <w:p w14:paraId="1D0D6ED3">
            <w:pPr>
              <w:pStyle w:val="55"/>
            </w:pPr>
            <w:r>
              <w:t>Mesiodistal dimension (MD) in millimeter</w:t>
            </w:r>
          </w:p>
        </w:tc>
        <w:tc>
          <w:tcPr>
            <w:tcW w:w="1671" w:type="dxa"/>
            <w:tcBorders>
              <w:top w:val="single" w:color="000000" w:sz="4" w:space="0"/>
              <w:bottom w:val="single" w:color="000000" w:sz="4" w:space="0"/>
            </w:tcBorders>
          </w:tcPr>
          <w:p w14:paraId="2761559E">
            <w:pPr>
              <w:pStyle w:val="55"/>
            </w:pPr>
            <w:r>
              <w:t>Buccolingual dimension (BL) in millimeter</w:t>
            </w:r>
          </w:p>
        </w:tc>
      </w:tr>
      <w:tr w14:paraId="28F9472A">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1" w:type="dxa"/>
            <w:tcBorders>
              <w:top w:val="single" w:color="000000" w:sz="4" w:space="0"/>
              <w:bottom w:val="single" w:color="000000" w:sz="4" w:space="0"/>
            </w:tcBorders>
          </w:tcPr>
          <w:p w14:paraId="1298001B">
            <w:pPr>
              <w:pStyle w:val="55"/>
            </w:pPr>
            <w:r>
              <w:t>2019YHB-T2-7-L2: 3513</w:t>
            </w:r>
          </w:p>
        </w:tc>
        <w:tc>
          <w:tcPr>
            <w:tcW w:w="1701" w:type="dxa"/>
            <w:tcBorders>
              <w:top w:val="single" w:color="000000" w:sz="4" w:space="0"/>
              <w:bottom w:val="single" w:color="000000" w:sz="4" w:space="0"/>
            </w:tcBorders>
          </w:tcPr>
          <w:p w14:paraId="6C48D0BE">
            <w:pPr>
              <w:pStyle w:val="55"/>
            </w:pPr>
            <w:r>
              <w:rPr>
                <w:rFonts w:hint="eastAsia"/>
                <w:lang w:eastAsia="zh-CN"/>
              </w:rPr>
              <w:t>L</w:t>
            </w:r>
            <w:r>
              <w:t>eft I</w:t>
            </w:r>
            <w:r>
              <w:rPr>
                <w:vertAlign w:val="subscript"/>
              </w:rPr>
              <w:t>2</w:t>
            </w:r>
          </w:p>
        </w:tc>
        <w:tc>
          <w:tcPr>
            <w:tcW w:w="1251" w:type="dxa"/>
            <w:tcBorders>
              <w:top w:val="single" w:color="000000" w:sz="4" w:space="0"/>
              <w:bottom w:val="single" w:color="000000" w:sz="4" w:space="0"/>
            </w:tcBorders>
          </w:tcPr>
          <w:p w14:paraId="407CE70F">
            <w:pPr>
              <w:pStyle w:val="55"/>
            </w:pPr>
            <w:r>
              <w:t>1</w:t>
            </w:r>
          </w:p>
        </w:tc>
        <w:tc>
          <w:tcPr>
            <w:tcW w:w="1664" w:type="dxa"/>
            <w:tcBorders>
              <w:top w:val="single" w:color="000000" w:sz="4" w:space="0"/>
              <w:bottom w:val="single" w:color="000000" w:sz="4" w:space="0"/>
            </w:tcBorders>
          </w:tcPr>
          <w:p w14:paraId="12B902CB">
            <w:pPr>
              <w:pStyle w:val="55"/>
            </w:pPr>
            <w:r>
              <w:t>7.51</w:t>
            </w:r>
          </w:p>
        </w:tc>
        <w:tc>
          <w:tcPr>
            <w:tcW w:w="1671" w:type="dxa"/>
            <w:tcBorders>
              <w:top w:val="single" w:color="000000" w:sz="4" w:space="0"/>
              <w:bottom w:val="single" w:color="000000" w:sz="4" w:space="0"/>
            </w:tcBorders>
          </w:tcPr>
          <w:p w14:paraId="5EACDF24">
            <w:pPr>
              <w:pStyle w:val="55"/>
            </w:pPr>
            <w:r>
              <w:t>7.05</w:t>
            </w:r>
          </w:p>
        </w:tc>
      </w:tr>
      <w:tr w14:paraId="4E0FAD1A">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1" w:type="dxa"/>
            <w:tcBorders>
              <w:top w:val="single" w:color="000000" w:sz="4" w:space="0"/>
              <w:bottom w:val="single" w:color="000000" w:sz="4" w:space="0"/>
            </w:tcBorders>
          </w:tcPr>
          <w:p w14:paraId="7E2BDCFD">
            <w:pPr>
              <w:pStyle w:val="55"/>
            </w:pPr>
            <w:r>
              <w:t>2019YHB-T2-7-L2: 3518</w:t>
            </w:r>
          </w:p>
        </w:tc>
        <w:tc>
          <w:tcPr>
            <w:tcW w:w="1701" w:type="dxa"/>
            <w:tcBorders>
              <w:top w:val="single" w:color="000000" w:sz="4" w:space="0"/>
              <w:bottom w:val="single" w:color="000000" w:sz="4" w:space="0"/>
            </w:tcBorders>
          </w:tcPr>
          <w:p w14:paraId="73C9C1BB">
            <w:pPr>
              <w:pStyle w:val="55"/>
            </w:pPr>
            <w:r>
              <w:rPr>
                <w:rFonts w:hint="eastAsia"/>
                <w:lang w:eastAsia="zh-CN"/>
              </w:rPr>
              <w:t>L</w:t>
            </w:r>
            <w:r>
              <w:t>eft P</w:t>
            </w:r>
            <w:r>
              <w:rPr>
                <w:vertAlign w:val="subscript"/>
              </w:rPr>
              <w:t>4</w:t>
            </w:r>
          </w:p>
        </w:tc>
        <w:tc>
          <w:tcPr>
            <w:tcW w:w="1251" w:type="dxa"/>
            <w:tcBorders>
              <w:top w:val="single" w:color="000000" w:sz="4" w:space="0"/>
              <w:bottom w:val="single" w:color="000000" w:sz="4" w:space="0"/>
            </w:tcBorders>
          </w:tcPr>
          <w:p w14:paraId="1E1A0B76">
            <w:pPr>
              <w:pStyle w:val="55"/>
            </w:pPr>
            <w:r>
              <w:t>2</w:t>
            </w:r>
          </w:p>
        </w:tc>
        <w:tc>
          <w:tcPr>
            <w:tcW w:w="1664" w:type="dxa"/>
            <w:tcBorders>
              <w:top w:val="single" w:color="000000" w:sz="4" w:space="0"/>
              <w:bottom w:val="single" w:color="000000" w:sz="4" w:space="0"/>
            </w:tcBorders>
          </w:tcPr>
          <w:p w14:paraId="68367054">
            <w:pPr>
              <w:pStyle w:val="55"/>
            </w:pPr>
            <w:r>
              <w:t>8.01</w:t>
            </w:r>
          </w:p>
        </w:tc>
        <w:tc>
          <w:tcPr>
            <w:tcW w:w="1671" w:type="dxa"/>
            <w:tcBorders>
              <w:top w:val="single" w:color="000000" w:sz="4" w:space="0"/>
              <w:bottom w:val="single" w:color="000000" w:sz="4" w:space="0"/>
            </w:tcBorders>
          </w:tcPr>
          <w:p w14:paraId="0B8024C7">
            <w:pPr>
              <w:pStyle w:val="55"/>
            </w:pPr>
            <w:r>
              <w:t>8.96</w:t>
            </w:r>
          </w:p>
        </w:tc>
      </w:tr>
      <w:tr w14:paraId="628BC455">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1" w:type="dxa"/>
            <w:tcBorders>
              <w:top w:val="single" w:color="000000" w:sz="4" w:space="0"/>
              <w:bottom w:val="single" w:color="000000" w:sz="4" w:space="0"/>
            </w:tcBorders>
          </w:tcPr>
          <w:p w14:paraId="4A708ADF">
            <w:pPr>
              <w:pStyle w:val="55"/>
            </w:pPr>
            <w:r>
              <w:t>2019YHB-T2-7-L2: 2890</w:t>
            </w:r>
          </w:p>
        </w:tc>
        <w:tc>
          <w:tcPr>
            <w:tcW w:w="1701" w:type="dxa"/>
            <w:tcBorders>
              <w:top w:val="single" w:color="000000" w:sz="4" w:space="0"/>
              <w:bottom w:val="single" w:color="000000" w:sz="4" w:space="0"/>
            </w:tcBorders>
          </w:tcPr>
          <w:p w14:paraId="5A8C7157">
            <w:pPr>
              <w:pStyle w:val="55"/>
            </w:pPr>
            <w:r>
              <w:rPr>
                <w:rFonts w:hint="eastAsia"/>
                <w:lang w:eastAsia="zh-CN"/>
              </w:rPr>
              <w:t>R</w:t>
            </w:r>
            <w:r>
              <w:t>ight M</w:t>
            </w:r>
            <w:r>
              <w:rPr>
                <w:vertAlign w:val="subscript"/>
              </w:rPr>
              <w:t>2</w:t>
            </w:r>
          </w:p>
        </w:tc>
        <w:tc>
          <w:tcPr>
            <w:tcW w:w="1251" w:type="dxa"/>
            <w:tcBorders>
              <w:top w:val="single" w:color="000000" w:sz="4" w:space="0"/>
              <w:bottom w:val="single" w:color="000000" w:sz="4" w:space="0"/>
            </w:tcBorders>
          </w:tcPr>
          <w:p w14:paraId="58E4F8C3">
            <w:pPr>
              <w:pStyle w:val="55"/>
            </w:pPr>
            <w:r>
              <w:t>1</w:t>
            </w:r>
          </w:p>
        </w:tc>
        <w:tc>
          <w:tcPr>
            <w:tcW w:w="1664" w:type="dxa"/>
            <w:tcBorders>
              <w:top w:val="single" w:color="000000" w:sz="4" w:space="0"/>
              <w:bottom w:val="single" w:color="000000" w:sz="4" w:space="0"/>
            </w:tcBorders>
          </w:tcPr>
          <w:p w14:paraId="632828BB">
            <w:pPr>
              <w:pStyle w:val="55"/>
            </w:pPr>
            <w:r>
              <w:t>12.51</w:t>
            </w:r>
          </w:p>
        </w:tc>
        <w:tc>
          <w:tcPr>
            <w:tcW w:w="1671" w:type="dxa"/>
            <w:tcBorders>
              <w:top w:val="single" w:color="000000" w:sz="4" w:space="0"/>
              <w:bottom w:val="single" w:color="000000" w:sz="4" w:space="0"/>
            </w:tcBorders>
          </w:tcPr>
          <w:p w14:paraId="16AF6A40">
            <w:pPr>
              <w:pStyle w:val="55"/>
            </w:pPr>
            <w:r>
              <w:t>10.43</w:t>
            </w:r>
          </w:p>
        </w:tc>
      </w:tr>
      <w:tr w14:paraId="1D61F4FC">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51" w:type="dxa"/>
            <w:tcBorders>
              <w:top w:val="single" w:color="000000" w:sz="4" w:space="0"/>
              <w:bottom w:val="single" w:color="000000" w:sz="4" w:space="0"/>
            </w:tcBorders>
          </w:tcPr>
          <w:p w14:paraId="26F7DBBA">
            <w:pPr>
              <w:pStyle w:val="55"/>
            </w:pPr>
            <w:r>
              <w:t>2019YHB-T2-7-L2: 3075</w:t>
            </w:r>
          </w:p>
        </w:tc>
        <w:tc>
          <w:tcPr>
            <w:tcW w:w="1701" w:type="dxa"/>
            <w:tcBorders>
              <w:top w:val="single" w:color="000000" w:sz="4" w:space="0"/>
              <w:bottom w:val="single" w:color="000000" w:sz="4" w:space="0"/>
            </w:tcBorders>
          </w:tcPr>
          <w:p w14:paraId="0DB54929">
            <w:pPr>
              <w:pStyle w:val="55"/>
            </w:pPr>
            <w:r>
              <w:rPr>
                <w:rFonts w:hint="eastAsia"/>
                <w:lang w:eastAsia="zh-CN"/>
              </w:rPr>
              <w:t>R</w:t>
            </w:r>
            <w:r>
              <w:t>ight M</w:t>
            </w:r>
            <w:r>
              <w:rPr>
                <w:vertAlign w:val="subscript"/>
              </w:rPr>
              <w:t>2</w:t>
            </w:r>
          </w:p>
        </w:tc>
        <w:tc>
          <w:tcPr>
            <w:tcW w:w="1251" w:type="dxa"/>
            <w:tcBorders>
              <w:top w:val="single" w:color="000000" w:sz="4" w:space="0"/>
              <w:bottom w:val="single" w:color="000000" w:sz="4" w:space="0"/>
            </w:tcBorders>
          </w:tcPr>
          <w:p w14:paraId="7EC47485">
            <w:pPr>
              <w:pStyle w:val="55"/>
            </w:pPr>
            <w:r>
              <w:t>2</w:t>
            </w:r>
          </w:p>
        </w:tc>
        <w:tc>
          <w:tcPr>
            <w:tcW w:w="1664" w:type="dxa"/>
            <w:tcBorders>
              <w:top w:val="single" w:color="000000" w:sz="4" w:space="0"/>
              <w:bottom w:val="single" w:color="000000" w:sz="4" w:space="0"/>
            </w:tcBorders>
          </w:tcPr>
          <w:p w14:paraId="51B70F39">
            <w:pPr>
              <w:pStyle w:val="55"/>
            </w:pPr>
            <w:r>
              <w:t>13.07</w:t>
            </w:r>
          </w:p>
        </w:tc>
        <w:tc>
          <w:tcPr>
            <w:tcW w:w="1671" w:type="dxa"/>
            <w:tcBorders>
              <w:top w:val="single" w:color="000000" w:sz="4" w:space="0"/>
              <w:bottom w:val="single" w:color="000000" w:sz="4" w:space="0"/>
            </w:tcBorders>
          </w:tcPr>
          <w:p w14:paraId="76CFCFC0">
            <w:pPr>
              <w:pStyle w:val="55"/>
            </w:pPr>
            <w:r>
              <w:t>11.07</w:t>
            </w:r>
          </w:p>
        </w:tc>
      </w:tr>
    </w:tbl>
    <w:p w14:paraId="5FD0E541">
      <w:pPr>
        <w:spacing w:line="240" w:lineRule="auto"/>
        <w:ind w:firstLine="0"/>
        <w:jc w:val="both"/>
        <w:rPr>
          <w:bCs/>
          <w:sz w:val="20"/>
          <w:szCs w:val="20"/>
        </w:rPr>
      </w:pPr>
      <w:r>
        <w:rPr>
          <w:bCs/>
          <w:sz w:val="20"/>
          <w:szCs w:val="20"/>
        </w:rPr>
        <w:t>* Molnar’s grading system was followed to score the occlusal wear</w:t>
      </w:r>
      <w:r>
        <w:rPr>
          <w:rFonts w:hint="eastAsia"/>
          <w:bCs/>
          <w:sz w:val="20"/>
          <w:szCs w:val="20"/>
          <w:lang w:val="en-US" w:eastAsia="zh-CN"/>
        </w:rPr>
        <w:t xml:space="preserve"> (</w:t>
      </w:r>
      <w:r>
        <w:rPr>
          <w:sz w:val="20"/>
          <w:szCs w:val="20"/>
        </w:rPr>
        <w:t xml:space="preserve">Molnar, S. </w:t>
      </w:r>
      <w:r>
        <w:rPr>
          <w:rFonts w:hint="eastAsia"/>
          <w:sz w:val="20"/>
          <w:szCs w:val="20"/>
          <w:lang w:val="en-US" w:eastAsia="zh-CN"/>
        </w:rPr>
        <w:t xml:space="preserve">1971. </w:t>
      </w:r>
      <w:r>
        <w:rPr>
          <w:sz w:val="20"/>
          <w:szCs w:val="20"/>
        </w:rPr>
        <w:t xml:space="preserve">Human tooth wear, tooth function and cultural variability. </w:t>
      </w:r>
      <w:r>
        <w:rPr>
          <w:i/>
          <w:iCs/>
          <w:sz w:val="20"/>
          <w:szCs w:val="20"/>
        </w:rPr>
        <w:t>Am. J. Phys. Anthropol.</w:t>
      </w:r>
      <w:r>
        <w:rPr>
          <w:b w:val="0"/>
          <w:bCs w:val="0"/>
          <w:sz w:val="20"/>
          <w:szCs w:val="20"/>
        </w:rPr>
        <w:t xml:space="preserve"> 34, </w:t>
      </w:r>
      <w:r>
        <w:rPr>
          <w:sz w:val="20"/>
          <w:szCs w:val="20"/>
        </w:rPr>
        <w:t>175–189)</w:t>
      </w:r>
      <w:r>
        <w:rPr>
          <w:bCs/>
          <w:sz w:val="20"/>
          <w:szCs w:val="20"/>
        </w:rPr>
        <w:t>.</w:t>
      </w:r>
    </w:p>
    <w:p w14:paraId="251AFD23">
      <w:pPr>
        <w:ind w:firstLine="0"/>
        <w:rPr>
          <w:rFonts w:eastAsia="Times New Roman"/>
          <w:b/>
        </w:rPr>
      </w:pPr>
    </w:p>
    <w:p w14:paraId="6A0AFBFC">
      <w:pPr>
        <w:pStyle w:val="7"/>
        <w:rPr>
          <w:rFonts w:eastAsia="Times New Roman"/>
        </w:rPr>
      </w:pPr>
      <w:r>
        <w:rPr>
          <w:rFonts w:eastAsia="Times New Roman"/>
          <w:b/>
        </w:rPr>
        <w:br w:type="column"/>
      </w:r>
      <w:r>
        <w:rPr>
          <w:b/>
          <w:bCs w:val="0"/>
        </w:rPr>
        <w:t xml:space="preserve">Supplementary Table </w:t>
      </w:r>
      <w:r>
        <w:rPr>
          <w:rFonts w:hint="eastAsia"/>
          <w:b/>
          <w:bCs w:val="0"/>
          <w:lang w:val="en-US" w:eastAsia="zh-CN"/>
        </w:rPr>
        <w:t>11</w:t>
      </w:r>
      <w:r>
        <w:t xml:space="preserve"> </w:t>
      </w:r>
      <w:r>
        <w:rPr>
          <w:iCs/>
        </w:rPr>
        <w:t>|</w:t>
      </w:r>
      <w:r>
        <w:rPr>
          <w:rFonts w:eastAsia="Times New Roman"/>
        </w:rPr>
        <w:t xml:space="preserve"> The comparative samples used in the morphological comparisons.</w:t>
      </w:r>
    </w:p>
    <w:tbl>
      <w:tblPr>
        <w:tblStyle w:val="24"/>
        <w:tblW w:w="5041" w:type="pct"/>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3160"/>
        <w:gridCol w:w="3601"/>
        <w:gridCol w:w="3598"/>
        <w:gridCol w:w="3599"/>
      </w:tblGrid>
      <w:tr w14:paraId="78B798C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60" w:hRule="atLeast"/>
        </w:trPr>
        <w:tc>
          <w:tcPr>
            <w:tcW w:w="1132" w:type="pct"/>
            <w:vAlign w:val="center"/>
          </w:tcPr>
          <w:p w14:paraId="4271F167">
            <w:pPr>
              <w:keepNext w:val="0"/>
              <w:keepLines w:val="0"/>
              <w:widowControl/>
              <w:suppressLineNumbers w:val="0"/>
              <w:spacing w:before="0" w:beforeAutospacing="0" w:afterAutospacing="0"/>
              <w:ind w:left="0" w:right="0"/>
              <w:jc w:val="center"/>
              <w:rPr>
                <w:rFonts w:hint="default"/>
                <w:i/>
                <w:sz w:val="18"/>
                <w:szCs w:val="18"/>
              </w:rPr>
            </w:pPr>
          </w:p>
        </w:tc>
        <w:tc>
          <w:tcPr>
            <w:tcW w:w="1290" w:type="pct"/>
            <w:vAlign w:val="center"/>
          </w:tcPr>
          <w:p w14:paraId="2846C3C0">
            <w:pPr>
              <w:keepNext w:val="0"/>
              <w:keepLines w:val="0"/>
              <w:widowControl/>
              <w:suppressLineNumbers w:val="0"/>
              <w:spacing w:before="0" w:beforeAutospacing="0" w:afterAutospacing="0" w:line="320" w:lineRule="atLeast"/>
              <w:ind w:left="60" w:right="60"/>
              <w:jc w:val="center"/>
              <w:rPr>
                <w:rFonts w:hint="default"/>
                <w:sz w:val="18"/>
                <w:szCs w:val="18"/>
              </w:rPr>
            </w:pPr>
            <w:r>
              <w:rPr>
                <w:rFonts w:hint="default"/>
                <w:sz w:val="18"/>
                <w:szCs w:val="18"/>
              </w:rPr>
              <w:t>I</w:t>
            </w:r>
            <w:r>
              <w:rPr>
                <w:rFonts w:hint="default"/>
                <w:sz w:val="18"/>
                <w:szCs w:val="18"/>
                <w:vertAlign w:val="subscript"/>
              </w:rPr>
              <w:t>2</w:t>
            </w:r>
          </w:p>
        </w:tc>
        <w:tc>
          <w:tcPr>
            <w:tcW w:w="1289" w:type="pct"/>
            <w:vAlign w:val="center"/>
          </w:tcPr>
          <w:p w14:paraId="3DD07398">
            <w:pPr>
              <w:keepNext w:val="0"/>
              <w:keepLines w:val="0"/>
              <w:widowControl/>
              <w:suppressLineNumbers w:val="0"/>
              <w:spacing w:before="0" w:beforeAutospacing="0" w:afterAutospacing="0" w:line="320" w:lineRule="atLeast"/>
              <w:ind w:left="60" w:right="60"/>
              <w:jc w:val="center"/>
              <w:rPr>
                <w:rFonts w:hint="default"/>
                <w:sz w:val="18"/>
                <w:szCs w:val="18"/>
              </w:rPr>
            </w:pPr>
            <w:r>
              <w:rPr>
                <w:rFonts w:hint="default"/>
                <w:sz w:val="18"/>
                <w:szCs w:val="18"/>
              </w:rPr>
              <w:t>P</w:t>
            </w:r>
            <w:r>
              <w:rPr>
                <w:rFonts w:hint="eastAsia"/>
                <w:sz w:val="18"/>
                <w:szCs w:val="18"/>
                <w:vertAlign w:val="subscript"/>
              </w:rPr>
              <w:t>4</w:t>
            </w:r>
          </w:p>
        </w:tc>
        <w:tc>
          <w:tcPr>
            <w:tcW w:w="1289" w:type="pct"/>
            <w:vAlign w:val="center"/>
          </w:tcPr>
          <w:p w14:paraId="00EF55B4">
            <w:pPr>
              <w:keepNext w:val="0"/>
              <w:keepLines w:val="0"/>
              <w:widowControl/>
              <w:suppressLineNumbers w:val="0"/>
              <w:spacing w:before="0" w:beforeAutospacing="0" w:afterAutospacing="0" w:line="320" w:lineRule="atLeast"/>
              <w:ind w:left="60" w:right="60"/>
              <w:jc w:val="center"/>
              <w:rPr>
                <w:rFonts w:hint="default"/>
                <w:sz w:val="18"/>
                <w:szCs w:val="18"/>
              </w:rPr>
            </w:pPr>
            <w:r>
              <w:rPr>
                <w:rFonts w:hint="default"/>
                <w:sz w:val="18"/>
                <w:szCs w:val="18"/>
              </w:rPr>
              <w:t>M</w:t>
            </w:r>
            <w:r>
              <w:rPr>
                <w:rFonts w:hint="default"/>
                <w:sz w:val="18"/>
                <w:szCs w:val="18"/>
                <w:vertAlign w:val="subscript"/>
              </w:rPr>
              <w:t>2</w:t>
            </w:r>
          </w:p>
        </w:tc>
      </w:tr>
      <w:tr w14:paraId="7C97BB1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749" w:hRule="atLeast"/>
        </w:trPr>
        <w:tc>
          <w:tcPr>
            <w:tcW w:w="1132" w:type="pct"/>
            <w:vAlign w:val="center"/>
          </w:tcPr>
          <w:p w14:paraId="366DFC71">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Southeast Asian Early Pleistocene</w:t>
            </w:r>
            <w:r>
              <w:rPr>
                <w:rFonts w:hint="eastAsia"/>
                <w:sz w:val="18"/>
                <w:szCs w:val="18"/>
              </w:rPr>
              <w:t xml:space="preserve"> </w:t>
            </w:r>
            <w:r>
              <w:rPr>
                <w:rFonts w:hint="eastAsia"/>
                <w:i/>
                <w:sz w:val="18"/>
                <w:szCs w:val="18"/>
              </w:rPr>
              <w:t>Homo erectus</w:t>
            </w:r>
          </w:p>
        </w:tc>
        <w:tc>
          <w:tcPr>
            <w:tcW w:w="1290" w:type="pct"/>
            <w:vAlign w:val="center"/>
          </w:tcPr>
          <w:p w14:paraId="347A45C1">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Sangiran (</w:t>
            </w:r>
            <w:r>
              <w:rPr>
                <w:rFonts w:hint="default"/>
                <w:i/>
                <w:sz w:val="18"/>
                <w:szCs w:val="18"/>
              </w:rPr>
              <w:t>n=3</w:t>
            </w:r>
            <w:r>
              <w:rPr>
                <w:rFonts w:hint="default"/>
                <w:sz w:val="18"/>
                <w:szCs w:val="18"/>
              </w:rPr>
              <w:t>)</w:t>
            </w:r>
          </w:p>
        </w:tc>
        <w:tc>
          <w:tcPr>
            <w:tcW w:w="1289" w:type="pct"/>
            <w:vAlign w:val="center"/>
          </w:tcPr>
          <w:p w14:paraId="51D2DA9F">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Sangiran, Trinil (</w:t>
            </w:r>
            <w:r>
              <w:rPr>
                <w:rFonts w:hint="default"/>
                <w:i/>
                <w:sz w:val="18"/>
                <w:szCs w:val="18"/>
              </w:rPr>
              <w:t>n=7</w:t>
            </w:r>
            <w:r>
              <w:rPr>
                <w:rFonts w:hint="default"/>
                <w:sz w:val="18"/>
                <w:szCs w:val="18"/>
              </w:rPr>
              <w:t>)</w:t>
            </w:r>
          </w:p>
        </w:tc>
        <w:tc>
          <w:tcPr>
            <w:tcW w:w="1289" w:type="pct"/>
            <w:vAlign w:val="center"/>
          </w:tcPr>
          <w:p w14:paraId="2119F9FA">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Sangiran (</w:t>
            </w:r>
            <w:r>
              <w:rPr>
                <w:rFonts w:hint="default"/>
                <w:i/>
                <w:sz w:val="18"/>
                <w:szCs w:val="18"/>
              </w:rPr>
              <w:t>n=15</w:t>
            </w:r>
            <w:r>
              <w:rPr>
                <w:rFonts w:hint="default"/>
                <w:sz w:val="18"/>
                <w:szCs w:val="18"/>
              </w:rPr>
              <w:t>)</w:t>
            </w:r>
          </w:p>
        </w:tc>
      </w:tr>
      <w:tr w14:paraId="0FDD84D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84" w:hRule="atLeast"/>
        </w:trPr>
        <w:tc>
          <w:tcPr>
            <w:tcW w:w="1132" w:type="pct"/>
            <w:vAlign w:val="center"/>
          </w:tcPr>
          <w:p w14:paraId="63F1684D">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East Asian mid-Middle Pleistocene</w:t>
            </w:r>
            <w:r>
              <w:rPr>
                <w:rFonts w:hint="eastAsia"/>
                <w:i/>
                <w:sz w:val="18"/>
                <w:szCs w:val="18"/>
              </w:rPr>
              <w:t xml:space="preserve"> Homo erectus</w:t>
            </w:r>
          </w:p>
        </w:tc>
        <w:tc>
          <w:tcPr>
            <w:tcW w:w="1290" w:type="pct"/>
            <w:vAlign w:val="center"/>
          </w:tcPr>
          <w:p w14:paraId="3F3B310F">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Zhoukoudian (</w:t>
            </w:r>
            <w:r>
              <w:rPr>
                <w:rFonts w:hint="default"/>
                <w:i/>
                <w:sz w:val="18"/>
                <w:szCs w:val="18"/>
              </w:rPr>
              <w:t>n=10</w:t>
            </w:r>
            <w:r>
              <w:rPr>
                <w:rFonts w:hint="default"/>
                <w:sz w:val="18"/>
                <w:szCs w:val="18"/>
              </w:rPr>
              <w:t>)</w:t>
            </w:r>
          </w:p>
        </w:tc>
        <w:tc>
          <w:tcPr>
            <w:tcW w:w="1289" w:type="pct"/>
            <w:vAlign w:val="center"/>
          </w:tcPr>
          <w:p w14:paraId="5CD5D32E">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Zhoukoudian</w:t>
            </w:r>
            <w:r>
              <w:rPr>
                <w:rFonts w:hint="eastAsia"/>
                <w:sz w:val="18"/>
                <w:szCs w:val="18"/>
              </w:rPr>
              <w:t>, Xichuan</w:t>
            </w:r>
            <w:r>
              <w:rPr>
                <w:rFonts w:hint="default"/>
                <w:sz w:val="18"/>
                <w:szCs w:val="18"/>
              </w:rPr>
              <w:t xml:space="preserve"> (</w:t>
            </w:r>
            <w:r>
              <w:rPr>
                <w:rFonts w:hint="default"/>
                <w:i/>
                <w:sz w:val="18"/>
                <w:szCs w:val="18"/>
              </w:rPr>
              <w:t>n=</w:t>
            </w:r>
            <w:r>
              <w:rPr>
                <w:rFonts w:hint="eastAsia"/>
                <w:i/>
                <w:sz w:val="18"/>
                <w:szCs w:val="18"/>
              </w:rPr>
              <w:t>9</w:t>
            </w:r>
            <w:r>
              <w:rPr>
                <w:rFonts w:hint="default"/>
                <w:sz w:val="18"/>
                <w:szCs w:val="18"/>
              </w:rPr>
              <w:t>)</w:t>
            </w:r>
          </w:p>
        </w:tc>
        <w:tc>
          <w:tcPr>
            <w:tcW w:w="1289" w:type="pct"/>
            <w:vAlign w:val="center"/>
          </w:tcPr>
          <w:p w14:paraId="12137789">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Zhoukoudian, Hexian, Yiyuan (</w:t>
            </w:r>
            <w:r>
              <w:rPr>
                <w:rFonts w:hint="default"/>
                <w:i/>
                <w:sz w:val="18"/>
                <w:szCs w:val="18"/>
              </w:rPr>
              <w:t>n=12</w:t>
            </w:r>
            <w:r>
              <w:rPr>
                <w:rFonts w:hint="default"/>
                <w:sz w:val="18"/>
                <w:szCs w:val="18"/>
              </w:rPr>
              <w:t>)</w:t>
            </w:r>
          </w:p>
        </w:tc>
      </w:tr>
      <w:tr w14:paraId="33EFA81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84" w:hRule="atLeast"/>
        </w:trPr>
        <w:tc>
          <w:tcPr>
            <w:tcW w:w="1132" w:type="pct"/>
            <w:vAlign w:val="center"/>
          </w:tcPr>
          <w:p w14:paraId="403EA757">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East Asian Late Middle Pleistocene</w:t>
            </w:r>
            <w:r>
              <w:rPr>
                <w:rFonts w:hint="eastAsia"/>
                <w:sz w:val="18"/>
                <w:szCs w:val="18"/>
              </w:rPr>
              <w:t xml:space="preserve"> archaic </w:t>
            </w:r>
            <w:r>
              <w:rPr>
                <w:rFonts w:hint="eastAsia"/>
                <w:i/>
                <w:sz w:val="18"/>
                <w:szCs w:val="18"/>
              </w:rPr>
              <w:t>Homo</w:t>
            </w:r>
          </w:p>
        </w:tc>
        <w:tc>
          <w:tcPr>
            <w:tcW w:w="1290" w:type="pct"/>
            <w:vAlign w:val="center"/>
          </w:tcPr>
          <w:p w14:paraId="3EA69005">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w:t>
            </w:r>
          </w:p>
        </w:tc>
        <w:tc>
          <w:tcPr>
            <w:tcW w:w="1289" w:type="pct"/>
            <w:vAlign w:val="center"/>
          </w:tcPr>
          <w:p w14:paraId="16EFDA5F">
            <w:pPr>
              <w:keepNext w:val="0"/>
              <w:keepLines w:val="0"/>
              <w:widowControl/>
              <w:suppressLineNumbers w:val="0"/>
              <w:spacing w:before="0" w:beforeAutospacing="0" w:afterAutospacing="0"/>
              <w:ind w:left="0" w:right="0"/>
              <w:jc w:val="center"/>
              <w:rPr>
                <w:rFonts w:hint="default"/>
                <w:sz w:val="18"/>
                <w:szCs w:val="18"/>
              </w:rPr>
            </w:pPr>
            <w:r>
              <w:rPr>
                <w:rFonts w:hint="eastAsia"/>
                <w:sz w:val="18"/>
                <w:szCs w:val="18"/>
              </w:rPr>
              <w:t>Hualongdong</w:t>
            </w:r>
            <w:r>
              <w:rPr>
                <w:rFonts w:hint="default"/>
                <w:sz w:val="18"/>
                <w:szCs w:val="18"/>
              </w:rPr>
              <w:t xml:space="preserve"> (</w:t>
            </w:r>
            <w:r>
              <w:rPr>
                <w:rFonts w:hint="default"/>
                <w:i/>
                <w:sz w:val="18"/>
                <w:szCs w:val="18"/>
              </w:rPr>
              <w:t>n=1</w:t>
            </w:r>
            <w:r>
              <w:rPr>
                <w:rFonts w:hint="default"/>
                <w:sz w:val="18"/>
                <w:szCs w:val="18"/>
              </w:rPr>
              <w:t>)</w:t>
            </w:r>
          </w:p>
        </w:tc>
        <w:tc>
          <w:tcPr>
            <w:tcW w:w="1289" w:type="pct"/>
            <w:vAlign w:val="center"/>
          </w:tcPr>
          <w:p w14:paraId="0A993E17">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Hualongdong (</w:t>
            </w:r>
            <w:r>
              <w:rPr>
                <w:rFonts w:hint="default"/>
                <w:i/>
                <w:sz w:val="18"/>
                <w:szCs w:val="18"/>
              </w:rPr>
              <w:t>n=3</w:t>
            </w:r>
            <w:r>
              <w:rPr>
                <w:rFonts w:hint="default"/>
                <w:sz w:val="18"/>
                <w:szCs w:val="18"/>
              </w:rPr>
              <w:t>)</w:t>
            </w:r>
          </w:p>
        </w:tc>
      </w:tr>
      <w:tr w14:paraId="303B63E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84" w:hRule="atLeast"/>
        </w:trPr>
        <w:tc>
          <w:tcPr>
            <w:tcW w:w="1132" w:type="pct"/>
            <w:vAlign w:val="center"/>
          </w:tcPr>
          <w:p w14:paraId="0C102285">
            <w:pPr>
              <w:keepNext w:val="0"/>
              <w:keepLines w:val="0"/>
              <w:widowControl/>
              <w:suppressLineNumbers w:val="0"/>
              <w:spacing w:before="0" w:beforeAutospacing="0" w:afterAutospacing="0"/>
              <w:ind w:left="0" w:right="0"/>
              <w:jc w:val="center"/>
              <w:rPr>
                <w:rFonts w:hint="default"/>
                <w:i/>
                <w:sz w:val="18"/>
                <w:szCs w:val="18"/>
              </w:rPr>
            </w:pPr>
            <w:r>
              <w:rPr>
                <w:rFonts w:hint="eastAsia"/>
                <w:i/>
                <w:sz w:val="18"/>
                <w:szCs w:val="18"/>
              </w:rPr>
              <w:t>Homo heidelbergensis</w:t>
            </w:r>
          </w:p>
        </w:tc>
        <w:tc>
          <w:tcPr>
            <w:tcW w:w="1290" w:type="pct"/>
            <w:vAlign w:val="center"/>
          </w:tcPr>
          <w:p w14:paraId="62090994">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Mauer (</w:t>
            </w:r>
            <w:r>
              <w:rPr>
                <w:rFonts w:hint="default"/>
                <w:i/>
                <w:sz w:val="18"/>
                <w:szCs w:val="18"/>
              </w:rPr>
              <w:t>n=1</w:t>
            </w:r>
            <w:r>
              <w:rPr>
                <w:rFonts w:hint="default"/>
                <w:sz w:val="18"/>
                <w:szCs w:val="18"/>
              </w:rPr>
              <w:t>)</w:t>
            </w:r>
          </w:p>
        </w:tc>
        <w:tc>
          <w:tcPr>
            <w:tcW w:w="1289" w:type="pct"/>
            <w:vAlign w:val="center"/>
          </w:tcPr>
          <w:p w14:paraId="0FC154A0">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Arago, Mauer (</w:t>
            </w:r>
            <w:r>
              <w:rPr>
                <w:rFonts w:hint="default"/>
                <w:i/>
                <w:sz w:val="18"/>
                <w:szCs w:val="18"/>
              </w:rPr>
              <w:t>n=</w:t>
            </w:r>
            <w:r>
              <w:rPr>
                <w:rFonts w:hint="eastAsia"/>
                <w:i/>
                <w:sz w:val="18"/>
                <w:szCs w:val="18"/>
              </w:rPr>
              <w:t>3</w:t>
            </w:r>
            <w:r>
              <w:rPr>
                <w:rFonts w:hint="default"/>
                <w:sz w:val="18"/>
                <w:szCs w:val="18"/>
              </w:rPr>
              <w:t>)</w:t>
            </w:r>
          </w:p>
        </w:tc>
        <w:tc>
          <w:tcPr>
            <w:tcW w:w="1289" w:type="pct"/>
            <w:vAlign w:val="center"/>
          </w:tcPr>
          <w:p w14:paraId="06D83A25">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Arago, Mauer (</w:t>
            </w:r>
            <w:r>
              <w:rPr>
                <w:rFonts w:hint="default"/>
                <w:i/>
                <w:sz w:val="18"/>
                <w:szCs w:val="18"/>
              </w:rPr>
              <w:t>n=</w:t>
            </w:r>
            <w:r>
              <w:rPr>
                <w:rFonts w:hint="eastAsia"/>
                <w:i/>
                <w:sz w:val="18"/>
                <w:szCs w:val="18"/>
              </w:rPr>
              <w:t>5</w:t>
            </w:r>
            <w:r>
              <w:rPr>
                <w:rFonts w:hint="default"/>
                <w:sz w:val="18"/>
                <w:szCs w:val="18"/>
              </w:rPr>
              <w:t>)</w:t>
            </w:r>
          </w:p>
        </w:tc>
      </w:tr>
      <w:tr w14:paraId="280C458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84" w:hRule="atLeast"/>
        </w:trPr>
        <w:tc>
          <w:tcPr>
            <w:tcW w:w="1132" w:type="pct"/>
            <w:vAlign w:val="center"/>
          </w:tcPr>
          <w:p w14:paraId="71735852">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Denisovans</w:t>
            </w:r>
          </w:p>
        </w:tc>
        <w:tc>
          <w:tcPr>
            <w:tcW w:w="1290" w:type="pct"/>
            <w:vAlign w:val="center"/>
          </w:tcPr>
          <w:p w14:paraId="71103AB8">
            <w:pPr>
              <w:keepNext w:val="0"/>
              <w:keepLines w:val="0"/>
              <w:widowControl/>
              <w:suppressLineNumbers w:val="0"/>
              <w:spacing w:before="0" w:beforeAutospacing="0" w:afterAutospacing="0"/>
              <w:ind w:left="0" w:right="0"/>
              <w:jc w:val="center"/>
              <w:rPr>
                <w:rFonts w:hint="default"/>
                <w:sz w:val="18"/>
                <w:szCs w:val="18"/>
              </w:rPr>
            </w:pPr>
            <w:r>
              <w:rPr>
                <w:rFonts w:hint="eastAsia"/>
                <w:sz w:val="18"/>
                <w:szCs w:val="18"/>
              </w:rPr>
              <w:t>-</w:t>
            </w:r>
          </w:p>
        </w:tc>
        <w:tc>
          <w:tcPr>
            <w:tcW w:w="1289" w:type="pct"/>
            <w:vAlign w:val="center"/>
          </w:tcPr>
          <w:p w14:paraId="16A9ABA5">
            <w:pPr>
              <w:keepNext w:val="0"/>
              <w:keepLines w:val="0"/>
              <w:widowControl/>
              <w:suppressLineNumbers w:val="0"/>
              <w:spacing w:before="0" w:beforeAutospacing="0" w:afterAutospacing="0"/>
              <w:ind w:left="0" w:right="0"/>
              <w:jc w:val="center"/>
              <w:rPr>
                <w:rFonts w:hint="default"/>
                <w:sz w:val="18"/>
                <w:szCs w:val="18"/>
              </w:rPr>
            </w:pPr>
            <w:r>
              <w:rPr>
                <w:rFonts w:hint="eastAsia"/>
                <w:sz w:val="18"/>
                <w:szCs w:val="18"/>
              </w:rPr>
              <w:t>-</w:t>
            </w:r>
          </w:p>
        </w:tc>
        <w:tc>
          <w:tcPr>
            <w:tcW w:w="1289" w:type="pct"/>
            <w:vAlign w:val="center"/>
          </w:tcPr>
          <w:p w14:paraId="062A83BB">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 xml:space="preserve">Xiahe, </w:t>
            </w:r>
            <w:r>
              <w:rPr>
                <w:rFonts w:hint="eastAsia"/>
                <w:sz w:val="18"/>
                <w:szCs w:val="18"/>
              </w:rPr>
              <w:t>Cobra Cave</w:t>
            </w:r>
            <w:r>
              <w:rPr>
                <w:rFonts w:hint="default"/>
                <w:sz w:val="18"/>
                <w:szCs w:val="18"/>
              </w:rPr>
              <w:t xml:space="preserve"> (</w:t>
            </w:r>
            <w:r>
              <w:rPr>
                <w:rFonts w:hint="default"/>
                <w:i/>
                <w:sz w:val="18"/>
                <w:szCs w:val="18"/>
              </w:rPr>
              <w:t>n=2</w:t>
            </w:r>
            <w:r>
              <w:rPr>
                <w:rFonts w:hint="default"/>
                <w:sz w:val="18"/>
                <w:szCs w:val="18"/>
              </w:rPr>
              <w:t>)</w:t>
            </w:r>
          </w:p>
        </w:tc>
      </w:tr>
      <w:tr w14:paraId="4A447CA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84" w:hRule="atLeast"/>
        </w:trPr>
        <w:tc>
          <w:tcPr>
            <w:tcW w:w="1132" w:type="pct"/>
            <w:vAlign w:val="center"/>
          </w:tcPr>
          <w:p w14:paraId="79D4D091">
            <w:pPr>
              <w:keepNext w:val="0"/>
              <w:keepLines w:val="0"/>
              <w:widowControl/>
              <w:suppressLineNumbers w:val="0"/>
              <w:tabs>
                <w:tab w:val="left" w:pos="1380"/>
              </w:tabs>
              <w:spacing w:before="0" w:beforeAutospacing="0" w:afterAutospacing="0"/>
              <w:ind w:left="0" w:right="0"/>
              <w:jc w:val="center"/>
              <w:rPr>
                <w:rFonts w:hint="default"/>
                <w:sz w:val="18"/>
                <w:szCs w:val="18"/>
              </w:rPr>
            </w:pPr>
            <w:r>
              <w:rPr>
                <w:rFonts w:hint="eastAsia"/>
                <w:sz w:val="18"/>
                <w:szCs w:val="18"/>
              </w:rPr>
              <w:t xml:space="preserve">Late </w:t>
            </w:r>
            <w:r>
              <w:rPr>
                <w:rFonts w:hint="default"/>
                <w:sz w:val="18"/>
                <w:szCs w:val="18"/>
              </w:rPr>
              <w:t>Neanderthals</w:t>
            </w:r>
          </w:p>
        </w:tc>
        <w:tc>
          <w:tcPr>
            <w:tcW w:w="1290" w:type="pct"/>
            <w:vAlign w:val="center"/>
          </w:tcPr>
          <w:p w14:paraId="74523A2B">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Regourdou, St. Césaire, Subalyuk, Krapina (</w:t>
            </w:r>
            <w:r>
              <w:rPr>
                <w:rFonts w:hint="default"/>
                <w:i/>
                <w:sz w:val="18"/>
                <w:szCs w:val="18"/>
              </w:rPr>
              <w:t>n=12</w:t>
            </w:r>
            <w:r>
              <w:rPr>
                <w:rFonts w:hint="default"/>
                <w:sz w:val="18"/>
                <w:szCs w:val="18"/>
              </w:rPr>
              <w:t>)</w:t>
            </w:r>
          </w:p>
        </w:tc>
        <w:tc>
          <w:tcPr>
            <w:tcW w:w="1289" w:type="pct"/>
            <w:vAlign w:val="center"/>
          </w:tcPr>
          <w:p w14:paraId="118E6841">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Regourdou, La Quina, Hortus, St. Césaire, Subalyuk</w:t>
            </w:r>
            <w:r>
              <w:rPr>
                <w:rFonts w:hint="eastAsia"/>
                <w:sz w:val="18"/>
                <w:szCs w:val="18"/>
              </w:rPr>
              <w:t>,</w:t>
            </w:r>
            <w:r>
              <w:rPr>
                <w:rFonts w:hint="default"/>
                <w:sz w:val="18"/>
                <w:szCs w:val="18"/>
              </w:rPr>
              <w:t xml:space="preserve"> Krapina (</w:t>
            </w:r>
            <w:r>
              <w:rPr>
                <w:rFonts w:hint="default"/>
                <w:i/>
                <w:sz w:val="18"/>
                <w:szCs w:val="18"/>
              </w:rPr>
              <w:t>n=1</w:t>
            </w:r>
            <w:r>
              <w:rPr>
                <w:rFonts w:hint="eastAsia"/>
                <w:i/>
                <w:sz w:val="18"/>
                <w:szCs w:val="18"/>
              </w:rPr>
              <w:t>7</w:t>
            </w:r>
            <w:r>
              <w:rPr>
                <w:rFonts w:hint="default"/>
                <w:sz w:val="18"/>
                <w:szCs w:val="18"/>
              </w:rPr>
              <w:t>)</w:t>
            </w:r>
          </w:p>
        </w:tc>
        <w:tc>
          <w:tcPr>
            <w:tcW w:w="1289" w:type="pct"/>
            <w:vAlign w:val="center"/>
          </w:tcPr>
          <w:p w14:paraId="1F4236FE">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Regourdou, La Quina, Hortus, Gibraltar, St. Césaire, Krapina (</w:t>
            </w:r>
            <w:r>
              <w:rPr>
                <w:rFonts w:hint="default"/>
                <w:i/>
                <w:sz w:val="18"/>
                <w:szCs w:val="18"/>
              </w:rPr>
              <w:t>n=13</w:t>
            </w:r>
            <w:r>
              <w:rPr>
                <w:rFonts w:hint="default"/>
                <w:sz w:val="18"/>
                <w:szCs w:val="18"/>
              </w:rPr>
              <w:t>)</w:t>
            </w:r>
          </w:p>
        </w:tc>
      </w:tr>
      <w:tr w14:paraId="0E5E270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84" w:hRule="atLeast"/>
        </w:trPr>
        <w:tc>
          <w:tcPr>
            <w:tcW w:w="1132" w:type="pct"/>
            <w:vAlign w:val="center"/>
          </w:tcPr>
          <w:p w14:paraId="406EC5FF">
            <w:pPr>
              <w:keepNext w:val="0"/>
              <w:keepLines w:val="0"/>
              <w:widowControl/>
              <w:suppressLineNumbers w:val="0"/>
              <w:tabs>
                <w:tab w:val="left" w:pos="1380"/>
              </w:tabs>
              <w:spacing w:before="0" w:beforeAutospacing="0" w:afterAutospacing="0"/>
              <w:ind w:left="0" w:right="0"/>
              <w:jc w:val="center"/>
              <w:rPr>
                <w:rFonts w:hint="default"/>
                <w:sz w:val="18"/>
                <w:szCs w:val="18"/>
              </w:rPr>
            </w:pPr>
            <w:r>
              <w:rPr>
                <w:rFonts w:hint="eastAsia"/>
                <w:sz w:val="18"/>
                <w:szCs w:val="18"/>
              </w:rPr>
              <w:t xml:space="preserve">Fossil </w:t>
            </w:r>
            <w:r>
              <w:rPr>
                <w:rFonts w:hint="eastAsia"/>
                <w:i/>
                <w:sz w:val="18"/>
                <w:szCs w:val="18"/>
              </w:rPr>
              <w:t>Homo sapiens</w:t>
            </w:r>
          </w:p>
        </w:tc>
        <w:tc>
          <w:tcPr>
            <w:tcW w:w="1290" w:type="pct"/>
            <w:vAlign w:val="center"/>
          </w:tcPr>
          <w:p w14:paraId="74AE8B5E">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Qafzeh (</w:t>
            </w:r>
            <w:r>
              <w:rPr>
                <w:rFonts w:hint="default"/>
                <w:i/>
                <w:sz w:val="18"/>
                <w:szCs w:val="18"/>
              </w:rPr>
              <w:t>n=4</w:t>
            </w:r>
            <w:r>
              <w:rPr>
                <w:rFonts w:hint="default"/>
                <w:sz w:val="18"/>
                <w:szCs w:val="18"/>
              </w:rPr>
              <w:t>)</w:t>
            </w:r>
          </w:p>
        </w:tc>
        <w:tc>
          <w:tcPr>
            <w:tcW w:w="1289" w:type="pct"/>
            <w:vAlign w:val="center"/>
          </w:tcPr>
          <w:p w14:paraId="67259D24">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Qafzeh (</w:t>
            </w:r>
            <w:r>
              <w:rPr>
                <w:rFonts w:hint="default"/>
                <w:i/>
                <w:sz w:val="18"/>
                <w:szCs w:val="18"/>
              </w:rPr>
              <w:t>n=</w:t>
            </w:r>
            <w:r>
              <w:rPr>
                <w:rFonts w:hint="eastAsia"/>
                <w:i/>
                <w:sz w:val="18"/>
                <w:szCs w:val="18"/>
              </w:rPr>
              <w:t>4</w:t>
            </w:r>
            <w:r>
              <w:rPr>
                <w:rFonts w:hint="default"/>
                <w:sz w:val="18"/>
                <w:szCs w:val="18"/>
              </w:rPr>
              <w:t>)</w:t>
            </w:r>
          </w:p>
        </w:tc>
        <w:tc>
          <w:tcPr>
            <w:tcW w:w="1289" w:type="pct"/>
            <w:vAlign w:val="center"/>
          </w:tcPr>
          <w:p w14:paraId="290A61FE">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Qafzeh (</w:t>
            </w:r>
            <w:r>
              <w:rPr>
                <w:rFonts w:hint="default"/>
                <w:i/>
                <w:sz w:val="18"/>
                <w:szCs w:val="18"/>
              </w:rPr>
              <w:t>n=4</w:t>
            </w:r>
            <w:r>
              <w:rPr>
                <w:rFonts w:hint="default"/>
                <w:sz w:val="18"/>
                <w:szCs w:val="18"/>
              </w:rPr>
              <w:t>)</w:t>
            </w:r>
          </w:p>
        </w:tc>
      </w:tr>
    </w:tbl>
    <w:p w14:paraId="4D0C7556">
      <w:pPr>
        <w:rPr>
          <w:rFonts w:eastAsia="Times New Roman"/>
          <w:b/>
        </w:rPr>
      </w:pPr>
    </w:p>
    <w:p w14:paraId="71FE41C0">
      <w:pPr>
        <w:pStyle w:val="7"/>
        <w:rPr>
          <w:b/>
          <w:szCs w:val="21"/>
        </w:rPr>
      </w:pPr>
      <w:r>
        <w:rPr>
          <w:rFonts w:eastAsia="Times New Roman"/>
          <w:b/>
        </w:rPr>
        <w:br w:type="column"/>
      </w:r>
      <w:r>
        <w:rPr>
          <w:b/>
          <w:bCs w:val="0"/>
        </w:rPr>
        <w:t xml:space="preserve">Supplementary Table </w:t>
      </w:r>
      <w:r>
        <w:rPr>
          <w:rFonts w:hint="eastAsia"/>
          <w:b/>
          <w:bCs w:val="0"/>
          <w:lang w:val="en-US" w:eastAsia="zh-CN"/>
        </w:rPr>
        <w:t>12</w:t>
      </w:r>
      <w:r>
        <w:t xml:space="preserve"> | </w:t>
      </w:r>
      <w:r>
        <w:rPr>
          <w:rFonts w:eastAsia="Times New Roman"/>
        </w:rPr>
        <w:t>The comparative samples used in the comparisons of crown metrics.</w:t>
      </w:r>
    </w:p>
    <w:tbl>
      <w:tblPr>
        <w:tblStyle w:val="24"/>
        <w:tblW w:w="5000" w:type="pct"/>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456"/>
        <w:gridCol w:w="2796"/>
        <w:gridCol w:w="2796"/>
        <w:gridCol w:w="2794"/>
        <w:gridCol w:w="3002"/>
      </w:tblGrid>
      <w:tr w14:paraId="729DA72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60" w:hRule="atLeast"/>
        </w:trPr>
        <w:tc>
          <w:tcPr>
            <w:tcW w:w="887" w:type="pct"/>
            <w:vAlign w:val="center"/>
          </w:tcPr>
          <w:p w14:paraId="422D56F7">
            <w:pPr>
              <w:keepNext w:val="0"/>
              <w:keepLines w:val="0"/>
              <w:widowControl/>
              <w:suppressLineNumbers w:val="0"/>
              <w:spacing w:before="0" w:beforeAutospacing="0" w:afterAutospacing="0"/>
              <w:ind w:left="0" w:right="0"/>
              <w:jc w:val="center"/>
              <w:rPr>
                <w:rFonts w:hint="default"/>
                <w:i/>
                <w:iCs/>
                <w:sz w:val="18"/>
                <w:szCs w:val="18"/>
              </w:rPr>
            </w:pPr>
          </w:p>
        </w:tc>
        <w:tc>
          <w:tcPr>
            <w:tcW w:w="1010" w:type="pct"/>
            <w:vAlign w:val="center"/>
          </w:tcPr>
          <w:p w14:paraId="606E1114">
            <w:pPr>
              <w:keepNext w:val="0"/>
              <w:keepLines w:val="0"/>
              <w:widowControl/>
              <w:suppressLineNumbers w:val="0"/>
              <w:spacing w:before="0" w:beforeAutospacing="0" w:afterAutospacing="0" w:line="320" w:lineRule="atLeast"/>
              <w:ind w:left="60" w:right="60"/>
              <w:jc w:val="center"/>
              <w:rPr>
                <w:rFonts w:hint="default"/>
                <w:iCs/>
                <w:sz w:val="18"/>
                <w:szCs w:val="18"/>
              </w:rPr>
            </w:pPr>
            <w:r>
              <w:rPr>
                <w:rFonts w:hint="default"/>
                <w:iCs/>
                <w:sz w:val="18"/>
                <w:szCs w:val="18"/>
              </w:rPr>
              <w:t>I</w:t>
            </w:r>
            <w:r>
              <w:rPr>
                <w:rFonts w:hint="default"/>
                <w:iCs/>
                <w:sz w:val="18"/>
                <w:szCs w:val="18"/>
                <w:vertAlign w:val="subscript"/>
              </w:rPr>
              <w:t>2</w:t>
            </w:r>
          </w:p>
        </w:tc>
        <w:tc>
          <w:tcPr>
            <w:tcW w:w="1010" w:type="pct"/>
            <w:vAlign w:val="center"/>
          </w:tcPr>
          <w:p w14:paraId="799213D0">
            <w:pPr>
              <w:keepNext w:val="0"/>
              <w:keepLines w:val="0"/>
              <w:widowControl/>
              <w:suppressLineNumbers w:val="0"/>
              <w:spacing w:before="0" w:beforeAutospacing="0" w:afterAutospacing="0" w:line="320" w:lineRule="atLeast"/>
              <w:ind w:left="60" w:right="60"/>
              <w:jc w:val="center"/>
              <w:rPr>
                <w:rFonts w:hint="default"/>
                <w:iCs/>
                <w:sz w:val="18"/>
                <w:szCs w:val="18"/>
              </w:rPr>
            </w:pPr>
            <w:r>
              <w:rPr>
                <w:rFonts w:hint="default"/>
                <w:iCs/>
                <w:sz w:val="18"/>
                <w:szCs w:val="18"/>
              </w:rPr>
              <w:t>P</w:t>
            </w:r>
            <w:r>
              <w:rPr>
                <w:rFonts w:hint="default"/>
                <w:iCs/>
                <w:sz w:val="18"/>
                <w:szCs w:val="18"/>
                <w:vertAlign w:val="subscript"/>
              </w:rPr>
              <w:t>4</w:t>
            </w:r>
          </w:p>
        </w:tc>
        <w:tc>
          <w:tcPr>
            <w:tcW w:w="1009" w:type="pct"/>
            <w:vAlign w:val="center"/>
          </w:tcPr>
          <w:p w14:paraId="740F13D0">
            <w:pPr>
              <w:keepNext w:val="0"/>
              <w:keepLines w:val="0"/>
              <w:widowControl/>
              <w:suppressLineNumbers w:val="0"/>
              <w:spacing w:before="0" w:beforeAutospacing="0" w:afterAutospacing="0" w:line="320" w:lineRule="atLeast"/>
              <w:ind w:left="60" w:right="60"/>
              <w:jc w:val="center"/>
              <w:rPr>
                <w:rFonts w:hint="default"/>
                <w:iCs/>
                <w:sz w:val="18"/>
                <w:szCs w:val="18"/>
              </w:rPr>
            </w:pPr>
            <w:r>
              <w:rPr>
                <w:rFonts w:hint="default"/>
                <w:iCs/>
                <w:sz w:val="18"/>
                <w:szCs w:val="18"/>
              </w:rPr>
              <w:t>M</w:t>
            </w:r>
            <w:r>
              <w:rPr>
                <w:rFonts w:hint="default"/>
                <w:iCs/>
                <w:sz w:val="18"/>
                <w:szCs w:val="18"/>
                <w:vertAlign w:val="subscript"/>
              </w:rPr>
              <w:t>2</w:t>
            </w:r>
          </w:p>
        </w:tc>
        <w:tc>
          <w:tcPr>
            <w:tcW w:w="1084" w:type="pct"/>
            <w:vAlign w:val="center"/>
          </w:tcPr>
          <w:p w14:paraId="0177F925">
            <w:pPr>
              <w:keepNext w:val="0"/>
              <w:keepLines w:val="0"/>
              <w:widowControl/>
              <w:suppressLineNumbers w:val="0"/>
              <w:spacing w:before="0" w:beforeAutospacing="0" w:afterAutospacing="0" w:line="320" w:lineRule="atLeast"/>
              <w:ind w:left="0" w:right="60"/>
              <w:jc w:val="center"/>
              <w:rPr>
                <w:rFonts w:hint="default"/>
                <w:iCs/>
                <w:sz w:val="18"/>
                <w:szCs w:val="18"/>
              </w:rPr>
            </w:pPr>
            <w:r>
              <w:rPr>
                <w:rFonts w:hint="default"/>
                <w:iCs/>
                <w:sz w:val="18"/>
                <w:szCs w:val="18"/>
              </w:rPr>
              <w:t>Data source</w:t>
            </w:r>
          </w:p>
        </w:tc>
      </w:tr>
      <w:tr w14:paraId="7D797EC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84" w:hRule="atLeast"/>
        </w:trPr>
        <w:tc>
          <w:tcPr>
            <w:tcW w:w="887" w:type="pct"/>
            <w:vAlign w:val="center"/>
          </w:tcPr>
          <w:p w14:paraId="25236608">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Southeast Asian Early Pleistocene</w:t>
            </w:r>
            <w:r>
              <w:rPr>
                <w:rFonts w:hint="eastAsia"/>
                <w:i/>
                <w:sz w:val="18"/>
                <w:szCs w:val="18"/>
              </w:rPr>
              <w:t xml:space="preserve"> Homo erectus</w:t>
            </w:r>
          </w:p>
        </w:tc>
        <w:tc>
          <w:tcPr>
            <w:tcW w:w="1010" w:type="pct"/>
            <w:vAlign w:val="center"/>
          </w:tcPr>
          <w:p w14:paraId="5A0E0983">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Sangiran (</w:t>
            </w:r>
            <w:r>
              <w:rPr>
                <w:rFonts w:hint="default"/>
                <w:i/>
                <w:sz w:val="18"/>
                <w:szCs w:val="18"/>
              </w:rPr>
              <w:t>n=1</w:t>
            </w:r>
            <w:r>
              <w:rPr>
                <w:rFonts w:hint="default"/>
                <w:sz w:val="18"/>
                <w:szCs w:val="18"/>
              </w:rPr>
              <w:t>)</w:t>
            </w:r>
          </w:p>
        </w:tc>
        <w:tc>
          <w:tcPr>
            <w:tcW w:w="1010" w:type="pct"/>
            <w:vAlign w:val="center"/>
          </w:tcPr>
          <w:p w14:paraId="678FC0CD">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Sangiran (</w:t>
            </w:r>
            <w:r>
              <w:rPr>
                <w:rFonts w:hint="default"/>
                <w:i/>
                <w:sz w:val="18"/>
                <w:szCs w:val="18"/>
              </w:rPr>
              <w:t>n=5</w:t>
            </w:r>
            <w:r>
              <w:rPr>
                <w:rFonts w:hint="default"/>
                <w:sz w:val="18"/>
                <w:szCs w:val="18"/>
              </w:rPr>
              <w:t>)</w:t>
            </w:r>
          </w:p>
        </w:tc>
        <w:tc>
          <w:tcPr>
            <w:tcW w:w="1009" w:type="pct"/>
            <w:vAlign w:val="center"/>
          </w:tcPr>
          <w:p w14:paraId="10E46CFD">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Sangiran (</w:t>
            </w:r>
            <w:r>
              <w:rPr>
                <w:rFonts w:hint="default"/>
                <w:i/>
                <w:sz w:val="18"/>
                <w:szCs w:val="18"/>
              </w:rPr>
              <w:t>n=10</w:t>
            </w:r>
            <w:r>
              <w:rPr>
                <w:rFonts w:hint="default"/>
                <w:sz w:val="18"/>
                <w:szCs w:val="18"/>
              </w:rPr>
              <w:t>)</w:t>
            </w:r>
          </w:p>
        </w:tc>
        <w:tc>
          <w:tcPr>
            <w:tcW w:w="1084" w:type="pct"/>
            <w:vAlign w:val="center"/>
          </w:tcPr>
          <w:p w14:paraId="2635EAB2">
            <w:pPr>
              <w:keepNext w:val="0"/>
              <w:keepLines w:val="0"/>
              <w:widowControl/>
              <w:suppressLineNumbers w:val="0"/>
              <w:spacing w:before="0" w:beforeAutospacing="0" w:afterAutospacing="0"/>
              <w:ind w:left="0" w:right="0"/>
              <w:jc w:val="center"/>
              <w:rPr>
                <w:rFonts w:hint="default" w:eastAsia="宋体"/>
                <w:sz w:val="18"/>
                <w:szCs w:val="18"/>
                <w:lang w:val="en-US" w:eastAsia="zh-CN"/>
              </w:rPr>
            </w:pPr>
            <w:r>
              <w:rPr>
                <w:rFonts w:hint="eastAsia"/>
                <w:sz w:val="18"/>
                <w:szCs w:val="18"/>
                <w:lang w:val="en-US" w:eastAsia="zh-CN"/>
              </w:rPr>
              <w:t>1-3</w:t>
            </w:r>
          </w:p>
        </w:tc>
      </w:tr>
      <w:tr w14:paraId="3EA26C8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84" w:hRule="atLeast"/>
        </w:trPr>
        <w:tc>
          <w:tcPr>
            <w:tcW w:w="887" w:type="pct"/>
            <w:vAlign w:val="center"/>
          </w:tcPr>
          <w:p w14:paraId="3900DF59">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East Asian mid-Middle Pleistocene</w:t>
            </w:r>
            <w:r>
              <w:rPr>
                <w:rFonts w:hint="eastAsia"/>
                <w:i/>
                <w:sz w:val="18"/>
                <w:szCs w:val="18"/>
              </w:rPr>
              <w:t xml:space="preserve"> Homo erectus</w:t>
            </w:r>
          </w:p>
        </w:tc>
        <w:tc>
          <w:tcPr>
            <w:tcW w:w="1010" w:type="pct"/>
            <w:vAlign w:val="center"/>
          </w:tcPr>
          <w:p w14:paraId="7185315F">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Zhoukoudian (</w:t>
            </w:r>
            <w:r>
              <w:rPr>
                <w:rFonts w:hint="default"/>
                <w:i/>
                <w:sz w:val="18"/>
                <w:szCs w:val="18"/>
              </w:rPr>
              <w:t>n=9</w:t>
            </w:r>
            <w:r>
              <w:rPr>
                <w:rFonts w:hint="default"/>
                <w:sz w:val="18"/>
                <w:szCs w:val="18"/>
              </w:rPr>
              <w:t>)</w:t>
            </w:r>
          </w:p>
        </w:tc>
        <w:tc>
          <w:tcPr>
            <w:tcW w:w="1010" w:type="pct"/>
            <w:vAlign w:val="center"/>
          </w:tcPr>
          <w:p w14:paraId="1DC3F3C3">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Zhoukoudian</w:t>
            </w:r>
            <w:r>
              <w:rPr>
                <w:rFonts w:hint="eastAsia"/>
                <w:sz w:val="18"/>
                <w:szCs w:val="18"/>
                <w:lang w:val="en-US" w:eastAsia="zh-CN"/>
              </w:rPr>
              <w:t>, Changyang</w:t>
            </w:r>
            <w:r>
              <w:rPr>
                <w:rFonts w:hint="default"/>
                <w:sz w:val="18"/>
                <w:szCs w:val="18"/>
              </w:rPr>
              <w:t xml:space="preserve"> (</w:t>
            </w:r>
            <w:r>
              <w:rPr>
                <w:rFonts w:hint="default"/>
                <w:i/>
                <w:sz w:val="18"/>
                <w:szCs w:val="18"/>
              </w:rPr>
              <w:t>n=</w:t>
            </w:r>
            <w:r>
              <w:rPr>
                <w:rFonts w:hint="eastAsia"/>
                <w:i/>
                <w:sz w:val="18"/>
                <w:szCs w:val="18"/>
                <w:lang w:val="en-US" w:eastAsia="zh-CN"/>
              </w:rPr>
              <w:t>6</w:t>
            </w:r>
            <w:r>
              <w:rPr>
                <w:rFonts w:hint="default"/>
                <w:sz w:val="18"/>
                <w:szCs w:val="18"/>
              </w:rPr>
              <w:t>)</w:t>
            </w:r>
          </w:p>
        </w:tc>
        <w:tc>
          <w:tcPr>
            <w:tcW w:w="1009" w:type="pct"/>
            <w:vAlign w:val="center"/>
          </w:tcPr>
          <w:p w14:paraId="016B4933">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Zhoukoudian, Hexian, Yiyuan (</w:t>
            </w:r>
            <w:r>
              <w:rPr>
                <w:rFonts w:hint="default"/>
                <w:i/>
                <w:sz w:val="18"/>
                <w:szCs w:val="18"/>
              </w:rPr>
              <w:t>n=11</w:t>
            </w:r>
            <w:r>
              <w:rPr>
                <w:rFonts w:hint="default"/>
                <w:sz w:val="18"/>
                <w:szCs w:val="18"/>
              </w:rPr>
              <w:t>)</w:t>
            </w:r>
          </w:p>
        </w:tc>
        <w:tc>
          <w:tcPr>
            <w:tcW w:w="1084" w:type="pct"/>
            <w:vAlign w:val="center"/>
          </w:tcPr>
          <w:p w14:paraId="0BE3D657">
            <w:pPr>
              <w:keepNext w:val="0"/>
              <w:keepLines w:val="0"/>
              <w:widowControl/>
              <w:suppressLineNumbers w:val="0"/>
              <w:spacing w:before="0" w:beforeAutospacing="0" w:afterAutospacing="0"/>
              <w:ind w:left="0" w:right="0"/>
              <w:jc w:val="center"/>
              <w:rPr>
                <w:rFonts w:hint="default" w:eastAsia="宋体"/>
                <w:sz w:val="18"/>
                <w:szCs w:val="18"/>
                <w:lang w:val="en-US" w:eastAsia="zh-CN"/>
              </w:rPr>
            </w:pPr>
            <w:r>
              <w:rPr>
                <w:rFonts w:hint="eastAsia"/>
                <w:sz w:val="18"/>
                <w:szCs w:val="18"/>
                <w:lang w:val="en-US" w:eastAsia="zh-CN"/>
              </w:rPr>
              <w:t>4-7</w:t>
            </w:r>
          </w:p>
        </w:tc>
      </w:tr>
      <w:tr w14:paraId="227AD23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84" w:hRule="atLeast"/>
        </w:trPr>
        <w:tc>
          <w:tcPr>
            <w:tcW w:w="887" w:type="pct"/>
            <w:vAlign w:val="center"/>
          </w:tcPr>
          <w:p w14:paraId="782B0AE3">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East Asian Late Middle Pleistocene</w:t>
            </w:r>
            <w:r>
              <w:rPr>
                <w:rFonts w:hint="eastAsia"/>
                <w:sz w:val="18"/>
                <w:szCs w:val="18"/>
              </w:rPr>
              <w:t xml:space="preserve"> archaic </w:t>
            </w:r>
            <w:r>
              <w:rPr>
                <w:rFonts w:hint="eastAsia"/>
                <w:i/>
                <w:sz w:val="18"/>
                <w:szCs w:val="18"/>
              </w:rPr>
              <w:t>Homo</w:t>
            </w:r>
          </w:p>
        </w:tc>
        <w:tc>
          <w:tcPr>
            <w:tcW w:w="1010" w:type="pct"/>
            <w:vAlign w:val="center"/>
          </w:tcPr>
          <w:p w14:paraId="264DAEB0">
            <w:pPr>
              <w:keepNext w:val="0"/>
              <w:keepLines w:val="0"/>
              <w:widowControl/>
              <w:suppressLineNumbers w:val="0"/>
              <w:spacing w:before="0" w:beforeAutospacing="0" w:afterAutospacing="0"/>
              <w:ind w:left="0" w:right="0"/>
              <w:jc w:val="center"/>
              <w:rPr>
                <w:rFonts w:hint="default"/>
                <w:sz w:val="18"/>
                <w:szCs w:val="18"/>
              </w:rPr>
            </w:pPr>
            <w:r>
              <w:rPr>
                <w:rFonts w:hint="eastAsia"/>
                <w:sz w:val="18"/>
                <w:szCs w:val="18"/>
              </w:rPr>
              <w:t>-</w:t>
            </w:r>
          </w:p>
        </w:tc>
        <w:tc>
          <w:tcPr>
            <w:tcW w:w="1010" w:type="pct"/>
            <w:vAlign w:val="center"/>
          </w:tcPr>
          <w:p w14:paraId="0D33521C">
            <w:pPr>
              <w:keepNext w:val="0"/>
              <w:keepLines w:val="0"/>
              <w:widowControl/>
              <w:suppressLineNumbers w:val="0"/>
              <w:spacing w:before="0" w:beforeAutospacing="0" w:afterAutospacing="0"/>
              <w:ind w:left="0" w:right="0"/>
              <w:jc w:val="center"/>
              <w:rPr>
                <w:rFonts w:hint="default"/>
                <w:sz w:val="18"/>
                <w:szCs w:val="18"/>
              </w:rPr>
            </w:pPr>
            <w:r>
              <w:rPr>
                <w:rFonts w:hint="eastAsia"/>
                <w:sz w:val="18"/>
                <w:szCs w:val="18"/>
              </w:rPr>
              <w:t>Hualongdong</w:t>
            </w:r>
            <w:r>
              <w:rPr>
                <w:rFonts w:hint="default"/>
                <w:sz w:val="18"/>
                <w:szCs w:val="18"/>
              </w:rPr>
              <w:t xml:space="preserve"> (</w:t>
            </w:r>
            <w:r>
              <w:rPr>
                <w:rFonts w:hint="default"/>
                <w:i/>
                <w:sz w:val="18"/>
                <w:szCs w:val="18"/>
              </w:rPr>
              <w:t>n=</w:t>
            </w:r>
            <w:r>
              <w:rPr>
                <w:rFonts w:hint="eastAsia"/>
                <w:i/>
                <w:sz w:val="18"/>
                <w:szCs w:val="18"/>
                <w:lang w:val="en-US" w:eastAsia="zh-CN"/>
              </w:rPr>
              <w:t>1</w:t>
            </w:r>
            <w:r>
              <w:rPr>
                <w:rFonts w:hint="default"/>
                <w:sz w:val="18"/>
                <w:szCs w:val="18"/>
              </w:rPr>
              <w:t>)</w:t>
            </w:r>
          </w:p>
        </w:tc>
        <w:tc>
          <w:tcPr>
            <w:tcW w:w="1009" w:type="pct"/>
            <w:vAlign w:val="center"/>
          </w:tcPr>
          <w:p w14:paraId="04E1AA2F">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Hualongdong (</w:t>
            </w:r>
            <w:r>
              <w:rPr>
                <w:rFonts w:hint="default"/>
                <w:i/>
                <w:sz w:val="18"/>
                <w:szCs w:val="18"/>
              </w:rPr>
              <w:t>n=3</w:t>
            </w:r>
            <w:r>
              <w:rPr>
                <w:rFonts w:hint="default"/>
                <w:sz w:val="18"/>
                <w:szCs w:val="18"/>
              </w:rPr>
              <w:t>)</w:t>
            </w:r>
          </w:p>
        </w:tc>
        <w:tc>
          <w:tcPr>
            <w:tcW w:w="1084" w:type="pct"/>
            <w:vAlign w:val="center"/>
          </w:tcPr>
          <w:p w14:paraId="604A6E6A">
            <w:pPr>
              <w:keepNext w:val="0"/>
              <w:keepLines w:val="0"/>
              <w:widowControl/>
              <w:suppressLineNumbers w:val="0"/>
              <w:spacing w:before="0" w:beforeAutospacing="0" w:afterAutospacing="0"/>
              <w:ind w:left="0" w:right="0"/>
              <w:jc w:val="center"/>
              <w:rPr>
                <w:rFonts w:hint="default"/>
                <w:sz w:val="18"/>
                <w:szCs w:val="18"/>
              </w:rPr>
            </w:pPr>
            <w:r>
              <w:rPr>
                <w:rFonts w:hint="eastAsia"/>
                <w:sz w:val="18"/>
                <w:szCs w:val="18"/>
                <w:lang w:val="en-US" w:eastAsia="zh-CN"/>
              </w:rPr>
              <w:t>8</w:t>
            </w:r>
            <w:r>
              <w:rPr>
                <w:rFonts w:hint="default"/>
                <w:sz w:val="18"/>
                <w:szCs w:val="18"/>
              </w:rPr>
              <w:t xml:space="preserve"> </w:t>
            </w:r>
          </w:p>
        </w:tc>
      </w:tr>
      <w:tr w14:paraId="2466DB9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84" w:hRule="atLeast"/>
        </w:trPr>
        <w:tc>
          <w:tcPr>
            <w:tcW w:w="887" w:type="pct"/>
            <w:vAlign w:val="center"/>
          </w:tcPr>
          <w:p w14:paraId="5CDE7B0A">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Denisovans</w:t>
            </w:r>
          </w:p>
        </w:tc>
        <w:tc>
          <w:tcPr>
            <w:tcW w:w="1010" w:type="pct"/>
            <w:vAlign w:val="center"/>
          </w:tcPr>
          <w:p w14:paraId="5E231548">
            <w:pPr>
              <w:keepNext w:val="0"/>
              <w:keepLines w:val="0"/>
              <w:widowControl/>
              <w:suppressLineNumbers w:val="0"/>
              <w:spacing w:before="0" w:beforeAutospacing="0" w:afterAutospacing="0"/>
              <w:ind w:left="0" w:right="0"/>
              <w:jc w:val="center"/>
              <w:rPr>
                <w:rFonts w:hint="default"/>
                <w:sz w:val="18"/>
                <w:szCs w:val="18"/>
              </w:rPr>
            </w:pPr>
            <w:r>
              <w:rPr>
                <w:rFonts w:hint="eastAsia"/>
                <w:sz w:val="18"/>
                <w:szCs w:val="18"/>
              </w:rPr>
              <w:t>-</w:t>
            </w:r>
          </w:p>
        </w:tc>
        <w:tc>
          <w:tcPr>
            <w:tcW w:w="1010" w:type="pct"/>
            <w:vAlign w:val="center"/>
          </w:tcPr>
          <w:p w14:paraId="02F46585">
            <w:pPr>
              <w:keepNext w:val="0"/>
              <w:keepLines w:val="0"/>
              <w:widowControl/>
              <w:suppressLineNumbers w:val="0"/>
              <w:spacing w:before="0" w:beforeAutospacing="0" w:afterAutospacing="0"/>
              <w:ind w:left="0" w:right="0"/>
              <w:jc w:val="center"/>
              <w:rPr>
                <w:rFonts w:hint="default"/>
                <w:sz w:val="18"/>
                <w:szCs w:val="18"/>
              </w:rPr>
            </w:pPr>
            <w:r>
              <w:rPr>
                <w:rFonts w:hint="eastAsia"/>
                <w:sz w:val="18"/>
                <w:szCs w:val="18"/>
              </w:rPr>
              <w:t>-</w:t>
            </w:r>
          </w:p>
        </w:tc>
        <w:tc>
          <w:tcPr>
            <w:tcW w:w="1009" w:type="pct"/>
            <w:vAlign w:val="center"/>
          </w:tcPr>
          <w:p w14:paraId="74E7442E">
            <w:pPr>
              <w:keepNext w:val="0"/>
              <w:keepLines w:val="0"/>
              <w:widowControl/>
              <w:suppressLineNumbers w:val="0"/>
              <w:spacing w:before="0" w:beforeAutospacing="0" w:afterAutospacing="0"/>
              <w:ind w:left="0" w:right="0" w:firstLine="0"/>
              <w:jc w:val="center"/>
              <w:rPr>
                <w:rFonts w:hint="default"/>
                <w:sz w:val="18"/>
                <w:szCs w:val="18"/>
              </w:rPr>
            </w:pPr>
            <w:r>
              <w:rPr>
                <w:rFonts w:hint="default"/>
                <w:sz w:val="18"/>
                <w:szCs w:val="18"/>
              </w:rPr>
              <w:t>Xiahe, Penghu</w:t>
            </w:r>
            <w:r>
              <w:rPr>
                <w:rFonts w:hint="eastAsia"/>
                <w:sz w:val="18"/>
                <w:szCs w:val="18"/>
                <w:lang w:val="en-US" w:eastAsia="zh-CN"/>
              </w:rPr>
              <w:t xml:space="preserve">, </w:t>
            </w:r>
            <w:r>
              <w:rPr>
                <w:rFonts w:hint="default" w:ascii="Times New Roman" w:hAnsi="Times New Roman" w:eastAsia="宋体" w:cs="Times New Roman"/>
                <w:i w:val="0"/>
                <w:iCs w:val="0"/>
                <w:caps w:val="0"/>
                <w:spacing w:val="0"/>
                <w:sz w:val="18"/>
                <w:szCs w:val="18"/>
                <w:shd w:val="clear"/>
              </w:rPr>
              <w:t>Tam Ngu Hao 2</w:t>
            </w:r>
            <w:r>
              <w:rPr>
                <w:rFonts w:hint="default"/>
                <w:sz w:val="18"/>
                <w:szCs w:val="18"/>
              </w:rPr>
              <w:t xml:space="preserve"> (</w:t>
            </w:r>
            <w:r>
              <w:rPr>
                <w:rFonts w:hint="default"/>
                <w:i/>
                <w:sz w:val="18"/>
                <w:szCs w:val="18"/>
              </w:rPr>
              <w:t>n=</w:t>
            </w:r>
            <w:r>
              <w:rPr>
                <w:rFonts w:hint="eastAsia"/>
                <w:i/>
                <w:sz w:val="18"/>
                <w:szCs w:val="18"/>
                <w:lang w:val="en-US" w:eastAsia="zh-CN"/>
              </w:rPr>
              <w:t>3</w:t>
            </w:r>
            <w:r>
              <w:rPr>
                <w:rFonts w:hint="default"/>
                <w:sz w:val="18"/>
                <w:szCs w:val="18"/>
              </w:rPr>
              <w:t>)</w:t>
            </w:r>
          </w:p>
        </w:tc>
        <w:tc>
          <w:tcPr>
            <w:tcW w:w="1084" w:type="pct"/>
            <w:vAlign w:val="center"/>
          </w:tcPr>
          <w:p w14:paraId="672F80A3">
            <w:pPr>
              <w:keepNext w:val="0"/>
              <w:keepLines w:val="0"/>
              <w:widowControl/>
              <w:suppressLineNumbers w:val="0"/>
              <w:spacing w:before="0" w:beforeAutospacing="0" w:afterAutospacing="0"/>
              <w:ind w:left="0" w:right="0"/>
              <w:jc w:val="center"/>
              <w:rPr>
                <w:rFonts w:hint="default" w:eastAsia="宋体"/>
                <w:sz w:val="18"/>
                <w:szCs w:val="18"/>
                <w:lang w:val="en-US" w:eastAsia="zh-CN"/>
              </w:rPr>
            </w:pPr>
            <w:r>
              <w:rPr>
                <w:rFonts w:hint="eastAsia"/>
                <w:sz w:val="18"/>
                <w:szCs w:val="18"/>
                <w:lang w:val="en-US" w:eastAsia="zh-CN"/>
              </w:rPr>
              <w:t>9-11</w:t>
            </w:r>
          </w:p>
        </w:tc>
      </w:tr>
      <w:tr w14:paraId="0A1382F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84" w:hRule="atLeast"/>
        </w:trPr>
        <w:tc>
          <w:tcPr>
            <w:tcW w:w="887" w:type="pct"/>
            <w:vAlign w:val="center"/>
          </w:tcPr>
          <w:p w14:paraId="1902D253">
            <w:pPr>
              <w:keepNext w:val="0"/>
              <w:keepLines w:val="0"/>
              <w:widowControl/>
              <w:suppressLineNumbers w:val="0"/>
              <w:spacing w:before="0" w:beforeAutospacing="0" w:afterAutospacing="0"/>
              <w:ind w:left="0" w:right="0"/>
              <w:jc w:val="center"/>
              <w:rPr>
                <w:rFonts w:hint="default"/>
                <w:sz w:val="18"/>
                <w:szCs w:val="18"/>
              </w:rPr>
            </w:pPr>
            <w:r>
              <w:rPr>
                <w:rFonts w:hint="eastAsia"/>
                <w:sz w:val="18"/>
                <w:szCs w:val="18"/>
              </w:rPr>
              <w:t>Early Neanderthals</w:t>
            </w:r>
          </w:p>
        </w:tc>
        <w:tc>
          <w:tcPr>
            <w:tcW w:w="1010" w:type="pct"/>
            <w:vAlign w:val="center"/>
          </w:tcPr>
          <w:p w14:paraId="1C4B82E9">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Atapuerca Sima de los Huesos (</w:t>
            </w:r>
            <w:r>
              <w:rPr>
                <w:rFonts w:hint="default"/>
                <w:i/>
                <w:sz w:val="18"/>
                <w:szCs w:val="18"/>
              </w:rPr>
              <w:t>n=31</w:t>
            </w:r>
            <w:r>
              <w:rPr>
                <w:rFonts w:hint="default"/>
                <w:sz w:val="18"/>
                <w:szCs w:val="18"/>
              </w:rPr>
              <w:t>)</w:t>
            </w:r>
          </w:p>
        </w:tc>
        <w:tc>
          <w:tcPr>
            <w:tcW w:w="1010" w:type="pct"/>
            <w:vAlign w:val="center"/>
          </w:tcPr>
          <w:p w14:paraId="17E9E66F">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Atapuerca Sima de los Huesos (</w:t>
            </w:r>
            <w:r>
              <w:rPr>
                <w:rFonts w:hint="default"/>
                <w:i/>
                <w:sz w:val="18"/>
                <w:szCs w:val="18"/>
              </w:rPr>
              <w:t>n=3</w:t>
            </w:r>
            <w:r>
              <w:rPr>
                <w:rFonts w:hint="eastAsia"/>
                <w:i/>
                <w:sz w:val="18"/>
                <w:szCs w:val="18"/>
              </w:rPr>
              <w:t>7</w:t>
            </w:r>
            <w:r>
              <w:rPr>
                <w:rFonts w:hint="default"/>
                <w:sz w:val="18"/>
                <w:szCs w:val="18"/>
              </w:rPr>
              <w:t>)</w:t>
            </w:r>
          </w:p>
        </w:tc>
        <w:tc>
          <w:tcPr>
            <w:tcW w:w="1009" w:type="pct"/>
            <w:vAlign w:val="center"/>
          </w:tcPr>
          <w:p w14:paraId="0339F63D">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Atapuerca Sima de los Huesos (</w:t>
            </w:r>
            <w:r>
              <w:rPr>
                <w:rFonts w:hint="default"/>
                <w:i/>
                <w:sz w:val="18"/>
                <w:szCs w:val="18"/>
              </w:rPr>
              <w:t>n=41</w:t>
            </w:r>
            <w:r>
              <w:rPr>
                <w:rFonts w:hint="default"/>
                <w:sz w:val="18"/>
                <w:szCs w:val="18"/>
              </w:rPr>
              <w:t>)</w:t>
            </w:r>
          </w:p>
        </w:tc>
        <w:tc>
          <w:tcPr>
            <w:tcW w:w="1084" w:type="pct"/>
            <w:vAlign w:val="center"/>
          </w:tcPr>
          <w:p w14:paraId="61A82154">
            <w:pPr>
              <w:keepNext w:val="0"/>
              <w:keepLines w:val="0"/>
              <w:widowControl/>
              <w:suppressLineNumbers w:val="0"/>
              <w:spacing w:before="0" w:beforeAutospacing="0" w:afterAutospacing="0"/>
              <w:ind w:left="0" w:right="0"/>
              <w:jc w:val="center"/>
              <w:rPr>
                <w:rFonts w:hint="default" w:eastAsia="宋体"/>
                <w:sz w:val="18"/>
                <w:szCs w:val="18"/>
                <w:lang w:val="en-US" w:eastAsia="zh-CN"/>
              </w:rPr>
            </w:pPr>
            <w:r>
              <w:rPr>
                <w:rFonts w:hint="eastAsia"/>
                <w:sz w:val="18"/>
                <w:szCs w:val="18"/>
                <w:lang w:val="en-US" w:eastAsia="zh-CN"/>
              </w:rPr>
              <w:t>12</w:t>
            </w:r>
          </w:p>
        </w:tc>
      </w:tr>
      <w:tr w14:paraId="0ED40EF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84" w:hRule="atLeast"/>
        </w:trPr>
        <w:tc>
          <w:tcPr>
            <w:tcW w:w="887" w:type="pct"/>
            <w:vAlign w:val="center"/>
          </w:tcPr>
          <w:p w14:paraId="2992FF7D">
            <w:pPr>
              <w:keepNext w:val="0"/>
              <w:keepLines w:val="0"/>
              <w:widowControl/>
              <w:suppressLineNumbers w:val="0"/>
              <w:tabs>
                <w:tab w:val="left" w:pos="1380"/>
              </w:tabs>
              <w:spacing w:before="0" w:beforeAutospacing="0" w:afterAutospacing="0"/>
              <w:ind w:left="0" w:right="0"/>
              <w:jc w:val="center"/>
              <w:rPr>
                <w:rFonts w:hint="default"/>
                <w:sz w:val="18"/>
                <w:szCs w:val="18"/>
              </w:rPr>
            </w:pPr>
            <w:r>
              <w:rPr>
                <w:rFonts w:hint="eastAsia"/>
                <w:sz w:val="18"/>
                <w:szCs w:val="18"/>
              </w:rPr>
              <w:t xml:space="preserve">Late </w:t>
            </w:r>
            <w:r>
              <w:rPr>
                <w:rFonts w:hint="default"/>
                <w:sz w:val="18"/>
                <w:szCs w:val="18"/>
              </w:rPr>
              <w:t>Neanderthals</w:t>
            </w:r>
          </w:p>
        </w:tc>
        <w:tc>
          <w:tcPr>
            <w:tcW w:w="1010" w:type="pct"/>
            <w:vAlign w:val="center"/>
          </w:tcPr>
          <w:p w14:paraId="07603123">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Ehringsdorf, Le Moustier, Regourdou, Shanidar, Tabun, Krapina (</w:t>
            </w:r>
            <w:r>
              <w:rPr>
                <w:rFonts w:hint="default"/>
                <w:i/>
                <w:sz w:val="18"/>
                <w:szCs w:val="18"/>
              </w:rPr>
              <w:t>n=23</w:t>
            </w:r>
            <w:r>
              <w:rPr>
                <w:rFonts w:hint="default"/>
                <w:sz w:val="18"/>
                <w:szCs w:val="18"/>
              </w:rPr>
              <w:t>)</w:t>
            </w:r>
          </w:p>
        </w:tc>
        <w:tc>
          <w:tcPr>
            <w:tcW w:w="1010" w:type="pct"/>
            <w:vAlign w:val="center"/>
          </w:tcPr>
          <w:p w14:paraId="1049AD36">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Ehringsdorf,</w:t>
            </w:r>
            <w:r>
              <w:rPr>
                <w:rFonts w:hint="default"/>
              </w:rPr>
              <w:t xml:space="preserve"> </w:t>
            </w:r>
            <w:r>
              <w:rPr>
                <w:rFonts w:hint="default"/>
                <w:sz w:val="18"/>
                <w:szCs w:val="18"/>
              </w:rPr>
              <w:t>La Ferrassie, La Quina, Le Moustier, Regourdou, Shanidar, Spy,</w:t>
            </w:r>
            <w:r>
              <w:rPr>
                <w:rFonts w:hint="default"/>
              </w:rPr>
              <w:t xml:space="preserve"> </w:t>
            </w:r>
            <w:r>
              <w:rPr>
                <w:rFonts w:hint="default"/>
                <w:sz w:val="18"/>
                <w:szCs w:val="18"/>
              </w:rPr>
              <w:t>Tabun, Monsempron</w:t>
            </w:r>
            <w:r>
              <w:rPr>
                <w:rFonts w:hint="eastAsia"/>
                <w:sz w:val="18"/>
                <w:szCs w:val="18"/>
              </w:rPr>
              <w:t xml:space="preserve">, </w:t>
            </w:r>
            <w:r>
              <w:rPr>
                <w:rFonts w:hint="default"/>
                <w:sz w:val="18"/>
                <w:szCs w:val="18"/>
              </w:rPr>
              <w:t>Subalyuk</w:t>
            </w:r>
            <w:r>
              <w:rPr>
                <w:rFonts w:hint="eastAsia"/>
                <w:sz w:val="18"/>
                <w:szCs w:val="18"/>
              </w:rPr>
              <w:t>,</w:t>
            </w:r>
            <w:r>
              <w:rPr>
                <w:rFonts w:hint="default"/>
                <w:sz w:val="18"/>
                <w:szCs w:val="18"/>
              </w:rPr>
              <w:t xml:space="preserve"> Krapina (</w:t>
            </w:r>
            <w:r>
              <w:rPr>
                <w:rFonts w:hint="default"/>
                <w:i/>
                <w:sz w:val="18"/>
                <w:szCs w:val="18"/>
              </w:rPr>
              <w:t>n=</w:t>
            </w:r>
            <w:r>
              <w:rPr>
                <w:rFonts w:hint="eastAsia"/>
                <w:i/>
                <w:sz w:val="18"/>
                <w:szCs w:val="18"/>
              </w:rPr>
              <w:t>36</w:t>
            </w:r>
            <w:r>
              <w:rPr>
                <w:rFonts w:hint="default"/>
                <w:sz w:val="18"/>
                <w:szCs w:val="18"/>
              </w:rPr>
              <w:t>)</w:t>
            </w:r>
          </w:p>
        </w:tc>
        <w:tc>
          <w:tcPr>
            <w:tcW w:w="1009" w:type="pct"/>
            <w:vAlign w:val="center"/>
          </w:tcPr>
          <w:p w14:paraId="7586AB82">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Ehringsdorf,</w:t>
            </w:r>
            <w:r>
              <w:rPr>
                <w:rFonts w:hint="default"/>
              </w:rPr>
              <w:t xml:space="preserve"> </w:t>
            </w:r>
            <w:r>
              <w:rPr>
                <w:rFonts w:hint="default"/>
                <w:sz w:val="18"/>
                <w:szCs w:val="18"/>
              </w:rPr>
              <w:t>La Quina, Le Moustier, Regourdou, Shanidar, Spy,</w:t>
            </w:r>
            <w:r>
              <w:rPr>
                <w:rFonts w:hint="default"/>
              </w:rPr>
              <w:t xml:space="preserve"> </w:t>
            </w:r>
            <w:r>
              <w:rPr>
                <w:rFonts w:hint="default"/>
                <w:sz w:val="18"/>
                <w:szCs w:val="18"/>
              </w:rPr>
              <w:t>Tabun, Krapina (</w:t>
            </w:r>
            <w:r>
              <w:rPr>
                <w:rFonts w:hint="default"/>
                <w:i/>
                <w:sz w:val="18"/>
                <w:szCs w:val="18"/>
              </w:rPr>
              <w:t>n=35</w:t>
            </w:r>
            <w:r>
              <w:rPr>
                <w:rFonts w:hint="default"/>
                <w:sz w:val="18"/>
                <w:szCs w:val="18"/>
              </w:rPr>
              <w:t>)</w:t>
            </w:r>
          </w:p>
        </w:tc>
        <w:tc>
          <w:tcPr>
            <w:tcW w:w="1084" w:type="pct"/>
            <w:vAlign w:val="center"/>
          </w:tcPr>
          <w:p w14:paraId="4A6E9196">
            <w:pPr>
              <w:keepNext w:val="0"/>
              <w:keepLines w:val="0"/>
              <w:widowControl/>
              <w:suppressLineNumbers w:val="0"/>
              <w:spacing w:before="0" w:beforeAutospacing="0" w:afterAutospacing="0"/>
              <w:ind w:left="0" w:right="0"/>
              <w:jc w:val="center"/>
              <w:rPr>
                <w:rFonts w:hint="default" w:eastAsia="宋体"/>
                <w:sz w:val="18"/>
                <w:szCs w:val="18"/>
                <w:lang w:val="en-US" w:eastAsia="zh-CN"/>
              </w:rPr>
            </w:pPr>
            <w:r>
              <w:rPr>
                <w:rFonts w:hint="eastAsia"/>
                <w:sz w:val="18"/>
                <w:szCs w:val="18"/>
                <w:lang w:val="en-US" w:eastAsia="zh-CN"/>
              </w:rPr>
              <w:t>13,14</w:t>
            </w:r>
          </w:p>
        </w:tc>
      </w:tr>
      <w:tr w14:paraId="50D225D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84" w:hRule="atLeast"/>
        </w:trPr>
        <w:tc>
          <w:tcPr>
            <w:tcW w:w="887" w:type="pct"/>
            <w:vAlign w:val="center"/>
          </w:tcPr>
          <w:p w14:paraId="784F1403">
            <w:pPr>
              <w:keepNext w:val="0"/>
              <w:keepLines w:val="0"/>
              <w:widowControl/>
              <w:suppressLineNumbers w:val="0"/>
              <w:tabs>
                <w:tab w:val="left" w:pos="1380"/>
              </w:tabs>
              <w:spacing w:before="0" w:beforeAutospacing="0" w:afterAutospacing="0"/>
              <w:ind w:left="0" w:right="0"/>
              <w:jc w:val="center"/>
              <w:rPr>
                <w:rFonts w:hint="default"/>
                <w:sz w:val="18"/>
                <w:szCs w:val="18"/>
              </w:rPr>
            </w:pPr>
            <w:r>
              <w:rPr>
                <w:rFonts w:hint="eastAsia"/>
                <w:sz w:val="18"/>
                <w:szCs w:val="18"/>
              </w:rPr>
              <w:t xml:space="preserve">Fossil </w:t>
            </w:r>
            <w:r>
              <w:rPr>
                <w:rFonts w:hint="eastAsia"/>
                <w:i/>
                <w:sz w:val="18"/>
                <w:szCs w:val="18"/>
              </w:rPr>
              <w:t>Homo sapiens</w:t>
            </w:r>
          </w:p>
        </w:tc>
        <w:tc>
          <w:tcPr>
            <w:tcW w:w="1010" w:type="pct"/>
            <w:vAlign w:val="center"/>
          </w:tcPr>
          <w:p w14:paraId="0CBFA1B7">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Dar es-Soltan, Contrebandiers, Fish Hoek, Skhul, Wajak, Předmostí, Le Rois</w:t>
            </w:r>
            <w:r>
              <w:rPr>
                <w:rFonts w:hint="eastAsia"/>
                <w:sz w:val="18"/>
                <w:szCs w:val="18"/>
              </w:rPr>
              <w:t xml:space="preserve"> </w:t>
            </w:r>
            <w:r>
              <w:rPr>
                <w:rFonts w:hint="default"/>
                <w:sz w:val="18"/>
                <w:szCs w:val="18"/>
              </w:rPr>
              <w:t>(</w:t>
            </w:r>
            <w:r>
              <w:rPr>
                <w:rFonts w:hint="default"/>
                <w:i/>
                <w:sz w:val="18"/>
                <w:szCs w:val="18"/>
              </w:rPr>
              <w:t>n=1</w:t>
            </w:r>
            <w:r>
              <w:rPr>
                <w:rFonts w:hint="eastAsia"/>
                <w:i/>
                <w:sz w:val="18"/>
                <w:szCs w:val="18"/>
              </w:rPr>
              <w:t>5</w:t>
            </w:r>
            <w:r>
              <w:rPr>
                <w:rFonts w:hint="default"/>
                <w:sz w:val="18"/>
                <w:szCs w:val="18"/>
              </w:rPr>
              <w:t>)</w:t>
            </w:r>
          </w:p>
        </w:tc>
        <w:tc>
          <w:tcPr>
            <w:tcW w:w="1010" w:type="pct"/>
            <w:vAlign w:val="center"/>
          </w:tcPr>
          <w:p w14:paraId="2EABAF3D">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Dar es-Soltan, Contrebandiers,</w:t>
            </w:r>
            <w:r>
              <w:rPr>
                <w:rFonts w:hint="eastAsia"/>
                <w:sz w:val="18"/>
                <w:szCs w:val="18"/>
              </w:rPr>
              <w:t xml:space="preserve"> </w:t>
            </w:r>
            <w:r>
              <w:rPr>
                <w:rFonts w:hint="default"/>
                <w:sz w:val="18"/>
                <w:szCs w:val="18"/>
              </w:rPr>
              <w:t>El Haroura</w:t>
            </w:r>
            <w:r>
              <w:rPr>
                <w:rFonts w:hint="eastAsia"/>
                <w:sz w:val="18"/>
                <w:szCs w:val="18"/>
              </w:rPr>
              <w:t xml:space="preserve">, </w:t>
            </w:r>
            <w:r>
              <w:rPr>
                <w:rFonts w:hint="default"/>
                <w:sz w:val="18"/>
                <w:szCs w:val="18"/>
              </w:rPr>
              <w:t>Klasies River Mouth</w:t>
            </w:r>
            <w:r>
              <w:rPr>
                <w:rFonts w:hint="eastAsia"/>
                <w:sz w:val="18"/>
                <w:szCs w:val="18"/>
              </w:rPr>
              <w:t>,</w:t>
            </w:r>
            <w:r>
              <w:rPr>
                <w:rFonts w:hint="default"/>
                <w:sz w:val="18"/>
                <w:szCs w:val="18"/>
              </w:rPr>
              <w:t xml:space="preserve"> Fish Hoek</w:t>
            </w:r>
            <w:r>
              <w:rPr>
                <w:rFonts w:hint="eastAsia"/>
                <w:sz w:val="18"/>
                <w:szCs w:val="18"/>
              </w:rPr>
              <w:t>,</w:t>
            </w:r>
            <w:r>
              <w:rPr>
                <w:rFonts w:hint="default"/>
                <w:sz w:val="18"/>
                <w:szCs w:val="18"/>
              </w:rPr>
              <w:t xml:space="preserve"> Skhul, Wajak, Předmostí, Dolní Vĕstonice,</w:t>
            </w:r>
            <w:r>
              <w:rPr>
                <w:rFonts w:hint="eastAsia"/>
                <w:sz w:val="18"/>
                <w:szCs w:val="18"/>
              </w:rPr>
              <w:t xml:space="preserve"> </w:t>
            </w:r>
            <w:r>
              <w:rPr>
                <w:rFonts w:hint="default"/>
                <w:sz w:val="18"/>
                <w:szCs w:val="18"/>
              </w:rPr>
              <w:t>Le Rois, Dushan Cave (</w:t>
            </w:r>
            <w:r>
              <w:rPr>
                <w:rFonts w:hint="default"/>
                <w:i/>
                <w:sz w:val="18"/>
                <w:szCs w:val="18"/>
              </w:rPr>
              <w:t>n=</w:t>
            </w:r>
            <w:r>
              <w:rPr>
                <w:rFonts w:hint="eastAsia"/>
                <w:i/>
                <w:sz w:val="18"/>
                <w:szCs w:val="18"/>
              </w:rPr>
              <w:t>20</w:t>
            </w:r>
            <w:r>
              <w:rPr>
                <w:rFonts w:hint="default"/>
                <w:sz w:val="18"/>
                <w:szCs w:val="18"/>
              </w:rPr>
              <w:t>)</w:t>
            </w:r>
          </w:p>
        </w:tc>
        <w:tc>
          <w:tcPr>
            <w:tcW w:w="1009" w:type="pct"/>
            <w:vAlign w:val="center"/>
          </w:tcPr>
          <w:p w14:paraId="0B6E9520">
            <w:pPr>
              <w:keepNext w:val="0"/>
              <w:keepLines w:val="0"/>
              <w:widowControl/>
              <w:suppressLineNumbers w:val="0"/>
              <w:spacing w:before="0" w:beforeAutospacing="0" w:afterAutospacing="0"/>
              <w:ind w:left="0" w:right="0"/>
              <w:jc w:val="center"/>
              <w:rPr>
                <w:rFonts w:hint="default"/>
                <w:sz w:val="18"/>
                <w:szCs w:val="18"/>
              </w:rPr>
            </w:pPr>
            <w:r>
              <w:rPr>
                <w:rFonts w:hint="default"/>
                <w:sz w:val="18"/>
                <w:szCs w:val="18"/>
              </w:rPr>
              <w:t>Mumba, Dar es-Soltan, Contrebandiers, El Haroura, Klasies River Mouth, Skhul, Předmostí, Dolní Vĕstonice, Le Rois, Baojiyan, Chuandong, Fusui (</w:t>
            </w:r>
            <w:r>
              <w:rPr>
                <w:rFonts w:hint="default"/>
                <w:i/>
                <w:sz w:val="18"/>
                <w:szCs w:val="18"/>
              </w:rPr>
              <w:t>n=</w:t>
            </w:r>
            <w:r>
              <w:rPr>
                <w:rFonts w:hint="eastAsia"/>
                <w:i/>
                <w:sz w:val="18"/>
                <w:szCs w:val="18"/>
              </w:rPr>
              <w:t>48</w:t>
            </w:r>
            <w:r>
              <w:rPr>
                <w:rFonts w:hint="default"/>
                <w:sz w:val="18"/>
                <w:szCs w:val="18"/>
              </w:rPr>
              <w:t>)</w:t>
            </w:r>
          </w:p>
        </w:tc>
        <w:tc>
          <w:tcPr>
            <w:tcW w:w="1084" w:type="pct"/>
            <w:vAlign w:val="center"/>
          </w:tcPr>
          <w:p w14:paraId="2C5B978F">
            <w:pPr>
              <w:keepNext w:val="0"/>
              <w:keepLines w:val="0"/>
              <w:widowControl/>
              <w:suppressLineNumbers w:val="0"/>
              <w:spacing w:before="0" w:beforeAutospacing="0" w:afterAutospacing="0"/>
              <w:ind w:left="0" w:right="0"/>
              <w:jc w:val="center"/>
              <w:rPr>
                <w:rFonts w:hint="default" w:eastAsia="宋体"/>
                <w:sz w:val="18"/>
                <w:szCs w:val="18"/>
                <w:lang w:val="en-US" w:eastAsia="zh-CN"/>
              </w:rPr>
            </w:pPr>
            <w:r>
              <w:rPr>
                <w:rFonts w:hint="eastAsia"/>
                <w:sz w:val="18"/>
                <w:szCs w:val="18"/>
                <w:lang w:val="en-US" w:eastAsia="zh-CN"/>
              </w:rPr>
              <w:t>13,15-23</w:t>
            </w:r>
          </w:p>
        </w:tc>
      </w:tr>
    </w:tbl>
    <w:p w14:paraId="783AEE83">
      <w:pPr>
        <w:pStyle w:val="51"/>
        <w:keepNext w:val="0"/>
        <w:keepLines w:val="0"/>
        <w:pageBreakBefore w:val="0"/>
        <w:widowControl/>
        <w:numPr>
          <w:ilvl w:val="0"/>
          <w:numId w:val="8"/>
        </w:numPr>
        <w:kinsoku/>
        <w:wordWrap/>
        <w:overflowPunct/>
        <w:topLinePunct w:val="0"/>
        <w:autoSpaceDE/>
        <w:autoSpaceDN/>
        <w:bidi w:val="0"/>
        <w:adjustRightInd/>
        <w:snapToGrid/>
        <w:spacing w:before="164" w:beforeLines="50" w:after="0"/>
        <w:ind w:left="0" w:hanging="180" w:hangingChars="100"/>
        <w:textAlignment w:val="auto"/>
        <w:rPr>
          <w:rFonts w:ascii="Times New Roman" w:hAnsi="Times New Roman" w:cs="Times New Roman"/>
          <w:bCs/>
          <w:sz w:val="18"/>
          <w:szCs w:val="11"/>
        </w:rPr>
      </w:pPr>
      <w:r>
        <w:rPr>
          <w:rFonts w:ascii="Times New Roman" w:hAnsi="Times New Roman" w:cs="Times New Roman"/>
          <w:bCs/>
          <w:sz w:val="18"/>
          <w:szCs w:val="11"/>
        </w:rPr>
        <w:t xml:space="preserve">Grine, F. &amp; Franzen, J. Fossil hominid teeth from the Sangiran Dome (Java, Indonesia). </w:t>
      </w:r>
      <w:r>
        <w:rPr>
          <w:rFonts w:ascii="Times New Roman" w:hAnsi="Times New Roman" w:cs="Times New Roman"/>
          <w:bCs/>
          <w:i w:val="0"/>
          <w:sz w:val="18"/>
          <w:szCs w:val="11"/>
        </w:rPr>
        <w:t>Cour. Forsch. Inst. Senckenberg</w:t>
      </w:r>
      <w:r>
        <w:rPr>
          <w:rFonts w:ascii="Times New Roman" w:hAnsi="Times New Roman" w:cs="Times New Roman"/>
          <w:bCs/>
          <w:sz w:val="18"/>
          <w:szCs w:val="11"/>
        </w:rPr>
        <w:t xml:space="preserve"> </w:t>
      </w:r>
      <w:r>
        <w:rPr>
          <w:rFonts w:ascii="Times New Roman" w:hAnsi="Times New Roman" w:cs="Times New Roman"/>
          <w:b w:val="0"/>
          <w:bCs/>
          <w:sz w:val="18"/>
          <w:szCs w:val="11"/>
        </w:rPr>
        <w:t>171</w:t>
      </w:r>
      <w:r>
        <w:rPr>
          <w:rFonts w:ascii="Times New Roman" w:hAnsi="Times New Roman" w:cs="Times New Roman"/>
          <w:bCs/>
          <w:sz w:val="18"/>
          <w:szCs w:val="11"/>
        </w:rPr>
        <w:t>, 75–103 (1994).</w:t>
      </w:r>
    </w:p>
    <w:p w14:paraId="56DEF12B">
      <w:pPr>
        <w:pStyle w:val="51"/>
        <w:keepNext w:val="0"/>
        <w:keepLines w:val="0"/>
        <w:pageBreakBefore w:val="0"/>
        <w:widowControl/>
        <w:numPr>
          <w:ilvl w:val="0"/>
          <w:numId w:val="8"/>
        </w:numPr>
        <w:kinsoku/>
        <w:wordWrap/>
        <w:overflowPunct/>
        <w:topLinePunct w:val="0"/>
        <w:autoSpaceDE/>
        <w:autoSpaceDN/>
        <w:bidi w:val="0"/>
        <w:adjustRightInd/>
        <w:snapToGrid/>
        <w:spacing w:after="0"/>
        <w:ind w:left="180" w:hanging="180" w:hangingChars="100"/>
        <w:textAlignment w:val="auto"/>
        <w:rPr>
          <w:rFonts w:ascii="Times New Roman" w:hAnsi="Times New Roman" w:cs="Times New Roman"/>
          <w:bCs/>
          <w:sz w:val="18"/>
          <w:szCs w:val="11"/>
        </w:rPr>
      </w:pPr>
      <w:r>
        <w:rPr>
          <w:rFonts w:ascii="Times New Roman" w:hAnsi="Times New Roman" w:cs="Times New Roman"/>
          <w:bCs/>
          <w:sz w:val="18"/>
          <w:szCs w:val="11"/>
        </w:rPr>
        <w:t>Kaifu, Y.</w:t>
      </w:r>
      <w:r>
        <w:rPr>
          <w:rFonts w:ascii="Times New Roman" w:hAnsi="Times New Roman" w:cs="Times New Roman"/>
          <w:bCs/>
          <w:i w:val="0"/>
          <w:sz w:val="18"/>
          <w:szCs w:val="11"/>
        </w:rPr>
        <w:t xml:space="preserve"> et al.</w:t>
      </w:r>
      <w:r>
        <w:rPr>
          <w:rFonts w:ascii="Times New Roman" w:hAnsi="Times New Roman" w:cs="Times New Roman"/>
          <w:bCs/>
          <w:sz w:val="18"/>
          <w:szCs w:val="11"/>
        </w:rPr>
        <w:t xml:space="preserve"> Taxonomic affinities and evolutionary history of the Early Pleistocene hominids of Java: dentognathic evidence. </w:t>
      </w:r>
      <w:r>
        <w:rPr>
          <w:rFonts w:ascii="Times New Roman" w:hAnsi="Times New Roman" w:cs="Times New Roman"/>
          <w:bCs/>
          <w:i w:val="0"/>
          <w:sz w:val="18"/>
          <w:szCs w:val="11"/>
        </w:rPr>
        <w:t>Am. J. Phys. Anthropol.</w:t>
      </w:r>
      <w:r>
        <w:rPr>
          <w:rFonts w:ascii="Times New Roman" w:hAnsi="Times New Roman" w:cs="Times New Roman"/>
          <w:bCs/>
          <w:sz w:val="18"/>
          <w:szCs w:val="11"/>
        </w:rPr>
        <w:t xml:space="preserve"> </w:t>
      </w:r>
      <w:r>
        <w:rPr>
          <w:rFonts w:ascii="Times New Roman" w:hAnsi="Times New Roman" w:cs="Times New Roman"/>
          <w:b w:val="0"/>
          <w:bCs/>
          <w:sz w:val="18"/>
          <w:szCs w:val="11"/>
        </w:rPr>
        <w:t>128</w:t>
      </w:r>
      <w:r>
        <w:rPr>
          <w:rFonts w:ascii="Times New Roman" w:hAnsi="Times New Roman" w:cs="Times New Roman"/>
          <w:bCs/>
          <w:sz w:val="18"/>
          <w:szCs w:val="11"/>
        </w:rPr>
        <w:t>, 709–726 (2005).</w:t>
      </w:r>
    </w:p>
    <w:p w14:paraId="0B484223">
      <w:pPr>
        <w:pStyle w:val="51"/>
        <w:keepNext w:val="0"/>
        <w:keepLines w:val="0"/>
        <w:pageBreakBefore w:val="0"/>
        <w:widowControl/>
        <w:numPr>
          <w:ilvl w:val="0"/>
          <w:numId w:val="8"/>
        </w:numPr>
        <w:kinsoku/>
        <w:wordWrap/>
        <w:overflowPunct/>
        <w:topLinePunct w:val="0"/>
        <w:autoSpaceDE/>
        <w:autoSpaceDN/>
        <w:bidi w:val="0"/>
        <w:adjustRightInd/>
        <w:snapToGrid/>
        <w:spacing w:after="0"/>
        <w:ind w:left="180" w:hanging="180" w:hangingChars="100"/>
        <w:textAlignment w:val="auto"/>
        <w:rPr>
          <w:rFonts w:ascii="Times New Roman" w:hAnsi="Times New Roman" w:cs="Times New Roman"/>
          <w:bCs/>
          <w:sz w:val="18"/>
          <w:szCs w:val="11"/>
        </w:rPr>
      </w:pPr>
      <w:r>
        <w:rPr>
          <w:rFonts w:ascii="Times New Roman" w:hAnsi="Times New Roman" w:cs="Times New Roman"/>
          <w:bCs/>
          <w:sz w:val="18"/>
          <w:szCs w:val="11"/>
        </w:rPr>
        <w:t xml:space="preserve">Tobias, P. V. &amp; Koenigswald, G. v. A comparison between the Olduvai hominines and those of Java and some implications for hominid phylogeny. </w:t>
      </w:r>
      <w:r>
        <w:rPr>
          <w:rFonts w:ascii="Times New Roman" w:hAnsi="Times New Roman" w:cs="Times New Roman"/>
          <w:bCs/>
          <w:i w:val="0"/>
          <w:sz w:val="18"/>
          <w:szCs w:val="11"/>
        </w:rPr>
        <w:t>Nature</w:t>
      </w:r>
      <w:r>
        <w:rPr>
          <w:rFonts w:ascii="Times New Roman" w:hAnsi="Times New Roman" w:cs="Times New Roman"/>
          <w:bCs/>
          <w:sz w:val="18"/>
          <w:szCs w:val="11"/>
        </w:rPr>
        <w:t xml:space="preserve"> </w:t>
      </w:r>
      <w:r>
        <w:rPr>
          <w:rFonts w:ascii="Times New Roman" w:hAnsi="Times New Roman" w:cs="Times New Roman"/>
          <w:b w:val="0"/>
          <w:bCs/>
          <w:sz w:val="18"/>
          <w:szCs w:val="11"/>
        </w:rPr>
        <w:t>204</w:t>
      </w:r>
      <w:r>
        <w:rPr>
          <w:rFonts w:ascii="Times New Roman" w:hAnsi="Times New Roman" w:cs="Times New Roman"/>
          <w:bCs/>
          <w:sz w:val="18"/>
          <w:szCs w:val="11"/>
        </w:rPr>
        <w:t>, 515–518 (1964).</w:t>
      </w:r>
    </w:p>
    <w:p w14:paraId="2CCD02DD">
      <w:pPr>
        <w:pStyle w:val="51"/>
        <w:keepNext w:val="0"/>
        <w:keepLines w:val="0"/>
        <w:pageBreakBefore w:val="0"/>
        <w:widowControl/>
        <w:numPr>
          <w:ilvl w:val="0"/>
          <w:numId w:val="8"/>
        </w:numPr>
        <w:kinsoku/>
        <w:wordWrap/>
        <w:overflowPunct/>
        <w:topLinePunct w:val="0"/>
        <w:autoSpaceDE/>
        <w:autoSpaceDN/>
        <w:bidi w:val="0"/>
        <w:adjustRightInd/>
        <w:snapToGrid/>
        <w:spacing w:after="0"/>
        <w:ind w:left="180" w:hanging="180" w:hangingChars="100"/>
        <w:textAlignment w:val="auto"/>
        <w:rPr>
          <w:rFonts w:ascii="Times New Roman" w:hAnsi="Times New Roman" w:cs="Times New Roman"/>
          <w:bCs/>
          <w:sz w:val="18"/>
          <w:szCs w:val="11"/>
        </w:rPr>
      </w:pPr>
      <w:r>
        <w:rPr>
          <w:rFonts w:ascii="Times New Roman" w:hAnsi="Times New Roman" w:cs="Times New Roman"/>
          <w:bCs/>
          <w:sz w:val="18"/>
          <w:szCs w:val="11"/>
        </w:rPr>
        <w:t xml:space="preserve">Weidenreich, F. The dentition of </w:t>
      </w:r>
      <w:r>
        <w:rPr>
          <w:rFonts w:ascii="Times New Roman" w:hAnsi="Times New Roman" w:cs="Times New Roman"/>
          <w:bCs/>
          <w:i w:val="0"/>
          <w:sz w:val="18"/>
          <w:szCs w:val="11"/>
        </w:rPr>
        <w:t>Sinanthropus pekinensis</w:t>
      </w:r>
      <w:r>
        <w:rPr>
          <w:rFonts w:ascii="Times New Roman" w:hAnsi="Times New Roman" w:cs="Times New Roman"/>
          <w:bCs/>
          <w:sz w:val="18"/>
          <w:szCs w:val="11"/>
        </w:rPr>
        <w:t xml:space="preserve">: a comparative odontography of the hominids. </w:t>
      </w:r>
      <w:r>
        <w:rPr>
          <w:rFonts w:ascii="Times New Roman" w:hAnsi="Times New Roman" w:cs="Times New Roman"/>
          <w:bCs/>
          <w:i w:val="0"/>
          <w:sz w:val="18"/>
          <w:szCs w:val="11"/>
        </w:rPr>
        <w:t>Palaeontol. Sin. Series D</w:t>
      </w:r>
      <w:r>
        <w:rPr>
          <w:rFonts w:ascii="Times New Roman" w:hAnsi="Times New Roman" w:cs="Times New Roman"/>
          <w:bCs/>
          <w:sz w:val="18"/>
          <w:szCs w:val="11"/>
        </w:rPr>
        <w:t xml:space="preserve"> </w:t>
      </w:r>
      <w:r>
        <w:rPr>
          <w:rFonts w:ascii="Times New Roman" w:hAnsi="Times New Roman" w:cs="Times New Roman"/>
          <w:b w:val="0"/>
          <w:bCs/>
          <w:sz w:val="18"/>
          <w:szCs w:val="11"/>
        </w:rPr>
        <w:t>I</w:t>
      </w:r>
      <w:r>
        <w:rPr>
          <w:rFonts w:ascii="Times New Roman" w:hAnsi="Times New Roman" w:cs="Times New Roman"/>
          <w:bCs/>
          <w:sz w:val="18"/>
          <w:szCs w:val="11"/>
        </w:rPr>
        <w:t>, 1–180 (1937).</w:t>
      </w:r>
    </w:p>
    <w:p w14:paraId="62B2CDEF">
      <w:pPr>
        <w:pStyle w:val="51"/>
        <w:keepNext w:val="0"/>
        <w:keepLines w:val="0"/>
        <w:pageBreakBefore w:val="0"/>
        <w:widowControl/>
        <w:numPr>
          <w:ilvl w:val="0"/>
          <w:numId w:val="8"/>
        </w:numPr>
        <w:kinsoku/>
        <w:wordWrap/>
        <w:overflowPunct/>
        <w:topLinePunct w:val="0"/>
        <w:autoSpaceDE/>
        <w:autoSpaceDN/>
        <w:bidi w:val="0"/>
        <w:adjustRightInd/>
        <w:snapToGrid/>
        <w:spacing w:after="0"/>
        <w:ind w:left="180" w:hanging="180" w:hangingChars="100"/>
        <w:textAlignment w:val="auto"/>
        <w:rPr>
          <w:rFonts w:ascii="Times New Roman" w:hAnsi="Times New Roman" w:cs="Times New Roman"/>
          <w:bCs/>
          <w:sz w:val="18"/>
          <w:szCs w:val="11"/>
        </w:rPr>
      </w:pPr>
      <w:r>
        <w:rPr>
          <w:rFonts w:ascii="Times New Roman" w:hAnsi="Times New Roman" w:cs="Times New Roman"/>
          <w:bCs/>
          <w:sz w:val="18"/>
          <w:szCs w:val="11"/>
        </w:rPr>
        <w:t>Xing, S.</w:t>
      </w:r>
      <w:r>
        <w:rPr>
          <w:rFonts w:ascii="Times New Roman" w:hAnsi="Times New Roman" w:cs="Times New Roman"/>
          <w:bCs/>
          <w:i w:val="0"/>
          <w:sz w:val="18"/>
          <w:szCs w:val="11"/>
        </w:rPr>
        <w:t xml:space="preserve"> et al.</w:t>
      </w:r>
      <w:r>
        <w:rPr>
          <w:rFonts w:ascii="Times New Roman" w:hAnsi="Times New Roman" w:cs="Times New Roman"/>
          <w:bCs/>
          <w:sz w:val="18"/>
          <w:szCs w:val="11"/>
        </w:rPr>
        <w:t xml:space="preserve"> Middle Pleistocene hominin teeth from Longtan Cave, Hexian, China. </w:t>
      </w:r>
      <w:r>
        <w:rPr>
          <w:rFonts w:ascii="Times New Roman" w:hAnsi="Times New Roman" w:cs="Times New Roman"/>
          <w:bCs/>
          <w:i w:val="0"/>
          <w:sz w:val="18"/>
          <w:szCs w:val="11"/>
        </w:rPr>
        <w:t>PloS One</w:t>
      </w:r>
      <w:r>
        <w:rPr>
          <w:rFonts w:ascii="Times New Roman" w:hAnsi="Times New Roman" w:cs="Times New Roman"/>
          <w:bCs/>
          <w:sz w:val="18"/>
          <w:szCs w:val="11"/>
        </w:rPr>
        <w:t xml:space="preserve"> </w:t>
      </w:r>
      <w:r>
        <w:rPr>
          <w:rFonts w:ascii="Times New Roman" w:hAnsi="Times New Roman" w:cs="Times New Roman"/>
          <w:b w:val="0"/>
          <w:bCs/>
          <w:sz w:val="18"/>
          <w:szCs w:val="11"/>
        </w:rPr>
        <w:t>9</w:t>
      </w:r>
      <w:r>
        <w:rPr>
          <w:rFonts w:ascii="Times New Roman" w:hAnsi="Times New Roman" w:cs="Times New Roman"/>
          <w:bCs/>
          <w:sz w:val="18"/>
          <w:szCs w:val="11"/>
        </w:rPr>
        <w:t>, e114265 (2014).</w:t>
      </w:r>
    </w:p>
    <w:p w14:paraId="534E9652">
      <w:pPr>
        <w:pStyle w:val="51"/>
        <w:keepNext w:val="0"/>
        <w:keepLines w:val="0"/>
        <w:pageBreakBefore w:val="0"/>
        <w:widowControl/>
        <w:numPr>
          <w:ilvl w:val="0"/>
          <w:numId w:val="8"/>
        </w:numPr>
        <w:kinsoku/>
        <w:wordWrap/>
        <w:overflowPunct/>
        <w:topLinePunct w:val="0"/>
        <w:autoSpaceDE/>
        <w:autoSpaceDN/>
        <w:bidi w:val="0"/>
        <w:adjustRightInd/>
        <w:snapToGrid/>
        <w:spacing w:after="0"/>
        <w:ind w:left="180" w:hanging="180" w:hangingChars="100"/>
        <w:textAlignment w:val="auto"/>
        <w:rPr>
          <w:rFonts w:ascii="Times New Roman" w:hAnsi="Times New Roman" w:cs="Times New Roman"/>
          <w:bCs/>
          <w:sz w:val="18"/>
          <w:szCs w:val="11"/>
        </w:rPr>
      </w:pPr>
      <w:r>
        <w:rPr>
          <w:rFonts w:ascii="Times New Roman" w:hAnsi="Times New Roman" w:cs="Times New Roman"/>
          <w:bCs/>
          <w:sz w:val="18"/>
          <w:szCs w:val="11"/>
        </w:rPr>
        <w:t>Xing, S.</w:t>
      </w:r>
      <w:r>
        <w:rPr>
          <w:rFonts w:ascii="Times New Roman" w:hAnsi="Times New Roman" w:cs="Times New Roman"/>
          <w:bCs/>
          <w:i w:val="0"/>
          <w:sz w:val="18"/>
          <w:szCs w:val="11"/>
        </w:rPr>
        <w:t xml:space="preserve"> et al.</w:t>
      </w:r>
      <w:r>
        <w:rPr>
          <w:rFonts w:ascii="Times New Roman" w:hAnsi="Times New Roman" w:cs="Times New Roman"/>
          <w:bCs/>
          <w:sz w:val="18"/>
          <w:szCs w:val="11"/>
        </w:rPr>
        <w:t xml:space="preserve"> Hominin teeth from the Middle Pleistocene site of Yiyuan, Eastern China. </w:t>
      </w:r>
      <w:r>
        <w:rPr>
          <w:rFonts w:ascii="Times New Roman" w:hAnsi="Times New Roman" w:cs="Times New Roman"/>
          <w:bCs/>
          <w:i w:val="0"/>
          <w:sz w:val="18"/>
          <w:szCs w:val="11"/>
        </w:rPr>
        <w:t>J. Hum. Evol.</w:t>
      </w:r>
      <w:r>
        <w:rPr>
          <w:rFonts w:ascii="Times New Roman" w:hAnsi="Times New Roman" w:cs="Times New Roman"/>
          <w:bCs/>
          <w:sz w:val="18"/>
          <w:szCs w:val="11"/>
        </w:rPr>
        <w:t xml:space="preserve"> </w:t>
      </w:r>
      <w:r>
        <w:rPr>
          <w:rFonts w:ascii="Times New Roman" w:hAnsi="Times New Roman" w:cs="Times New Roman"/>
          <w:b w:val="0"/>
          <w:bCs/>
          <w:sz w:val="18"/>
          <w:szCs w:val="11"/>
        </w:rPr>
        <w:t>95</w:t>
      </w:r>
      <w:r>
        <w:rPr>
          <w:rFonts w:ascii="Times New Roman" w:hAnsi="Times New Roman" w:cs="Times New Roman"/>
          <w:bCs/>
          <w:sz w:val="18"/>
          <w:szCs w:val="11"/>
        </w:rPr>
        <w:t>, 33–54 (2016).</w:t>
      </w:r>
    </w:p>
    <w:p w14:paraId="2F322CFB">
      <w:pPr>
        <w:pStyle w:val="51"/>
        <w:keepNext w:val="0"/>
        <w:keepLines w:val="0"/>
        <w:pageBreakBefore w:val="0"/>
        <w:widowControl/>
        <w:numPr>
          <w:ilvl w:val="0"/>
          <w:numId w:val="8"/>
        </w:numPr>
        <w:kinsoku/>
        <w:wordWrap/>
        <w:overflowPunct/>
        <w:topLinePunct w:val="0"/>
        <w:autoSpaceDE/>
        <w:autoSpaceDN/>
        <w:bidi w:val="0"/>
        <w:adjustRightInd/>
        <w:snapToGrid/>
        <w:spacing w:after="0"/>
        <w:ind w:left="180" w:hanging="180" w:hangingChars="100"/>
        <w:textAlignment w:val="auto"/>
        <w:rPr>
          <w:rFonts w:ascii="Times New Roman" w:hAnsi="Times New Roman" w:cs="Times New Roman"/>
          <w:bCs/>
          <w:sz w:val="18"/>
          <w:szCs w:val="11"/>
        </w:rPr>
      </w:pPr>
      <w:r>
        <w:rPr>
          <w:rFonts w:ascii="Times New Roman" w:hAnsi="Times New Roman" w:cs="Times New Roman"/>
          <w:bCs/>
          <w:sz w:val="18"/>
          <w:szCs w:val="11"/>
        </w:rPr>
        <w:t xml:space="preserve">Chia, L. Notes on the human and some other mammalian remains from Changyang, Hupei. </w:t>
      </w:r>
      <w:r>
        <w:rPr>
          <w:rFonts w:ascii="Times New Roman" w:hAnsi="Times New Roman" w:cs="Times New Roman"/>
          <w:bCs/>
          <w:i w:val="0"/>
          <w:sz w:val="18"/>
          <w:szCs w:val="11"/>
        </w:rPr>
        <w:t>Vertabrata Palasiatica</w:t>
      </w:r>
      <w:r>
        <w:rPr>
          <w:rFonts w:ascii="Times New Roman" w:hAnsi="Times New Roman" w:cs="Times New Roman"/>
          <w:bCs/>
          <w:sz w:val="18"/>
          <w:szCs w:val="11"/>
        </w:rPr>
        <w:t xml:space="preserve"> </w:t>
      </w:r>
      <w:r>
        <w:rPr>
          <w:rFonts w:ascii="Times New Roman" w:hAnsi="Times New Roman" w:cs="Times New Roman"/>
          <w:b w:val="0"/>
          <w:bCs/>
          <w:sz w:val="18"/>
          <w:szCs w:val="11"/>
        </w:rPr>
        <w:t>1</w:t>
      </w:r>
      <w:r>
        <w:rPr>
          <w:rFonts w:ascii="Times New Roman" w:hAnsi="Times New Roman" w:cs="Times New Roman"/>
          <w:bCs/>
          <w:sz w:val="18"/>
          <w:szCs w:val="11"/>
        </w:rPr>
        <w:t>, 179–190 (1957).</w:t>
      </w:r>
    </w:p>
    <w:p w14:paraId="06C47E08">
      <w:pPr>
        <w:pStyle w:val="51"/>
        <w:keepNext w:val="0"/>
        <w:keepLines w:val="0"/>
        <w:pageBreakBefore w:val="0"/>
        <w:widowControl/>
        <w:numPr>
          <w:ilvl w:val="0"/>
          <w:numId w:val="8"/>
        </w:numPr>
        <w:kinsoku/>
        <w:wordWrap/>
        <w:overflowPunct/>
        <w:topLinePunct w:val="0"/>
        <w:autoSpaceDE/>
        <w:autoSpaceDN/>
        <w:bidi w:val="0"/>
        <w:adjustRightInd/>
        <w:snapToGrid/>
        <w:spacing w:after="0"/>
        <w:ind w:left="180" w:hanging="180" w:hangingChars="100"/>
        <w:textAlignment w:val="auto"/>
        <w:rPr>
          <w:rFonts w:ascii="Times New Roman" w:hAnsi="Times New Roman" w:cs="Times New Roman"/>
          <w:bCs/>
          <w:sz w:val="18"/>
          <w:szCs w:val="11"/>
        </w:rPr>
      </w:pPr>
      <w:r>
        <w:rPr>
          <w:rFonts w:ascii="Times New Roman" w:hAnsi="Times New Roman" w:cs="Times New Roman"/>
          <w:bCs/>
          <w:sz w:val="18"/>
          <w:szCs w:val="11"/>
        </w:rPr>
        <w:t>Wu, X.</w:t>
      </w:r>
      <w:r>
        <w:rPr>
          <w:rFonts w:hint="eastAsia" w:ascii="Times New Roman" w:hAnsi="Times New Roman" w:cs="Times New Roman"/>
          <w:bCs/>
          <w:sz w:val="18"/>
          <w:szCs w:val="11"/>
          <w:lang w:val="en-US" w:eastAsia="zh-CN"/>
        </w:rPr>
        <w:t xml:space="preserve"> </w:t>
      </w:r>
      <w:r>
        <w:rPr>
          <w:rFonts w:ascii="Times New Roman" w:hAnsi="Times New Roman" w:cs="Times New Roman"/>
          <w:bCs/>
          <w:sz w:val="18"/>
          <w:szCs w:val="11"/>
        </w:rPr>
        <w:t>J.</w:t>
      </w:r>
      <w:r>
        <w:rPr>
          <w:rFonts w:ascii="Times New Roman" w:hAnsi="Times New Roman" w:cs="Times New Roman"/>
          <w:bCs/>
          <w:i w:val="0"/>
          <w:sz w:val="18"/>
          <w:szCs w:val="11"/>
        </w:rPr>
        <w:t xml:space="preserve"> et al.</w:t>
      </w:r>
      <w:r>
        <w:rPr>
          <w:rFonts w:ascii="Times New Roman" w:hAnsi="Times New Roman" w:cs="Times New Roman"/>
          <w:bCs/>
          <w:sz w:val="18"/>
          <w:szCs w:val="11"/>
        </w:rPr>
        <w:t xml:space="preserve"> Archaic human remains from Hualongdong, China, and Middle Pleistocene human continuity and variation. </w:t>
      </w:r>
      <w:r>
        <w:rPr>
          <w:rFonts w:ascii="Times New Roman" w:hAnsi="Times New Roman" w:cs="Times New Roman"/>
          <w:bCs/>
          <w:i w:val="0"/>
          <w:sz w:val="18"/>
          <w:szCs w:val="11"/>
        </w:rPr>
        <w:t>PNAS</w:t>
      </w:r>
      <w:r>
        <w:rPr>
          <w:rFonts w:ascii="Times New Roman" w:hAnsi="Times New Roman" w:cs="Times New Roman"/>
          <w:bCs/>
          <w:sz w:val="18"/>
          <w:szCs w:val="11"/>
        </w:rPr>
        <w:t xml:space="preserve"> </w:t>
      </w:r>
      <w:r>
        <w:rPr>
          <w:rFonts w:ascii="Times New Roman" w:hAnsi="Times New Roman" w:cs="Times New Roman"/>
          <w:b w:val="0"/>
          <w:bCs/>
          <w:sz w:val="18"/>
          <w:szCs w:val="11"/>
        </w:rPr>
        <w:t>116</w:t>
      </w:r>
      <w:r>
        <w:rPr>
          <w:rFonts w:ascii="Times New Roman" w:hAnsi="Times New Roman" w:cs="Times New Roman"/>
          <w:bCs/>
          <w:sz w:val="18"/>
          <w:szCs w:val="11"/>
        </w:rPr>
        <w:t>, 9820–9824 (2019).</w:t>
      </w:r>
    </w:p>
    <w:p w14:paraId="40DE8CA7">
      <w:pPr>
        <w:pStyle w:val="51"/>
        <w:keepNext w:val="0"/>
        <w:keepLines w:val="0"/>
        <w:pageBreakBefore w:val="0"/>
        <w:widowControl/>
        <w:numPr>
          <w:ilvl w:val="0"/>
          <w:numId w:val="8"/>
        </w:numPr>
        <w:kinsoku/>
        <w:wordWrap/>
        <w:overflowPunct/>
        <w:topLinePunct w:val="0"/>
        <w:autoSpaceDE/>
        <w:autoSpaceDN/>
        <w:bidi w:val="0"/>
        <w:adjustRightInd/>
        <w:snapToGrid/>
        <w:spacing w:after="0"/>
        <w:ind w:left="180" w:hanging="180" w:hangingChars="100"/>
        <w:textAlignment w:val="auto"/>
        <w:rPr>
          <w:rFonts w:ascii="Times New Roman" w:hAnsi="Times New Roman" w:cs="Times New Roman"/>
          <w:bCs/>
          <w:sz w:val="18"/>
          <w:szCs w:val="11"/>
        </w:rPr>
      </w:pPr>
      <w:r>
        <w:rPr>
          <w:rFonts w:ascii="Times New Roman" w:hAnsi="Times New Roman" w:cs="Times New Roman"/>
          <w:bCs/>
          <w:sz w:val="18"/>
          <w:szCs w:val="11"/>
        </w:rPr>
        <w:t>Chen, F.</w:t>
      </w:r>
      <w:r>
        <w:rPr>
          <w:rFonts w:ascii="Times New Roman" w:hAnsi="Times New Roman" w:cs="Times New Roman"/>
          <w:bCs/>
          <w:i w:val="0"/>
          <w:sz w:val="18"/>
          <w:szCs w:val="11"/>
        </w:rPr>
        <w:t xml:space="preserve"> et al.</w:t>
      </w:r>
      <w:r>
        <w:rPr>
          <w:rFonts w:ascii="Times New Roman" w:hAnsi="Times New Roman" w:cs="Times New Roman"/>
          <w:bCs/>
          <w:sz w:val="18"/>
          <w:szCs w:val="11"/>
        </w:rPr>
        <w:t xml:space="preserve"> A late Middle Pleistocene Denisovan mandible from the Tibetan Plateau. </w:t>
      </w:r>
      <w:r>
        <w:rPr>
          <w:rFonts w:ascii="Times New Roman" w:hAnsi="Times New Roman" w:cs="Times New Roman"/>
          <w:bCs/>
          <w:i w:val="0"/>
          <w:sz w:val="18"/>
          <w:szCs w:val="11"/>
        </w:rPr>
        <w:t>Nature</w:t>
      </w:r>
      <w:r>
        <w:rPr>
          <w:rFonts w:ascii="Times New Roman" w:hAnsi="Times New Roman" w:cs="Times New Roman"/>
          <w:bCs/>
          <w:sz w:val="18"/>
          <w:szCs w:val="11"/>
        </w:rPr>
        <w:t xml:space="preserve"> </w:t>
      </w:r>
      <w:r>
        <w:rPr>
          <w:rFonts w:ascii="Times New Roman" w:hAnsi="Times New Roman" w:cs="Times New Roman"/>
          <w:b w:val="0"/>
          <w:bCs/>
          <w:sz w:val="18"/>
          <w:szCs w:val="11"/>
        </w:rPr>
        <w:t>569</w:t>
      </w:r>
      <w:r>
        <w:rPr>
          <w:rFonts w:ascii="Times New Roman" w:hAnsi="Times New Roman" w:cs="Times New Roman"/>
          <w:bCs/>
          <w:sz w:val="18"/>
          <w:szCs w:val="11"/>
        </w:rPr>
        <w:t>, 409–412 (2019).</w:t>
      </w:r>
    </w:p>
    <w:p w14:paraId="425C5F17">
      <w:pPr>
        <w:pStyle w:val="51"/>
        <w:keepNext w:val="0"/>
        <w:keepLines w:val="0"/>
        <w:pageBreakBefore w:val="0"/>
        <w:widowControl/>
        <w:numPr>
          <w:ilvl w:val="0"/>
          <w:numId w:val="8"/>
        </w:numPr>
        <w:kinsoku/>
        <w:wordWrap/>
        <w:overflowPunct/>
        <w:topLinePunct w:val="0"/>
        <w:autoSpaceDE/>
        <w:autoSpaceDN/>
        <w:bidi w:val="0"/>
        <w:adjustRightInd/>
        <w:snapToGrid/>
        <w:spacing w:after="0"/>
        <w:ind w:left="180" w:hanging="180" w:hangingChars="100"/>
        <w:textAlignment w:val="auto"/>
        <w:rPr>
          <w:rFonts w:ascii="Times New Roman" w:hAnsi="Times New Roman" w:cs="Times New Roman"/>
          <w:bCs/>
          <w:sz w:val="18"/>
          <w:szCs w:val="11"/>
        </w:rPr>
      </w:pPr>
      <w:r>
        <w:rPr>
          <w:rFonts w:ascii="Times New Roman" w:hAnsi="Times New Roman" w:cs="Times New Roman"/>
          <w:bCs/>
          <w:sz w:val="18"/>
          <w:szCs w:val="11"/>
        </w:rPr>
        <w:t>Chang, C.</w:t>
      </w:r>
      <w:r>
        <w:rPr>
          <w:rFonts w:hint="eastAsia" w:ascii="Times New Roman" w:hAnsi="Times New Roman" w:cs="Times New Roman"/>
          <w:bCs/>
          <w:sz w:val="18"/>
          <w:szCs w:val="11"/>
          <w:lang w:val="en-US" w:eastAsia="zh-CN"/>
        </w:rPr>
        <w:t xml:space="preserve"> </w:t>
      </w:r>
      <w:r>
        <w:rPr>
          <w:rFonts w:ascii="Times New Roman" w:hAnsi="Times New Roman" w:cs="Times New Roman"/>
          <w:bCs/>
          <w:sz w:val="18"/>
          <w:szCs w:val="11"/>
        </w:rPr>
        <w:t>H.</w:t>
      </w:r>
      <w:r>
        <w:rPr>
          <w:rFonts w:ascii="Times New Roman" w:hAnsi="Times New Roman" w:cs="Times New Roman"/>
          <w:bCs/>
          <w:i w:val="0"/>
          <w:sz w:val="18"/>
          <w:szCs w:val="11"/>
        </w:rPr>
        <w:t xml:space="preserve"> et al.</w:t>
      </w:r>
      <w:r>
        <w:rPr>
          <w:rFonts w:ascii="Times New Roman" w:hAnsi="Times New Roman" w:cs="Times New Roman"/>
          <w:bCs/>
          <w:sz w:val="18"/>
          <w:szCs w:val="11"/>
        </w:rPr>
        <w:t xml:space="preserve"> The first archaic </w:t>
      </w:r>
      <w:r>
        <w:rPr>
          <w:rFonts w:ascii="Times New Roman" w:hAnsi="Times New Roman" w:cs="Times New Roman"/>
          <w:bCs/>
          <w:i w:val="0"/>
          <w:sz w:val="18"/>
          <w:szCs w:val="11"/>
        </w:rPr>
        <w:t xml:space="preserve">Homo </w:t>
      </w:r>
      <w:r>
        <w:rPr>
          <w:rFonts w:ascii="Times New Roman" w:hAnsi="Times New Roman" w:cs="Times New Roman"/>
          <w:bCs/>
          <w:sz w:val="18"/>
          <w:szCs w:val="11"/>
        </w:rPr>
        <w:t xml:space="preserve">from Taiwan. </w:t>
      </w:r>
      <w:r>
        <w:rPr>
          <w:rFonts w:ascii="Times New Roman" w:hAnsi="Times New Roman" w:cs="Times New Roman"/>
          <w:bCs/>
          <w:i w:val="0"/>
          <w:sz w:val="18"/>
          <w:szCs w:val="11"/>
        </w:rPr>
        <w:t>Nature Commun.</w:t>
      </w:r>
      <w:r>
        <w:rPr>
          <w:rFonts w:ascii="Times New Roman" w:hAnsi="Times New Roman" w:cs="Times New Roman"/>
          <w:bCs/>
          <w:sz w:val="18"/>
          <w:szCs w:val="11"/>
        </w:rPr>
        <w:t xml:space="preserve"> </w:t>
      </w:r>
      <w:r>
        <w:rPr>
          <w:rFonts w:ascii="Times New Roman" w:hAnsi="Times New Roman" w:cs="Times New Roman"/>
          <w:b w:val="0"/>
          <w:bCs/>
          <w:sz w:val="18"/>
          <w:szCs w:val="11"/>
        </w:rPr>
        <w:t>6</w:t>
      </w:r>
      <w:r>
        <w:rPr>
          <w:rFonts w:ascii="Times New Roman" w:hAnsi="Times New Roman" w:cs="Times New Roman"/>
          <w:bCs/>
          <w:sz w:val="18"/>
          <w:szCs w:val="11"/>
        </w:rPr>
        <w:t>, 6037 (2015).</w:t>
      </w:r>
    </w:p>
    <w:p w14:paraId="416B425D">
      <w:pPr>
        <w:pStyle w:val="51"/>
        <w:keepNext w:val="0"/>
        <w:keepLines w:val="0"/>
        <w:pageBreakBefore w:val="0"/>
        <w:widowControl/>
        <w:numPr>
          <w:ilvl w:val="0"/>
          <w:numId w:val="8"/>
        </w:numPr>
        <w:kinsoku/>
        <w:wordWrap/>
        <w:overflowPunct/>
        <w:topLinePunct w:val="0"/>
        <w:autoSpaceDE/>
        <w:autoSpaceDN/>
        <w:bidi w:val="0"/>
        <w:adjustRightInd/>
        <w:snapToGrid/>
        <w:spacing w:after="0"/>
        <w:ind w:left="180" w:hanging="180" w:hangingChars="100"/>
        <w:textAlignment w:val="auto"/>
        <w:rPr>
          <w:rFonts w:ascii="Times New Roman" w:hAnsi="Times New Roman" w:cs="Times New Roman"/>
          <w:bCs/>
          <w:sz w:val="18"/>
          <w:szCs w:val="11"/>
        </w:rPr>
      </w:pPr>
      <w:r>
        <w:rPr>
          <w:rFonts w:ascii="Times New Roman" w:hAnsi="Times New Roman" w:cs="Times New Roman"/>
          <w:bCs/>
          <w:sz w:val="18"/>
          <w:szCs w:val="11"/>
        </w:rPr>
        <w:t>Demeter, F.</w:t>
      </w:r>
      <w:r>
        <w:rPr>
          <w:rFonts w:ascii="Times New Roman" w:hAnsi="Times New Roman" w:cs="Times New Roman"/>
          <w:bCs/>
          <w:i w:val="0"/>
          <w:sz w:val="18"/>
          <w:szCs w:val="11"/>
        </w:rPr>
        <w:t xml:space="preserve"> et al.</w:t>
      </w:r>
      <w:r>
        <w:rPr>
          <w:rFonts w:ascii="Times New Roman" w:hAnsi="Times New Roman" w:cs="Times New Roman"/>
          <w:bCs/>
          <w:sz w:val="18"/>
          <w:szCs w:val="11"/>
        </w:rPr>
        <w:t xml:space="preserve"> A Middle Pleistocene Denisovan molar from the Annamite Chain of northern Laos. </w:t>
      </w:r>
      <w:r>
        <w:rPr>
          <w:rFonts w:ascii="Times New Roman" w:hAnsi="Times New Roman" w:cs="Times New Roman"/>
          <w:bCs/>
          <w:i w:val="0"/>
          <w:sz w:val="18"/>
          <w:szCs w:val="11"/>
        </w:rPr>
        <w:t>Nature Commun.</w:t>
      </w:r>
      <w:r>
        <w:rPr>
          <w:rFonts w:ascii="Times New Roman" w:hAnsi="Times New Roman" w:cs="Times New Roman"/>
          <w:bCs/>
          <w:sz w:val="18"/>
          <w:szCs w:val="11"/>
        </w:rPr>
        <w:t xml:space="preserve"> </w:t>
      </w:r>
      <w:r>
        <w:rPr>
          <w:rFonts w:ascii="Times New Roman" w:hAnsi="Times New Roman" w:cs="Times New Roman"/>
          <w:b w:val="0"/>
          <w:bCs/>
          <w:sz w:val="18"/>
          <w:szCs w:val="11"/>
        </w:rPr>
        <w:t>13</w:t>
      </w:r>
      <w:r>
        <w:rPr>
          <w:rFonts w:ascii="Times New Roman" w:hAnsi="Times New Roman" w:cs="Times New Roman"/>
          <w:bCs/>
          <w:sz w:val="18"/>
          <w:szCs w:val="11"/>
        </w:rPr>
        <w:t xml:space="preserve"> (2022).</w:t>
      </w:r>
    </w:p>
    <w:p w14:paraId="6CDE6CDF">
      <w:pPr>
        <w:pStyle w:val="51"/>
        <w:keepNext w:val="0"/>
        <w:keepLines w:val="0"/>
        <w:pageBreakBefore w:val="0"/>
        <w:widowControl/>
        <w:numPr>
          <w:ilvl w:val="0"/>
          <w:numId w:val="8"/>
        </w:numPr>
        <w:kinsoku/>
        <w:wordWrap/>
        <w:overflowPunct/>
        <w:topLinePunct w:val="0"/>
        <w:autoSpaceDE/>
        <w:autoSpaceDN/>
        <w:bidi w:val="0"/>
        <w:adjustRightInd/>
        <w:snapToGrid/>
        <w:spacing w:after="0"/>
        <w:ind w:left="180" w:hanging="180" w:hangingChars="100"/>
        <w:textAlignment w:val="auto"/>
        <w:rPr>
          <w:rFonts w:ascii="Times New Roman" w:hAnsi="Times New Roman" w:cs="Times New Roman"/>
          <w:bCs/>
          <w:sz w:val="18"/>
          <w:szCs w:val="11"/>
        </w:rPr>
      </w:pPr>
      <w:r>
        <w:rPr>
          <w:rFonts w:ascii="Times New Roman" w:hAnsi="Times New Roman" w:cs="Times New Roman"/>
          <w:bCs/>
          <w:sz w:val="18"/>
          <w:szCs w:val="11"/>
        </w:rPr>
        <w:t xml:space="preserve">Martinón-Torres, M., Bermúdez de Castro, J. M., Gómez-Robles, A., Prado-Simón, L. &amp; Arsuaga, J. Morphological description and comparison of the dental remains from Atapuerca-Sima de los Huesos site (Spain). </w:t>
      </w:r>
      <w:r>
        <w:rPr>
          <w:rFonts w:ascii="Times New Roman" w:hAnsi="Times New Roman" w:cs="Times New Roman"/>
          <w:bCs/>
          <w:i w:val="0"/>
          <w:sz w:val="18"/>
          <w:szCs w:val="11"/>
        </w:rPr>
        <w:t>J. Hum. Evol.</w:t>
      </w:r>
      <w:r>
        <w:rPr>
          <w:rFonts w:ascii="Times New Roman" w:hAnsi="Times New Roman" w:cs="Times New Roman"/>
          <w:bCs/>
          <w:sz w:val="18"/>
          <w:szCs w:val="11"/>
        </w:rPr>
        <w:t xml:space="preserve"> </w:t>
      </w:r>
      <w:r>
        <w:rPr>
          <w:rFonts w:ascii="Times New Roman" w:hAnsi="Times New Roman" w:cs="Times New Roman"/>
          <w:b w:val="0"/>
          <w:bCs/>
          <w:sz w:val="18"/>
          <w:szCs w:val="11"/>
        </w:rPr>
        <w:t>62</w:t>
      </w:r>
      <w:r>
        <w:rPr>
          <w:rFonts w:ascii="Times New Roman" w:hAnsi="Times New Roman" w:cs="Times New Roman"/>
          <w:bCs/>
          <w:sz w:val="18"/>
          <w:szCs w:val="11"/>
        </w:rPr>
        <w:t>, 7–58 (2012).</w:t>
      </w:r>
    </w:p>
    <w:p w14:paraId="68123AFD">
      <w:pPr>
        <w:pStyle w:val="51"/>
        <w:keepNext w:val="0"/>
        <w:keepLines w:val="0"/>
        <w:pageBreakBefore w:val="0"/>
        <w:widowControl/>
        <w:numPr>
          <w:ilvl w:val="0"/>
          <w:numId w:val="8"/>
        </w:numPr>
        <w:kinsoku/>
        <w:wordWrap/>
        <w:overflowPunct/>
        <w:topLinePunct w:val="0"/>
        <w:autoSpaceDE/>
        <w:autoSpaceDN/>
        <w:bidi w:val="0"/>
        <w:adjustRightInd/>
        <w:snapToGrid/>
        <w:spacing w:after="0"/>
        <w:ind w:left="180" w:hanging="180" w:hangingChars="100"/>
        <w:textAlignment w:val="auto"/>
        <w:rPr>
          <w:rFonts w:ascii="Times New Roman" w:hAnsi="Times New Roman" w:cs="Times New Roman"/>
          <w:bCs/>
          <w:sz w:val="18"/>
          <w:szCs w:val="11"/>
        </w:rPr>
      </w:pPr>
      <w:r>
        <w:rPr>
          <w:rFonts w:ascii="Times New Roman" w:hAnsi="Times New Roman" w:cs="Times New Roman"/>
          <w:bCs/>
          <w:sz w:val="18"/>
          <w:szCs w:val="11"/>
        </w:rPr>
        <w:t xml:space="preserve">Wolpoff, M. H. </w:t>
      </w:r>
      <w:r>
        <w:rPr>
          <w:rFonts w:ascii="Times New Roman" w:hAnsi="Times New Roman" w:cs="Times New Roman"/>
          <w:bCs/>
          <w:i w:val="0"/>
          <w:sz w:val="18"/>
          <w:szCs w:val="11"/>
        </w:rPr>
        <w:t>Metric trends in hominid dental evolution</w:t>
      </w:r>
      <w:r>
        <w:rPr>
          <w:rFonts w:ascii="Times New Roman" w:hAnsi="Times New Roman" w:cs="Times New Roman"/>
          <w:bCs/>
          <w:sz w:val="18"/>
          <w:szCs w:val="11"/>
        </w:rPr>
        <w:t>, University of Illinois, (1969).</w:t>
      </w:r>
    </w:p>
    <w:p w14:paraId="70E80BCB">
      <w:pPr>
        <w:pStyle w:val="51"/>
        <w:keepNext w:val="0"/>
        <w:keepLines w:val="0"/>
        <w:pageBreakBefore w:val="0"/>
        <w:widowControl/>
        <w:numPr>
          <w:ilvl w:val="0"/>
          <w:numId w:val="8"/>
        </w:numPr>
        <w:kinsoku/>
        <w:wordWrap/>
        <w:overflowPunct/>
        <w:topLinePunct w:val="0"/>
        <w:autoSpaceDE/>
        <w:autoSpaceDN/>
        <w:bidi w:val="0"/>
        <w:adjustRightInd/>
        <w:snapToGrid/>
        <w:spacing w:after="0"/>
        <w:ind w:left="180" w:hanging="180" w:hangingChars="100"/>
        <w:textAlignment w:val="auto"/>
        <w:rPr>
          <w:rFonts w:ascii="Times New Roman" w:hAnsi="Times New Roman" w:cs="Times New Roman"/>
          <w:bCs/>
          <w:sz w:val="18"/>
          <w:szCs w:val="11"/>
        </w:rPr>
      </w:pPr>
      <w:r>
        <w:rPr>
          <w:rFonts w:ascii="Times New Roman" w:hAnsi="Times New Roman" w:cs="Times New Roman"/>
          <w:bCs/>
          <w:sz w:val="18"/>
          <w:szCs w:val="11"/>
        </w:rPr>
        <w:t xml:space="preserve">Wolpoff, M. H. The Krapina dental remains. </w:t>
      </w:r>
      <w:r>
        <w:rPr>
          <w:rFonts w:ascii="Times New Roman" w:hAnsi="Times New Roman" w:cs="Times New Roman"/>
          <w:bCs/>
          <w:i w:val="0"/>
          <w:sz w:val="18"/>
          <w:szCs w:val="11"/>
        </w:rPr>
        <w:t>Am. J. Phys. Anthropol.</w:t>
      </w:r>
      <w:r>
        <w:rPr>
          <w:rFonts w:ascii="Times New Roman" w:hAnsi="Times New Roman" w:cs="Times New Roman"/>
          <w:bCs/>
          <w:sz w:val="18"/>
          <w:szCs w:val="11"/>
        </w:rPr>
        <w:t xml:space="preserve"> </w:t>
      </w:r>
      <w:r>
        <w:rPr>
          <w:rFonts w:ascii="Times New Roman" w:hAnsi="Times New Roman" w:cs="Times New Roman"/>
          <w:b w:val="0"/>
          <w:bCs/>
          <w:sz w:val="18"/>
          <w:szCs w:val="11"/>
        </w:rPr>
        <w:t>50</w:t>
      </w:r>
      <w:r>
        <w:rPr>
          <w:rFonts w:ascii="Times New Roman" w:hAnsi="Times New Roman" w:cs="Times New Roman"/>
          <w:bCs/>
          <w:sz w:val="18"/>
          <w:szCs w:val="11"/>
        </w:rPr>
        <w:t>, 67–113 (1979).</w:t>
      </w:r>
    </w:p>
    <w:p w14:paraId="7099E199">
      <w:pPr>
        <w:pStyle w:val="51"/>
        <w:keepNext w:val="0"/>
        <w:keepLines w:val="0"/>
        <w:pageBreakBefore w:val="0"/>
        <w:widowControl/>
        <w:numPr>
          <w:ilvl w:val="0"/>
          <w:numId w:val="8"/>
        </w:numPr>
        <w:kinsoku/>
        <w:wordWrap/>
        <w:overflowPunct/>
        <w:topLinePunct w:val="0"/>
        <w:autoSpaceDE/>
        <w:autoSpaceDN/>
        <w:bidi w:val="0"/>
        <w:adjustRightInd/>
        <w:snapToGrid/>
        <w:spacing w:after="0"/>
        <w:ind w:left="180" w:hanging="180" w:hangingChars="100"/>
        <w:textAlignment w:val="auto"/>
        <w:rPr>
          <w:rFonts w:ascii="Times New Roman" w:hAnsi="Times New Roman" w:cs="Times New Roman"/>
          <w:bCs/>
          <w:sz w:val="18"/>
          <w:szCs w:val="11"/>
        </w:rPr>
      </w:pPr>
      <w:r>
        <w:rPr>
          <w:rFonts w:ascii="Times New Roman" w:hAnsi="Times New Roman" w:cs="Times New Roman"/>
          <w:bCs/>
          <w:sz w:val="18"/>
          <w:szCs w:val="11"/>
        </w:rPr>
        <w:t>Liu, W.</w:t>
      </w:r>
      <w:r>
        <w:rPr>
          <w:rFonts w:hint="eastAsia" w:ascii="Times New Roman" w:hAnsi="Times New Roman" w:cs="Times New Roman"/>
          <w:bCs/>
          <w:sz w:val="18"/>
          <w:szCs w:val="11"/>
          <w:lang w:val="en-US" w:eastAsia="zh-CN"/>
        </w:rPr>
        <w:t xml:space="preserve"> </w:t>
      </w:r>
      <w:r>
        <w:rPr>
          <w:rFonts w:ascii="Times New Roman" w:hAnsi="Times New Roman" w:cs="Times New Roman"/>
          <w:bCs/>
          <w:i w:val="0"/>
          <w:sz w:val="18"/>
          <w:szCs w:val="11"/>
        </w:rPr>
        <w:t>et al.</w:t>
      </w:r>
      <w:r>
        <w:rPr>
          <w:rFonts w:ascii="Times New Roman" w:hAnsi="Times New Roman" w:cs="Times New Roman"/>
          <w:bCs/>
          <w:sz w:val="18"/>
          <w:szCs w:val="11"/>
        </w:rPr>
        <w:t xml:space="preserve"> Huanglong Cave: A Late Pleistocene human fossil site in Hubei Province, China. </w:t>
      </w:r>
      <w:r>
        <w:rPr>
          <w:rFonts w:ascii="Times New Roman" w:hAnsi="Times New Roman" w:cs="Times New Roman"/>
          <w:bCs/>
          <w:i w:val="0"/>
          <w:sz w:val="18"/>
          <w:szCs w:val="11"/>
        </w:rPr>
        <w:t>Quatern. Int.</w:t>
      </w:r>
      <w:r>
        <w:rPr>
          <w:rFonts w:ascii="Times New Roman" w:hAnsi="Times New Roman" w:cs="Times New Roman"/>
          <w:bCs/>
          <w:sz w:val="18"/>
          <w:szCs w:val="11"/>
        </w:rPr>
        <w:t xml:space="preserve"> </w:t>
      </w:r>
      <w:r>
        <w:rPr>
          <w:rFonts w:ascii="Times New Roman" w:hAnsi="Times New Roman" w:cs="Times New Roman"/>
          <w:b w:val="0"/>
          <w:bCs/>
          <w:sz w:val="18"/>
          <w:szCs w:val="11"/>
        </w:rPr>
        <w:t>211</w:t>
      </w:r>
      <w:r>
        <w:rPr>
          <w:rFonts w:ascii="Times New Roman" w:hAnsi="Times New Roman" w:cs="Times New Roman"/>
          <w:bCs/>
          <w:sz w:val="18"/>
          <w:szCs w:val="11"/>
        </w:rPr>
        <w:t>, 29–41 (2010).</w:t>
      </w:r>
    </w:p>
    <w:p w14:paraId="149015B6">
      <w:pPr>
        <w:pStyle w:val="51"/>
        <w:keepNext w:val="0"/>
        <w:keepLines w:val="0"/>
        <w:pageBreakBefore w:val="0"/>
        <w:widowControl/>
        <w:numPr>
          <w:ilvl w:val="0"/>
          <w:numId w:val="8"/>
        </w:numPr>
        <w:kinsoku/>
        <w:wordWrap/>
        <w:overflowPunct/>
        <w:topLinePunct w:val="0"/>
        <w:autoSpaceDE/>
        <w:autoSpaceDN/>
        <w:bidi w:val="0"/>
        <w:adjustRightInd/>
        <w:snapToGrid/>
        <w:spacing w:after="0"/>
        <w:ind w:left="180" w:hanging="180" w:hangingChars="100"/>
        <w:textAlignment w:val="auto"/>
        <w:rPr>
          <w:rFonts w:ascii="Times New Roman" w:hAnsi="Times New Roman" w:cs="Times New Roman"/>
          <w:bCs/>
          <w:sz w:val="18"/>
          <w:szCs w:val="11"/>
        </w:rPr>
      </w:pPr>
      <w:r>
        <w:rPr>
          <w:rFonts w:ascii="Times New Roman" w:hAnsi="Times New Roman" w:cs="Times New Roman"/>
          <w:bCs/>
          <w:sz w:val="18"/>
          <w:szCs w:val="11"/>
        </w:rPr>
        <w:t>Liao, W.</w:t>
      </w:r>
      <w:r>
        <w:rPr>
          <w:rFonts w:ascii="Times New Roman" w:hAnsi="Times New Roman" w:cs="Times New Roman"/>
          <w:bCs/>
          <w:i w:val="0"/>
          <w:sz w:val="18"/>
          <w:szCs w:val="11"/>
        </w:rPr>
        <w:t xml:space="preserve"> et al.</w:t>
      </w:r>
      <w:r>
        <w:rPr>
          <w:rFonts w:ascii="Times New Roman" w:hAnsi="Times New Roman" w:cs="Times New Roman"/>
          <w:bCs/>
          <w:sz w:val="18"/>
          <w:szCs w:val="11"/>
        </w:rPr>
        <w:t xml:space="preserve"> Mosaic dental morphology in a terminal Pleistocene hominin from Dushan Cave in southern China. </w:t>
      </w:r>
      <w:r>
        <w:rPr>
          <w:rFonts w:ascii="Times New Roman" w:hAnsi="Times New Roman" w:cs="Times New Roman"/>
          <w:bCs/>
          <w:i w:val="0"/>
          <w:sz w:val="18"/>
          <w:szCs w:val="11"/>
        </w:rPr>
        <w:t>Sci. Rep.</w:t>
      </w:r>
      <w:r>
        <w:rPr>
          <w:rFonts w:ascii="Times New Roman" w:hAnsi="Times New Roman" w:cs="Times New Roman"/>
          <w:bCs/>
          <w:sz w:val="18"/>
          <w:szCs w:val="11"/>
        </w:rPr>
        <w:t xml:space="preserve"> </w:t>
      </w:r>
      <w:r>
        <w:rPr>
          <w:rFonts w:ascii="Times New Roman" w:hAnsi="Times New Roman" w:cs="Times New Roman"/>
          <w:b w:val="0"/>
          <w:bCs/>
          <w:sz w:val="18"/>
          <w:szCs w:val="11"/>
        </w:rPr>
        <w:t>9</w:t>
      </w:r>
      <w:r>
        <w:rPr>
          <w:rFonts w:ascii="Times New Roman" w:hAnsi="Times New Roman" w:cs="Times New Roman"/>
          <w:bCs/>
          <w:sz w:val="18"/>
          <w:szCs w:val="11"/>
        </w:rPr>
        <w:t>, 2347 (2019).</w:t>
      </w:r>
    </w:p>
    <w:p w14:paraId="591B1E63">
      <w:pPr>
        <w:pStyle w:val="51"/>
        <w:keepNext w:val="0"/>
        <w:keepLines w:val="0"/>
        <w:pageBreakBefore w:val="0"/>
        <w:widowControl/>
        <w:numPr>
          <w:ilvl w:val="0"/>
          <w:numId w:val="8"/>
        </w:numPr>
        <w:kinsoku/>
        <w:wordWrap/>
        <w:overflowPunct/>
        <w:topLinePunct w:val="0"/>
        <w:autoSpaceDE/>
        <w:autoSpaceDN/>
        <w:bidi w:val="0"/>
        <w:adjustRightInd/>
        <w:snapToGrid/>
        <w:spacing w:after="0"/>
        <w:ind w:left="180" w:hanging="180" w:hangingChars="100"/>
        <w:textAlignment w:val="auto"/>
        <w:rPr>
          <w:rFonts w:ascii="Times New Roman" w:hAnsi="Times New Roman" w:cs="Times New Roman"/>
          <w:bCs/>
          <w:sz w:val="18"/>
          <w:szCs w:val="11"/>
        </w:rPr>
      </w:pPr>
      <w:r>
        <w:rPr>
          <w:rFonts w:ascii="Times New Roman" w:hAnsi="Times New Roman" w:cs="Times New Roman"/>
          <w:bCs/>
          <w:sz w:val="18"/>
          <w:szCs w:val="11"/>
        </w:rPr>
        <w:t>Liu, W.</w:t>
      </w:r>
      <w:r>
        <w:rPr>
          <w:rFonts w:ascii="Times New Roman" w:hAnsi="Times New Roman" w:cs="Times New Roman"/>
          <w:bCs/>
          <w:i w:val="0"/>
          <w:sz w:val="18"/>
          <w:szCs w:val="11"/>
        </w:rPr>
        <w:t xml:space="preserve"> et al.</w:t>
      </w:r>
      <w:r>
        <w:rPr>
          <w:rFonts w:ascii="Times New Roman" w:hAnsi="Times New Roman" w:cs="Times New Roman"/>
          <w:bCs/>
          <w:sz w:val="18"/>
          <w:szCs w:val="11"/>
        </w:rPr>
        <w:t xml:space="preserve"> The earliest unequivocally modern humans in southern China. </w:t>
      </w:r>
      <w:r>
        <w:rPr>
          <w:rFonts w:ascii="Times New Roman" w:hAnsi="Times New Roman" w:cs="Times New Roman"/>
          <w:bCs/>
          <w:i w:val="0"/>
          <w:sz w:val="18"/>
          <w:szCs w:val="11"/>
        </w:rPr>
        <w:t>Nature</w:t>
      </w:r>
      <w:r>
        <w:rPr>
          <w:rFonts w:ascii="Times New Roman" w:hAnsi="Times New Roman" w:cs="Times New Roman"/>
          <w:bCs/>
          <w:sz w:val="18"/>
          <w:szCs w:val="11"/>
        </w:rPr>
        <w:t xml:space="preserve"> </w:t>
      </w:r>
      <w:r>
        <w:rPr>
          <w:rFonts w:ascii="Times New Roman" w:hAnsi="Times New Roman" w:cs="Times New Roman"/>
          <w:b w:val="0"/>
          <w:bCs/>
          <w:sz w:val="18"/>
          <w:szCs w:val="11"/>
        </w:rPr>
        <w:t>526</w:t>
      </w:r>
      <w:r>
        <w:rPr>
          <w:rFonts w:ascii="Times New Roman" w:hAnsi="Times New Roman" w:cs="Times New Roman"/>
          <w:bCs/>
          <w:sz w:val="18"/>
          <w:szCs w:val="11"/>
        </w:rPr>
        <w:t>, 696–670 (2015).</w:t>
      </w:r>
    </w:p>
    <w:p w14:paraId="5AD5F328">
      <w:pPr>
        <w:pStyle w:val="51"/>
        <w:keepNext w:val="0"/>
        <w:keepLines w:val="0"/>
        <w:pageBreakBefore w:val="0"/>
        <w:widowControl/>
        <w:numPr>
          <w:ilvl w:val="0"/>
          <w:numId w:val="8"/>
        </w:numPr>
        <w:kinsoku/>
        <w:wordWrap/>
        <w:overflowPunct/>
        <w:topLinePunct w:val="0"/>
        <w:autoSpaceDE/>
        <w:autoSpaceDN/>
        <w:bidi w:val="0"/>
        <w:adjustRightInd/>
        <w:snapToGrid/>
        <w:spacing w:after="0"/>
        <w:ind w:left="180" w:hanging="180" w:hangingChars="100"/>
        <w:textAlignment w:val="auto"/>
        <w:rPr>
          <w:rFonts w:ascii="Times New Roman" w:hAnsi="Times New Roman" w:cs="Times New Roman"/>
          <w:bCs/>
          <w:sz w:val="18"/>
          <w:szCs w:val="11"/>
        </w:rPr>
      </w:pPr>
      <w:r>
        <w:rPr>
          <w:rFonts w:ascii="Times New Roman" w:hAnsi="Times New Roman" w:cs="Times New Roman"/>
          <w:bCs/>
          <w:sz w:val="18"/>
          <w:szCs w:val="11"/>
        </w:rPr>
        <w:t>Hublin, J. J.</w:t>
      </w:r>
      <w:r>
        <w:rPr>
          <w:rFonts w:ascii="Times New Roman" w:hAnsi="Times New Roman" w:cs="Times New Roman"/>
          <w:bCs/>
          <w:i w:val="0"/>
          <w:sz w:val="18"/>
          <w:szCs w:val="11"/>
        </w:rPr>
        <w:t xml:space="preserve"> et al.</w:t>
      </w:r>
      <w:r>
        <w:rPr>
          <w:rFonts w:ascii="Times New Roman" w:hAnsi="Times New Roman" w:cs="Times New Roman"/>
          <w:bCs/>
          <w:sz w:val="18"/>
          <w:szCs w:val="11"/>
        </w:rPr>
        <w:t xml:space="preserve"> in </w:t>
      </w:r>
      <w:r>
        <w:rPr>
          <w:rFonts w:ascii="Times New Roman" w:hAnsi="Times New Roman" w:cs="Times New Roman"/>
          <w:bCs/>
          <w:i w:val="0"/>
          <w:sz w:val="18"/>
          <w:szCs w:val="11"/>
        </w:rPr>
        <w:t>Modern Origins: A North African Perspective</w:t>
      </w:r>
      <w:r>
        <w:rPr>
          <w:rFonts w:ascii="Times New Roman" w:hAnsi="Times New Roman" w:cs="Times New Roman"/>
          <w:bCs/>
          <w:sz w:val="18"/>
          <w:szCs w:val="11"/>
        </w:rPr>
        <w:t xml:space="preserve"> (eds Jean-Jacques Hublin &amp; Shannon P. McPherron) 189–204 (Springer Netherlands, 2012).</w:t>
      </w:r>
    </w:p>
    <w:p w14:paraId="1954B5AA">
      <w:pPr>
        <w:pStyle w:val="51"/>
        <w:keepNext w:val="0"/>
        <w:keepLines w:val="0"/>
        <w:pageBreakBefore w:val="0"/>
        <w:widowControl/>
        <w:numPr>
          <w:ilvl w:val="0"/>
          <w:numId w:val="8"/>
        </w:numPr>
        <w:kinsoku/>
        <w:wordWrap/>
        <w:overflowPunct/>
        <w:topLinePunct w:val="0"/>
        <w:autoSpaceDE/>
        <w:autoSpaceDN/>
        <w:bidi w:val="0"/>
        <w:adjustRightInd/>
        <w:snapToGrid/>
        <w:spacing w:after="0"/>
        <w:ind w:left="180" w:hanging="180" w:hangingChars="100"/>
        <w:textAlignment w:val="auto"/>
        <w:rPr>
          <w:rFonts w:ascii="Times New Roman" w:hAnsi="Times New Roman" w:cs="Times New Roman"/>
          <w:bCs/>
          <w:sz w:val="18"/>
          <w:szCs w:val="11"/>
        </w:rPr>
      </w:pPr>
      <w:r>
        <w:rPr>
          <w:rFonts w:ascii="Times New Roman" w:hAnsi="Times New Roman" w:cs="Times New Roman"/>
          <w:bCs/>
          <w:sz w:val="18"/>
          <w:szCs w:val="11"/>
        </w:rPr>
        <w:t xml:space="preserve">Bräuer, G. &amp; Mehlman, M. J. Hominid molars from a middle stone age level at the Mumba Rock Shelter, Tanzania. </w:t>
      </w:r>
      <w:r>
        <w:rPr>
          <w:rFonts w:ascii="Times New Roman" w:hAnsi="Times New Roman" w:cs="Times New Roman"/>
          <w:bCs/>
          <w:i w:val="0"/>
          <w:sz w:val="18"/>
          <w:szCs w:val="11"/>
        </w:rPr>
        <w:t>Am. J. Phys. Anthropol.</w:t>
      </w:r>
      <w:r>
        <w:rPr>
          <w:rFonts w:ascii="Times New Roman" w:hAnsi="Times New Roman" w:cs="Times New Roman"/>
          <w:bCs/>
          <w:sz w:val="18"/>
          <w:szCs w:val="11"/>
        </w:rPr>
        <w:t xml:space="preserve"> </w:t>
      </w:r>
      <w:r>
        <w:rPr>
          <w:rFonts w:ascii="Times New Roman" w:hAnsi="Times New Roman" w:cs="Times New Roman"/>
          <w:b w:val="0"/>
          <w:bCs/>
          <w:sz w:val="18"/>
          <w:szCs w:val="11"/>
        </w:rPr>
        <w:t>75</w:t>
      </w:r>
      <w:r>
        <w:rPr>
          <w:rFonts w:ascii="Times New Roman" w:hAnsi="Times New Roman" w:cs="Times New Roman"/>
          <w:bCs/>
          <w:sz w:val="18"/>
          <w:szCs w:val="11"/>
        </w:rPr>
        <w:t>, 69–76 (1988).</w:t>
      </w:r>
    </w:p>
    <w:p w14:paraId="6A7E1584">
      <w:pPr>
        <w:pStyle w:val="51"/>
        <w:keepNext w:val="0"/>
        <w:keepLines w:val="0"/>
        <w:pageBreakBefore w:val="0"/>
        <w:widowControl/>
        <w:numPr>
          <w:ilvl w:val="0"/>
          <w:numId w:val="8"/>
        </w:numPr>
        <w:kinsoku/>
        <w:wordWrap/>
        <w:overflowPunct/>
        <w:topLinePunct w:val="0"/>
        <w:autoSpaceDE/>
        <w:autoSpaceDN/>
        <w:bidi w:val="0"/>
        <w:adjustRightInd/>
        <w:snapToGrid/>
        <w:spacing w:after="0"/>
        <w:ind w:left="180" w:hanging="180" w:hangingChars="100"/>
        <w:textAlignment w:val="auto"/>
        <w:rPr>
          <w:rFonts w:ascii="Times New Roman" w:hAnsi="Times New Roman" w:cs="Times New Roman"/>
          <w:bCs/>
          <w:sz w:val="18"/>
          <w:szCs w:val="11"/>
        </w:rPr>
      </w:pPr>
      <w:r>
        <w:rPr>
          <w:rFonts w:ascii="Times New Roman" w:hAnsi="Times New Roman" w:cs="Times New Roman"/>
          <w:bCs/>
          <w:sz w:val="18"/>
          <w:szCs w:val="11"/>
        </w:rPr>
        <w:t>Bae, C. J.</w:t>
      </w:r>
      <w:r>
        <w:rPr>
          <w:rFonts w:ascii="Times New Roman" w:hAnsi="Times New Roman" w:cs="Times New Roman"/>
          <w:bCs/>
          <w:i w:val="0"/>
          <w:sz w:val="18"/>
          <w:szCs w:val="11"/>
        </w:rPr>
        <w:t xml:space="preserve"> et al.</w:t>
      </w:r>
      <w:r>
        <w:rPr>
          <w:rFonts w:ascii="Times New Roman" w:hAnsi="Times New Roman" w:cs="Times New Roman"/>
          <w:bCs/>
          <w:sz w:val="18"/>
          <w:szCs w:val="11"/>
        </w:rPr>
        <w:t xml:space="preserve"> Modern human teeth from Late Pleistocene Luna Cave (Guangxi, China). </w:t>
      </w:r>
      <w:r>
        <w:rPr>
          <w:rFonts w:ascii="Times New Roman" w:hAnsi="Times New Roman" w:cs="Times New Roman"/>
          <w:bCs/>
          <w:i w:val="0"/>
          <w:sz w:val="18"/>
          <w:szCs w:val="11"/>
        </w:rPr>
        <w:t>Quatern. Int.</w:t>
      </w:r>
      <w:r>
        <w:rPr>
          <w:rFonts w:ascii="Times New Roman" w:hAnsi="Times New Roman" w:cs="Times New Roman"/>
          <w:bCs/>
          <w:sz w:val="18"/>
          <w:szCs w:val="11"/>
        </w:rPr>
        <w:t xml:space="preserve"> </w:t>
      </w:r>
      <w:r>
        <w:rPr>
          <w:rFonts w:ascii="Times New Roman" w:hAnsi="Times New Roman" w:cs="Times New Roman"/>
          <w:b w:val="0"/>
          <w:bCs/>
          <w:sz w:val="18"/>
          <w:szCs w:val="11"/>
        </w:rPr>
        <w:t>354</w:t>
      </w:r>
      <w:r>
        <w:rPr>
          <w:rFonts w:ascii="Times New Roman" w:hAnsi="Times New Roman" w:cs="Times New Roman"/>
          <w:bCs/>
          <w:sz w:val="18"/>
          <w:szCs w:val="11"/>
        </w:rPr>
        <w:t>, 169–183 (2014).</w:t>
      </w:r>
    </w:p>
    <w:p w14:paraId="630DE7AA">
      <w:pPr>
        <w:pStyle w:val="51"/>
        <w:keepNext w:val="0"/>
        <w:keepLines w:val="0"/>
        <w:pageBreakBefore w:val="0"/>
        <w:widowControl/>
        <w:numPr>
          <w:ilvl w:val="0"/>
          <w:numId w:val="8"/>
        </w:numPr>
        <w:kinsoku/>
        <w:wordWrap/>
        <w:overflowPunct/>
        <w:topLinePunct w:val="0"/>
        <w:autoSpaceDE/>
        <w:autoSpaceDN/>
        <w:bidi w:val="0"/>
        <w:adjustRightInd/>
        <w:snapToGrid/>
        <w:spacing w:after="0"/>
        <w:ind w:left="180" w:hanging="180" w:hangingChars="100"/>
        <w:textAlignment w:val="auto"/>
        <w:rPr>
          <w:rFonts w:ascii="Times New Roman" w:hAnsi="Times New Roman" w:cs="Times New Roman"/>
          <w:bCs/>
          <w:sz w:val="18"/>
          <w:szCs w:val="11"/>
        </w:rPr>
      </w:pPr>
      <w:r>
        <w:rPr>
          <w:rFonts w:ascii="Times New Roman" w:hAnsi="Times New Roman" w:cs="Times New Roman"/>
          <w:bCs/>
          <w:sz w:val="18"/>
          <w:szCs w:val="11"/>
        </w:rPr>
        <w:t xml:space="preserve">Rightmire, G. P. &amp; Deacon, H. J. Comparative studies of Late Pleistocene human remains from Klasies River Mouth, South Africa. </w:t>
      </w:r>
      <w:r>
        <w:rPr>
          <w:rFonts w:ascii="Times New Roman" w:hAnsi="Times New Roman" w:cs="Times New Roman"/>
          <w:bCs/>
          <w:i w:val="0"/>
          <w:sz w:val="18"/>
          <w:szCs w:val="11"/>
        </w:rPr>
        <w:t>J. Hum. Evol.</w:t>
      </w:r>
      <w:r>
        <w:rPr>
          <w:rFonts w:ascii="Times New Roman" w:hAnsi="Times New Roman" w:cs="Times New Roman"/>
          <w:bCs/>
          <w:sz w:val="18"/>
          <w:szCs w:val="11"/>
        </w:rPr>
        <w:t xml:space="preserve"> </w:t>
      </w:r>
      <w:r>
        <w:rPr>
          <w:rFonts w:ascii="Times New Roman" w:hAnsi="Times New Roman" w:cs="Times New Roman"/>
          <w:b w:val="0"/>
          <w:bCs/>
          <w:sz w:val="18"/>
          <w:szCs w:val="11"/>
        </w:rPr>
        <w:t>20</w:t>
      </w:r>
      <w:r>
        <w:rPr>
          <w:rFonts w:ascii="Times New Roman" w:hAnsi="Times New Roman" w:cs="Times New Roman"/>
          <w:bCs/>
          <w:sz w:val="18"/>
          <w:szCs w:val="11"/>
        </w:rPr>
        <w:t>, 131–156 (1991).</w:t>
      </w:r>
    </w:p>
    <w:p w14:paraId="52029A9A">
      <w:pPr>
        <w:pStyle w:val="51"/>
        <w:keepNext w:val="0"/>
        <w:keepLines w:val="0"/>
        <w:pageBreakBefore w:val="0"/>
        <w:widowControl/>
        <w:numPr>
          <w:ilvl w:val="0"/>
          <w:numId w:val="8"/>
        </w:numPr>
        <w:kinsoku/>
        <w:wordWrap/>
        <w:overflowPunct/>
        <w:topLinePunct w:val="0"/>
        <w:autoSpaceDE/>
        <w:autoSpaceDN/>
        <w:bidi w:val="0"/>
        <w:adjustRightInd/>
        <w:snapToGrid/>
        <w:spacing w:after="0"/>
        <w:ind w:left="180" w:hanging="180" w:hangingChars="100"/>
        <w:textAlignment w:val="auto"/>
        <w:rPr>
          <w:rFonts w:ascii="Times New Roman" w:hAnsi="Times New Roman" w:cs="Times New Roman"/>
          <w:bCs/>
          <w:sz w:val="18"/>
          <w:szCs w:val="11"/>
        </w:rPr>
      </w:pPr>
      <w:r>
        <w:rPr>
          <w:rFonts w:ascii="Times New Roman" w:hAnsi="Times New Roman" w:cs="Times New Roman"/>
          <w:bCs/>
          <w:sz w:val="18"/>
          <w:szCs w:val="11"/>
        </w:rPr>
        <w:t xml:space="preserve">Wang, L., Peng, S. &amp; Chen, Y. On the human fossils and stone artifacts found in Baojiyan Cave, Guilin. </w:t>
      </w:r>
      <w:r>
        <w:rPr>
          <w:rFonts w:ascii="Times New Roman" w:hAnsi="Times New Roman" w:cs="Times New Roman"/>
          <w:bCs/>
          <w:i w:val="0"/>
          <w:sz w:val="18"/>
          <w:szCs w:val="11"/>
        </w:rPr>
        <w:t>Acta Anthropological Sinica</w:t>
      </w:r>
      <w:r>
        <w:rPr>
          <w:rFonts w:ascii="Times New Roman" w:hAnsi="Times New Roman" w:cs="Times New Roman"/>
          <w:bCs/>
          <w:sz w:val="18"/>
          <w:szCs w:val="11"/>
        </w:rPr>
        <w:t xml:space="preserve"> </w:t>
      </w:r>
      <w:r>
        <w:rPr>
          <w:rFonts w:ascii="Times New Roman" w:hAnsi="Times New Roman" w:cs="Times New Roman"/>
          <w:b w:val="0"/>
          <w:bCs/>
          <w:sz w:val="18"/>
          <w:szCs w:val="11"/>
        </w:rPr>
        <w:t>1</w:t>
      </w:r>
      <w:r>
        <w:rPr>
          <w:rFonts w:ascii="Times New Roman" w:hAnsi="Times New Roman" w:cs="Times New Roman"/>
          <w:bCs/>
          <w:sz w:val="18"/>
          <w:szCs w:val="11"/>
        </w:rPr>
        <w:t>, 30–35 (1982).</w:t>
      </w:r>
    </w:p>
    <w:p w14:paraId="28C21187">
      <w:pPr>
        <w:pStyle w:val="51"/>
        <w:keepNext w:val="0"/>
        <w:keepLines w:val="0"/>
        <w:pageBreakBefore w:val="0"/>
        <w:widowControl/>
        <w:numPr>
          <w:ilvl w:val="0"/>
          <w:numId w:val="8"/>
        </w:numPr>
        <w:kinsoku/>
        <w:wordWrap/>
        <w:overflowPunct/>
        <w:topLinePunct w:val="0"/>
        <w:autoSpaceDE/>
        <w:autoSpaceDN/>
        <w:bidi w:val="0"/>
        <w:adjustRightInd/>
        <w:snapToGrid/>
        <w:ind w:left="180" w:hanging="180" w:hangingChars="100"/>
        <w:textAlignment w:val="auto"/>
        <w:rPr>
          <w:rFonts w:ascii="Times New Roman" w:hAnsi="Times New Roman" w:cs="Times New Roman"/>
          <w:bCs/>
          <w:sz w:val="18"/>
          <w:szCs w:val="11"/>
        </w:rPr>
      </w:pPr>
      <w:r>
        <w:rPr>
          <w:rFonts w:ascii="Times New Roman" w:hAnsi="Times New Roman" w:cs="Times New Roman"/>
          <w:bCs/>
          <w:sz w:val="18"/>
          <w:szCs w:val="11"/>
        </w:rPr>
        <w:t xml:space="preserve">Wang, W. &amp; Mo, J. Human fossil teeth newly discovered in Nanshan Cave of Fusui, Guangxi. </w:t>
      </w:r>
      <w:r>
        <w:rPr>
          <w:rFonts w:ascii="Times New Roman" w:hAnsi="Times New Roman" w:cs="Times New Roman"/>
          <w:bCs/>
          <w:i w:val="0"/>
          <w:sz w:val="18"/>
          <w:szCs w:val="11"/>
        </w:rPr>
        <w:t>Acta Anthropological Sinica</w:t>
      </w:r>
      <w:r>
        <w:rPr>
          <w:rFonts w:ascii="Times New Roman" w:hAnsi="Times New Roman" w:cs="Times New Roman"/>
          <w:bCs/>
          <w:sz w:val="18"/>
          <w:szCs w:val="11"/>
        </w:rPr>
        <w:t xml:space="preserve"> </w:t>
      </w:r>
      <w:r>
        <w:rPr>
          <w:rFonts w:ascii="Times New Roman" w:hAnsi="Times New Roman" w:cs="Times New Roman"/>
          <w:b w:val="0"/>
          <w:bCs/>
          <w:sz w:val="18"/>
          <w:szCs w:val="11"/>
        </w:rPr>
        <w:t>23</w:t>
      </w:r>
      <w:r>
        <w:rPr>
          <w:rFonts w:ascii="Times New Roman" w:hAnsi="Times New Roman" w:cs="Times New Roman"/>
          <w:bCs/>
          <w:sz w:val="18"/>
          <w:szCs w:val="11"/>
        </w:rPr>
        <w:t>, 130–137 (2004).</w:t>
      </w:r>
    </w:p>
    <w:p w14:paraId="14B36A26">
      <w:pPr>
        <w:pStyle w:val="7"/>
        <w:rPr>
          <w:b/>
          <w:bCs w:val="0"/>
        </w:rPr>
      </w:pPr>
    </w:p>
    <w:p w14:paraId="7E7DF4FD">
      <w:pPr>
        <w:pStyle w:val="7"/>
        <w:rPr>
          <w:b/>
          <w:bCs w:val="0"/>
        </w:rPr>
      </w:pPr>
    </w:p>
    <w:p w14:paraId="412C91DC">
      <w:pPr>
        <w:pStyle w:val="7"/>
        <w:rPr>
          <w:rFonts w:eastAsia="Times New Roman"/>
        </w:rPr>
      </w:pPr>
      <w:r>
        <w:rPr>
          <w:rFonts w:eastAsia="Times New Roman"/>
          <w:b/>
        </w:rPr>
        <w:br w:type="column"/>
      </w:r>
      <w:r>
        <w:rPr>
          <w:b/>
          <w:bCs w:val="0"/>
        </w:rPr>
        <w:t xml:space="preserve">Supplementary Table </w:t>
      </w:r>
      <w:r>
        <w:rPr>
          <w:rFonts w:hint="eastAsia"/>
          <w:b/>
          <w:bCs w:val="0"/>
          <w:lang w:val="en-US" w:eastAsia="zh-CN"/>
        </w:rPr>
        <w:t>13</w:t>
      </w:r>
      <w:r>
        <w:t xml:space="preserve"> | </w:t>
      </w:r>
      <w:r>
        <w:rPr>
          <w:rFonts w:eastAsia="Times New Roman"/>
        </w:rPr>
        <w:t>The comparative samples used in the diffeomorphic surface matching.</w:t>
      </w:r>
    </w:p>
    <w:tbl>
      <w:tblPr>
        <w:tblStyle w:val="38"/>
        <w:tblW w:w="12774" w:type="dxa"/>
        <w:tblInd w:w="115" w:type="dxa"/>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115" w:type="dxa"/>
          <w:bottom w:w="0" w:type="dxa"/>
          <w:right w:w="115" w:type="dxa"/>
        </w:tblCellMar>
      </w:tblPr>
      <w:tblGrid>
        <w:gridCol w:w="2924"/>
        <w:gridCol w:w="4305"/>
        <w:gridCol w:w="5545"/>
      </w:tblGrid>
      <w:tr w14:paraId="1BB86007">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rPr>
          <w:trHeight w:val="160" w:hRule="atLeast"/>
        </w:trPr>
        <w:tc>
          <w:tcPr>
            <w:tcW w:w="2924" w:type="dxa"/>
            <w:vAlign w:val="center"/>
          </w:tcPr>
          <w:p w14:paraId="65E479D0">
            <w:pPr>
              <w:spacing w:after="0" w:line="240" w:lineRule="auto"/>
              <w:jc w:val="center"/>
              <w:rPr>
                <w:rFonts w:eastAsia="Times New Roman"/>
                <w:i/>
                <w:sz w:val="20"/>
                <w:szCs w:val="20"/>
              </w:rPr>
            </w:pPr>
          </w:p>
        </w:tc>
        <w:tc>
          <w:tcPr>
            <w:tcW w:w="4305" w:type="dxa"/>
            <w:vAlign w:val="center"/>
          </w:tcPr>
          <w:p w14:paraId="0922190D">
            <w:pPr>
              <w:spacing w:after="0" w:line="240" w:lineRule="auto"/>
              <w:ind w:firstLine="0"/>
              <w:rPr>
                <w:rFonts w:eastAsia="Times New Roman"/>
                <w:sz w:val="20"/>
                <w:szCs w:val="20"/>
              </w:rPr>
            </w:pPr>
            <w:r>
              <w:rPr>
                <w:rFonts w:eastAsia="Times New Roman"/>
                <w:sz w:val="20"/>
                <w:szCs w:val="20"/>
              </w:rPr>
              <w:t>P</w:t>
            </w:r>
            <w:r>
              <w:rPr>
                <w:rFonts w:eastAsia="Times New Roman"/>
                <w:sz w:val="20"/>
                <w:szCs w:val="20"/>
                <w:vertAlign w:val="subscript"/>
              </w:rPr>
              <w:t>4</w:t>
            </w:r>
          </w:p>
        </w:tc>
        <w:tc>
          <w:tcPr>
            <w:tcW w:w="5545" w:type="dxa"/>
            <w:vAlign w:val="center"/>
          </w:tcPr>
          <w:p w14:paraId="7C27BE31">
            <w:pPr>
              <w:spacing w:after="0" w:line="240" w:lineRule="auto"/>
              <w:ind w:firstLine="0"/>
              <w:rPr>
                <w:rFonts w:eastAsia="Times New Roman"/>
                <w:sz w:val="20"/>
                <w:szCs w:val="20"/>
              </w:rPr>
            </w:pPr>
            <w:r>
              <w:rPr>
                <w:rFonts w:eastAsia="Times New Roman"/>
                <w:sz w:val="20"/>
                <w:szCs w:val="20"/>
              </w:rPr>
              <w:t>M</w:t>
            </w:r>
            <w:r>
              <w:rPr>
                <w:rFonts w:eastAsia="Times New Roman"/>
                <w:sz w:val="20"/>
                <w:szCs w:val="20"/>
                <w:vertAlign w:val="subscript"/>
              </w:rPr>
              <w:t>2</w:t>
            </w:r>
          </w:p>
        </w:tc>
      </w:tr>
      <w:tr w14:paraId="01DACBE3">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rPr>
          <w:trHeight w:val="749" w:hRule="atLeast"/>
        </w:trPr>
        <w:tc>
          <w:tcPr>
            <w:tcW w:w="2924" w:type="dxa"/>
            <w:vAlign w:val="center"/>
          </w:tcPr>
          <w:p w14:paraId="0B48BAB2">
            <w:pPr>
              <w:spacing w:after="0" w:line="240" w:lineRule="auto"/>
              <w:ind w:firstLine="0"/>
              <w:rPr>
                <w:rFonts w:eastAsia="Times New Roman"/>
                <w:sz w:val="20"/>
                <w:szCs w:val="20"/>
              </w:rPr>
            </w:pPr>
            <w:r>
              <w:rPr>
                <w:rFonts w:eastAsia="Times New Roman"/>
                <w:sz w:val="20"/>
                <w:szCs w:val="20"/>
              </w:rPr>
              <w:t xml:space="preserve">Southeast Asian Early Pleistocene </w:t>
            </w:r>
            <w:r>
              <w:rPr>
                <w:rFonts w:eastAsia="Times New Roman"/>
                <w:i/>
                <w:sz w:val="20"/>
                <w:szCs w:val="20"/>
              </w:rPr>
              <w:t>Homo erectus</w:t>
            </w:r>
          </w:p>
        </w:tc>
        <w:tc>
          <w:tcPr>
            <w:tcW w:w="4305" w:type="dxa"/>
            <w:vAlign w:val="center"/>
          </w:tcPr>
          <w:p w14:paraId="002F0374">
            <w:pPr>
              <w:spacing w:after="0" w:line="240" w:lineRule="auto"/>
              <w:ind w:firstLine="0"/>
              <w:rPr>
                <w:rFonts w:eastAsiaTheme="minorEastAsia"/>
                <w:sz w:val="20"/>
                <w:szCs w:val="20"/>
                <w:lang w:val="fr-FR"/>
              </w:rPr>
            </w:pPr>
            <w:r>
              <w:rPr>
                <w:rFonts w:eastAsia="Times New Roman"/>
                <w:sz w:val="20"/>
                <w:szCs w:val="20"/>
                <w:lang w:val="fr-FR"/>
              </w:rPr>
              <w:t>Sangiran</w:t>
            </w:r>
            <w:r>
              <w:rPr>
                <w:rFonts w:eastAsiaTheme="minorEastAsia"/>
                <w:sz w:val="20"/>
                <w:szCs w:val="20"/>
                <w:lang w:val="fr-FR"/>
              </w:rPr>
              <w:t xml:space="preserve"> </w:t>
            </w:r>
            <w:r>
              <w:rPr>
                <w:rFonts w:eastAsia="Times New Roman"/>
                <w:sz w:val="20"/>
                <w:szCs w:val="20"/>
              </w:rPr>
              <w:t>(</w:t>
            </w:r>
            <w:r>
              <w:rPr>
                <w:rFonts w:eastAsia="Times New Roman"/>
                <w:i/>
                <w:sz w:val="20"/>
                <w:szCs w:val="20"/>
              </w:rPr>
              <w:t>n=</w:t>
            </w:r>
            <w:r>
              <w:rPr>
                <w:rFonts w:hint="eastAsia" w:eastAsiaTheme="minorEastAsia"/>
                <w:i/>
                <w:sz w:val="20"/>
                <w:szCs w:val="20"/>
              </w:rPr>
              <w:t>2</w:t>
            </w:r>
            <w:r>
              <w:rPr>
                <w:rFonts w:eastAsia="Times New Roman"/>
                <w:sz w:val="20"/>
                <w:szCs w:val="20"/>
              </w:rPr>
              <w:t>)</w:t>
            </w:r>
          </w:p>
        </w:tc>
        <w:tc>
          <w:tcPr>
            <w:tcW w:w="5545" w:type="dxa"/>
            <w:vAlign w:val="center"/>
          </w:tcPr>
          <w:p w14:paraId="26A422E1">
            <w:pPr>
              <w:spacing w:after="0" w:line="240" w:lineRule="auto"/>
              <w:ind w:firstLine="0"/>
              <w:rPr>
                <w:rFonts w:eastAsia="Times New Roman"/>
                <w:sz w:val="20"/>
                <w:szCs w:val="20"/>
                <w:lang w:val="fr-FR"/>
              </w:rPr>
            </w:pPr>
            <w:r>
              <w:rPr>
                <w:rFonts w:eastAsia="Times New Roman"/>
                <w:sz w:val="20"/>
                <w:szCs w:val="20"/>
                <w:lang w:val="fr-FR"/>
              </w:rPr>
              <w:t xml:space="preserve">Sangiran </w:t>
            </w:r>
            <w:r>
              <w:rPr>
                <w:rFonts w:eastAsiaTheme="minorEastAsia"/>
                <w:sz w:val="20"/>
                <w:szCs w:val="20"/>
                <w:lang w:val="fr-FR"/>
              </w:rPr>
              <w:t xml:space="preserve"> </w:t>
            </w:r>
            <w:r>
              <w:rPr>
                <w:rFonts w:eastAsia="Times New Roman"/>
                <w:sz w:val="20"/>
                <w:szCs w:val="20"/>
              </w:rPr>
              <w:t>(</w:t>
            </w:r>
            <w:r>
              <w:rPr>
                <w:rFonts w:eastAsia="Times New Roman"/>
                <w:i/>
                <w:sz w:val="20"/>
                <w:szCs w:val="20"/>
              </w:rPr>
              <w:t>n=</w:t>
            </w:r>
            <w:r>
              <w:rPr>
                <w:rFonts w:hint="eastAsia" w:eastAsiaTheme="minorEastAsia"/>
                <w:i/>
                <w:sz w:val="20"/>
                <w:szCs w:val="20"/>
              </w:rPr>
              <w:t>4</w:t>
            </w:r>
            <w:r>
              <w:rPr>
                <w:rFonts w:eastAsia="Times New Roman"/>
                <w:sz w:val="20"/>
                <w:szCs w:val="20"/>
              </w:rPr>
              <w:t>)</w:t>
            </w:r>
          </w:p>
        </w:tc>
      </w:tr>
      <w:tr w14:paraId="5E41F0AB">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rPr>
          <w:trHeight w:val="284" w:hRule="atLeast"/>
        </w:trPr>
        <w:tc>
          <w:tcPr>
            <w:tcW w:w="2924" w:type="dxa"/>
            <w:vAlign w:val="center"/>
          </w:tcPr>
          <w:p w14:paraId="41CC8387">
            <w:pPr>
              <w:spacing w:after="0" w:line="240" w:lineRule="auto"/>
              <w:ind w:firstLine="0"/>
              <w:rPr>
                <w:rFonts w:eastAsia="Times New Roman"/>
                <w:sz w:val="20"/>
                <w:szCs w:val="20"/>
              </w:rPr>
            </w:pPr>
            <w:r>
              <w:rPr>
                <w:rFonts w:eastAsia="Times New Roman"/>
                <w:sz w:val="20"/>
                <w:szCs w:val="20"/>
              </w:rPr>
              <w:t>East Asian mid-Middle Pleistocene</w:t>
            </w:r>
            <w:r>
              <w:rPr>
                <w:rFonts w:eastAsia="Times New Roman"/>
                <w:i/>
                <w:sz w:val="20"/>
                <w:szCs w:val="20"/>
              </w:rPr>
              <w:t xml:space="preserve"> Homo erectus</w:t>
            </w:r>
          </w:p>
        </w:tc>
        <w:tc>
          <w:tcPr>
            <w:tcW w:w="4305" w:type="dxa"/>
            <w:vAlign w:val="center"/>
          </w:tcPr>
          <w:p w14:paraId="5DDEB77F">
            <w:pPr>
              <w:spacing w:after="0" w:line="240" w:lineRule="auto"/>
              <w:ind w:firstLine="0"/>
              <w:rPr>
                <w:rFonts w:eastAsia="Times New Roman"/>
                <w:sz w:val="20"/>
                <w:szCs w:val="20"/>
              </w:rPr>
            </w:pPr>
            <w:r>
              <w:rPr>
                <w:rFonts w:eastAsia="Times New Roman"/>
                <w:sz w:val="20"/>
                <w:szCs w:val="20"/>
              </w:rPr>
              <w:t>Zhoukoudian, Xichuan</w:t>
            </w:r>
            <w:r>
              <w:rPr>
                <w:rFonts w:hint="eastAsia" w:eastAsiaTheme="minorEastAsia"/>
                <w:sz w:val="20"/>
                <w:szCs w:val="20"/>
              </w:rPr>
              <w:t>, Changyang</w:t>
            </w:r>
            <w:r>
              <w:rPr>
                <w:rFonts w:eastAsia="Times New Roman"/>
                <w:sz w:val="20"/>
                <w:szCs w:val="20"/>
              </w:rPr>
              <w:t xml:space="preserve"> (</w:t>
            </w:r>
            <w:r>
              <w:rPr>
                <w:rFonts w:eastAsia="Times New Roman"/>
                <w:i/>
                <w:sz w:val="20"/>
                <w:szCs w:val="20"/>
              </w:rPr>
              <w:t>n=</w:t>
            </w:r>
            <w:r>
              <w:rPr>
                <w:rFonts w:hint="eastAsia" w:eastAsiaTheme="minorEastAsia"/>
                <w:i/>
                <w:sz w:val="20"/>
                <w:szCs w:val="20"/>
              </w:rPr>
              <w:t>4</w:t>
            </w:r>
            <w:r>
              <w:rPr>
                <w:rFonts w:eastAsia="Times New Roman"/>
                <w:sz w:val="20"/>
                <w:szCs w:val="20"/>
              </w:rPr>
              <w:t>)</w:t>
            </w:r>
          </w:p>
        </w:tc>
        <w:tc>
          <w:tcPr>
            <w:tcW w:w="5545" w:type="dxa"/>
            <w:vAlign w:val="center"/>
          </w:tcPr>
          <w:p w14:paraId="443271BB">
            <w:pPr>
              <w:spacing w:after="0" w:line="240" w:lineRule="auto"/>
              <w:ind w:firstLine="0"/>
              <w:rPr>
                <w:rFonts w:eastAsia="Times New Roman"/>
                <w:sz w:val="20"/>
                <w:szCs w:val="20"/>
                <w:lang w:val="it-IT"/>
              </w:rPr>
            </w:pPr>
            <w:r>
              <w:rPr>
                <w:rFonts w:eastAsia="Times New Roman"/>
                <w:sz w:val="20"/>
                <w:szCs w:val="20"/>
                <w:lang w:val="it-IT"/>
              </w:rPr>
              <w:t>Zhoukoudian, Xichuan, CA808, MA93 (</w:t>
            </w:r>
            <w:r>
              <w:rPr>
                <w:rFonts w:eastAsia="Times New Roman"/>
                <w:i/>
                <w:sz w:val="20"/>
                <w:szCs w:val="20"/>
                <w:lang w:val="it-IT"/>
              </w:rPr>
              <w:t>n=4</w:t>
            </w:r>
            <w:r>
              <w:rPr>
                <w:rFonts w:eastAsia="Times New Roman"/>
                <w:sz w:val="20"/>
                <w:szCs w:val="20"/>
                <w:lang w:val="it-IT"/>
              </w:rPr>
              <w:t>)</w:t>
            </w:r>
          </w:p>
        </w:tc>
      </w:tr>
      <w:tr w14:paraId="7ED60588">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rPr>
          <w:trHeight w:val="284" w:hRule="atLeast"/>
        </w:trPr>
        <w:tc>
          <w:tcPr>
            <w:tcW w:w="2924" w:type="dxa"/>
            <w:vAlign w:val="center"/>
          </w:tcPr>
          <w:p w14:paraId="22BAB2E1">
            <w:pPr>
              <w:spacing w:after="0" w:line="240" w:lineRule="auto"/>
              <w:ind w:firstLine="0"/>
              <w:rPr>
                <w:rFonts w:eastAsia="Times New Roman"/>
                <w:sz w:val="20"/>
                <w:szCs w:val="20"/>
              </w:rPr>
            </w:pPr>
            <w:r>
              <w:rPr>
                <w:rFonts w:eastAsia="Times New Roman"/>
                <w:sz w:val="20"/>
                <w:szCs w:val="20"/>
              </w:rPr>
              <w:t xml:space="preserve">African Middle Pleistocene </w:t>
            </w:r>
            <w:r>
              <w:rPr>
                <w:rFonts w:eastAsia="Times New Roman"/>
                <w:i/>
                <w:sz w:val="20"/>
                <w:szCs w:val="20"/>
              </w:rPr>
              <w:t>Homo erectus</w:t>
            </w:r>
          </w:p>
        </w:tc>
        <w:tc>
          <w:tcPr>
            <w:tcW w:w="4305" w:type="dxa"/>
            <w:vAlign w:val="center"/>
          </w:tcPr>
          <w:p w14:paraId="6F6D24A6">
            <w:pPr>
              <w:spacing w:after="0" w:line="240" w:lineRule="auto"/>
              <w:ind w:firstLine="0"/>
              <w:rPr>
                <w:rFonts w:eastAsia="Times New Roman"/>
                <w:sz w:val="20"/>
                <w:szCs w:val="20"/>
              </w:rPr>
            </w:pPr>
            <w:r>
              <w:rPr>
                <w:rFonts w:eastAsia="Times New Roman"/>
                <w:sz w:val="20"/>
                <w:szCs w:val="20"/>
              </w:rPr>
              <w:t>Tighenif (</w:t>
            </w:r>
            <w:r>
              <w:rPr>
                <w:rFonts w:eastAsia="Times New Roman"/>
                <w:i/>
                <w:sz w:val="20"/>
                <w:szCs w:val="20"/>
              </w:rPr>
              <w:t>n=1</w:t>
            </w:r>
            <w:r>
              <w:rPr>
                <w:rFonts w:eastAsia="Times New Roman"/>
                <w:sz w:val="20"/>
                <w:szCs w:val="20"/>
              </w:rPr>
              <w:t>)</w:t>
            </w:r>
          </w:p>
        </w:tc>
        <w:tc>
          <w:tcPr>
            <w:tcW w:w="5545" w:type="dxa"/>
            <w:vAlign w:val="center"/>
          </w:tcPr>
          <w:p w14:paraId="4923D603">
            <w:pPr>
              <w:spacing w:after="0" w:line="240" w:lineRule="auto"/>
              <w:ind w:firstLine="0"/>
              <w:rPr>
                <w:rFonts w:eastAsia="Times New Roman"/>
                <w:sz w:val="20"/>
                <w:szCs w:val="20"/>
              </w:rPr>
            </w:pPr>
            <w:r>
              <w:rPr>
                <w:rFonts w:eastAsia="Times New Roman"/>
                <w:sz w:val="20"/>
                <w:szCs w:val="20"/>
              </w:rPr>
              <w:t>Tighenif (</w:t>
            </w:r>
            <w:r>
              <w:rPr>
                <w:rFonts w:eastAsia="Times New Roman"/>
                <w:i/>
                <w:sz w:val="20"/>
                <w:szCs w:val="20"/>
              </w:rPr>
              <w:t>n=1</w:t>
            </w:r>
            <w:r>
              <w:rPr>
                <w:rFonts w:eastAsia="Times New Roman"/>
                <w:sz w:val="20"/>
                <w:szCs w:val="20"/>
              </w:rPr>
              <w:t>)</w:t>
            </w:r>
          </w:p>
        </w:tc>
      </w:tr>
      <w:tr w14:paraId="6F8C1E16">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rPr>
          <w:trHeight w:val="284" w:hRule="atLeast"/>
        </w:trPr>
        <w:tc>
          <w:tcPr>
            <w:tcW w:w="2924" w:type="dxa"/>
            <w:vAlign w:val="center"/>
          </w:tcPr>
          <w:p w14:paraId="739F2771">
            <w:pPr>
              <w:spacing w:after="0" w:line="240" w:lineRule="auto"/>
              <w:ind w:firstLine="0"/>
              <w:rPr>
                <w:rFonts w:eastAsia="Times New Roman"/>
                <w:sz w:val="20"/>
                <w:szCs w:val="20"/>
              </w:rPr>
            </w:pPr>
            <w:r>
              <w:rPr>
                <w:rFonts w:eastAsia="Times New Roman"/>
                <w:sz w:val="20"/>
                <w:szCs w:val="20"/>
              </w:rPr>
              <w:t xml:space="preserve">East Asian Late Middle Pleistocene </w:t>
            </w:r>
            <w:r>
              <w:rPr>
                <w:rFonts w:eastAsia="Times New Roman"/>
                <w:i/>
                <w:sz w:val="20"/>
                <w:szCs w:val="20"/>
              </w:rPr>
              <w:t>Homo</w:t>
            </w:r>
          </w:p>
        </w:tc>
        <w:tc>
          <w:tcPr>
            <w:tcW w:w="4305" w:type="dxa"/>
            <w:vAlign w:val="center"/>
          </w:tcPr>
          <w:p w14:paraId="3BB90FC4">
            <w:pPr>
              <w:spacing w:after="0" w:line="240" w:lineRule="auto"/>
              <w:ind w:firstLine="0"/>
              <w:rPr>
                <w:rFonts w:eastAsia="Times New Roman"/>
                <w:sz w:val="20"/>
                <w:szCs w:val="20"/>
              </w:rPr>
            </w:pPr>
            <w:r>
              <w:rPr>
                <w:rFonts w:eastAsia="Times New Roman"/>
                <w:sz w:val="20"/>
                <w:szCs w:val="20"/>
              </w:rPr>
              <w:t>Hualongdong (</w:t>
            </w:r>
            <w:r>
              <w:rPr>
                <w:rFonts w:eastAsia="Times New Roman"/>
                <w:i/>
                <w:sz w:val="20"/>
                <w:szCs w:val="20"/>
              </w:rPr>
              <w:t>n=</w:t>
            </w:r>
            <w:r>
              <w:rPr>
                <w:rFonts w:hint="eastAsia" w:eastAsiaTheme="minorEastAsia"/>
                <w:i/>
                <w:sz w:val="20"/>
                <w:szCs w:val="20"/>
              </w:rPr>
              <w:t>1</w:t>
            </w:r>
            <w:r>
              <w:rPr>
                <w:rFonts w:eastAsia="Times New Roman"/>
                <w:sz w:val="20"/>
                <w:szCs w:val="20"/>
              </w:rPr>
              <w:t>)</w:t>
            </w:r>
          </w:p>
        </w:tc>
        <w:tc>
          <w:tcPr>
            <w:tcW w:w="5545" w:type="dxa"/>
            <w:vAlign w:val="center"/>
          </w:tcPr>
          <w:p w14:paraId="459E9377">
            <w:pPr>
              <w:spacing w:after="0" w:line="240" w:lineRule="auto"/>
              <w:ind w:firstLine="0"/>
              <w:rPr>
                <w:rFonts w:eastAsia="Times New Roman"/>
                <w:sz w:val="20"/>
                <w:szCs w:val="20"/>
              </w:rPr>
            </w:pPr>
            <w:r>
              <w:rPr>
                <w:rFonts w:eastAsia="Times New Roman"/>
                <w:sz w:val="20"/>
                <w:szCs w:val="20"/>
              </w:rPr>
              <w:t>Hualongdong (</w:t>
            </w:r>
            <w:r>
              <w:rPr>
                <w:rFonts w:eastAsia="Times New Roman"/>
                <w:i/>
                <w:sz w:val="20"/>
                <w:szCs w:val="20"/>
              </w:rPr>
              <w:t>n=3</w:t>
            </w:r>
            <w:r>
              <w:rPr>
                <w:rFonts w:eastAsia="Times New Roman"/>
                <w:sz w:val="20"/>
                <w:szCs w:val="20"/>
              </w:rPr>
              <w:t>)</w:t>
            </w:r>
          </w:p>
        </w:tc>
      </w:tr>
      <w:tr w14:paraId="3D56DFA3">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rPr>
          <w:trHeight w:val="284" w:hRule="atLeast"/>
        </w:trPr>
        <w:tc>
          <w:tcPr>
            <w:tcW w:w="2924" w:type="dxa"/>
            <w:vAlign w:val="center"/>
          </w:tcPr>
          <w:p w14:paraId="6D6B145F">
            <w:pPr>
              <w:spacing w:after="0" w:line="240" w:lineRule="auto"/>
              <w:ind w:firstLine="0"/>
              <w:rPr>
                <w:rFonts w:eastAsia="Times New Roman"/>
                <w:sz w:val="20"/>
                <w:szCs w:val="20"/>
              </w:rPr>
            </w:pPr>
            <w:r>
              <w:rPr>
                <w:rFonts w:eastAsia="Times New Roman"/>
                <w:sz w:val="20"/>
                <w:szCs w:val="20"/>
              </w:rPr>
              <w:t>Denisovans</w:t>
            </w:r>
          </w:p>
        </w:tc>
        <w:tc>
          <w:tcPr>
            <w:tcW w:w="4305" w:type="dxa"/>
            <w:vAlign w:val="center"/>
          </w:tcPr>
          <w:p w14:paraId="3FF96D62">
            <w:pPr>
              <w:spacing w:after="0" w:line="240" w:lineRule="auto"/>
              <w:ind w:firstLine="0"/>
              <w:rPr>
                <w:rFonts w:eastAsia="Times New Roman"/>
                <w:sz w:val="20"/>
                <w:szCs w:val="20"/>
                <w:lang w:val="fr-FR"/>
              </w:rPr>
            </w:pPr>
            <w:r>
              <w:rPr>
                <w:rFonts w:eastAsia="Times New Roman"/>
                <w:sz w:val="20"/>
                <w:szCs w:val="20"/>
              </w:rPr>
              <w:t>-</w:t>
            </w:r>
          </w:p>
        </w:tc>
        <w:tc>
          <w:tcPr>
            <w:tcW w:w="5545" w:type="dxa"/>
            <w:vAlign w:val="center"/>
          </w:tcPr>
          <w:p w14:paraId="5EE61F97">
            <w:pPr>
              <w:spacing w:after="0" w:line="240" w:lineRule="auto"/>
              <w:ind w:firstLine="0"/>
              <w:rPr>
                <w:rFonts w:eastAsia="Times New Roman"/>
                <w:sz w:val="20"/>
                <w:szCs w:val="20"/>
                <w:lang w:val="it-IT"/>
              </w:rPr>
            </w:pPr>
            <w:r>
              <w:rPr>
                <w:rFonts w:eastAsia="Times New Roman"/>
                <w:sz w:val="20"/>
                <w:szCs w:val="20"/>
              </w:rPr>
              <w:t>Xiahe, Cobra Cave (</w:t>
            </w:r>
            <w:r>
              <w:rPr>
                <w:rFonts w:eastAsia="Times New Roman"/>
                <w:i/>
                <w:sz w:val="20"/>
                <w:szCs w:val="20"/>
              </w:rPr>
              <w:t>n=2</w:t>
            </w:r>
            <w:r>
              <w:rPr>
                <w:rFonts w:eastAsia="Times New Roman"/>
                <w:sz w:val="20"/>
                <w:szCs w:val="20"/>
              </w:rPr>
              <w:t>)</w:t>
            </w:r>
          </w:p>
        </w:tc>
      </w:tr>
      <w:tr w14:paraId="1454E52D">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rPr>
          <w:trHeight w:val="284" w:hRule="atLeast"/>
        </w:trPr>
        <w:tc>
          <w:tcPr>
            <w:tcW w:w="2924" w:type="dxa"/>
            <w:vAlign w:val="center"/>
          </w:tcPr>
          <w:p w14:paraId="48CE4CC0">
            <w:pPr>
              <w:spacing w:after="0" w:line="240" w:lineRule="auto"/>
              <w:ind w:firstLine="0"/>
              <w:rPr>
                <w:rFonts w:eastAsia="Times New Roman"/>
                <w:i/>
                <w:sz w:val="20"/>
                <w:szCs w:val="20"/>
              </w:rPr>
            </w:pPr>
            <w:r>
              <w:rPr>
                <w:rFonts w:hint="eastAsia" w:eastAsia="Times New Roman"/>
                <w:sz w:val="20"/>
                <w:szCs w:val="20"/>
              </w:rPr>
              <w:t>Neanderthals</w:t>
            </w:r>
          </w:p>
        </w:tc>
        <w:tc>
          <w:tcPr>
            <w:tcW w:w="4305" w:type="dxa"/>
            <w:vAlign w:val="center"/>
          </w:tcPr>
          <w:p w14:paraId="2D63481A">
            <w:pPr>
              <w:spacing w:after="0" w:line="240" w:lineRule="auto"/>
              <w:ind w:firstLine="0"/>
              <w:rPr>
                <w:rFonts w:eastAsia="Times New Roman"/>
                <w:sz w:val="20"/>
                <w:szCs w:val="20"/>
              </w:rPr>
            </w:pPr>
            <w:r>
              <w:rPr>
                <w:rFonts w:eastAsia="Times New Roman"/>
                <w:sz w:val="20"/>
                <w:szCs w:val="20"/>
                <w:lang w:val="fr-FR"/>
              </w:rPr>
              <w:t>La Chaise, Krapina, Regourdou (</w:t>
            </w:r>
            <w:r>
              <w:rPr>
                <w:rFonts w:eastAsia="Times New Roman"/>
                <w:i/>
                <w:sz w:val="20"/>
                <w:szCs w:val="20"/>
                <w:lang w:val="fr-FR"/>
              </w:rPr>
              <w:t>n=1</w:t>
            </w:r>
            <w:r>
              <w:rPr>
                <w:rFonts w:hint="eastAsia" w:asciiTheme="minorEastAsia" w:hAnsiTheme="minorEastAsia" w:eastAsiaTheme="minorEastAsia"/>
                <w:i/>
                <w:sz w:val="20"/>
                <w:szCs w:val="20"/>
                <w:lang w:val="fr-FR"/>
              </w:rPr>
              <w:t>2</w:t>
            </w:r>
            <w:r>
              <w:rPr>
                <w:rFonts w:eastAsia="Times New Roman"/>
                <w:sz w:val="20"/>
                <w:szCs w:val="20"/>
                <w:lang w:val="fr-FR"/>
              </w:rPr>
              <w:t>)</w:t>
            </w:r>
          </w:p>
        </w:tc>
        <w:tc>
          <w:tcPr>
            <w:tcW w:w="5545" w:type="dxa"/>
            <w:vAlign w:val="center"/>
          </w:tcPr>
          <w:p w14:paraId="54D1EBEE">
            <w:pPr>
              <w:spacing w:after="0" w:line="240" w:lineRule="auto"/>
              <w:ind w:firstLine="0"/>
              <w:rPr>
                <w:rFonts w:eastAsia="Times New Roman"/>
                <w:sz w:val="20"/>
                <w:szCs w:val="20"/>
              </w:rPr>
            </w:pPr>
            <w:r>
              <w:rPr>
                <w:rFonts w:eastAsia="Times New Roman"/>
                <w:sz w:val="20"/>
                <w:szCs w:val="20"/>
                <w:lang w:val="it-IT"/>
              </w:rPr>
              <w:t>La Chaise, Krapina</w:t>
            </w:r>
            <w:r>
              <w:rPr>
                <w:rFonts w:hint="eastAsia" w:asciiTheme="minorEastAsia" w:hAnsiTheme="minorEastAsia" w:eastAsiaTheme="minorEastAsia"/>
                <w:sz w:val="20"/>
                <w:szCs w:val="20"/>
                <w:lang w:val="it-IT"/>
              </w:rPr>
              <w:t xml:space="preserve">, </w:t>
            </w:r>
            <w:r>
              <w:rPr>
                <w:rFonts w:eastAsia="Times New Roman"/>
                <w:sz w:val="20"/>
                <w:szCs w:val="20"/>
                <w:lang w:val="it-IT"/>
              </w:rPr>
              <w:t>Regourdou</w:t>
            </w:r>
            <w:r>
              <w:rPr>
                <w:rFonts w:hint="eastAsia" w:asciiTheme="minorEastAsia" w:hAnsiTheme="minorEastAsia" w:eastAsiaTheme="minorEastAsia"/>
                <w:sz w:val="20"/>
                <w:szCs w:val="20"/>
                <w:lang w:val="it-IT"/>
              </w:rPr>
              <w:t xml:space="preserve">, </w:t>
            </w:r>
            <w:r>
              <w:rPr>
                <w:rFonts w:eastAsia="Times New Roman"/>
                <w:sz w:val="20"/>
                <w:szCs w:val="20"/>
                <w:lang w:val="it-IT"/>
              </w:rPr>
              <w:t>Fossellone, La Quina,</w:t>
            </w:r>
            <w:r>
              <w:t xml:space="preserve"> </w:t>
            </w:r>
            <w:r>
              <w:rPr>
                <w:rFonts w:eastAsia="Times New Roman"/>
                <w:sz w:val="20"/>
                <w:szCs w:val="20"/>
                <w:lang w:val="it-IT"/>
              </w:rPr>
              <w:t>Scladina</w:t>
            </w:r>
            <w:r>
              <w:rPr>
                <w:rFonts w:hint="eastAsia" w:eastAsia="宋体"/>
                <w:sz w:val="20"/>
                <w:szCs w:val="20"/>
                <w:lang w:val="en-US" w:eastAsia="zh-CN"/>
              </w:rPr>
              <w:t>,</w:t>
            </w:r>
            <w:r>
              <w:rPr>
                <w:rFonts w:eastAsia="Times New Roman"/>
                <w:sz w:val="20"/>
                <w:szCs w:val="20"/>
                <w:lang w:val="it-IT"/>
              </w:rPr>
              <w:t xml:space="preserve"> </w:t>
            </w:r>
            <w:r>
              <w:rPr>
                <w:rFonts w:eastAsia="Times New Roman"/>
                <w:sz w:val="20"/>
                <w:szCs w:val="20"/>
              </w:rPr>
              <w:t>Montmaurin</w:t>
            </w:r>
            <w:r>
              <w:rPr>
                <w:rFonts w:eastAsia="Times New Roman"/>
                <w:sz w:val="20"/>
                <w:szCs w:val="20"/>
                <w:lang w:val="it-IT"/>
              </w:rPr>
              <w:t xml:space="preserve"> (</w:t>
            </w:r>
            <w:r>
              <w:rPr>
                <w:rFonts w:eastAsia="Times New Roman"/>
                <w:i/>
                <w:sz w:val="20"/>
                <w:szCs w:val="20"/>
                <w:lang w:val="it-IT"/>
              </w:rPr>
              <w:t>n=1</w:t>
            </w:r>
            <w:r>
              <w:rPr>
                <w:rFonts w:hint="eastAsia" w:asciiTheme="minorEastAsia" w:hAnsiTheme="minorEastAsia" w:eastAsiaTheme="minorEastAsia"/>
                <w:i/>
                <w:sz w:val="20"/>
                <w:szCs w:val="20"/>
                <w:lang w:val="it-IT"/>
              </w:rPr>
              <w:t>3</w:t>
            </w:r>
            <w:r>
              <w:rPr>
                <w:rFonts w:eastAsia="Times New Roman"/>
                <w:sz w:val="20"/>
                <w:szCs w:val="20"/>
                <w:lang w:val="it-IT"/>
              </w:rPr>
              <w:t>)</w:t>
            </w:r>
          </w:p>
        </w:tc>
      </w:tr>
      <w:tr w14:paraId="47C90D56">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rPr>
          <w:trHeight w:val="284" w:hRule="atLeast"/>
        </w:trPr>
        <w:tc>
          <w:tcPr>
            <w:tcW w:w="2924" w:type="dxa"/>
            <w:vAlign w:val="center"/>
          </w:tcPr>
          <w:p w14:paraId="6F277214">
            <w:pPr>
              <w:spacing w:after="0" w:line="240" w:lineRule="auto"/>
              <w:ind w:firstLine="0"/>
              <w:rPr>
                <w:rFonts w:hint="default" w:eastAsia="宋体"/>
                <w:sz w:val="20"/>
                <w:szCs w:val="20"/>
                <w:lang w:val="en-US" w:eastAsia="zh-CN"/>
              </w:rPr>
            </w:pPr>
            <w:r>
              <w:rPr>
                <w:rFonts w:hint="eastAsia"/>
                <w:sz w:val="20"/>
                <w:szCs w:val="20"/>
                <w:lang w:val="en-US" w:eastAsia="zh-CN"/>
              </w:rPr>
              <w:t xml:space="preserve">Pre-modern </w:t>
            </w:r>
            <w:r>
              <w:rPr>
                <w:rFonts w:hint="eastAsia"/>
                <w:i/>
                <w:iCs/>
                <w:sz w:val="20"/>
                <w:szCs w:val="20"/>
                <w:lang w:val="en-US" w:eastAsia="zh-CN"/>
              </w:rPr>
              <w:t>Homo sapiens</w:t>
            </w:r>
          </w:p>
        </w:tc>
        <w:tc>
          <w:tcPr>
            <w:tcW w:w="4305" w:type="dxa"/>
            <w:vAlign w:val="center"/>
          </w:tcPr>
          <w:p w14:paraId="4C5001FB">
            <w:pPr>
              <w:spacing w:after="0" w:line="240" w:lineRule="auto"/>
              <w:ind w:firstLine="0"/>
              <w:rPr>
                <w:rFonts w:hint="default" w:eastAsia="宋体"/>
                <w:sz w:val="20"/>
                <w:szCs w:val="20"/>
                <w:lang w:val="en-US" w:eastAsia="zh-CN"/>
              </w:rPr>
            </w:pPr>
            <w:r>
              <w:rPr>
                <w:rFonts w:hint="eastAsia"/>
                <w:sz w:val="20"/>
                <w:szCs w:val="20"/>
                <w:lang w:val="en-US" w:eastAsia="zh-CN"/>
              </w:rPr>
              <w:t>Jebel Irhoud (</w:t>
            </w:r>
            <w:r>
              <w:rPr>
                <w:rFonts w:hint="eastAsia"/>
                <w:i/>
                <w:iCs/>
                <w:sz w:val="20"/>
                <w:szCs w:val="20"/>
                <w:lang w:val="en-US" w:eastAsia="zh-CN"/>
              </w:rPr>
              <w:t>n=3</w:t>
            </w:r>
            <w:r>
              <w:rPr>
                <w:rFonts w:hint="eastAsia"/>
                <w:sz w:val="20"/>
                <w:szCs w:val="20"/>
                <w:lang w:val="en-US" w:eastAsia="zh-CN"/>
              </w:rPr>
              <w:t>)</w:t>
            </w:r>
          </w:p>
        </w:tc>
        <w:tc>
          <w:tcPr>
            <w:tcW w:w="5545" w:type="dxa"/>
            <w:vAlign w:val="center"/>
          </w:tcPr>
          <w:p w14:paraId="130DBA93">
            <w:pPr>
              <w:spacing w:after="0" w:line="240" w:lineRule="auto"/>
              <w:ind w:firstLine="0"/>
              <w:rPr>
                <w:rFonts w:eastAsia="Times New Roman"/>
                <w:sz w:val="20"/>
                <w:szCs w:val="20"/>
                <w:lang w:val="fr-FR"/>
              </w:rPr>
            </w:pPr>
            <w:r>
              <w:rPr>
                <w:rFonts w:hint="eastAsia"/>
                <w:sz w:val="20"/>
                <w:szCs w:val="20"/>
                <w:lang w:val="en-US" w:eastAsia="zh-CN"/>
              </w:rPr>
              <w:t>Jebel Irhoud (</w:t>
            </w:r>
            <w:r>
              <w:rPr>
                <w:rFonts w:hint="eastAsia"/>
                <w:i/>
                <w:iCs/>
                <w:sz w:val="20"/>
                <w:szCs w:val="20"/>
                <w:lang w:val="en-US" w:eastAsia="zh-CN"/>
              </w:rPr>
              <w:t>n=3</w:t>
            </w:r>
            <w:r>
              <w:rPr>
                <w:rFonts w:hint="eastAsia"/>
                <w:sz w:val="20"/>
                <w:szCs w:val="20"/>
                <w:lang w:val="en-US" w:eastAsia="zh-CN"/>
              </w:rPr>
              <w:t>)</w:t>
            </w:r>
          </w:p>
        </w:tc>
      </w:tr>
      <w:tr w14:paraId="4EEAE3C9">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rPr>
          <w:trHeight w:val="284" w:hRule="atLeast"/>
        </w:trPr>
        <w:tc>
          <w:tcPr>
            <w:tcW w:w="2924" w:type="dxa"/>
            <w:vAlign w:val="center"/>
          </w:tcPr>
          <w:p w14:paraId="17E8AF6A">
            <w:pPr>
              <w:spacing w:after="0" w:line="240" w:lineRule="auto"/>
              <w:ind w:firstLine="0"/>
              <w:rPr>
                <w:rFonts w:eastAsia="Times New Roman"/>
                <w:sz w:val="20"/>
                <w:szCs w:val="20"/>
              </w:rPr>
            </w:pPr>
            <w:r>
              <w:rPr>
                <w:rFonts w:eastAsia="Times New Roman"/>
                <w:sz w:val="20"/>
                <w:szCs w:val="20"/>
              </w:rPr>
              <w:t xml:space="preserve">Fossil </w:t>
            </w:r>
            <w:r>
              <w:rPr>
                <w:rFonts w:eastAsia="Times New Roman"/>
                <w:i/>
                <w:sz w:val="20"/>
                <w:szCs w:val="20"/>
              </w:rPr>
              <w:t>Homo sapiens</w:t>
            </w:r>
          </w:p>
        </w:tc>
        <w:tc>
          <w:tcPr>
            <w:tcW w:w="4305" w:type="dxa"/>
            <w:vAlign w:val="center"/>
          </w:tcPr>
          <w:p w14:paraId="549E3499">
            <w:pPr>
              <w:spacing w:after="0" w:line="240" w:lineRule="auto"/>
              <w:ind w:firstLine="0"/>
              <w:rPr>
                <w:rFonts w:eastAsia="Times New Roman"/>
                <w:sz w:val="20"/>
                <w:szCs w:val="20"/>
                <w:lang w:val="fr-FR"/>
              </w:rPr>
            </w:pPr>
            <w:r>
              <w:rPr>
                <w:sz w:val="18"/>
                <w:szCs w:val="18"/>
              </w:rPr>
              <w:t>Contrebandiers</w:t>
            </w:r>
            <w:r>
              <w:rPr>
                <w:rFonts w:hint="eastAsia"/>
                <w:sz w:val="18"/>
                <w:szCs w:val="18"/>
              </w:rPr>
              <w:t>,</w:t>
            </w:r>
            <w:r>
              <w:rPr>
                <w:sz w:val="18"/>
                <w:szCs w:val="18"/>
              </w:rPr>
              <w:t xml:space="preserve"> El Haroura (</w:t>
            </w:r>
            <w:r>
              <w:rPr>
                <w:i/>
                <w:sz w:val="18"/>
                <w:szCs w:val="18"/>
              </w:rPr>
              <w:t>n=</w:t>
            </w:r>
            <w:r>
              <w:rPr>
                <w:rFonts w:hint="eastAsia"/>
                <w:i/>
                <w:sz w:val="18"/>
                <w:szCs w:val="18"/>
              </w:rPr>
              <w:t>3</w:t>
            </w:r>
            <w:r>
              <w:rPr>
                <w:sz w:val="18"/>
                <w:szCs w:val="18"/>
              </w:rPr>
              <w:t>)</w:t>
            </w:r>
          </w:p>
        </w:tc>
        <w:tc>
          <w:tcPr>
            <w:tcW w:w="5545" w:type="dxa"/>
            <w:vAlign w:val="center"/>
          </w:tcPr>
          <w:p w14:paraId="5454A92C">
            <w:pPr>
              <w:spacing w:after="0" w:line="240" w:lineRule="auto"/>
              <w:ind w:firstLine="0"/>
              <w:rPr>
                <w:rFonts w:eastAsia="Times New Roman"/>
                <w:sz w:val="20"/>
                <w:szCs w:val="20"/>
                <w:lang w:val="fr-FR"/>
              </w:rPr>
            </w:pPr>
            <w:r>
              <w:rPr>
                <w:sz w:val="18"/>
                <w:szCs w:val="18"/>
              </w:rPr>
              <w:t>Qafzeh</w:t>
            </w:r>
            <w:r>
              <w:rPr>
                <w:rFonts w:hint="eastAsia"/>
                <w:sz w:val="18"/>
                <w:szCs w:val="18"/>
              </w:rPr>
              <w:t xml:space="preserve">, </w:t>
            </w:r>
            <w:r>
              <w:rPr>
                <w:sz w:val="18"/>
                <w:szCs w:val="18"/>
              </w:rPr>
              <w:t>Dar es-Soltan, Contrebandiers</w:t>
            </w:r>
            <w:r>
              <w:rPr>
                <w:rFonts w:hint="eastAsia"/>
                <w:sz w:val="18"/>
                <w:szCs w:val="18"/>
              </w:rPr>
              <w:t>,</w:t>
            </w:r>
            <w:r>
              <w:rPr>
                <w:sz w:val="18"/>
                <w:szCs w:val="18"/>
              </w:rPr>
              <w:t xml:space="preserve"> El Haroura</w:t>
            </w:r>
            <w:r>
              <w:rPr>
                <w:rFonts w:hint="eastAsia"/>
                <w:sz w:val="18"/>
                <w:szCs w:val="18"/>
              </w:rPr>
              <w:t>, Daoxian</w:t>
            </w:r>
            <w:r>
              <w:rPr>
                <w:rFonts w:hint="eastAsia"/>
                <w:sz w:val="18"/>
                <w:szCs w:val="18"/>
                <w:lang w:val="en-US" w:eastAsia="zh-CN"/>
              </w:rPr>
              <w:t xml:space="preserve"> </w:t>
            </w:r>
            <w:r>
              <w:rPr>
                <w:sz w:val="18"/>
                <w:szCs w:val="18"/>
              </w:rPr>
              <w:t>(</w:t>
            </w:r>
            <w:r>
              <w:rPr>
                <w:i/>
                <w:sz w:val="18"/>
                <w:szCs w:val="18"/>
              </w:rPr>
              <w:t>n=</w:t>
            </w:r>
            <w:r>
              <w:rPr>
                <w:rFonts w:hint="eastAsia"/>
                <w:i/>
                <w:sz w:val="18"/>
                <w:szCs w:val="18"/>
              </w:rPr>
              <w:t>9</w:t>
            </w:r>
            <w:r>
              <w:rPr>
                <w:sz w:val="18"/>
                <w:szCs w:val="18"/>
              </w:rPr>
              <w:t>)</w:t>
            </w:r>
          </w:p>
        </w:tc>
      </w:tr>
      <w:tr w14:paraId="110E20CD">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rPr>
          <w:trHeight w:val="284" w:hRule="atLeast"/>
        </w:trPr>
        <w:tc>
          <w:tcPr>
            <w:tcW w:w="2924" w:type="dxa"/>
            <w:vAlign w:val="center"/>
          </w:tcPr>
          <w:p w14:paraId="243177F4">
            <w:pPr>
              <w:spacing w:after="0" w:line="240" w:lineRule="auto"/>
              <w:ind w:firstLine="0"/>
              <w:rPr>
                <w:rFonts w:eastAsia="Times New Roman"/>
                <w:sz w:val="20"/>
                <w:szCs w:val="20"/>
              </w:rPr>
            </w:pPr>
            <w:r>
              <w:rPr>
                <w:rFonts w:eastAsia="Times New Roman"/>
                <w:sz w:val="20"/>
                <w:szCs w:val="20"/>
              </w:rPr>
              <w:t xml:space="preserve">Recent </w:t>
            </w:r>
            <w:r>
              <w:rPr>
                <w:rFonts w:eastAsia="Times New Roman"/>
                <w:i/>
                <w:sz w:val="20"/>
                <w:szCs w:val="20"/>
              </w:rPr>
              <w:t>Homo sapiens</w:t>
            </w:r>
          </w:p>
        </w:tc>
        <w:tc>
          <w:tcPr>
            <w:tcW w:w="4305" w:type="dxa"/>
            <w:vAlign w:val="center"/>
          </w:tcPr>
          <w:p w14:paraId="18D38EA1">
            <w:pPr>
              <w:spacing w:after="0" w:line="240" w:lineRule="auto"/>
              <w:ind w:firstLine="0"/>
              <w:rPr>
                <w:rFonts w:eastAsia="Times New Roman"/>
                <w:sz w:val="20"/>
                <w:szCs w:val="20"/>
              </w:rPr>
            </w:pPr>
            <w:r>
              <w:rPr>
                <w:rFonts w:eastAsia="Times New Roman"/>
                <w:sz w:val="20"/>
                <w:szCs w:val="20"/>
              </w:rPr>
              <w:t>East Asia (</w:t>
            </w:r>
            <w:r>
              <w:rPr>
                <w:rFonts w:eastAsia="Times New Roman"/>
                <w:i/>
                <w:sz w:val="20"/>
                <w:szCs w:val="20"/>
              </w:rPr>
              <w:t>n=</w:t>
            </w:r>
            <w:r>
              <w:rPr>
                <w:rFonts w:hint="default" w:ascii="Times New Roman" w:hAnsi="Times New Roman" w:eastAsiaTheme="minorEastAsia"/>
                <w:i/>
                <w:sz w:val="20"/>
                <w:szCs w:val="20"/>
                <w:lang w:val="en-US" w:eastAsia="zh-CN"/>
              </w:rPr>
              <w:t>11</w:t>
            </w:r>
            <w:r>
              <w:rPr>
                <w:rFonts w:eastAsia="Times New Roman"/>
                <w:sz w:val="20"/>
                <w:szCs w:val="20"/>
              </w:rPr>
              <w:t xml:space="preserve">), </w:t>
            </w:r>
            <w:r>
              <w:rPr>
                <w:rFonts w:hint="eastAsia" w:eastAsia="Times New Roman"/>
                <w:sz w:val="20"/>
                <w:szCs w:val="20"/>
              </w:rPr>
              <w:t>Africa</w:t>
            </w:r>
            <w:r>
              <w:rPr>
                <w:rFonts w:hint="eastAsia" w:eastAsiaTheme="minorEastAsia"/>
                <w:sz w:val="20"/>
                <w:szCs w:val="20"/>
              </w:rPr>
              <w:t xml:space="preserve"> </w:t>
            </w:r>
            <w:r>
              <w:rPr>
                <w:rFonts w:eastAsia="Times New Roman"/>
                <w:sz w:val="20"/>
                <w:szCs w:val="20"/>
              </w:rPr>
              <w:t>(</w:t>
            </w:r>
            <w:r>
              <w:rPr>
                <w:rFonts w:eastAsia="Times New Roman"/>
                <w:i/>
                <w:sz w:val="20"/>
                <w:szCs w:val="20"/>
              </w:rPr>
              <w:t>n=</w:t>
            </w:r>
            <w:r>
              <w:rPr>
                <w:rFonts w:hint="default" w:ascii="Times New Roman" w:hAnsi="Times New Roman" w:eastAsiaTheme="minorEastAsia"/>
                <w:i/>
                <w:sz w:val="20"/>
                <w:szCs w:val="20"/>
                <w:lang w:val="en-US" w:eastAsia="zh-CN"/>
              </w:rPr>
              <w:t>8</w:t>
            </w:r>
            <w:r>
              <w:rPr>
                <w:rFonts w:eastAsia="Times New Roman"/>
                <w:sz w:val="20"/>
                <w:szCs w:val="20"/>
              </w:rPr>
              <w:t>)</w:t>
            </w:r>
          </w:p>
        </w:tc>
        <w:tc>
          <w:tcPr>
            <w:tcW w:w="5545" w:type="dxa"/>
            <w:vAlign w:val="center"/>
          </w:tcPr>
          <w:p w14:paraId="071378CE">
            <w:pPr>
              <w:spacing w:after="0" w:line="240" w:lineRule="auto"/>
              <w:ind w:firstLine="0"/>
              <w:rPr>
                <w:rFonts w:eastAsia="Times New Roman"/>
                <w:sz w:val="20"/>
                <w:szCs w:val="20"/>
              </w:rPr>
            </w:pPr>
            <w:r>
              <w:rPr>
                <w:rFonts w:eastAsia="Times New Roman"/>
                <w:sz w:val="20"/>
                <w:szCs w:val="20"/>
              </w:rPr>
              <w:t>East Asia (</w:t>
            </w:r>
            <w:r>
              <w:rPr>
                <w:rFonts w:eastAsia="Times New Roman"/>
                <w:i/>
                <w:sz w:val="20"/>
                <w:szCs w:val="20"/>
              </w:rPr>
              <w:t>n=</w:t>
            </w:r>
            <w:r>
              <w:rPr>
                <w:rFonts w:hint="default" w:ascii="Times New Roman" w:hAnsi="Times New Roman" w:eastAsiaTheme="minorEastAsia"/>
                <w:i/>
                <w:sz w:val="20"/>
                <w:szCs w:val="20"/>
                <w:lang w:val="en-US" w:eastAsia="zh-CN"/>
              </w:rPr>
              <w:t>15</w:t>
            </w:r>
            <w:r>
              <w:rPr>
                <w:rFonts w:eastAsia="Times New Roman"/>
                <w:sz w:val="20"/>
                <w:szCs w:val="20"/>
              </w:rPr>
              <w:t xml:space="preserve">), </w:t>
            </w:r>
            <w:r>
              <w:rPr>
                <w:rFonts w:hint="eastAsia" w:eastAsiaTheme="minorEastAsia"/>
                <w:sz w:val="20"/>
                <w:szCs w:val="20"/>
              </w:rPr>
              <w:t xml:space="preserve">Africa </w:t>
            </w:r>
            <w:r>
              <w:rPr>
                <w:rFonts w:eastAsia="Times New Roman"/>
                <w:sz w:val="20"/>
                <w:szCs w:val="20"/>
              </w:rPr>
              <w:t>(</w:t>
            </w:r>
            <w:r>
              <w:rPr>
                <w:rFonts w:eastAsia="Times New Roman"/>
                <w:i/>
                <w:sz w:val="20"/>
                <w:szCs w:val="20"/>
              </w:rPr>
              <w:t>n=</w:t>
            </w:r>
            <w:r>
              <w:rPr>
                <w:rFonts w:hint="default" w:ascii="Times New Roman" w:hAnsi="Times New Roman" w:eastAsiaTheme="minorEastAsia"/>
                <w:i/>
                <w:sz w:val="20"/>
                <w:szCs w:val="20"/>
                <w:lang w:val="en-US" w:eastAsia="zh-CN"/>
              </w:rPr>
              <w:t>5</w:t>
            </w:r>
            <w:r>
              <w:rPr>
                <w:rFonts w:eastAsia="Times New Roman"/>
                <w:sz w:val="20"/>
                <w:szCs w:val="20"/>
              </w:rPr>
              <w:t>)</w:t>
            </w:r>
          </w:p>
        </w:tc>
      </w:tr>
    </w:tbl>
    <w:p w14:paraId="660D0128">
      <w:pPr>
        <w:rPr>
          <w:rFonts w:eastAsia="Times New Roman"/>
          <w:b/>
          <w:lang w:val="fr-FR"/>
        </w:rPr>
      </w:pPr>
    </w:p>
    <w:p w14:paraId="1BF24D93">
      <w:pPr>
        <w:pStyle w:val="7"/>
      </w:pPr>
      <w:r>
        <w:rPr>
          <w:rFonts w:eastAsia="Times New Roman"/>
          <w:b/>
          <w:sz w:val="20"/>
          <w:szCs w:val="20"/>
        </w:rPr>
        <w:br w:type="column"/>
      </w:r>
      <w:r>
        <w:rPr>
          <w:b/>
          <w:bCs w:val="0"/>
        </w:rPr>
        <w:t xml:space="preserve">Supplementary Table </w:t>
      </w:r>
      <w:r>
        <w:rPr>
          <w:rFonts w:hint="eastAsia"/>
          <w:b/>
          <w:bCs w:val="0"/>
          <w:lang w:val="en-US" w:eastAsia="zh-CN"/>
        </w:rPr>
        <w:t>14</w:t>
      </w:r>
      <w:r>
        <w:t xml:space="preserve"> | The classification frequencies of cross-validated between-group principal component analyses (bgPCA) and canonical variate analyses (CVA) of the P</w:t>
      </w:r>
      <w:r>
        <w:rPr>
          <w:vertAlign w:val="subscript"/>
        </w:rPr>
        <w:t>4</w:t>
      </w:r>
      <w:r>
        <w:t xml:space="preserve"> EDJ shape of the comparative taxa.</w:t>
      </w:r>
    </w:p>
    <w:tbl>
      <w:tblPr>
        <w:tblStyle w:val="25"/>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599"/>
        <w:gridCol w:w="1303"/>
        <w:gridCol w:w="1302"/>
      </w:tblGrid>
      <w:tr w14:paraId="04DAD67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599" w:type="dxa"/>
            <w:tcBorders>
              <w:top w:val="single" w:color="auto" w:sz="4" w:space="0"/>
              <w:bottom w:val="single" w:color="auto" w:sz="4" w:space="0"/>
            </w:tcBorders>
          </w:tcPr>
          <w:p w14:paraId="3996C569">
            <w:pPr>
              <w:keepNext w:val="0"/>
              <w:keepLines w:val="0"/>
              <w:widowControl/>
              <w:suppressLineNumbers w:val="0"/>
              <w:spacing w:before="0" w:beforeAutospacing="0" w:afterAutospacing="0"/>
              <w:ind w:left="0" w:right="0" w:firstLine="0"/>
              <w:rPr>
                <w:rFonts w:hint="default"/>
                <w:kern w:val="2"/>
                <w:sz w:val="21"/>
                <w:szCs w:val="22"/>
                <w:lang w:val="fr-FR" w:eastAsia="fr-FR"/>
              </w:rPr>
            </w:pPr>
            <w:r>
              <w:rPr>
                <w:rFonts w:hint="default"/>
                <w:kern w:val="2"/>
                <w:sz w:val="21"/>
                <w:szCs w:val="22"/>
                <w:lang w:val="fr-FR" w:eastAsia="fr-FR"/>
              </w:rPr>
              <w:t>Species</w:t>
            </w:r>
          </w:p>
        </w:tc>
        <w:tc>
          <w:tcPr>
            <w:tcW w:w="1303" w:type="dxa"/>
            <w:tcBorders>
              <w:top w:val="single" w:color="auto" w:sz="4" w:space="0"/>
              <w:bottom w:val="single" w:color="auto" w:sz="4" w:space="0"/>
            </w:tcBorders>
          </w:tcPr>
          <w:p w14:paraId="68203225">
            <w:pPr>
              <w:keepNext w:val="0"/>
              <w:keepLines w:val="0"/>
              <w:widowControl/>
              <w:suppressLineNumbers w:val="0"/>
              <w:spacing w:before="0" w:beforeAutospacing="0" w:afterAutospacing="0"/>
              <w:ind w:left="0" w:right="0" w:firstLine="0"/>
              <w:rPr>
                <w:rFonts w:hint="default"/>
                <w:kern w:val="2"/>
                <w:sz w:val="21"/>
                <w:szCs w:val="22"/>
                <w:lang w:val="fr-FR" w:eastAsia="fr-FR"/>
              </w:rPr>
            </w:pPr>
            <w:r>
              <w:rPr>
                <w:rFonts w:hint="default" w:eastAsia="Times New Roman"/>
                <w:kern w:val="2"/>
                <w:sz w:val="20"/>
                <w:szCs w:val="20"/>
                <w:lang w:val="fr-FR" w:eastAsia="fr-FR"/>
              </w:rPr>
              <w:t>bgPCA</w:t>
            </w:r>
          </w:p>
        </w:tc>
        <w:tc>
          <w:tcPr>
            <w:tcW w:w="1302" w:type="dxa"/>
            <w:tcBorders>
              <w:top w:val="single" w:color="auto" w:sz="4" w:space="0"/>
              <w:bottom w:val="single" w:color="auto" w:sz="4" w:space="0"/>
            </w:tcBorders>
          </w:tcPr>
          <w:p w14:paraId="3630AFF3">
            <w:pPr>
              <w:keepNext w:val="0"/>
              <w:keepLines w:val="0"/>
              <w:widowControl/>
              <w:suppressLineNumbers w:val="0"/>
              <w:spacing w:before="0" w:beforeAutospacing="0" w:afterAutospacing="0"/>
              <w:ind w:left="0" w:right="0" w:firstLine="0"/>
              <w:rPr>
                <w:rFonts w:hint="default"/>
                <w:kern w:val="2"/>
                <w:sz w:val="21"/>
                <w:szCs w:val="22"/>
                <w:lang w:val="fr-FR" w:eastAsia="fr-FR"/>
              </w:rPr>
            </w:pPr>
            <w:r>
              <w:rPr>
                <w:rFonts w:hint="default" w:eastAsia="Times New Roman"/>
                <w:kern w:val="2"/>
                <w:sz w:val="20"/>
                <w:szCs w:val="20"/>
                <w:lang w:val="fr-FR" w:eastAsia="fr-FR"/>
              </w:rPr>
              <w:t>CVA</w:t>
            </w:r>
          </w:p>
        </w:tc>
      </w:tr>
      <w:tr w14:paraId="2AA36DF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599" w:type="dxa"/>
            <w:tcBorders>
              <w:top w:val="single" w:color="auto" w:sz="4" w:space="0"/>
            </w:tcBorders>
          </w:tcPr>
          <w:p w14:paraId="5A618CBC">
            <w:pPr>
              <w:keepNext w:val="0"/>
              <w:keepLines w:val="0"/>
              <w:widowControl/>
              <w:suppressLineNumbers w:val="0"/>
              <w:spacing w:before="0" w:beforeAutospacing="0" w:afterAutospacing="0"/>
              <w:ind w:left="0" w:right="0" w:firstLine="0"/>
              <w:rPr>
                <w:rFonts w:hint="default"/>
                <w:kern w:val="2"/>
                <w:sz w:val="20"/>
                <w:szCs w:val="20"/>
                <w:lang w:val="fr-FR" w:eastAsia="fr-FR"/>
              </w:rPr>
            </w:pPr>
            <w:r>
              <w:rPr>
                <w:rFonts w:hint="default" w:eastAsia="Times New Roman"/>
                <w:i/>
                <w:kern w:val="2"/>
                <w:sz w:val="20"/>
                <w:szCs w:val="20"/>
                <w:lang w:val="fr-FR" w:eastAsia="fr-FR"/>
              </w:rPr>
              <w:t>H. erectus</w:t>
            </w:r>
          </w:p>
        </w:tc>
        <w:tc>
          <w:tcPr>
            <w:tcW w:w="1303" w:type="dxa"/>
            <w:tcBorders>
              <w:top w:val="single" w:color="auto" w:sz="4" w:space="0"/>
            </w:tcBorders>
          </w:tcPr>
          <w:p w14:paraId="6B60E069">
            <w:pPr>
              <w:keepNext w:val="0"/>
              <w:keepLines w:val="0"/>
              <w:widowControl/>
              <w:suppressLineNumbers w:val="0"/>
              <w:spacing w:before="0" w:beforeAutospacing="0" w:afterAutospacing="0"/>
              <w:ind w:left="0" w:right="0" w:firstLine="0"/>
              <w:rPr>
                <w:rFonts w:hint="default"/>
                <w:kern w:val="2"/>
                <w:sz w:val="20"/>
                <w:szCs w:val="20"/>
                <w:lang w:val="fr-FR"/>
              </w:rPr>
            </w:pPr>
            <w:r>
              <w:rPr>
                <w:rFonts w:hint="eastAsia"/>
                <w:kern w:val="2"/>
                <w:sz w:val="20"/>
                <w:szCs w:val="20"/>
                <w:lang w:val="fr-FR"/>
              </w:rPr>
              <w:t>7</w:t>
            </w:r>
            <w:r>
              <w:rPr>
                <w:rFonts w:hint="default"/>
                <w:kern w:val="2"/>
                <w:sz w:val="20"/>
                <w:szCs w:val="20"/>
                <w:lang w:val="fr-FR" w:eastAsia="fr-FR"/>
              </w:rPr>
              <w:t>/</w:t>
            </w:r>
            <w:r>
              <w:rPr>
                <w:rFonts w:hint="eastAsia"/>
                <w:kern w:val="2"/>
                <w:sz w:val="20"/>
                <w:szCs w:val="20"/>
                <w:lang w:val="fr-FR"/>
              </w:rPr>
              <w:t>7</w:t>
            </w:r>
          </w:p>
        </w:tc>
        <w:tc>
          <w:tcPr>
            <w:tcW w:w="1302" w:type="dxa"/>
            <w:tcBorders>
              <w:top w:val="single" w:color="auto" w:sz="4" w:space="0"/>
            </w:tcBorders>
          </w:tcPr>
          <w:p w14:paraId="7E8E0D5C">
            <w:pPr>
              <w:keepNext w:val="0"/>
              <w:keepLines w:val="0"/>
              <w:widowControl/>
              <w:suppressLineNumbers w:val="0"/>
              <w:spacing w:before="0" w:beforeAutospacing="0" w:afterAutospacing="0"/>
              <w:ind w:left="0" w:right="0" w:firstLine="0"/>
              <w:rPr>
                <w:rFonts w:hint="default"/>
                <w:kern w:val="2"/>
                <w:sz w:val="20"/>
                <w:szCs w:val="20"/>
                <w:lang w:val="fr-FR"/>
              </w:rPr>
            </w:pPr>
            <w:r>
              <w:rPr>
                <w:rFonts w:hint="eastAsia"/>
                <w:kern w:val="2"/>
                <w:sz w:val="20"/>
                <w:szCs w:val="20"/>
                <w:lang w:val="en-US" w:eastAsia="zh-CN"/>
              </w:rPr>
              <w:t>6/</w:t>
            </w:r>
            <w:r>
              <w:rPr>
                <w:rFonts w:hint="eastAsia"/>
                <w:kern w:val="2"/>
                <w:sz w:val="20"/>
                <w:szCs w:val="20"/>
                <w:lang w:val="fr-FR"/>
              </w:rPr>
              <w:t>7</w:t>
            </w:r>
          </w:p>
        </w:tc>
      </w:tr>
      <w:tr w14:paraId="3B4471A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599" w:type="dxa"/>
          </w:tcPr>
          <w:p w14:paraId="5ABDA990">
            <w:pPr>
              <w:keepNext w:val="0"/>
              <w:keepLines w:val="0"/>
              <w:widowControl/>
              <w:suppressLineNumbers w:val="0"/>
              <w:spacing w:before="0" w:beforeAutospacing="0" w:afterAutospacing="0"/>
              <w:ind w:left="0" w:right="0" w:firstLine="0"/>
              <w:rPr>
                <w:rFonts w:hint="default"/>
                <w:kern w:val="2"/>
                <w:sz w:val="20"/>
                <w:szCs w:val="20"/>
                <w:lang w:val="fr-FR" w:eastAsia="fr-FR"/>
              </w:rPr>
            </w:pPr>
            <w:r>
              <w:rPr>
                <w:rFonts w:hint="default" w:eastAsia="Times New Roman"/>
                <w:kern w:val="2"/>
                <w:sz w:val="20"/>
                <w:szCs w:val="20"/>
                <w:lang w:val="fr-FR" w:eastAsia="fr-FR"/>
              </w:rPr>
              <w:t>Neanderthals</w:t>
            </w:r>
          </w:p>
        </w:tc>
        <w:tc>
          <w:tcPr>
            <w:tcW w:w="1303" w:type="dxa"/>
          </w:tcPr>
          <w:p w14:paraId="391EF28C">
            <w:pPr>
              <w:keepNext w:val="0"/>
              <w:keepLines w:val="0"/>
              <w:widowControl/>
              <w:suppressLineNumbers w:val="0"/>
              <w:spacing w:before="0" w:beforeAutospacing="0" w:afterAutospacing="0"/>
              <w:ind w:left="0" w:right="0" w:firstLine="0"/>
              <w:rPr>
                <w:rFonts w:hint="default" w:eastAsia="宋体"/>
                <w:kern w:val="2"/>
                <w:sz w:val="20"/>
                <w:szCs w:val="20"/>
                <w:lang w:val="en-US" w:eastAsia="zh-CN"/>
              </w:rPr>
            </w:pPr>
            <w:r>
              <w:rPr>
                <w:rFonts w:hint="eastAsia"/>
                <w:kern w:val="2"/>
                <w:sz w:val="20"/>
                <w:szCs w:val="20"/>
                <w:lang w:val="en-US" w:eastAsia="zh-CN"/>
              </w:rPr>
              <w:t>7</w:t>
            </w:r>
            <w:r>
              <w:rPr>
                <w:rFonts w:hint="default"/>
                <w:kern w:val="2"/>
                <w:sz w:val="20"/>
                <w:szCs w:val="20"/>
                <w:lang w:val="fr-FR" w:eastAsia="fr-FR"/>
              </w:rPr>
              <w:t>/</w:t>
            </w:r>
            <w:r>
              <w:rPr>
                <w:rFonts w:hint="eastAsia"/>
                <w:kern w:val="2"/>
                <w:sz w:val="20"/>
                <w:szCs w:val="20"/>
                <w:lang w:val="en-US" w:eastAsia="zh-CN"/>
              </w:rPr>
              <w:t>12</w:t>
            </w:r>
          </w:p>
        </w:tc>
        <w:tc>
          <w:tcPr>
            <w:tcW w:w="1302" w:type="dxa"/>
          </w:tcPr>
          <w:p w14:paraId="734BBAA6">
            <w:pPr>
              <w:keepNext w:val="0"/>
              <w:keepLines w:val="0"/>
              <w:widowControl/>
              <w:suppressLineNumbers w:val="0"/>
              <w:spacing w:before="0" w:beforeAutospacing="0" w:afterAutospacing="0"/>
              <w:ind w:left="0" w:right="0" w:firstLine="0"/>
              <w:rPr>
                <w:rFonts w:hint="default" w:eastAsia="宋体"/>
                <w:kern w:val="2"/>
                <w:sz w:val="20"/>
                <w:szCs w:val="20"/>
                <w:lang w:val="en-US" w:eastAsia="zh-CN"/>
              </w:rPr>
            </w:pPr>
            <w:r>
              <w:rPr>
                <w:rFonts w:hint="eastAsia"/>
                <w:kern w:val="2"/>
                <w:sz w:val="20"/>
                <w:szCs w:val="20"/>
                <w:lang w:val="en-US" w:eastAsia="zh-CN"/>
              </w:rPr>
              <w:t>7</w:t>
            </w:r>
            <w:r>
              <w:rPr>
                <w:rFonts w:hint="default"/>
                <w:kern w:val="2"/>
                <w:sz w:val="20"/>
                <w:szCs w:val="20"/>
                <w:lang w:val="fr-FR" w:eastAsia="fr-FR"/>
              </w:rPr>
              <w:t>/</w:t>
            </w:r>
            <w:r>
              <w:rPr>
                <w:rFonts w:hint="eastAsia"/>
                <w:kern w:val="2"/>
                <w:sz w:val="20"/>
                <w:szCs w:val="20"/>
                <w:lang w:val="en-US" w:eastAsia="zh-CN"/>
              </w:rPr>
              <w:t>12</w:t>
            </w:r>
          </w:p>
        </w:tc>
      </w:tr>
      <w:tr w14:paraId="059ED7C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599" w:type="dxa"/>
          </w:tcPr>
          <w:p w14:paraId="4BCA1852">
            <w:pPr>
              <w:keepNext w:val="0"/>
              <w:keepLines w:val="0"/>
              <w:widowControl/>
              <w:suppressLineNumbers w:val="0"/>
              <w:spacing w:before="0" w:beforeAutospacing="0" w:afterAutospacing="0"/>
              <w:ind w:left="0" w:right="0" w:firstLine="0"/>
              <w:rPr>
                <w:rFonts w:hint="default"/>
                <w:kern w:val="2"/>
                <w:sz w:val="20"/>
                <w:szCs w:val="20"/>
                <w:lang w:val="fr-FR" w:eastAsia="fr-FR"/>
              </w:rPr>
            </w:pPr>
            <w:r>
              <w:rPr>
                <w:rFonts w:hint="default" w:eastAsia="Times New Roman"/>
                <w:i/>
                <w:kern w:val="2"/>
                <w:sz w:val="20"/>
                <w:szCs w:val="20"/>
                <w:lang w:val="fr-FR" w:eastAsia="fr-FR"/>
              </w:rPr>
              <w:t>H. sapiens</w:t>
            </w:r>
          </w:p>
        </w:tc>
        <w:tc>
          <w:tcPr>
            <w:tcW w:w="1303" w:type="dxa"/>
          </w:tcPr>
          <w:p w14:paraId="2313E226">
            <w:pPr>
              <w:keepNext w:val="0"/>
              <w:keepLines w:val="0"/>
              <w:widowControl/>
              <w:suppressLineNumbers w:val="0"/>
              <w:spacing w:before="0" w:beforeAutospacing="0" w:afterAutospacing="0"/>
              <w:ind w:left="0" w:right="0" w:firstLine="0"/>
              <w:rPr>
                <w:rFonts w:hint="default" w:eastAsia="宋体"/>
                <w:kern w:val="2"/>
                <w:sz w:val="20"/>
                <w:szCs w:val="20"/>
                <w:lang w:val="en-US" w:eastAsia="zh-CN"/>
              </w:rPr>
            </w:pPr>
            <w:r>
              <w:rPr>
                <w:rFonts w:hint="eastAsia"/>
                <w:kern w:val="2"/>
                <w:sz w:val="20"/>
                <w:szCs w:val="20"/>
                <w:lang w:val="en-US" w:eastAsia="zh-CN"/>
              </w:rPr>
              <w:t>18</w:t>
            </w:r>
            <w:r>
              <w:rPr>
                <w:rFonts w:hint="default"/>
                <w:kern w:val="2"/>
                <w:sz w:val="20"/>
                <w:szCs w:val="20"/>
                <w:lang w:val="fr-FR" w:eastAsia="fr-FR"/>
              </w:rPr>
              <w:t>/</w:t>
            </w:r>
            <w:r>
              <w:rPr>
                <w:rFonts w:hint="eastAsia"/>
                <w:kern w:val="2"/>
                <w:sz w:val="20"/>
                <w:szCs w:val="20"/>
                <w:lang w:val="en-US" w:eastAsia="zh-CN"/>
              </w:rPr>
              <w:t>25</w:t>
            </w:r>
          </w:p>
        </w:tc>
        <w:tc>
          <w:tcPr>
            <w:tcW w:w="1302" w:type="dxa"/>
          </w:tcPr>
          <w:p w14:paraId="4CD795E9">
            <w:pPr>
              <w:keepNext w:val="0"/>
              <w:keepLines w:val="0"/>
              <w:widowControl/>
              <w:suppressLineNumbers w:val="0"/>
              <w:spacing w:before="0" w:beforeAutospacing="0" w:afterAutospacing="0"/>
              <w:ind w:left="0" w:right="0" w:firstLine="0"/>
              <w:rPr>
                <w:rFonts w:hint="default" w:eastAsia="宋体"/>
                <w:kern w:val="2"/>
                <w:sz w:val="20"/>
                <w:szCs w:val="20"/>
                <w:lang w:val="en-US" w:eastAsia="zh-CN"/>
              </w:rPr>
            </w:pPr>
            <w:r>
              <w:rPr>
                <w:rFonts w:hint="eastAsia"/>
                <w:kern w:val="2"/>
                <w:sz w:val="20"/>
                <w:szCs w:val="20"/>
                <w:lang w:val="en-US" w:eastAsia="zh-CN"/>
              </w:rPr>
              <w:t>20</w:t>
            </w:r>
            <w:r>
              <w:rPr>
                <w:rFonts w:hint="default"/>
                <w:kern w:val="2"/>
                <w:sz w:val="20"/>
                <w:szCs w:val="20"/>
                <w:lang w:val="fr-FR" w:eastAsia="fr-FR"/>
              </w:rPr>
              <w:t>/</w:t>
            </w:r>
            <w:r>
              <w:rPr>
                <w:rFonts w:hint="eastAsia"/>
                <w:kern w:val="2"/>
                <w:sz w:val="20"/>
                <w:szCs w:val="20"/>
                <w:lang w:val="en-US" w:eastAsia="zh-CN"/>
              </w:rPr>
              <w:t>25</w:t>
            </w:r>
          </w:p>
        </w:tc>
      </w:tr>
    </w:tbl>
    <w:p w14:paraId="39C88F63">
      <w:pPr>
        <w:ind w:firstLine="0"/>
        <w:rPr>
          <w:rFonts w:eastAsia="Times New Roman"/>
          <w:b/>
          <w:sz w:val="20"/>
          <w:szCs w:val="20"/>
        </w:rPr>
      </w:pPr>
      <w:r>
        <w:rPr>
          <w:rFonts w:eastAsia="Times New Roman"/>
          <w:b/>
          <w:sz w:val="20"/>
          <w:szCs w:val="20"/>
        </w:rPr>
        <w:t xml:space="preserve">* </w:t>
      </w:r>
      <w:r>
        <w:rPr>
          <w:rFonts w:eastAsia="Times New Roman"/>
          <w:sz w:val="20"/>
          <w:szCs w:val="20"/>
        </w:rPr>
        <w:t xml:space="preserve">The overall classification accuracy of bgPCA and CVA is </w:t>
      </w:r>
      <w:r>
        <w:rPr>
          <w:rFonts w:hint="eastAsia" w:eastAsiaTheme="minorEastAsia"/>
          <w:sz w:val="20"/>
          <w:szCs w:val="20"/>
          <w:lang w:val="en-US" w:eastAsia="zh-CN"/>
        </w:rPr>
        <w:t>72.7</w:t>
      </w:r>
      <w:r>
        <w:rPr>
          <w:rFonts w:eastAsia="Times New Roman"/>
          <w:sz w:val="20"/>
          <w:szCs w:val="20"/>
        </w:rPr>
        <w:t xml:space="preserve">% and </w:t>
      </w:r>
      <w:r>
        <w:rPr>
          <w:rFonts w:hint="eastAsia" w:eastAsiaTheme="minorEastAsia"/>
          <w:sz w:val="20"/>
          <w:szCs w:val="20"/>
          <w:lang w:val="en-US" w:eastAsia="zh-CN"/>
        </w:rPr>
        <w:t>75.0</w:t>
      </w:r>
      <w:r>
        <w:rPr>
          <w:rFonts w:eastAsia="Times New Roman"/>
          <w:sz w:val="20"/>
          <w:szCs w:val="20"/>
        </w:rPr>
        <w:t>%, respectively.</w:t>
      </w:r>
    </w:p>
    <w:p w14:paraId="5E31953E">
      <w:pPr>
        <w:rPr>
          <w:rFonts w:eastAsia="Times New Roman"/>
          <w:b/>
          <w:sz w:val="20"/>
          <w:szCs w:val="20"/>
        </w:rPr>
      </w:pPr>
      <w:r>
        <w:br w:type="page"/>
      </w:r>
    </w:p>
    <w:p w14:paraId="2F3741EB">
      <w:pPr>
        <w:pStyle w:val="7"/>
        <w:rPr>
          <w:szCs w:val="24"/>
        </w:rPr>
      </w:pPr>
      <w:bookmarkStart w:id="28" w:name="_ycm8ink3y3x5" w:colFirst="0" w:colLast="0"/>
      <w:bookmarkEnd w:id="28"/>
      <w:r>
        <w:rPr>
          <w:b/>
          <w:bCs w:val="0"/>
        </w:rPr>
        <w:t xml:space="preserve">Supplementary Table </w:t>
      </w:r>
      <w:r>
        <w:rPr>
          <w:rFonts w:hint="eastAsia"/>
          <w:b/>
          <w:bCs w:val="0"/>
          <w:lang w:val="en-US" w:eastAsia="zh-CN"/>
        </w:rPr>
        <w:t>15</w:t>
      </w:r>
      <w:r>
        <w:rPr>
          <w:b/>
          <w:szCs w:val="24"/>
        </w:rPr>
        <w:t xml:space="preserve"> |</w:t>
      </w:r>
      <w:r>
        <w:rPr>
          <w:rFonts w:eastAsia="Times New Roman"/>
          <w:szCs w:val="24"/>
        </w:rPr>
        <w:t xml:space="preserve"> The typicality probability (do not sum up to 1) of Bianfu Cave P</w:t>
      </w:r>
      <w:r>
        <w:rPr>
          <w:rFonts w:eastAsia="Times New Roman"/>
          <w:szCs w:val="24"/>
          <w:vertAlign w:val="subscript"/>
        </w:rPr>
        <w:t>4</w:t>
      </w:r>
      <w:r>
        <w:rPr>
          <w:rFonts w:eastAsia="Times New Roman"/>
          <w:szCs w:val="24"/>
        </w:rPr>
        <w:t xml:space="preserve"> assigned to different taxonomic groups using between-group principal component analyses (bgPCA) and canonical variate analyses (CVA) of the EDJ shape.</w:t>
      </w:r>
    </w:p>
    <w:tbl>
      <w:tblPr>
        <w:tblStyle w:val="25"/>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72"/>
        <w:gridCol w:w="1205"/>
        <w:gridCol w:w="1254"/>
      </w:tblGrid>
      <w:tr w14:paraId="4A98879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tcBorders>
              <w:bottom w:val="single" w:color="auto" w:sz="4" w:space="0"/>
              <w:right w:val="nil"/>
            </w:tcBorders>
          </w:tcPr>
          <w:p w14:paraId="75E89867">
            <w:pPr>
              <w:keepNext w:val="0"/>
              <w:keepLines w:val="0"/>
              <w:widowControl/>
              <w:suppressLineNumbers w:val="0"/>
              <w:spacing w:before="0" w:beforeAutospacing="0" w:after="0" w:afterAutospacing="0" w:line="240" w:lineRule="auto"/>
              <w:ind w:left="0" w:right="0" w:firstLine="0"/>
              <w:rPr>
                <w:rFonts w:hint="default" w:eastAsia="Times New Roman"/>
                <w:color w:val="000000"/>
                <w:kern w:val="2"/>
                <w:sz w:val="21"/>
                <w:szCs w:val="22"/>
                <w:lang w:val="en-AU" w:eastAsia="fr-FR"/>
              </w:rPr>
            </w:pPr>
            <w:r>
              <w:rPr>
                <w:rFonts w:hint="default" w:eastAsia="Times New Roman"/>
                <w:color w:val="000000"/>
                <w:kern w:val="2"/>
                <w:sz w:val="20"/>
                <w:szCs w:val="20"/>
                <w:lang w:val="fr-FR" w:eastAsia="fr-FR"/>
              </w:rPr>
              <w:t>Species</w:t>
            </w:r>
          </w:p>
        </w:tc>
        <w:tc>
          <w:tcPr>
            <w:tcW w:w="1205" w:type="dxa"/>
            <w:tcBorders>
              <w:left w:val="nil"/>
              <w:bottom w:val="single" w:color="auto" w:sz="4" w:space="0"/>
              <w:right w:val="nil"/>
            </w:tcBorders>
          </w:tcPr>
          <w:p w14:paraId="772BA4EB">
            <w:pPr>
              <w:keepNext w:val="0"/>
              <w:keepLines w:val="0"/>
              <w:widowControl/>
              <w:suppressLineNumbers w:val="0"/>
              <w:spacing w:before="0" w:beforeAutospacing="0" w:after="0" w:afterAutospacing="0" w:line="240" w:lineRule="auto"/>
              <w:ind w:left="0" w:right="0" w:firstLine="0"/>
              <w:rPr>
                <w:rFonts w:hint="default" w:eastAsia="Times New Roman"/>
                <w:color w:val="000000"/>
                <w:kern w:val="2"/>
                <w:sz w:val="21"/>
                <w:szCs w:val="22"/>
                <w:lang w:val="en-AU" w:eastAsia="fr-FR"/>
              </w:rPr>
            </w:pPr>
            <w:r>
              <w:rPr>
                <w:rFonts w:hint="default" w:eastAsia="Times New Roman"/>
                <w:color w:val="000000"/>
                <w:kern w:val="2"/>
                <w:sz w:val="20"/>
                <w:szCs w:val="20"/>
                <w:lang w:val="fr-FR" w:eastAsia="fr-FR"/>
              </w:rPr>
              <w:t>bgPCA</w:t>
            </w:r>
          </w:p>
        </w:tc>
        <w:tc>
          <w:tcPr>
            <w:tcW w:w="1254" w:type="dxa"/>
            <w:tcBorders>
              <w:left w:val="nil"/>
              <w:bottom w:val="single" w:color="auto" w:sz="4" w:space="0"/>
            </w:tcBorders>
          </w:tcPr>
          <w:p w14:paraId="6062D52A">
            <w:pPr>
              <w:keepNext w:val="0"/>
              <w:keepLines w:val="0"/>
              <w:widowControl/>
              <w:suppressLineNumbers w:val="0"/>
              <w:spacing w:before="0" w:beforeAutospacing="0" w:after="0" w:afterAutospacing="0" w:line="240" w:lineRule="auto"/>
              <w:ind w:left="0" w:right="0" w:firstLine="0"/>
              <w:rPr>
                <w:rFonts w:hint="default" w:eastAsia="Times New Roman"/>
                <w:color w:val="000000"/>
                <w:kern w:val="2"/>
                <w:sz w:val="21"/>
                <w:szCs w:val="22"/>
                <w:lang w:val="en-AU" w:eastAsia="fr-FR"/>
              </w:rPr>
            </w:pPr>
            <w:r>
              <w:rPr>
                <w:rFonts w:hint="default" w:eastAsia="Times New Roman"/>
                <w:color w:val="000000"/>
                <w:kern w:val="2"/>
                <w:sz w:val="20"/>
                <w:szCs w:val="20"/>
                <w:lang w:val="fr-FR" w:eastAsia="fr-FR"/>
              </w:rPr>
              <w:t>CVA</w:t>
            </w:r>
          </w:p>
        </w:tc>
      </w:tr>
      <w:tr w14:paraId="10FEAB7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0" w:type="auto"/>
            <w:tcBorders>
              <w:bottom w:val="nil"/>
              <w:right w:val="nil"/>
            </w:tcBorders>
          </w:tcPr>
          <w:p w14:paraId="5896BC2B">
            <w:pPr>
              <w:keepNext w:val="0"/>
              <w:keepLines w:val="0"/>
              <w:widowControl/>
              <w:suppressLineNumbers w:val="0"/>
              <w:spacing w:before="0" w:beforeAutospacing="0" w:after="0" w:afterAutospacing="0" w:line="240" w:lineRule="auto"/>
              <w:ind w:left="0" w:right="0" w:firstLine="0"/>
              <w:rPr>
                <w:rFonts w:hint="default" w:eastAsia="Times New Roman"/>
                <w:i/>
                <w:iCs/>
                <w:color w:val="000000"/>
                <w:kern w:val="2"/>
                <w:sz w:val="20"/>
                <w:szCs w:val="20"/>
                <w:lang w:val="en-AU" w:eastAsia="fr-FR"/>
              </w:rPr>
            </w:pPr>
            <w:r>
              <w:rPr>
                <w:rFonts w:hint="default" w:eastAsia="Times New Roman"/>
                <w:i/>
                <w:iCs/>
                <w:color w:val="000000"/>
                <w:kern w:val="2"/>
                <w:sz w:val="20"/>
                <w:szCs w:val="20"/>
                <w:lang w:val="fr-FR" w:eastAsia="fr-FR"/>
              </w:rPr>
              <w:t>H</w:t>
            </w:r>
            <w:r>
              <w:rPr>
                <w:rFonts w:hint="eastAsia"/>
                <w:i/>
                <w:iCs/>
                <w:color w:val="000000"/>
                <w:kern w:val="2"/>
                <w:sz w:val="20"/>
                <w:szCs w:val="20"/>
                <w:lang w:val="en-US" w:eastAsia="zh-CN"/>
              </w:rPr>
              <w:t>.</w:t>
            </w:r>
            <w:r>
              <w:rPr>
                <w:rFonts w:hint="default" w:eastAsia="Times New Roman"/>
                <w:i/>
                <w:iCs/>
                <w:color w:val="000000"/>
                <w:kern w:val="2"/>
                <w:sz w:val="20"/>
                <w:szCs w:val="20"/>
                <w:lang w:val="fr-FR" w:eastAsia="fr-FR"/>
              </w:rPr>
              <w:t xml:space="preserve"> erectus</w:t>
            </w:r>
          </w:p>
        </w:tc>
        <w:tc>
          <w:tcPr>
            <w:tcW w:w="1205" w:type="dxa"/>
            <w:tcBorders>
              <w:left w:val="nil"/>
              <w:bottom w:val="nil"/>
              <w:right w:val="nil"/>
            </w:tcBorders>
          </w:tcPr>
          <w:p w14:paraId="29BD9151">
            <w:pPr>
              <w:keepNext w:val="0"/>
              <w:keepLines w:val="0"/>
              <w:widowControl/>
              <w:suppressLineNumbers w:val="0"/>
              <w:spacing w:before="0" w:beforeAutospacing="0" w:after="0" w:afterAutospacing="0" w:line="240" w:lineRule="auto"/>
              <w:ind w:left="0" w:right="0" w:firstLine="0"/>
              <w:rPr>
                <w:rFonts w:hint="default" w:eastAsiaTheme="minorEastAsia"/>
                <w:color w:val="000000"/>
                <w:kern w:val="2"/>
                <w:sz w:val="20"/>
                <w:szCs w:val="20"/>
                <w:lang w:val="en-AU"/>
              </w:rPr>
            </w:pPr>
            <w:r>
              <w:rPr>
                <w:rFonts w:hint="default" w:eastAsiaTheme="minorEastAsia"/>
                <w:color w:val="000000"/>
                <w:kern w:val="2"/>
                <w:sz w:val="20"/>
                <w:szCs w:val="20"/>
                <w:lang w:val="fr-FR"/>
              </w:rPr>
              <w:t>0.001</w:t>
            </w:r>
          </w:p>
        </w:tc>
        <w:tc>
          <w:tcPr>
            <w:tcW w:w="1254" w:type="dxa"/>
            <w:tcBorders>
              <w:left w:val="nil"/>
              <w:bottom w:val="nil"/>
            </w:tcBorders>
          </w:tcPr>
          <w:p w14:paraId="687CA624">
            <w:pPr>
              <w:keepNext w:val="0"/>
              <w:keepLines w:val="0"/>
              <w:widowControl/>
              <w:suppressLineNumbers w:val="0"/>
              <w:spacing w:before="0" w:beforeAutospacing="0" w:after="0" w:afterAutospacing="0" w:line="240" w:lineRule="auto"/>
              <w:ind w:left="0" w:right="0" w:firstLine="0"/>
              <w:rPr>
                <w:rFonts w:hint="default" w:eastAsiaTheme="minorEastAsia"/>
                <w:color w:val="000000"/>
                <w:kern w:val="2"/>
                <w:sz w:val="20"/>
                <w:szCs w:val="20"/>
                <w:lang w:val="en-US" w:eastAsia="zh-CN"/>
              </w:rPr>
            </w:pPr>
            <w:r>
              <w:rPr>
                <w:rFonts w:hint="eastAsia" w:eastAsiaTheme="minorEastAsia"/>
                <w:color w:val="000000"/>
                <w:kern w:val="2"/>
                <w:sz w:val="20"/>
                <w:szCs w:val="20"/>
                <w:lang w:val="fr-FR"/>
              </w:rPr>
              <w:t>0</w:t>
            </w:r>
            <w:r>
              <w:rPr>
                <w:rFonts w:hint="eastAsia" w:eastAsiaTheme="minorEastAsia"/>
                <w:color w:val="000000"/>
                <w:kern w:val="2"/>
                <w:sz w:val="20"/>
                <w:szCs w:val="20"/>
                <w:lang w:val="en-US" w:eastAsia="zh-CN"/>
              </w:rPr>
              <w:t>.014</w:t>
            </w:r>
          </w:p>
        </w:tc>
      </w:tr>
      <w:tr w14:paraId="160F261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0" w:type="auto"/>
            <w:tcBorders>
              <w:top w:val="nil"/>
              <w:bottom w:val="nil"/>
              <w:right w:val="nil"/>
            </w:tcBorders>
          </w:tcPr>
          <w:p w14:paraId="1505B048">
            <w:pPr>
              <w:keepNext w:val="0"/>
              <w:keepLines w:val="0"/>
              <w:widowControl/>
              <w:suppressLineNumbers w:val="0"/>
              <w:spacing w:before="0" w:beforeAutospacing="0" w:after="0" w:afterAutospacing="0" w:line="240" w:lineRule="auto"/>
              <w:ind w:left="0" w:right="0" w:firstLine="0"/>
              <w:rPr>
                <w:rFonts w:hint="default" w:eastAsia="Times New Roman"/>
                <w:color w:val="000000"/>
                <w:kern w:val="2"/>
                <w:sz w:val="20"/>
                <w:szCs w:val="20"/>
                <w:lang w:val="en-AU" w:eastAsia="fr-FR"/>
              </w:rPr>
            </w:pPr>
            <w:r>
              <w:rPr>
                <w:rFonts w:hint="default" w:eastAsia="Times New Roman"/>
                <w:color w:val="000000"/>
                <w:kern w:val="2"/>
                <w:sz w:val="20"/>
                <w:szCs w:val="20"/>
                <w:lang w:val="fr-FR" w:eastAsia="fr-FR"/>
              </w:rPr>
              <w:t>Neanderthals</w:t>
            </w:r>
          </w:p>
        </w:tc>
        <w:tc>
          <w:tcPr>
            <w:tcW w:w="1205" w:type="dxa"/>
            <w:tcBorders>
              <w:top w:val="nil"/>
              <w:left w:val="nil"/>
              <w:bottom w:val="nil"/>
              <w:right w:val="nil"/>
            </w:tcBorders>
          </w:tcPr>
          <w:p w14:paraId="164873C7">
            <w:pPr>
              <w:keepNext w:val="0"/>
              <w:keepLines w:val="0"/>
              <w:widowControl/>
              <w:suppressLineNumbers w:val="0"/>
              <w:spacing w:before="0" w:beforeAutospacing="0" w:after="0" w:afterAutospacing="0" w:line="240" w:lineRule="auto"/>
              <w:ind w:left="0" w:right="0" w:firstLine="0"/>
              <w:rPr>
                <w:rFonts w:hint="default" w:eastAsiaTheme="minorEastAsia"/>
                <w:color w:val="000000"/>
                <w:kern w:val="2"/>
                <w:sz w:val="20"/>
                <w:szCs w:val="20"/>
                <w:lang w:val="en-US" w:eastAsia="zh-CN"/>
              </w:rPr>
            </w:pPr>
            <w:r>
              <w:rPr>
                <w:rFonts w:hint="default" w:eastAsiaTheme="minorEastAsia"/>
                <w:color w:val="000000"/>
                <w:kern w:val="2"/>
                <w:sz w:val="20"/>
                <w:szCs w:val="20"/>
                <w:lang w:val="fr-FR"/>
              </w:rPr>
              <w:t>0.</w:t>
            </w:r>
            <w:r>
              <w:rPr>
                <w:rFonts w:hint="eastAsia" w:eastAsiaTheme="minorEastAsia"/>
                <w:color w:val="000000"/>
                <w:kern w:val="2"/>
                <w:sz w:val="20"/>
                <w:szCs w:val="20"/>
                <w:lang w:val="en-US" w:eastAsia="zh-CN"/>
              </w:rPr>
              <w:t>246</w:t>
            </w:r>
          </w:p>
        </w:tc>
        <w:tc>
          <w:tcPr>
            <w:tcW w:w="1254" w:type="dxa"/>
            <w:tcBorders>
              <w:top w:val="nil"/>
              <w:left w:val="nil"/>
              <w:bottom w:val="nil"/>
            </w:tcBorders>
          </w:tcPr>
          <w:p w14:paraId="748E66EA">
            <w:pPr>
              <w:keepNext w:val="0"/>
              <w:keepLines w:val="0"/>
              <w:widowControl/>
              <w:suppressLineNumbers w:val="0"/>
              <w:spacing w:before="0" w:beforeAutospacing="0" w:after="0" w:afterAutospacing="0" w:line="240" w:lineRule="auto"/>
              <w:ind w:left="0" w:right="0" w:firstLine="0"/>
              <w:rPr>
                <w:rFonts w:hint="default" w:eastAsiaTheme="minorEastAsia"/>
                <w:color w:val="000000"/>
                <w:kern w:val="2"/>
                <w:sz w:val="20"/>
                <w:szCs w:val="20"/>
                <w:lang w:val="en-US" w:eastAsia="zh-CN"/>
              </w:rPr>
            </w:pPr>
            <w:r>
              <w:rPr>
                <w:rFonts w:hint="eastAsia" w:eastAsiaTheme="minorEastAsia"/>
                <w:color w:val="000000"/>
                <w:kern w:val="2"/>
                <w:sz w:val="20"/>
                <w:szCs w:val="20"/>
                <w:lang w:val="fr-FR"/>
              </w:rPr>
              <w:t>0</w:t>
            </w:r>
            <w:r>
              <w:rPr>
                <w:rFonts w:hint="eastAsia" w:eastAsiaTheme="minorEastAsia"/>
                <w:color w:val="000000"/>
                <w:kern w:val="2"/>
                <w:sz w:val="20"/>
                <w:szCs w:val="20"/>
                <w:lang w:val="en-US" w:eastAsia="zh-CN"/>
              </w:rPr>
              <w:t>.446</w:t>
            </w:r>
          </w:p>
        </w:tc>
      </w:tr>
      <w:tr w14:paraId="2F1539E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0" w:type="auto"/>
            <w:tcBorders>
              <w:top w:val="nil"/>
              <w:bottom w:val="single" w:color="auto" w:sz="4" w:space="0"/>
              <w:right w:val="nil"/>
            </w:tcBorders>
          </w:tcPr>
          <w:p w14:paraId="5E35A077">
            <w:pPr>
              <w:keepNext w:val="0"/>
              <w:keepLines w:val="0"/>
              <w:widowControl/>
              <w:suppressLineNumbers w:val="0"/>
              <w:spacing w:before="0" w:beforeAutospacing="0" w:after="0" w:afterAutospacing="0" w:line="240" w:lineRule="auto"/>
              <w:ind w:left="0" w:right="0" w:firstLine="0"/>
              <w:rPr>
                <w:rFonts w:hint="default" w:eastAsiaTheme="minorEastAsia"/>
                <w:color w:val="000000"/>
                <w:kern w:val="2"/>
                <w:sz w:val="20"/>
                <w:szCs w:val="20"/>
                <w:lang w:val="en-AU"/>
              </w:rPr>
            </w:pPr>
            <w:r>
              <w:rPr>
                <w:rFonts w:hint="eastAsia" w:eastAsiaTheme="minorEastAsia"/>
                <w:i/>
                <w:iCs/>
                <w:color w:val="000000"/>
                <w:kern w:val="2"/>
                <w:sz w:val="20"/>
                <w:szCs w:val="20"/>
                <w:lang w:val="fr-FR"/>
              </w:rPr>
              <w:t>H. sapiens</w:t>
            </w:r>
          </w:p>
        </w:tc>
        <w:tc>
          <w:tcPr>
            <w:tcW w:w="1205" w:type="dxa"/>
            <w:tcBorders>
              <w:top w:val="nil"/>
              <w:left w:val="nil"/>
              <w:bottom w:val="single" w:color="auto" w:sz="4" w:space="0"/>
              <w:right w:val="nil"/>
            </w:tcBorders>
          </w:tcPr>
          <w:p w14:paraId="4A59DA15">
            <w:pPr>
              <w:keepNext w:val="0"/>
              <w:keepLines w:val="0"/>
              <w:widowControl/>
              <w:suppressLineNumbers w:val="0"/>
              <w:spacing w:before="0" w:beforeAutospacing="0" w:after="0" w:afterAutospacing="0" w:line="240" w:lineRule="auto"/>
              <w:ind w:left="0" w:right="0" w:firstLine="0"/>
              <w:rPr>
                <w:rFonts w:hint="default" w:eastAsiaTheme="minorEastAsia"/>
                <w:color w:val="000000"/>
                <w:kern w:val="2"/>
                <w:sz w:val="20"/>
                <w:szCs w:val="20"/>
                <w:lang w:val="en-US" w:eastAsia="zh-CN"/>
              </w:rPr>
            </w:pPr>
            <w:r>
              <w:rPr>
                <w:rFonts w:hint="default" w:eastAsiaTheme="minorEastAsia"/>
                <w:color w:val="000000"/>
                <w:kern w:val="2"/>
                <w:sz w:val="20"/>
                <w:szCs w:val="20"/>
                <w:lang w:val="fr-FR"/>
              </w:rPr>
              <w:t>0.</w:t>
            </w:r>
            <w:r>
              <w:rPr>
                <w:rFonts w:hint="eastAsia" w:eastAsiaTheme="minorEastAsia"/>
                <w:color w:val="000000"/>
                <w:kern w:val="2"/>
                <w:sz w:val="20"/>
                <w:szCs w:val="20"/>
                <w:lang w:val="en-US" w:eastAsia="zh-CN"/>
              </w:rPr>
              <w:t>762</w:t>
            </w:r>
          </w:p>
        </w:tc>
        <w:tc>
          <w:tcPr>
            <w:tcW w:w="1254" w:type="dxa"/>
            <w:tcBorders>
              <w:top w:val="nil"/>
              <w:left w:val="nil"/>
              <w:bottom w:val="single" w:color="auto" w:sz="4" w:space="0"/>
            </w:tcBorders>
          </w:tcPr>
          <w:p w14:paraId="74104432">
            <w:pPr>
              <w:keepNext w:val="0"/>
              <w:keepLines w:val="0"/>
              <w:widowControl/>
              <w:suppressLineNumbers w:val="0"/>
              <w:spacing w:before="0" w:beforeAutospacing="0" w:after="0" w:afterAutospacing="0" w:line="240" w:lineRule="auto"/>
              <w:ind w:left="0" w:right="0" w:firstLine="0"/>
              <w:rPr>
                <w:rFonts w:hint="default" w:eastAsiaTheme="minorEastAsia"/>
                <w:color w:val="000000"/>
                <w:kern w:val="2"/>
                <w:sz w:val="20"/>
                <w:szCs w:val="20"/>
                <w:lang w:val="en-US" w:eastAsia="zh-CN"/>
              </w:rPr>
            </w:pPr>
            <w:r>
              <w:rPr>
                <w:rFonts w:hint="default" w:eastAsiaTheme="minorEastAsia"/>
                <w:color w:val="000000"/>
                <w:kern w:val="2"/>
                <w:sz w:val="20"/>
                <w:szCs w:val="20"/>
                <w:lang w:val="fr-FR"/>
              </w:rPr>
              <w:t>0.</w:t>
            </w:r>
            <w:r>
              <w:rPr>
                <w:rFonts w:hint="eastAsia" w:eastAsiaTheme="minorEastAsia"/>
                <w:color w:val="000000"/>
                <w:kern w:val="2"/>
                <w:sz w:val="20"/>
                <w:szCs w:val="20"/>
                <w:lang w:val="en-US" w:eastAsia="zh-CN"/>
              </w:rPr>
              <w:t>644</w:t>
            </w:r>
          </w:p>
        </w:tc>
      </w:tr>
    </w:tbl>
    <w:p w14:paraId="5C5C64C2">
      <w:pPr>
        <w:rPr>
          <w:rFonts w:eastAsia="Times New Roman"/>
          <w:b/>
          <w:sz w:val="20"/>
          <w:szCs w:val="20"/>
        </w:rPr>
      </w:pPr>
    </w:p>
    <w:p w14:paraId="5F9245A2">
      <w:pPr>
        <w:rPr>
          <w:rFonts w:eastAsia="Times New Roman"/>
          <w:b/>
          <w:sz w:val="20"/>
          <w:szCs w:val="20"/>
        </w:rPr>
      </w:pPr>
    </w:p>
    <w:p w14:paraId="09864BEB">
      <w:pPr>
        <w:pStyle w:val="7"/>
        <w:rPr>
          <w:rFonts w:eastAsia="Times New Roman"/>
        </w:rPr>
      </w:pPr>
      <w:r>
        <w:rPr>
          <w:rFonts w:eastAsia="Times New Roman"/>
          <w:b/>
          <w:sz w:val="20"/>
          <w:szCs w:val="20"/>
        </w:rPr>
        <w:br w:type="column"/>
      </w:r>
      <w:r>
        <w:rPr>
          <w:b/>
          <w:bCs w:val="0"/>
        </w:rPr>
        <w:t xml:space="preserve">Supplementary Table </w:t>
      </w:r>
      <w:r>
        <w:rPr>
          <w:rFonts w:hint="eastAsia"/>
          <w:b/>
          <w:bCs w:val="0"/>
          <w:lang w:val="en-US" w:eastAsia="zh-CN"/>
        </w:rPr>
        <w:t>16</w:t>
      </w:r>
      <w:r>
        <w:t xml:space="preserve"> | </w:t>
      </w:r>
      <w:r>
        <w:rPr>
          <w:rFonts w:eastAsia="Times New Roman"/>
          <w:szCs w:val="24"/>
        </w:rPr>
        <w:t>The classification frequencies of cross-validated between-group principal component analyses (bgPCA) and canonical variate analyses (CVA) of the M</w:t>
      </w:r>
      <w:r>
        <w:rPr>
          <w:rFonts w:eastAsia="Times New Roman"/>
          <w:szCs w:val="24"/>
          <w:vertAlign w:val="subscript"/>
        </w:rPr>
        <w:t>2</w:t>
      </w:r>
      <w:r>
        <w:rPr>
          <w:rFonts w:eastAsia="Times New Roman"/>
          <w:szCs w:val="24"/>
        </w:rPr>
        <w:t xml:space="preserve"> EDJ shape of the comparative taxa.</w:t>
      </w:r>
    </w:p>
    <w:tbl>
      <w:tblPr>
        <w:tblStyle w:val="34"/>
        <w:tblW w:w="0" w:type="auto"/>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66"/>
        <w:gridCol w:w="806"/>
        <w:gridCol w:w="772"/>
      </w:tblGrid>
      <w:tr w14:paraId="1B6798BD">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bottom w:val="single" w:color="auto" w:sz="4" w:space="0"/>
            </w:tcBorders>
          </w:tcPr>
          <w:p w14:paraId="001B37B6">
            <w:pPr>
              <w:spacing w:after="0" w:line="240" w:lineRule="auto"/>
              <w:ind w:firstLine="0"/>
              <w:rPr>
                <w:rFonts w:eastAsia="Times New Roman"/>
                <w:color w:val="000000"/>
                <w:sz w:val="20"/>
                <w:szCs w:val="20"/>
                <w:lang w:val="fr-FR" w:eastAsia="fr-FR"/>
              </w:rPr>
            </w:pPr>
            <w:r>
              <w:rPr>
                <w:rFonts w:eastAsia="Times New Roman"/>
                <w:color w:val="000000"/>
                <w:sz w:val="20"/>
                <w:szCs w:val="20"/>
                <w:lang w:val="fr-FR" w:eastAsia="fr-FR"/>
              </w:rPr>
              <w:t>Species</w:t>
            </w:r>
          </w:p>
        </w:tc>
        <w:tc>
          <w:tcPr>
            <w:tcW w:w="0" w:type="auto"/>
            <w:tcBorders>
              <w:top w:val="single" w:color="auto" w:sz="4" w:space="0"/>
              <w:bottom w:val="single" w:color="auto" w:sz="4" w:space="0"/>
            </w:tcBorders>
            <w:noWrap/>
          </w:tcPr>
          <w:p w14:paraId="2F350394">
            <w:pPr>
              <w:spacing w:after="0" w:line="240" w:lineRule="auto"/>
              <w:ind w:firstLine="0"/>
              <w:rPr>
                <w:rFonts w:eastAsia="Times New Roman"/>
                <w:color w:val="000000"/>
                <w:sz w:val="20"/>
                <w:szCs w:val="20"/>
                <w:lang w:val="en-AU" w:eastAsia="fr-FR"/>
              </w:rPr>
            </w:pPr>
            <w:r>
              <w:rPr>
                <w:rFonts w:eastAsia="Times New Roman"/>
                <w:color w:val="000000"/>
                <w:sz w:val="20"/>
                <w:szCs w:val="20"/>
                <w:lang w:val="en-AU" w:eastAsia="fr-FR"/>
              </w:rPr>
              <w:t>bgPCA</w:t>
            </w:r>
          </w:p>
        </w:tc>
        <w:tc>
          <w:tcPr>
            <w:tcW w:w="0" w:type="auto"/>
            <w:tcBorders>
              <w:top w:val="single" w:color="auto" w:sz="4" w:space="0"/>
              <w:bottom w:val="single" w:color="auto" w:sz="4" w:space="0"/>
            </w:tcBorders>
            <w:noWrap/>
          </w:tcPr>
          <w:p w14:paraId="1FD72307">
            <w:pPr>
              <w:spacing w:after="0" w:line="240" w:lineRule="auto"/>
              <w:ind w:firstLine="0"/>
              <w:rPr>
                <w:rFonts w:eastAsia="Times New Roman"/>
                <w:color w:val="000000"/>
                <w:sz w:val="20"/>
                <w:szCs w:val="20"/>
                <w:lang w:val="en-AU" w:eastAsia="fr-FR"/>
              </w:rPr>
            </w:pPr>
            <w:r>
              <w:rPr>
                <w:rFonts w:eastAsia="Times New Roman"/>
                <w:color w:val="000000"/>
                <w:sz w:val="20"/>
                <w:szCs w:val="20"/>
                <w:lang w:val="en-AU" w:eastAsia="fr-FR"/>
              </w:rPr>
              <w:t>CVA</w:t>
            </w:r>
          </w:p>
        </w:tc>
      </w:tr>
      <w:tr w14:paraId="228CF0C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bottom w:val="nil"/>
            </w:tcBorders>
          </w:tcPr>
          <w:p w14:paraId="705B524A">
            <w:pPr>
              <w:spacing w:after="0" w:line="240" w:lineRule="auto"/>
              <w:ind w:firstLine="0"/>
              <w:rPr>
                <w:rFonts w:eastAsia="Times New Roman"/>
                <w:i/>
                <w:iCs/>
                <w:color w:val="000000"/>
                <w:sz w:val="20"/>
                <w:szCs w:val="20"/>
                <w:lang w:val="en-AU" w:eastAsia="fr-FR"/>
              </w:rPr>
            </w:pPr>
            <w:r>
              <w:rPr>
                <w:rFonts w:eastAsia="Times New Roman"/>
                <w:i/>
                <w:iCs/>
                <w:color w:val="000000"/>
                <w:sz w:val="20"/>
                <w:szCs w:val="20"/>
                <w:lang w:val="fr-FR" w:eastAsia="fr-FR"/>
              </w:rPr>
              <w:t>H. erectus</w:t>
            </w:r>
          </w:p>
        </w:tc>
        <w:tc>
          <w:tcPr>
            <w:tcW w:w="0" w:type="auto"/>
            <w:tcBorders>
              <w:top w:val="single" w:color="auto" w:sz="4" w:space="0"/>
              <w:bottom w:val="nil"/>
            </w:tcBorders>
            <w:noWrap/>
          </w:tcPr>
          <w:p w14:paraId="7A70D398">
            <w:pPr>
              <w:spacing w:after="0" w:line="240" w:lineRule="auto"/>
              <w:ind w:firstLine="0"/>
              <w:rPr>
                <w:rFonts w:eastAsia="Times New Roman"/>
                <w:color w:val="000000"/>
                <w:sz w:val="20"/>
                <w:szCs w:val="20"/>
                <w:lang w:val="en-AU" w:eastAsia="fr-FR"/>
              </w:rPr>
            </w:pPr>
            <w:r>
              <w:rPr>
                <w:rFonts w:eastAsia="Times New Roman"/>
                <w:color w:val="000000"/>
                <w:sz w:val="20"/>
                <w:szCs w:val="20"/>
                <w:lang w:val="en-AU" w:eastAsia="fr-FR"/>
              </w:rPr>
              <w:t xml:space="preserve"> </w:t>
            </w:r>
            <w:r>
              <w:rPr>
                <w:rFonts w:hint="eastAsia" w:eastAsiaTheme="minorEastAsia"/>
                <w:color w:val="000000"/>
                <w:sz w:val="20"/>
                <w:szCs w:val="20"/>
                <w:lang w:val="en-AU"/>
              </w:rPr>
              <w:t>8</w:t>
            </w:r>
            <w:r>
              <w:rPr>
                <w:rFonts w:eastAsia="Times New Roman"/>
                <w:color w:val="000000"/>
                <w:sz w:val="20"/>
                <w:szCs w:val="20"/>
                <w:lang w:val="en-AU" w:eastAsia="fr-FR"/>
              </w:rPr>
              <w:t>/9</w:t>
            </w:r>
          </w:p>
        </w:tc>
        <w:tc>
          <w:tcPr>
            <w:tcW w:w="0" w:type="auto"/>
            <w:tcBorders>
              <w:top w:val="single" w:color="auto" w:sz="4" w:space="0"/>
              <w:bottom w:val="nil"/>
            </w:tcBorders>
            <w:noWrap/>
          </w:tcPr>
          <w:p w14:paraId="55727204">
            <w:pPr>
              <w:spacing w:after="0" w:line="240" w:lineRule="auto"/>
              <w:ind w:firstLine="0"/>
              <w:rPr>
                <w:rFonts w:eastAsia="Times New Roman"/>
                <w:color w:val="000000"/>
                <w:sz w:val="20"/>
                <w:szCs w:val="20"/>
                <w:lang w:val="en-AU" w:eastAsia="fr-FR"/>
              </w:rPr>
            </w:pPr>
            <w:r>
              <w:rPr>
                <w:rFonts w:eastAsia="Times New Roman"/>
                <w:color w:val="000000"/>
                <w:sz w:val="20"/>
                <w:szCs w:val="20"/>
                <w:lang w:val="en-AU" w:eastAsia="fr-FR"/>
              </w:rPr>
              <w:t xml:space="preserve"> </w:t>
            </w:r>
            <w:r>
              <w:rPr>
                <w:rFonts w:hint="eastAsia" w:eastAsiaTheme="minorEastAsia"/>
                <w:color w:val="000000"/>
                <w:sz w:val="20"/>
                <w:szCs w:val="20"/>
                <w:lang w:val="en-US" w:eastAsia="zh-CN"/>
              </w:rPr>
              <w:t>6</w:t>
            </w:r>
            <w:r>
              <w:rPr>
                <w:rFonts w:eastAsia="Times New Roman"/>
                <w:color w:val="000000"/>
                <w:sz w:val="20"/>
                <w:szCs w:val="20"/>
                <w:lang w:val="en-AU" w:eastAsia="fr-FR"/>
              </w:rPr>
              <w:t>/9</w:t>
            </w:r>
          </w:p>
        </w:tc>
      </w:tr>
      <w:tr w14:paraId="1498E1D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bottom w:val="nil"/>
            </w:tcBorders>
          </w:tcPr>
          <w:p w14:paraId="13FDB64C">
            <w:pPr>
              <w:spacing w:after="0" w:line="240" w:lineRule="auto"/>
              <w:ind w:firstLine="0"/>
              <w:rPr>
                <w:rFonts w:eastAsiaTheme="minorEastAsia"/>
                <w:color w:val="000000"/>
                <w:sz w:val="20"/>
                <w:szCs w:val="20"/>
                <w:lang w:val="en-AU"/>
              </w:rPr>
            </w:pPr>
            <w:r>
              <w:rPr>
                <w:rFonts w:eastAsia="Times New Roman"/>
                <w:color w:val="000000"/>
                <w:sz w:val="20"/>
                <w:szCs w:val="20"/>
                <w:lang w:val="fr-FR" w:eastAsia="fr-FR"/>
              </w:rPr>
              <w:t xml:space="preserve">East Asian late Middle Pleistocene </w:t>
            </w:r>
            <w:r>
              <w:rPr>
                <w:rFonts w:eastAsia="Times New Roman"/>
                <w:i/>
                <w:iCs/>
                <w:color w:val="000000"/>
                <w:sz w:val="20"/>
                <w:szCs w:val="20"/>
                <w:lang w:val="fr-FR" w:eastAsia="fr-FR"/>
              </w:rPr>
              <w:t>Homo</w:t>
            </w:r>
            <w:r>
              <w:rPr>
                <w:rFonts w:hint="eastAsia" w:eastAsiaTheme="minorEastAsia"/>
                <w:iCs/>
                <w:color w:val="000000"/>
                <w:sz w:val="20"/>
                <w:szCs w:val="20"/>
                <w:lang w:val="fr-FR"/>
              </w:rPr>
              <w:t xml:space="preserve"> and Denisovans</w:t>
            </w:r>
          </w:p>
        </w:tc>
        <w:tc>
          <w:tcPr>
            <w:tcW w:w="0" w:type="auto"/>
            <w:tcBorders>
              <w:bottom w:val="nil"/>
            </w:tcBorders>
            <w:noWrap/>
          </w:tcPr>
          <w:p w14:paraId="07473756">
            <w:pPr>
              <w:spacing w:after="0" w:line="240" w:lineRule="auto"/>
              <w:ind w:firstLine="0"/>
              <w:rPr>
                <w:rFonts w:eastAsiaTheme="minorEastAsia"/>
                <w:color w:val="000000"/>
                <w:sz w:val="20"/>
                <w:szCs w:val="20"/>
                <w:lang w:val="en-AU"/>
              </w:rPr>
            </w:pPr>
            <w:r>
              <w:rPr>
                <w:rFonts w:eastAsia="Times New Roman"/>
                <w:color w:val="000000"/>
                <w:sz w:val="20"/>
                <w:szCs w:val="20"/>
                <w:lang w:val="en-AU" w:eastAsia="fr-FR"/>
              </w:rPr>
              <w:t xml:space="preserve"> </w:t>
            </w:r>
            <w:r>
              <w:rPr>
                <w:rFonts w:hint="eastAsia" w:eastAsiaTheme="minorEastAsia"/>
                <w:color w:val="000000"/>
                <w:sz w:val="20"/>
                <w:szCs w:val="20"/>
                <w:lang w:val="en-US" w:eastAsia="zh-CN"/>
              </w:rPr>
              <w:t>2</w:t>
            </w:r>
            <w:r>
              <w:rPr>
                <w:rFonts w:eastAsia="Times New Roman"/>
                <w:color w:val="000000"/>
                <w:sz w:val="20"/>
                <w:szCs w:val="20"/>
                <w:lang w:val="en-AU" w:eastAsia="fr-FR"/>
              </w:rPr>
              <w:t>/</w:t>
            </w:r>
            <w:r>
              <w:rPr>
                <w:rFonts w:hint="eastAsia" w:eastAsiaTheme="minorEastAsia"/>
                <w:color w:val="000000"/>
                <w:sz w:val="20"/>
                <w:szCs w:val="20"/>
                <w:lang w:val="en-AU"/>
              </w:rPr>
              <w:t>5</w:t>
            </w:r>
          </w:p>
        </w:tc>
        <w:tc>
          <w:tcPr>
            <w:tcW w:w="0" w:type="auto"/>
            <w:tcBorders>
              <w:bottom w:val="nil"/>
            </w:tcBorders>
            <w:noWrap/>
          </w:tcPr>
          <w:p w14:paraId="52229AC9">
            <w:pPr>
              <w:spacing w:after="0" w:line="240" w:lineRule="auto"/>
              <w:ind w:firstLine="0"/>
              <w:rPr>
                <w:rFonts w:eastAsiaTheme="minorEastAsia"/>
                <w:color w:val="000000"/>
                <w:sz w:val="20"/>
                <w:szCs w:val="20"/>
                <w:lang w:val="en-AU"/>
              </w:rPr>
            </w:pPr>
            <w:r>
              <w:rPr>
                <w:rFonts w:eastAsia="Times New Roman"/>
                <w:color w:val="000000"/>
                <w:sz w:val="20"/>
                <w:szCs w:val="20"/>
                <w:lang w:val="en-AU" w:eastAsia="fr-FR"/>
              </w:rPr>
              <w:t xml:space="preserve"> </w:t>
            </w:r>
            <w:r>
              <w:rPr>
                <w:rFonts w:hint="eastAsia" w:eastAsiaTheme="minorEastAsia"/>
                <w:color w:val="000000"/>
                <w:sz w:val="20"/>
                <w:szCs w:val="20"/>
                <w:lang w:val="en-AU"/>
              </w:rPr>
              <w:t>3</w:t>
            </w:r>
            <w:r>
              <w:rPr>
                <w:rFonts w:eastAsia="Times New Roman"/>
                <w:color w:val="000000"/>
                <w:sz w:val="20"/>
                <w:szCs w:val="20"/>
                <w:lang w:val="en-AU" w:eastAsia="fr-FR"/>
              </w:rPr>
              <w:t>/</w:t>
            </w:r>
            <w:r>
              <w:rPr>
                <w:rFonts w:hint="eastAsia" w:eastAsiaTheme="minorEastAsia"/>
                <w:color w:val="000000"/>
                <w:sz w:val="20"/>
                <w:szCs w:val="20"/>
                <w:lang w:val="en-AU"/>
              </w:rPr>
              <w:t>5</w:t>
            </w:r>
          </w:p>
        </w:tc>
      </w:tr>
      <w:tr w14:paraId="45C59C0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bottom w:val="nil"/>
            </w:tcBorders>
          </w:tcPr>
          <w:p w14:paraId="481DDB1D">
            <w:pPr>
              <w:spacing w:after="0" w:line="240" w:lineRule="auto"/>
              <w:ind w:firstLine="0"/>
              <w:rPr>
                <w:rFonts w:eastAsia="Times New Roman"/>
                <w:color w:val="000000"/>
                <w:sz w:val="20"/>
                <w:szCs w:val="20"/>
                <w:lang w:val="en-AU" w:eastAsia="fr-FR"/>
              </w:rPr>
            </w:pPr>
            <w:r>
              <w:rPr>
                <w:rFonts w:eastAsia="Times New Roman"/>
                <w:color w:val="000000"/>
                <w:sz w:val="20"/>
                <w:szCs w:val="20"/>
                <w:lang w:val="fr-FR" w:eastAsia="fr-FR"/>
              </w:rPr>
              <w:t>Neanderthals</w:t>
            </w:r>
          </w:p>
        </w:tc>
        <w:tc>
          <w:tcPr>
            <w:tcW w:w="0" w:type="auto"/>
            <w:tcBorders>
              <w:bottom w:val="nil"/>
            </w:tcBorders>
            <w:noWrap/>
          </w:tcPr>
          <w:p w14:paraId="3C6BBCBB">
            <w:pPr>
              <w:spacing w:after="0" w:line="240" w:lineRule="auto"/>
              <w:ind w:firstLine="0"/>
              <w:rPr>
                <w:rFonts w:eastAsiaTheme="minorEastAsia"/>
                <w:color w:val="000000"/>
                <w:sz w:val="20"/>
                <w:szCs w:val="20"/>
                <w:lang w:val="en-AU"/>
              </w:rPr>
            </w:pPr>
            <w:r>
              <w:rPr>
                <w:rFonts w:eastAsia="Times New Roman"/>
                <w:color w:val="000000"/>
                <w:sz w:val="20"/>
                <w:szCs w:val="20"/>
                <w:lang w:val="en-AU" w:eastAsia="fr-FR"/>
              </w:rPr>
              <w:t xml:space="preserve"> </w:t>
            </w:r>
            <w:r>
              <w:rPr>
                <w:rFonts w:hint="eastAsia" w:eastAsiaTheme="minorEastAsia"/>
                <w:color w:val="000000"/>
                <w:sz w:val="20"/>
                <w:szCs w:val="20"/>
                <w:lang w:val="en-US" w:eastAsia="zh-CN"/>
              </w:rPr>
              <w:t>11</w:t>
            </w:r>
            <w:r>
              <w:rPr>
                <w:rFonts w:eastAsia="Times New Roman"/>
                <w:color w:val="000000"/>
                <w:sz w:val="20"/>
                <w:szCs w:val="20"/>
                <w:lang w:val="en-AU" w:eastAsia="fr-FR"/>
              </w:rPr>
              <w:t>/1</w:t>
            </w:r>
            <w:r>
              <w:rPr>
                <w:rFonts w:hint="eastAsia" w:eastAsiaTheme="minorEastAsia"/>
                <w:color w:val="000000"/>
                <w:sz w:val="20"/>
                <w:szCs w:val="20"/>
                <w:lang w:val="en-AU"/>
              </w:rPr>
              <w:t>3</w:t>
            </w:r>
          </w:p>
        </w:tc>
        <w:tc>
          <w:tcPr>
            <w:tcW w:w="0" w:type="auto"/>
            <w:tcBorders>
              <w:bottom w:val="nil"/>
            </w:tcBorders>
            <w:noWrap/>
          </w:tcPr>
          <w:p w14:paraId="0C341992">
            <w:pPr>
              <w:spacing w:after="0" w:line="240" w:lineRule="auto"/>
              <w:ind w:firstLine="0"/>
              <w:rPr>
                <w:rFonts w:eastAsiaTheme="minorEastAsia"/>
                <w:color w:val="000000"/>
                <w:sz w:val="20"/>
                <w:szCs w:val="20"/>
                <w:lang w:val="en-AU"/>
              </w:rPr>
            </w:pPr>
            <w:r>
              <w:rPr>
                <w:rFonts w:eastAsia="Times New Roman"/>
                <w:color w:val="000000"/>
                <w:sz w:val="20"/>
                <w:szCs w:val="20"/>
                <w:lang w:val="en-AU" w:eastAsia="fr-FR"/>
              </w:rPr>
              <w:t xml:space="preserve"> 1</w:t>
            </w:r>
            <w:r>
              <w:rPr>
                <w:rFonts w:hint="eastAsia" w:eastAsiaTheme="minorEastAsia"/>
                <w:color w:val="000000"/>
                <w:sz w:val="20"/>
                <w:szCs w:val="20"/>
                <w:lang w:val="en-AU"/>
              </w:rPr>
              <w:t>2</w:t>
            </w:r>
            <w:r>
              <w:rPr>
                <w:rFonts w:eastAsia="Times New Roman"/>
                <w:color w:val="000000"/>
                <w:sz w:val="20"/>
                <w:szCs w:val="20"/>
                <w:lang w:val="en-AU" w:eastAsia="fr-FR"/>
              </w:rPr>
              <w:t>/1</w:t>
            </w:r>
            <w:r>
              <w:rPr>
                <w:rFonts w:hint="eastAsia" w:eastAsiaTheme="minorEastAsia"/>
                <w:color w:val="000000"/>
                <w:sz w:val="20"/>
                <w:szCs w:val="20"/>
                <w:lang w:val="en-AU"/>
              </w:rPr>
              <w:t>3</w:t>
            </w:r>
          </w:p>
        </w:tc>
      </w:tr>
      <w:tr w14:paraId="4750610B">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0" w:type="auto"/>
            <w:tcBorders>
              <w:bottom w:val="single" w:color="auto" w:sz="4" w:space="0"/>
            </w:tcBorders>
          </w:tcPr>
          <w:p w14:paraId="48FF95E7">
            <w:pPr>
              <w:spacing w:after="0" w:line="240" w:lineRule="auto"/>
              <w:ind w:firstLine="0"/>
              <w:rPr>
                <w:rFonts w:eastAsiaTheme="minorEastAsia"/>
                <w:color w:val="000000"/>
                <w:sz w:val="20"/>
                <w:szCs w:val="20"/>
                <w:lang w:val="en-AU"/>
              </w:rPr>
            </w:pPr>
            <w:r>
              <w:rPr>
                <w:rFonts w:eastAsia="Times New Roman"/>
                <w:i/>
                <w:iCs/>
                <w:color w:val="000000"/>
                <w:sz w:val="20"/>
                <w:szCs w:val="20"/>
                <w:lang w:val="fr-FR" w:eastAsia="fr-FR"/>
              </w:rPr>
              <w:t xml:space="preserve">H. </w:t>
            </w:r>
            <w:r>
              <w:rPr>
                <w:rFonts w:hint="eastAsia" w:eastAsiaTheme="minorEastAsia"/>
                <w:i/>
                <w:iCs/>
                <w:color w:val="000000"/>
                <w:sz w:val="20"/>
                <w:szCs w:val="20"/>
                <w:lang w:val="fr-FR"/>
              </w:rPr>
              <w:t>s</w:t>
            </w:r>
            <w:r>
              <w:rPr>
                <w:rFonts w:eastAsia="Times New Roman"/>
                <w:i/>
                <w:iCs/>
                <w:color w:val="000000"/>
                <w:sz w:val="20"/>
                <w:szCs w:val="20"/>
                <w:lang w:val="fr-FR" w:eastAsia="fr-FR"/>
              </w:rPr>
              <w:t>apiens</w:t>
            </w:r>
            <w:r>
              <w:rPr>
                <w:rFonts w:hint="eastAsia" w:eastAsiaTheme="minorEastAsia"/>
                <w:iCs/>
                <w:color w:val="000000"/>
                <w:sz w:val="20"/>
                <w:szCs w:val="20"/>
                <w:lang w:val="fr-FR"/>
              </w:rPr>
              <w:t xml:space="preserve"> </w:t>
            </w:r>
          </w:p>
        </w:tc>
        <w:tc>
          <w:tcPr>
            <w:tcW w:w="0" w:type="auto"/>
            <w:tcBorders>
              <w:bottom w:val="single" w:color="auto" w:sz="4" w:space="0"/>
            </w:tcBorders>
            <w:noWrap/>
          </w:tcPr>
          <w:p w14:paraId="1026A533">
            <w:pPr>
              <w:spacing w:after="0" w:line="240" w:lineRule="auto"/>
              <w:ind w:firstLine="0"/>
              <w:rPr>
                <w:rFonts w:hint="default" w:eastAsiaTheme="minorEastAsia"/>
                <w:color w:val="000000"/>
                <w:sz w:val="20"/>
                <w:szCs w:val="20"/>
                <w:lang w:val="en-US" w:eastAsia="zh-CN"/>
              </w:rPr>
            </w:pPr>
            <w:r>
              <w:rPr>
                <w:rFonts w:eastAsia="Times New Roman"/>
                <w:color w:val="000000"/>
                <w:sz w:val="20"/>
                <w:szCs w:val="20"/>
                <w:lang w:val="en-AU" w:eastAsia="fr-FR"/>
              </w:rPr>
              <w:t xml:space="preserve"> </w:t>
            </w:r>
            <w:r>
              <w:rPr>
                <w:rFonts w:hint="eastAsia" w:eastAsiaTheme="minorEastAsia"/>
                <w:color w:val="000000"/>
                <w:sz w:val="20"/>
                <w:szCs w:val="20"/>
                <w:lang w:val="en-US" w:eastAsia="zh-CN"/>
              </w:rPr>
              <w:t>23</w:t>
            </w:r>
            <w:r>
              <w:rPr>
                <w:rFonts w:eastAsia="Times New Roman"/>
                <w:color w:val="000000"/>
                <w:sz w:val="20"/>
                <w:szCs w:val="20"/>
                <w:lang w:val="en-AU" w:eastAsia="fr-FR"/>
              </w:rPr>
              <w:t>/</w:t>
            </w:r>
            <w:r>
              <w:rPr>
                <w:rFonts w:hint="eastAsia" w:eastAsiaTheme="minorEastAsia"/>
                <w:color w:val="000000"/>
                <w:sz w:val="20"/>
                <w:szCs w:val="20"/>
                <w:lang w:val="en-US" w:eastAsia="zh-CN"/>
              </w:rPr>
              <w:t>32</w:t>
            </w:r>
          </w:p>
        </w:tc>
        <w:tc>
          <w:tcPr>
            <w:tcW w:w="0" w:type="auto"/>
            <w:tcBorders>
              <w:bottom w:val="single" w:color="auto" w:sz="4" w:space="0"/>
            </w:tcBorders>
            <w:noWrap/>
          </w:tcPr>
          <w:p w14:paraId="359C46AE">
            <w:pPr>
              <w:spacing w:after="0" w:line="240" w:lineRule="auto"/>
              <w:ind w:firstLine="0"/>
              <w:rPr>
                <w:rFonts w:hint="default" w:eastAsiaTheme="minorEastAsia"/>
                <w:color w:val="000000"/>
                <w:sz w:val="20"/>
                <w:szCs w:val="20"/>
                <w:lang w:val="en-US" w:eastAsia="zh-CN"/>
              </w:rPr>
            </w:pPr>
            <w:r>
              <w:rPr>
                <w:rFonts w:eastAsia="Times New Roman"/>
                <w:color w:val="000000"/>
                <w:sz w:val="20"/>
                <w:szCs w:val="20"/>
                <w:lang w:val="en-AU" w:eastAsia="fr-FR"/>
              </w:rPr>
              <w:t xml:space="preserve"> </w:t>
            </w:r>
            <w:r>
              <w:rPr>
                <w:rFonts w:hint="eastAsia" w:eastAsiaTheme="minorEastAsia"/>
                <w:color w:val="000000"/>
                <w:sz w:val="20"/>
                <w:szCs w:val="20"/>
                <w:lang w:val="en-US" w:eastAsia="zh-CN"/>
              </w:rPr>
              <w:t>23</w:t>
            </w:r>
            <w:r>
              <w:rPr>
                <w:rFonts w:eastAsia="Times New Roman"/>
                <w:color w:val="000000"/>
                <w:sz w:val="20"/>
                <w:szCs w:val="20"/>
                <w:lang w:val="en-AU" w:eastAsia="fr-FR"/>
              </w:rPr>
              <w:t>/</w:t>
            </w:r>
            <w:r>
              <w:rPr>
                <w:rFonts w:hint="eastAsia" w:eastAsiaTheme="minorEastAsia"/>
                <w:color w:val="000000"/>
                <w:sz w:val="20"/>
                <w:szCs w:val="20"/>
                <w:lang w:val="en-US" w:eastAsia="zh-CN"/>
              </w:rPr>
              <w:t>32</w:t>
            </w:r>
          </w:p>
        </w:tc>
      </w:tr>
    </w:tbl>
    <w:p w14:paraId="71A7C90C">
      <w:pPr>
        <w:ind w:firstLine="0"/>
        <w:rPr>
          <w:rFonts w:eastAsia="Times New Roman"/>
          <w:b/>
          <w:sz w:val="20"/>
          <w:szCs w:val="20"/>
        </w:rPr>
      </w:pPr>
      <w:r>
        <w:rPr>
          <w:rFonts w:eastAsia="Times New Roman"/>
          <w:b/>
          <w:sz w:val="20"/>
          <w:szCs w:val="20"/>
        </w:rPr>
        <w:t xml:space="preserve">* </w:t>
      </w:r>
      <w:r>
        <w:rPr>
          <w:rFonts w:eastAsia="Times New Roman"/>
          <w:sz w:val="20"/>
          <w:szCs w:val="20"/>
        </w:rPr>
        <w:t xml:space="preserve">The overall classification accuracy of bgPCA and CVA is </w:t>
      </w:r>
      <w:r>
        <w:rPr>
          <w:rFonts w:hint="eastAsia" w:eastAsiaTheme="minorEastAsia"/>
          <w:sz w:val="20"/>
          <w:szCs w:val="20"/>
          <w:lang w:val="en-US" w:eastAsia="zh-CN"/>
        </w:rPr>
        <w:t>74.6</w:t>
      </w:r>
      <w:r>
        <w:rPr>
          <w:rFonts w:eastAsia="Times New Roman"/>
          <w:sz w:val="20"/>
          <w:szCs w:val="20"/>
        </w:rPr>
        <w:t xml:space="preserve">% and </w:t>
      </w:r>
      <w:r>
        <w:rPr>
          <w:rFonts w:hint="eastAsia" w:eastAsiaTheme="minorEastAsia"/>
          <w:sz w:val="20"/>
          <w:szCs w:val="20"/>
          <w:lang w:val="en-US" w:eastAsia="zh-CN"/>
        </w:rPr>
        <w:t>74.6</w:t>
      </w:r>
      <w:r>
        <w:rPr>
          <w:rFonts w:eastAsia="Times New Roman"/>
          <w:sz w:val="20"/>
          <w:szCs w:val="20"/>
        </w:rPr>
        <w:t>%, respectively.</w:t>
      </w:r>
    </w:p>
    <w:p w14:paraId="4CD8BA55">
      <w:pPr>
        <w:rPr>
          <w:rFonts w:eastAsia="Times New Roman"/>
          <w:b/>
        </w:rPr>
      </w:pPr>
    </w:p>
    <w:p w14:paraId="31713B27">
      <w:pPr>
        <w:rPr>
          <w:rFonts w:eastAsia="Times New Roman"/>
          <w:b/>
        </w:rPr>
      </w:pPr>
      <w:r>
        <w:br w:type="page"/>
      </w:r>
    </w:p>
    <w:p w14:paraId="5FF70CB3">
      <w:pPr>
        <w:pStyle w:val="7"/>
      </w:pPr>
      <w:r>
        <w:rPr>
          <w:b/>
          <w:bCs w:val="0"/>
        </w:rPr>
        <w:t xml:space="preserve">Supplementary Table </w:t>
      </w:r>
      <w:r>
        <w:rPr>
          <w:rFonts w:hint="eastAsia"/>
          <w:b/>
          <w:bCs w:val="0"/>
          <w:lang w:val="en-US" w:eastAsia="zh-CN"/>
        </w:rPr>
        <w:t>17</w:t>
      </w:r>
      <w:r>
        <w:rPr>
          <w:b/>
          <w:szCs w:val="24"/>
        </w:rPr>
        <w:t xml:space="preserve"> |</w:t>
      </w:r>
      <w:r>
        <w:rPr>
          <w:rFonts w:eastAsia="Times New Roman"/>
          <w:szCs w:val="24"/>
        </w:rPr>
        <w:t xml:space="preserve"> The typicality probability (do not sum up to 1) of Bianfu Cave M</w:t>
      </w:r>
      <w:r>
        <w:rPr>
          <w:rFonts w:eastAsia="Times New Roman"/>
          <w:szCs w:val="24"/>
          <w:vertAlign w:val="subscript"/>
        </w:rPr>
        <w:t>2</w:t>
      </w:r>
      <w:r>
        <w:rPr>
          <w:rFonts w:eastAsia="Times New Roman"/>
          <w:szCs w:val="24"/>
        </w:rPr>
        <w:t>s assigned to different taxonomic groups using between-group principal component analyses (bgPCA) and canonical variate analyses (CVA) of the EDJ shape.</w:t>
      </w:r>
    </w:p>
    <w:tbl>
      <w:tblPr>
        <w:tblStyle w:val="42"/>
        <w:tblW w:w="4936" w:type="pct"/>
        <w:tblInd w:w="0" w:type="dxa"/>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autofit"/>
        <w:tblCellMar>
          <w:top w:w="0" w:type="dxa"/>
          <w:left w:w="115" w:type="dxa"/>
          <w:bottom w:w="0" w:type="dxa"/>
          <w:right w:w="115" w:type="dxa"/>
        </w:tblCellMar>
      </w:tblPr>
      <w:tblGrid>
        <w:gridCol w:w="986"/>
        <w:gridCol w:w="1583"/>
        <w:gridCol w:w="1561"/>
        <w:gridCol w:w="5527"/>
        <w:gridCol w:w="1799"/>
        <w:gridCol w:w="2211"/>
      </w:tblGrid>
      <w:tr w14:paraId="59CD728F">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rPr>
          <w:trHeight w:val="300" w:hRule="atLeast"/>
        </w:trPr>
        <w:tc>
          <w:tcPr>
            <w:tcW w:w="361" w:type="pct"/>
            <w:tcBorders>
              <w:right w:val="nil"/>
            </w:tcBorders>
            <w:vAlign w:val="center"/>
          </w:tcPr>
          <w:p w14:paraId="23AF1E73">
            <w:pPr>
              <w:spacing w:after="0" w:line="240" w:lineRule="auto"/>
              <w:ind w:firstLine="0"/>
              <w:rPr>
                <w:rFonts w:eastAsia="Times New Roman"/>
                <w:sz w:val="20"/>
                <w:szCs w:val="20"/>
                <w:lang w:val="fr-FR" w:eastAsia="fr-FR"/>
              </w:rPr>
            </w:pPr>
          </w:p>
        </w:tc>
        <w:tc>
          <w:tcPr>
            <w:tcW w:w="579" w:type="pct"/>
            <w:tcBorders>
              <w:left w:val="nil"/>
            </w:tcBorders>
            <w:vAlign w:val="center"/>
          </w:tcPr>
          <w:p w14:paraId="102FD914">
            <w:pPr>
              <w:spacing w:after="0" w:line="240" w:lineRule="auto"/>
              <w:ind w:firstLine="0"/>
              <w:rPr>
                <w:rFonts w:eastAsia="Times New Roman"/>
                <w:sz w:val="20"/>
                <w:szCs w:val="20"/>
                <w:lang w:val="fr-FR" w:eastAsia="fr-FR"/>
              </w:rPr>
            </w:pPr>
          </w:p>
        </w:tc>
        <w:tc>
          <w:tcPr>
            <w:tcW w:w="571" w:type="pct"/>
            <w:vAlign w:val="center"/>
          </w:tcPr>
          <w:p w14:paraId="16A789B1">
            <w:pPr>
              <w:spacing w:after="0" w:line="240" w:lineRule="auto"/>
              <w:ind w:firstLine="0"/>
              <w:rPr>
                <w:rFonts w:eastAsia="Times New Roman"/>
                <w:i/>
                <w:sz w:val="20"/>
                <w:szCs w:val="20"/>
                <w:lang w:val="fr-FR" w:eastAsia="fr-FR"/>
              </w:rPr>
            </w:pPr>
            <w:r>
              <w:rPr>
                <w:rFonts w:eastAsia="Times New Roman"/>
                <w:i/>
                <w:sz w:val="20"/>
                <w:szCs w:val="20"/>
                <w:lang w:val="fr-FR" w:eastAsia="fr-FR"/>
              </w:rPr>
              <w:t>H. erectus</w:t>
            </w:r>
          </w:p>
        </w:tc>
        <w:tc>
          <w:tcPr>
            <w:tcW w:w="2022" w:type="pct"/>
            <w:vAlign w:val="center"/>
          </w:tcPr>
          <w:p w14:paraId="345A1255">
            <w:pPr>
              <w:spacing w:after="0" w:line="240" w:lineRule="auto"/>
              <w:ind w:firstLine="0"/>
              <w:rPr>
                <w:rFonts w:eastAsiaTheme="minorEastAsia"/>
                <w:sz w:val="20"/>
                <w:szCs w:val="20"/>
                <w:lang w:val="fr-FR"/>
              </w:rPr>
            </w:pPr>
            <w:r>
              <w:rPr>
                <w:rFonts w:eastAsia="Times New Roman"/>
                <w:sz w:val="20"/>
                <w:szCs w:val="20"/>
                <w:lang w:val="fr-FR" w:eastAsia="fr-FR"/>
              </w:rPr>
              <w:t xml:space="preserve">East Asian late Middle Pleistocene </w:t>
            </w:r>
            <w:r>
              <w:rPr>
                <w:rFonts w:eastAsia="Times New Roman"/>
                <w:i/>
                <w:sz w:val="20"/>
                <w:szCs w:val="20"/>
                <w:lang w:val="fr-FR" w:eastAsia="fr-FR"/>
              </w:rPr>
              <w:t>Homo</w:t>
            </w:r>
            <w:r>
              <w:rPr>
                <w:rFonts w:hint="eastAsia" w:eastAsiaTheme="minorEastAsia"/>
                <w:sz w:val="20"/>
                <w:szCs w:val="20"/>
                <w:lang w:val="fr-FR"/>
              </w:rPr>
              <w:t xml:space="preserve"> and Denisovans</w:t>
            </w:r>
          </w:p>
        </w:tc>
        <w:tc>
          <w:tcPr>
            <w:tcW w:w="658" w:type="pct"/>
            <w:vAlign w:val="center"/>
          </w:tcPr>
          <w:p w14:paraId="7E7E2835">
            <w:pPr>
              <w:spacing w:after="0" w:line="240" w:lineRule="auto"/>
              <w:ind w:firstLine="0"/>
              <w:rPr>
                <w:rFonts w:eastAsia="Times New Roman"/>
                <w:sz w:val="20"/>
                <w:szCs w:val="20"/>
                <w:lang w:val="fr-FR" w:eastAsia="fr-FR"/>
              </w:rPr>
            </w:pPr>
            <w:r>
              <w:rPr>
                <w:rFonts w:eastAsia="Times New Roman"/>
                <w:sz w:val="20"/>
                <w:szCs w:val="20"/>
                <w:lang w:val="fr-FR" w:eastAsia="fr-FR"/>
              </w:rPr>
              <w:t>Neanderthals</w:t>
            </w:r>
          </w:p>
        </w:tc>
        <w:tc>
          <w:tcPr>
            <w:tcW w:w="809" w:type="pct"/>
            <w:vAlign w:val="center"/>
          </w:tcPr>
          <w:p w14:paraId="48D97795">
            <w:pPr>
              <w:spacing w:after="0" w:line="240" w:lineRule="auto"/>
              <w:ind w:firstLine="0"/>
              <w:rPr>
                <w:rFonts w:eastAsiaTheme="minorEastAsia"/>
                <w:sz w:val="20"/>
                <w:szCs w:val="20"/>
                <w:lang w:val="fr-FR"/>
              </w:rPr>
            </w:pPr>
            <w:r>
              <w:rPr>
                <w:rFonts w:eastAsia="Times New Roman"/>
                <w:i/>
                <w:sz w:val="20"/>
                <w:szCs w:val="20"/>
                <w:lang w:val="fr-FR" w:eastAsia="fr-FR"/>
              </w:rPr>
              <w:t>H. sapiens</w:t>
            </w:r>
          </w:p>
        </w:tc>
      </w:tr>
      <w:tr w14:paraId="5704C7E8">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rPr>
          <w:trHeight w:val="192" w:hRule="atLeast"/>
        </w:trPr>
        <w:tc>
          <w:tcPr>
            <w:tcW w:w="361" w:type="pct"/>
            <w:vMerge w:val="restart"/>
            <w:tcBorders>
              <w:right w:val="nil"/>
            </w:tcBorders>
            <w:vAlign w:val="center"/>
          </w:tcPr>
          <w:p w14:paraId="39B0B336">
            <w:pPr>
              <w:spacing w:after="0" w:line="240" w:lineRule="auto"/>
              <w:ind w:firstLine="0"/>
              <w:rPr>
                <w:rFonts w:eastAsia="Times New Roman"/>
                <w:sz w:val="20"/>
                <w:szCs w:val="20"/>
                <w:lang w:val="fr-FR" w:eastAsia="fr-FR"/>
              </w:rPr>
            </w:pPr>
            <w:r>
              <w:rPr>
                <w:rFonts w:eastAsia="Times New Roman"/>
                <w:sz w:val="20"/>
                <w:szCs w:val="20"/>
                <w:lang w:val="fr-FR" w:eastAsia="fr-FR"/>
              </w:rPr>
              <w:t>bgPCA</w:t>
            </w:r>
          </w:p>
        </w:tc>
        <w:tc>
          <w:tcPr>
            <w:tcW w:w="579" w:type="pct"/>
            <w:tcBorders>
              <w:left w:val="nil"/>
            </w:tcBorders>
            <w:vAlign w:val="center"/>
          </w:tcPr>
          <w:p w14:paraId="4AD80199">
            <w:pPr>
              <w:spacing w:after="0" w:line="240" w:lineRule="auto"/>
              <w:ind w:firstLine="0"/>
              <w:rPr>
                <w:rFonts w:eastAsia="Times New Roman"/>
                <w:sz w:val="20"/>
                <w:szCs w:val="20"/>
                <w:lang w:val="fr-FR" w:eastAsia="fr-FR"/>
              </w:rPr>
            </w:pPr>
            <w:r>
              <w:rPr>
                <w:rFonts w:eastAsia="Times New Roman"/>
                <w:sz w:val="20"/>
                <w:szCs w:val="20"/>
                <w:lang w:val="fr-FR" w:eastAsia="fr-FR"/>
              </w:rPr>
              <w:t>YHB2890</w:t>
            </w:r>
          </w:p>
        </w:tc>
        <w:tc>
          <w:tcPr>
            <w:tcW w:w="571" w:type="pct"/>
            <w:vAlign w:val="center"/>
          </w:tcPr>
          <w:p w14:paraId="5BC22266">
            <w:pPr>
              <w:spacing w:after="0" w:line="240" w:lineRule="auto"/>
              <w:ind w:firstLine="0"/>
              <w:rPr>
                <w:rFonts w:hint="default" w:eastAsia="宋体"/>
                <w:sz w:val="20"/>
                <w:szCs w:val="20"/>
                <w:lang w:val="en-US" w:eastAsia="zh-CN"/>
              </w:rPr>
            </w:pPr>
            <w:r>
              <w:rPr>
                <w:rFonts w:eastAsia="Times New Roman"/>
                <w:sz w:val="20"/>
                <w:szCs w:val="20"/>
                <w:lang w:val="fr-FR" w:eastAsia="fr-FR"/>
              </w:rPr>
              <w:t>0.</w:t>
            </w:r>
            <w:r>
              <w:rPr>
                <w:rFonts w:hint="eastAsia"/>
                <w:sz w:val="20"/>
                <w:szCs w:val="20"/>
                <w:lang w:val="en-US" w:eastAsia="zh-CN"/>
              </w:rPr>
              <w:t>2483</w:t>
            </w:r>
          </w:p>
        </w:tc>
        <w:tc>
          <w:tcPr>
            <w:tcW w:w="2022" w:type="pct"/>
            <w:vAlign w:val="center"/>
          </w:tcPr>
          <w:p w14:paraId="41AE7866">
            <w:pPr>
              <w:spacing w:after="0" w:line="240" w:lineRule="auto"/>
              <w:ind w:firstLine="0"/>
              <w:rPr>
                <w:rFonts w:hint="default" w:eastAsia="宋体"/>
                <w:sz w:val="20"/>
                <w:szCs w:val="20"/>
                <w:lang w:val="en-US" w:eastAsia="zh-CN"/>
              </w:rPr>
            </w:pPr>
            <w:r>
              <w:rPr>
                <w:rFonts w:eastAsia="Times New Roman"/>
                <w:sz w:val="20"/>
                <w:szCs w:val="20"/>
                <w:lang w:val="fr-FR" w:eastAsia="fr-FR"/>
              </w:rPr>
              <w:t>0.</w:t>
            </w:r>
            <w:r>
              <w:rPr>
                <w:rFonts w:hint="eastAsia"/>
                <w:sz w:val="20"/>
                <w:szCs w:val="20"/>
                <w:lang w:val="en-US" w:eastAsia="zh-CN"/>
              </w:rPr>
              <w:t>5941</w:t>
            </w:r>
          </w:p>
        </w:tc>
        <w:tc>
          <w:tcPr>
            <w:tcW w:w="658" w:type="pct"/>
            <w:vAlign w:val="center"/>
          </w:tcPr>
          <w:p w14:paraId="5D4DB69F">
            <w:pPr>
              <w:spacing w:after="0" w:line="240" w:lineRule="auto"/>
              <w:ind w:firstLine="0"/>
              <w:rPr>
                <w:rFonts w:hint="default" w:eastAsia="宋体"/>
                <w:sz w:val="20"/>
                <w:szCs w:val="20"/>
                <w:lang w:val="en-US" w:eastAsia="zh-CN"/>
              </w:rPr>
            </w:pPr>
            <w:r>
              <w:rPr>
                <w:rFonts w:eastAsia="Times New Roman"/>
                <w:sz w:val="20"/>
                <w:szCs w:val="20"/>
                <w:lang w:val="fr-FR" w:eastAsia="fr-FR"/>
              </w:rPr>
              <w:t>0.</w:t>
            </w:r>
            <w:r>
              <w:rPr>
                <w:rFonts w:hint="eastAsia"/>
                <w:sz w:val="20"/>
                <w:szCs w:val="20"/>
                <w:lang w:val="en-US" w:eastAsia="zh-CN"/>
              </w:rPr>
              <w:t>0017</w:t>
            </w:r>
          </w:p>
        </w:tc>
        <w:tc>
          <w:tcPr>
            <w:tcW w:w="809" w:type="pct"/>
            <w:vAlign w:val="center"/>
          </w:tcPr>
          <w:p w14:paraId="0963DC3D">
            <w:pPr>
              <w:spacing w:after="0" w:line="240" w:lineRule="auto"/>
              <w:ind w:firstLine="0"/>
              <w:rPr>
                <w:rFonts w:hint="default" w:eastAsiaTheme="minorEastAsia"/>
                <w:sz w:val="20"/>
                <w:szCs w:val="20"/>
                <w:lang w:val="en-US" w:eastAsia="zh-CN"/>
              </w:rPr>
            </w:pPr>
            <w:r>
              <w:rPr>
                <w:rFonts w:hint="eastAsia" w:eastAsiaTheme="minorEastAsia"/>
                <w:sz w:val="20"/>
                <w:szCs w:val="20"/>
                <w:lang w:val="fr-FR"/>
              </w:rPr>
              <w:t>0</w:t>
            </w:r>
            <w:r>
              <w:rPr>
                <w:rFonts w:hint="eastAsia" w:eastAsiaTheme="minorEastAsia"/>
                <w:sz w:val="20"/>
                <w:szCs w:val="20"/>
                <w:lang w:val="en-US" w:eastAsia="zh-CN"/>
              </w:rPr>
              <w:t>.0004</w:t>
            </w:r>
          </w:p>
        </w:tc>
      </w:tr>
      <w:tr w14:paraId="25F2B622">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rPr>
          <w:trHeight w:val="272" w:hRule="atLeast"/>
        </w:trPr>
        <w:tc>
          <w:tcPr>
            <w:tcW w:w="361" w:type="pct"/>
            <w:vMerge w:val="continue"/>
            <w:tcBorders>
              <w:right w:val="nil"/>
            </w:tcBorders>
            <w:vAlign w:val="center"/>
          </w:tcPr>
          <w:p w14:paraId="6D75EE83">
            <w:pPr>
              <w:spacing w:after="0" w:line="240" w:lineRule="auto"/>
              <w:ind w:firstLine="0"/>
              <w:rPr>
                <w:rFonts w:eastAsia="Times New Roman"/>
                <w:sz w:val="20"/>
                <w:szCs w:val="20"/>
                <w:lang w:val="fr-FR" w:eastAsia="fr-FR"/>
              </w:rPr>
            </w:pPr>
          </w:p>
        </w:tc>
        <w:tc>
          <w:tcPr>
            <w:tcW w:w="579" w:type="pct"/>
            <w:tcBorders>
              <w:left w:val="nil"/>
            </w:tcBorders>
            <w:vAlign w:val="center"/>
          </w:tcPr>
          <w:p w14:paraId="604C129F">
            <w:pPr>
              <w:spacing w:after="0" w:line="240" w:lineRule="auto"/>
              <w:ind w:firstLine="0"/>
              <w:rPr>
                <w:rFonts w:eastAsia="Times New Roman"/>
                <w:sz w:val="20"/>
                <w:szCs w:val="20"/>
                <w:lang w:val="fr-FR" w:eastAsia="fr-FR"/>
              </w:rPr>
            </w:pPr>
            <w:r>
              <w:rPr>
                <w:rFonts w:eastAsia="Times New Roman"/>
                <w:sz w:val="20"/>
                <w:szCs w:val="20"/>
                <w:lang w:val="fr-FR" w:eastAsia="fr-FR"/>
              </w:rPr>
              <w:t>YHB3075</w:t>
            </w:r>
          </w:p>
        </w:tc>
        <w:tc>
          <w:tcPr>
            <w:tcW w:w="571" w:type="pct"/>
            <w:vAlign w:val="center"/>
          </w:tcPr>
          <w:p w14:paraId="6173417D">
            <w:pPr>
              <w:spacing w:after="0" w:line="240" w:lineRule="auto"/>
              <w:ind w:firstLine="0"/>
              <w:rPr>
                <w:rFonts w:hint="default" w:eastAsia="宋体"/>
                <w:sz w:val="20"/>
                <w:szCs w:val="20"/>
                <w:lang w:val="en-US" w:eastAsia="zh-CN"/>
              </w:rPr>
            </w:pPr>
            <w:r>
              <w:rPr>
                <w:rFonts w:eastAsia="Times New Roman"/>
                <w:sz w:val="20"/>
                <w:szCs w:val="20"/>
                <w:lang w:val="fr-FR" w:eastAsia="fr-FR"/>
              </w:rPr>
              <w:t>0.</w:t>
            </w:r>
            <w:r>
              <w:rPr>
                <w:rFonts w:hint="eastAsia"/>
                <w:sz w:val="20"/>
                <w:szCs w:val="20"/>
                <w:lang w:val="en-US" w:eastAsia="zh-CN"/>
              </w:rPr>
              <w:t>7453</w:t>
            </w:r>
          </w:p>
        </w:tc>
        <w:tc>
          <w:tcPr>
            <w:tcW w:w="2022" w:type="pct"/>
            <w:vAlign w:val="center"/>
          </w:tcPr>
          <w:p w14:paraId="1DA44F8C">
            <w:pPr>
              <w:spacing w:after="0" w:line="240" w:lineRule="auto"/>
              <w:ind w:firstLine="0"/>
              <w:rPr>
                <w:rFonts w:hint="default" w:eastAsia="宋体"/>
                <w:sz w:val="20"/>
                <w:szCs w:val="20"/>
                <w:lang w:val="en-US" w:eastAsia="zh-CN"/>
              </w:rPr>
            </w:pPr>
            <w:r>
              <w:rPr>
                <w:rFonts w:eastAsia="Times New Roman"/>
                <w:sz w:val="20"/>
                <w:szCs w:val="20"/>
                <w:lang w:val="fr-FR" w:eastAsia="fr-FR"/>
              </w:rPr>
              <w:t>0.</w:t>
            </w:r>
            <w:r>
              <w:rPr>
                <w:rFonts w:hint="eastAsia"/>
                <w:sz w:val="20"/>
                <w:szCs w:val="20"/>
                <w:lang w:val="en-US" w:eastAsia="zh-CN"/>
              </w:rPr>
              <w:t>1455</w:t>
            </w:r>
          </w:p>
        </w:tc>
        <w:tc>
          <w:tcPr>
            <w:tcW w:w="658" w:type="pct"/>
            <w:vAlign w:val="center"/>
          </w:tcPr>
          <w:p w14:paraId="438C805B">
            <w:pPr>
              <w:spacing w:after="0" w:line="240" w:lineRule="auto"/>
              <w:ind w:firstLine="0"/>
              <w:rPr>
                <w:rFonts w:hint="default" w:eastAsia="宋体"/>
                <w:sz w:val="20"/>
                <w:szCs w:val="20"/>
                <w:lang w:val="en-US" w:eastAsia="zh-CN"/>
              </w:rPr>
            </w:pPr>
            <w:r>
              <w:rPr>
                <w:rFonts w:eastAsia="Times New Roman"/>
                <w:sz w:val="20"/>
                <w:szCs w:val="20"/>
                <w:lang w:val="fr-FR" w:eastAsia="fr-FR"/>
              </w:rPr>
              <w:t>0.</w:t>
            </w:r>
            <w:r>
              <w:rPr>
                <w:rFonts w:hint="eastAsia"/>
                <w:sz w:val="20"/>
                <w:szCs w:val="20"/>
                <w:lang w:val="en-US" w:eastAsia="zh-CN"/>
              </w:rPr>
              <w:t>0013</w:t>
            </w:r>
          </w:p>
        </w:tc>
        <w:tc>
          <w:tcPr>
            <w:tcW w:w="809" w:type="pct"/>
            <w:vAlign w:val="center"/>
          </w:tcPr>
          <w:p w14:paraId="0024FC61">
            <w:pPr>
              <w:spacing w:after="0" w:line="240" w:lineRule="auto"/>
              <w:ind w:firstLine="0"/>
              <w:rPr>
                <w:rFonts w:hint="default" w:eastAsia="宋体"/>
                <w:sz w:val="20"/>
                <w:szCs w:val="20"/>
                <w:lang w:val="en-US" w:eastAsia="zh-CN"/>
              </w:rPr>
            </w:pPr>
            <w:r>
              <w:rPr>
                <w:rFonts w:eastAsia="Times New Roman"/>
                <w:sz w:val="20"/>
                <w:szCs w:val="20"/>
                <w:lang w:val="fr-FR" w:eastAsia="fr-FR"/>
              </w:rPr>
              <w:t>0.</w:t>
            </w:r>
            <w:r>
              <w:rPr>
                <w:rFonts w:hint="eastAsia"/>
                <w:sz w:val="20"/>
                <w:szCs w:val="20"/>
                <w:lang w:val="en-US" w:eastAsia="zh-CN"/>
              </w:rPr>
              <w:t>0724</w:t>
            </w:r>
          </w:p>
        </w:tc>
      </w:tr>
      <w:tr w14:paraId="296E9E0C">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rPr>
          <w:trHeight w:val="200" w:hRule="atLeast"/>
        </w:trPr>
        <w:tc>
          <w:tcPr>
            <w:tcW w:w="361" w:type="pct"/>
            <w:vMerge w:val="restart"/>
            <w:tcBorders>
              <w:right w:val="nil"/>
            </w:tcBorders>
            <w:vAlign w:val="center"/>
          </w:tcPr>
          <w:p w14:paraId="6B420639">
            <w:pPr>
              <w:spacing w:after="0" w:line="240" w:lineRule="auto"/>
              <w:ind w:firstLine="0"/>
              <w:rPr>
                <w:rFonts w:eastAsia="Times New Roman"/>
                <w:sz w:val="20"/>
                <w:szCs w:val="20"/>
                <w:lang w:val="fr-FR" w:eastAsia="fr-FR"/>
              </w:rPr>
            </w:pPr>
            <w:r>
              <w:rPr>
                <w:rFonts w:eastAsia="Times New Roman"/>
                <w:sz w:val="20"/>
                <w:szCs w:val="20"/>
                <w:lang w:val="fr-FR" w:eastAsia="fr-FR"/>
              </w:rPr>
              <w:t>CVA</w:t>
            </w:r>
          </w:p>
        </w:tc>
        <w:tc>
          <w:tcPr>
            <w:tcW w:w="579" w:type="pct"/>
            <w:tcBorders>
              <w:left w:val="nil"/>
            </w:tcBorders>
            <w:vAlign w:val="center"/>
          </w:tcPr>
          <w:p w14:paraId="5EF5B90F">
            <w:pPr>
              <w:spacing w:after="0" w:line="240" w:lineRule="auto"/>
              <w:ind w:firstLine="0"/>
              <w:rPr>
                <w:rFonts w:eastAsia="Times New Roman"/>
                <w:sz w:val="20"/>
                <w:szCs w:val="20"/>
                <w:lang w:val="fr-FR" w:eastAsia="fr-FR"/>
              </w:rPr>
            </w:pPr>
            <w:r>
              <w:rPr>
                <w:rFonts w:eastAsia="Times New Roman"/>
                <w:sz w:val="20"/>
                <w:szCs w:val="20"/>
                <w:lang w:val="fr-FR" w:eastAsia="fr-FR"/>
              </w:rPr>
              <w:t>YHB2890</w:t>
            </w:r>
          </w:p>
        </w:tc>
        <w:tc>
          <w:tcPr>
            <w:tcW w:w="571" w:type="pct"/>
            <w:vAlign w:val="center"/>
          </w:tcPr>
          <w:p w14:paraId="13C95423">
            <w:pPr>
              <w:spacing w:after="0" w:line="240" w:lineRule="auto"/>
              <w:ind w:firstLine="0"/>
              <w:rPr>
                <w:rFonts w:hint="default" w:eastAsiaTheme="minorEastAsia"/>
                <w:sz w:val="20"/>
                <w:szCs w:val="20"/>
                <w:lang w:val="en-US" w:eastAsia="zh-CN"/>
              </w:rPr>
            </w:pPr>
            <w:r>
              <w:rPr>
                <w:rFonts w:eastAsiaTheme="minorEastAsia"/>
                <w:sz w:val="20"/>
                <w:szCs w:val="20"/>
                <w:lang w:val="fr-FR"/>
              </w:rPr>
              <w:t>0.</w:t>
            </w:r>
            <w:r>
              <w:rPr>
                <w:rFonts w:hint="eastAsia" w:eastAsiaTheme="minorEastAsia"/>
                <w:sz w:val="20"/>
                <w:szCs w:val="20"/>
                <w:lang w:val="en-US" w:eastAsia="zh-CN"/>
              </w:rPr>
              <w:t>1395</w:t>
            </w:r>
          </w:p>
        </w:tc>
        <w:tc>
          <w:tcPr>
            <w:tcW w:w="2022" w:type="pct"/>
            <w:vAlign w:val="center"/>
          </w:tcPr>
          <w:p w14:paraId="2DAD7478">
            <w:pPr>
              <w:spacing w:after="0" w:line="240" w:lineRule="auto"/>
              <w:ind w:firstLine="0"/>
              <w:rPr>
                <w:rFonts w:hint="default" w:eastAsia="宋体"/>
                <w:sz w:val="20"/>
                <w:szCs w:val="20"/>
                <w:lang w:val="en-US" w:eastAsia="zh-CN"/>
              </w:rPr>
            </w:pPr>
            <w:r>
              <w:rPr>
                <w:rFonts w:eastAsia="Times New Roman"/>
                <w:sz w:val="20"/>
                <w:szCs w:val="20"/>
                <w:lang w:val="fr-FR" w:eastAsia="fr-FR"/>
              </w:rPr>
              <w:t>0.</w:t>
            </w:r>
            <w:r>
              <w:rPr>
                <w:rFonts w:hint="eastAsia"/>
                <w:sz w:val="20"/>
                <w:szCs w:val="20"/>
                <w:lang w:val="en-US" w:eastAsia="zh-CN"/>
              </w:rPr>
              <w:t>2966</w:t>
            </w:r>
          </w:p>
        </w:tc>
        <w:tc>
          <w:tcPr>
            <w:tcW w:w="658" w:type="pct"/>
            <w:vAlign w:val="center"/>
          </w:tcPr>
          <w:p w14:paraId="7259EA72">
            <w:pPr>
              <w:spacing w:after="0" w:line="240" w:lineRule="auto"/>
              <w:ind w:firstLine="0"/>
              <w:rPr>
                <w:rFonts w:hint="default" w:eastAsiaTheme="minorEastAsia"/>
                <w:sz w:val="20"/>
                <w:szCs w:val="20"/>
                <w:lang w:val="en-US" w:eastAsia="zh-CN"/>
              </w:rPr>
            </w:pPr>
            <w:r>
              <w:rPr>
                <w:rFonts w:hint="eastAsia" w:eastAsiaTheme="minorEastAsia"/>
                <w:sz w:val="20"/>
                <w:szCs w:val="20"/>
                <w:lang w:val="fr-FR"/>
              </w:rPr>
              <w:t>0</w:t>
            </w:r>
            <w:r>
              <w:rPr>
                <w:rFonts w:hint="eastAsia" w:eastAsiaTheme="minorEastAsia"/>
                <w:sz w:val="20"/>
                <w:szCs w:val="20"/>
                <w:lang w:val="en-US" w:eastAsia="zh-CN"/>
              </w:rPr>
              <w:t>.0016</w:t>
            </w:r>
          </w:p>
        </w:tc>
        <w:tc>
          <w:tcPr>
            <w:tcW w:w="809" w:type="pct"/>
            <w:vAlign w:val="center"/>
          </w:tcPr>
          <w:p w14:paraId="7E8402DC">
            <w:pPr>
              <w:spacing w:after="0" w:line="240" w:lineRule="auto"/>
              <w:ind w:firstLine="0"/>
              <w:rPr>
                <w:rFonts w:hint="default" w:eastAsia="宋体"/>
                <w:sz w:val="20"/>
                <w:szCs w:val="20"/>
                <w:lang w:val="en-US" w:eastAsia="zh-CN"/>
              </w:rPr>
            </w:pPr>
            <w:r>
              <w:rPr>
                <w:rFonts w:eastAsia="Times New Roman"/>
                <w:sz w:val="20"/>
                <w:szCs w:val="20"/>
                <w:lang w:val="fr-FR" w:eastAsia="fr-FR"/>
              </w:rPr>
              <w:t>0</w:t>
            </w:r>
            <w:r>
              <w:rPr>
                <w:rFonts w:hint="eastAsia"/>
                <w:sz w:val="20"/>
                <w:szCs w:val="20"/>
                <w:lang w:val="en-US" w:eastAsia="zh-CN"/>
              </w:rPr>
              <w:t>.0026</w:t>
            </w:r>
          </w:p>
        </w:tc>
      </w:tr>
      <w:tr w14:paraId="7FA862F1">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rPr>
          <w:trHeight w:val="264" w:hRule="atLeast"/>
        </w:trPr>
        <w:tc>
          <w:tcPr>
            <w:tcW w:w="361" w:type="pct"/>
            <w:vMerge w:val="continue"/>
            <w:tcBorders>
              <w:right w:val="nil"/>
            </w:tcBorders>
            <w:vAlign w:val="center"/>
          </w:tcPr>
          <w:p w14:paraId="13B1EA09">
            <w:pPr>
              <w:spacing w:after="0" w:line="240" w:lineRule="auto"/>
              <w:ind w:firstLine="0"/>
              <w:rPr>
                <w:rFonts w:eastAsia="Times New Roman"/>
                <w:sz w:val="20"/>
                <w:szCs w:val="20"/>
                <w:lang w:val="fr-FR" w:eastAsia="fr-FR"/>
              </w:rPr>
            </w:pPr>
          </w:p>
        </w:tc>
        <w:tc>
          <w:tcPr>
            <w:tcW w:w="579" w:type="pct"/>
            <w:tcBorders>
              <w:left w:val="nil"/>
            </w:tcBorders>
            <w:vAlign w:val="center"/>
          </w:tcPr>
          <w:p w14:paraId="2B6C0D2C">
            <w:pPr>
              <w:spacing w:after="0" w:line="240" w:lineRule="auto"/>
              <w:ind w:firstLine="0"/>
              <w:rPr>
                <w:rFonts w:eastAsia="Times New Roman"/>
                <w:sz w:val="20"/>
                <w:szCs w:val="20"/>
                <w:lang w:val="fr-FR" w:eastAsia="fr-FR"/>
              </w:rPr>
            </w:pPr>
            <w:r>
              <w:rPr>
                <w:rFonts w:eastAsia="Times New Roman"/>
                <w:sz w:val="20"/>
                <w:szCs w:val="20"/>
                <w:lang w:val="fr-FR" w:eastAsia="fr-FR"/>
              </w:rPr>
              <w:t>YHB3075</w:t>
            </w:r>
          </w:p>
        </w:tc>
        <w:tc>
          <w:tcPr>
            <w:tcW w:w="571" w:type="pct"/>
            <w:vAlign w:val="center"/>
          </w:tcPr>
          <w:p w14:paraId="6B4229C6">
            <w:pPr>
              <w:spacing w:after="0" w:line="240" w:lineRule="auto"/>
              <w:ind w:firstLine="0"/>
              <w:rPr>
                <w:rFonts w:hint="default" w:eastAsiaTheme="minorEastAsia"/>
                <w:sz w:val="20"/>
                <w:szCs w:val="20"/>
                <w:lang w:val="en-US" w:eastAsia="zh-CN"/>
              </w:rPr>
            </w:pPr>
            <w:r>
              <w:rPr>
                <w:rFonts w:eastAsiaTheme="minorEastAsia"/>
                <w:sz w:val="20"/>
                <w:szCs w:val="20"/>
                <w:lang w:val="fr-FR"/>
              </w:rPr>
              <w:t>0.</w:t>
            </w:r>
            <w:r>
              <w:rPr>
                <w:rFonts w:hint="eastAsia" w:eastAsiaTheme="minorEastAsia"/>
                <w:sz w:val="20"/>
                <w:szCs w:val="20"/>
                <w:lang w:val="en-US" w:eastAsia="zh-CN"/>
              </w:rPr>
              <w:t>5953</w:t>
            </w:r>
          </w:p>
        </w:tc>
        <w:tc>
          <w:tcPr>
            <w:tcW w:w="2022" w:type="pct"/>
            <w:vAlign w:val="center"/>
          </w:tcPr>
          <w:p w14:paraId="64497422">
            <w:pPr>
              <w:spacing w:after="0" w:line="240" w:lineRule="auto"/>
              <w:ind w:firstLine="0"/>
              <w:rPr>
                <w:rFonts w:hint="default" w:eastAsia="宋体"/>
                <w:sz w:val="20"/>
                <w:szCs w:val="20"/>
                <w:lang w:val="en-US" w:eastAsia="zh-CN"/>
              </w:rPr>
            </w:pPr>
            <w:r>
              <w:rPr>
                <w:rFonts w:eastAsia="Times New Roman"/>
                <w:sz w:val="20"/>
                <w:szCs w:val="20"/>
                <w:lang w:val="fr-FR" w:eastAsia="fr-FR"/>
              </w:rPr>
              <w:t>0.</w:t>
            </w:r>
            <w:r>
              <w:rPr>
                <w:rFonts w:hint="eastAsia"/>
                <w:sz w:val="20"/>
                <w:szCs w:val="20"/>
                <w:lang w:val="en-US" w:eastAsia="zh-CN"/>
              </w:rPr>
              <w:t>2620</w:t>
            </w:r>
          </w:p>
        </w:tc>
        <w:tc>
          <w:tcPr>
            <w:tcW w:w="658" w:type="pct"/>
            <w:vAlign w:val="center"/>
          </w:tcPr>
          <w:p w14:paraId="70F92912">
            <w:pPr>
              <w:spacing w:after="0" w:line="240" w:lineRule="auto"/>
              <w:ind w:firstLine="0"/>
              <w:rPr>
                <w:rFonts w:hint="default" w:eastAsiaTheme="minorEastAsia"/>
                <w:sz w:val="20"/>
                <w:szCs w:val="20"/>
                <w:lang w:val="en-US" w:eastAsia="zh-CN"/>
              </w:rPr>
            </w:pPr>
            <w:r>
              <w:rPr>
                <w:rFonts w:eastAsiaTheme="minorEastAsia"/>
                <w:sz w:val="20"/>
                <w:szCs w:val="20"/>
                <w:lang w:val="fr-FR"/>
              </w:rPr>
              <w:t>0</w:t>
            </w:r>
            <w:r>
              <w:rPr>
                <w:rFonts w:hint="eastAsia" w:eastAsiaTheme="minorEastAsia"/>
                <w:sz w:val="20"/>
                <w:szCs w:val="20"/>
                <w:lang w:val="en-US" w:eastAsia="zh-CN"/>
              </w:rPr>
              <w:t>.0048</w:t>
            </w:r>
          </w:p>
        </w:tc>
        <w:tc>
          <w:tcPr>
            <w:tcW w:w="809" w:type="pct"/>
            <w:vAlign w:val="center"/>
          </w:tcPr>
          <w:p w14:paraId="21A986E2">
            <w:pPr>
              <w:spacing w:after="0" w:line="240" w:lineRule="auto"/>
              <w:ind w:firstLine="0"/>
              <w:rPr>
                <w:rFonts w:hint="default" w:eastAsiaTheme="minorEastAsia"/>
                <w:sz w:val="20"/>
                <w:szCs w:val="20"/>
                <w:lang w:val="en-US" w:eastAsia="zh-CN"/>
              </w:rPr>
            </w:pPr>
            <w:r>
              <w:rPr>
                <w:rFonts w:hint="eastAsia" w:eastAsiaTheme="minorEastAsia"/>
                <w:sz w:val="20"/>
                <w:szCs w:val="20"/>
                <w:lang w:val="fr-FR"/>
              </w:rPr>
              <w:t>0</w:t>
            </w:r>
            <w:r>
              <w:rPr>
                <w:rFonts w:eastAsia="Times New Roman"/>
                <w:sz w:val="20"/>
                <w:szCs w:val="20"/>
                <w:lang w:val="fr-FR" w:eastAsia="fr-FR"/>
              </w:rPr>
              <w:t>.</w:t>
            </w:r>
            <w:r>
              <w:rPr>
                <w:rFonts w:hint="eastAsia"/>
                <w:sz w:val="20"/>
                <w:szCs w:val="20"/>
                <w:lang w:val="en-US" w:eastAsia="zh-CN"/>
              </w:rPr>
              <w:t>1531</w:t>
            </w:r>
          </w:p>
        </w:tc>
      </w:tr>
    </w:tbl>
    <w:p w14:paraId="79E8A564">
      <w:pPr>
        <w:ind w:firstLine="0"/>
      </w:pPr>
    </w:p>
    <w:p w14:paraId="6D1DF89E">
      <w:pPr>
        <w:pStyle w:val="7"/>
      </w:pPr>
      <w:r>
        <w:br w:type="column"/>
      </w:r>
      <w:r>
        <w:rPr>
          <w:b/>
          <w:bCs w:val="0"/>
        </w:rPr>
        <w:t>Supplementary Table</w:t>
      </w:r>
      <w:r>
        <w:rPr>
          <w:b/>
          <w:bCs w:val="0"/>
          <w:highlight w:val="none"/>
        </w:rPr>
        <w:t xml:space="preserve"> </w:t>
      </w:r>
      <w:r>
        <w:rPr>
          <w:rFonts w:hint="eastAsia"/>
          <w:b/>
          <w:bCs w:val="0"/>
          <w:highlight w:val="none"/>
          <w:lang w:val="en-US" w:eastAsia="zh-CN"/>
        </w:rPr>
        <w:t>18</w:t>
      </w:r>
      <w:r>
        <w:t xml:space="preserve"> | </w:t>
      </w:r>
      <w:r>
        <w:rPr>
          <w:rFonts w:hint="eastAsia"/>
          <w:szCs w:val="32"/>
        </w:rPr>
        <w:t>Statistics of raw materials and types of stone art</w:t>
      </w:r>
      <w:r>
        <w:rPr>
          <w:rFonts w:hint="eastAsia"/>
          <w:szCs w:val="32"/>
          <w:lang w:val="en-US" w:eastAsia="zh-CN"/>
        </w:rPr>
        <w:t>e</w:t>
      </w:r>
      <w:r>
        <w:rPr>
          <w:rFonts w:hint="eastAsia"/>
          <w:szCs w:val="32"/>
        </w:rPr>
        <w:t>facts.</w:t>
      </w:r>
    </w:p>
    <w:tbl>
      <w:tblPr>
        <w:tblStyle w:val="24"/>
        <w:tblW w:w="13774" w:type="dxa"/>
        <w:tblInd w:w="0" w:type="dxa"/>
        <w:tblLayout w:type="fixed"/>
        <w:tblCellMar>
          <w:top w:w="0" w:type="dxa"/>
          <w:left w:w="108" w:type="dxa"/>
          <w:bottom w:w="0" w:type="dxa"/>
          <w:right w:w="108" w:type="dxa"/>
        </w:tblCellMar>
      </w:tblPr>
      <w:tblGrid>
        <w:gridCol w:w="1011"/>
        <w:gridCol w:w="2074"/>
        <w:gridCol w:w="567"/>
        <w:gridCol w:w="828"/>
        <w:gridCol w:w="419"/>
        <w:gridCol w:w="880"/>
        <w:gridCol w:w="420"/>
        <w:gridCol w:w="880"/>
        <w:gridCol w:w="420"/>
        <w:gridCol w:w="880"/>
        <w:gridCol w:w="516"/>
        <w:gridCol w:w="828"/>
        <w:gridCol w:w="420"/>
        <w:gridCol w:w="878"/>
        <w:gridCol w:w="6"/>
        <w:gridCol w:w="421"/>
        <w:gridCol w:w="879"/>
        <w:gridCol w:w="616"/>
        <w:gridCol w:w="831"/>
      </w:tblGrid>
      <w:tr w14:paraId="31DE0C2F">
        <w:tblPrEx>
          <w:tblCellMar>
            <w:top w:w="0" w:type="dxa"/>
            <w:left w:w="108" w:type="dxa"/>
            <w:bottom w:w="0" w:type="dxa"/>
            <w:right w:w="108" w:type="dxa"/>
          </w:tblCellMar>
        </w:tblPrEx>
        <w:trPr>
          <w:trHeight w:val="560" w:hRule="atLeast"/>
        </w:trPr>
        <w:tc>
          <w:tcPr>
            <w:tcW w:w="1011" w:type="dxa"/>
            <w:tcBorders>
              <w:top w:val="single" w:color="auto" w:sz="4" w:space="0"/>
              <w:left w:val="nil"/>
              <w:bottom w:val="nil"/>
              <w:right w:val="nil"/>
            </w:tcBorders>
            <w:noWrap/>
            <w:vAlign w:val="center"/>
          </w:tcPr>
          <w:p w14:paraId="31D7B904">
            <w:pPr>
              <w:keepNext w:val="0"/>
              <w:keepLines w:val="0"/>
              <w:widowControl/>
              <w:suppressLineNumbers w:val="0"/>
              <w:spacing w:before="0" w:beforeAutospacing="0" w:after="0" w:afterAutospacing="0" w:line="240" w:lineRule="auto"/>
              <w:ind w:left="0" w:right="0" w:firstLine="0"/>
              <w:rPr>
                <w:rFonts w:hint="default" w:eastAsia="等线"/>
                <w:i/>
                <w:iCs/>
                <w:color w:val="000000"/>
                <w:sz w:val="20"/>
                <w:szCs w:val="20"/>
              </w:rPr>
            </w:pPr>
            <w:r>
              <w:rPr>
                <w:rFonts w:hint="eastAsia" w:eastAsia="等线"/>
                <w:i/>
                <w:iCs/>
                <w:color w:val="000000"/>
                <w:sz w:val="20"/>
                <w:szCs w:val="20"/>
              </w:rPr>
              <w:t>Category</w:t>
            </w:r>
          </w:p>
        </w:tc>
        <w:tc>
          <w:tcPr>
            <w:tcW w:w="2074" w:type="dxa"/>
            <w:tcBorders>
              <w:top w:val="single" w:color="auto" w:sz="4" w:space="0"/>
              <w:left w:val="nil"/>
              <w:bottom w:val="nil"/>
              <w:right w:val="nil"/>
            </w:tcBorders>
            <w:noWrap/>
            <w:vAlign w:val="center"/>
          </w:tcPr>
          <w:p w14:paraId="3BE18C6B">
            <w:pPr>
              <w:keepNext w:val="0"/>
              <w:keepLines w:val="0"/>
              <w:widowControl/>
              <w:suppressLineNumbers w:val="0"/>
              <w:spacing w:before="0" w:beforeAutospacing="0" w:after="0" w:afterAutospacing="0" w:line="240" w:lineRule="auto"/>
              <w:ind w:left="0" w:right="0" w:firstLine="0"/>
              <w:rPr>
                <w:rFonts w:hint="default" w:eastAsia="等线"/>
                <w:i/>
                <w:iCs/>
                <w:color w:val="000000"/>
                <w:sz w:val="20"/>
                <w:szCs w:val="20"/>
              </w:rPr>
            </w:pPr>
            <w:r>
              <w:rPr>
                <w:rFonts w:hint="default" w:eastAsia="等线"/>
                <w:i/>
                <w:iCs/>
                <w:color w:val="000000"/>
                <w:sz w:val="20"/>
                <w:szCs w:val="20"/>
              </w:rPr>
              <w:t>Techno-typology</w:t>
            </w:r>
          </w:p>
        </w:tc>
        <w:tc>
          <w:tcPr>
            <w:tcW w:w="1395" w:type="dxa"/>
            <w:gridSpan w:val="2"/>
            <w:tcBorders>
              <w:top w:val="single" w:color="auto" w:sz="4" w:space="0"/>
              <w:left w:val="nil"/>
              <w:bottom w:val="nil"/>
              <w:right w:val="nil"/>
            </w:tcBorders>
            <w:vAlign w:val="center"/>
          </w:tcPr>
          <w:p w14:paraId="56D4C707">
            <w:pPr>
              <w:keepNext w:val="0"/>
              <w:keepLines w:val="0"/>
              <w:widowControl/>
              <w:suppressLineNumbers w:val="0"/>
              <w:spacing w:before="0" w:beforeAutospacing="0" w:after="0" w:afterAutospacing="0" w:line="240" w:lineRule="auto"/>
              <w:ind w:left="0" w:right="0" w:firstLine="0"/>
              <w:rPr>
                <w:rFonts w:hint="default" w:eastAsia="等线"/>
                <w:i/>
                <w:iCs/>
                <w:color w:val="000000"/>
                <w:sz w:val="20"/>
                <w:szCs w:val="20"/>
              </w:rPr>
            </w:pPr>
            <w:r>
              <w:rPr>
                <w:rFonts w:hint="eastAsia" w:eastAsia="等线"/>
                <w:i/>
                <w:iCs/>
                <w:color w:val="000000"/>
                <w:sz w:val="20"/>
                <w:szCs w:val="20"/>
              </w:rPr>
              <w:t>Sandy hydromica-</w:t>
            </w:r>
          </w:p>
          <w:p w14:paraId="3BE42F6F">
            <w:pPr>
              <w:keepNext w:val="0"/>
              <w:keepLines w:val="0"/>
              <w:widowControl/>
              <w:suppressLineNumbers w:val="0"/>
              <w:spacing w:before="0" w:beforeAutospacing="0" w:after="0" w:afterAutospacing="0" w:line="240" w:lineRule="auto"/>
              <w:ind w:left="0" w:right="0" w:firstLine="0"/>
              <w:rPr>
                <w:rFonts w:hint="default" w:eastAsia="等线"/>
                <w:i/>
                <w:iCs/>
                <w:color w:val="000000"/>
                <w:sz w:val="20"/>
                <w:szCs w:val="20"/>
              </w:rPr>
            </w:pPr>
            <w:r>
              <w:rPr>
                <w:rFonts w:hint="eastAsia" w:eastAsia="等线"/>
                <w:i/>
                <w:iCs/>
                <w:color w:val="000000"/>
                <w:sz w:val="20"/>
                <w:szCs w:val="20"/>
              </w:rPr>
              <w:t>mudstone</w:t>
            </w:r>
          </w:p>
        </w:tc>
        <w:tc>
          <w:tcPr>
            <w:tcW w:w="1299" w:type="dxa"/>
            <w:gridSpan w:val="2"/>
            <w:tcBorders>
              <w:top w:val="single" w:color="auto" w:sz="4" w:space="0"/>
              <w:left w:val="nil"/>
              <w:bottom w:val="nil"/>
              <w:right w:val="nil"/>
            </w:tcBorders>
            <w:noWrap/>
            <w:vAlign w:val="center"/>
          </w:tcPr>
          <w:p w14:paraId="3BFC91A3">
            <w:pPr>
              <w:keepNext w:val="0"/>
              <w:keepLines w:val="0"/>
              <w:widowControl/>
              <w:suppressLineNumbers w:val="0"/>
              <w:spacing w:before="0" w:beforeAutospacing="0" w:after="0" w:afterAutospacing="0" w:line="240" w:lineRule="auto"/>
              <w:ind w:left="0" w:right="0" w:firstLine="0"/>
              <w:rPr>
                <w:rFonts w:hint="default" w:eastAsia="等线"/>
                <w:i/>
                <w:iCs/>
                <w:color w:val="000000"/>
                <w:sz w:val="20"/>
                <w:szCs w:val="20"/>
              </w:rPr>
            </w:pPr>
            <w:r>
              <w:rPr>
                <w:rFonts w:hint="default" w:eastAsia="等线"/>
                <w:i/>
                <w:iCs/>
                <w:color w:val="000000"/>
                <w:sz w:val="20"/>
                <w:szCs w:val="20"/>
              </w:rPr>
              <w:t>Sandstone</w:t>
            </w:r>
          </w:p>
        </w:tc>
        <w:tc>
          <w:tcPr>
            <w:tcW w:w="1300" w:type="dxa"/>
            <w:gridSpan w:val="2"/>
            <w:tcBorders>
              <w:top w:val="single" w:color="auto" w:sz="4" w:space="0"/>
              <w:left w:val="nil"/>
              <w:bottom w:val="nil"/>
              <w:right w:val="nil"/>
            </w:tcBorders>
            <w:noWrap/>
            <w:vAlign w:val="center"/>
          </w:tcPr>
          <w:p w14:paraId="636BEBA9">
            <w:pPr>
              <w:keepNext w:val="0"/>
              <w:keepLines w:val="0"/>
              <w:widowControl/>
              <w:suppressLineNumbers w:val="0"/>
              <w:spacing w:before="0" w:beforeAutospacing="0" w:after="0" w:afterAutospacing="0" w:line="240" w:lineRule="auto"/>
              <w:ind w:left="0" w:right="0" w:firstLine="0"/>
              <w:rPr>
                <w:rFonts w:hint="default" w:eastAsia="等线"/>
                <w:i/>
                <w:iCs/>
                <w:color w:val="000000"/>
                <w:sz w:val="20"/>
                <w:szCs w:val="20"/>
              </w:rPr>
            </w:pPr>
            <w:r>
              <w:rPr>
                <w:rFonts w:hint="default" w:eastAsia="等线"/>
                <w:i/>
                <w:iCs/>
                <w:color w:val="000000"/>
                <w:sz w:val="20"/>
                <w:szCs w:val="20"/>
              </w:rPr>
              <w:t>Silicalite</w:t>
            </w:r>
          </w:p>
        </w:tc>
        <w:tc>
          <w:tcPr>
            <w:tcW w:w="1300" w:type="dxa"/>
            <w:gridSpan w:val="2"/>
            <w:tcBorders>
              <w:top w:val="single" w:color="auto" w:sz="4" w:space="0"/>
              <w:left w:val="nil"/>
              <w:bottom w:val="nil"/>
              <w:right w:val="nil"/>
            </w:tcBorders>
            <w:noWrap/>
            <w:vAlign w:val="center"/>
          </w:tcPr>
          <w:p w14:paraId="3E3C9D3E">
            <w:pPr>
              <w:keepNext w:val="0"/>
              <w:keepLines w:val="0"/>
              <w:widowControl/>
              <w:suppressLineNumbers w:val="0"/>
              <w:spacing w:before="0" w:beforeAutospacing="0" w:after="0" w:afterAutospacing="0" w:line="240" w:lineRule="auto"/>
              <w:ind w:left="0" w:right="0" w:firstLine="0"/>
              <w:rPr>
                <w:rFonts w:hint="default" w:eastAsia="等线"/>
                <w:i/>
                <w:iCs/>
                <w:color w:val="000000"/>
                <w:sz w:val="20"/>
                <w:szCs w:val="20"/>
              </w:rPr>
            </w:pPr>
            <w:r>
              <w:rPr>
                <w:rFonts w:hint="default" w:eastAsia="等线"/>
                <w:i/>
                <w:iCs/>
                <w:color w:val="000000"/>
                <w:sz w:val="20"/>
                <w:szCs w:val="20"/>
              </w:rPr>
              <w:t>Limestone</w:t>
            </w:r>
          </w:p>
        </w:tc>
        <w:tc>
          <w:tcPr>
            <w:tcW w:w="1344" w:type="dxa"/>
            <w:gridSpan w:val="2"/>
            <w:tcBorders>
              <w:top w:val="single" w:color="auto" w:sz="4" w:space="0"/>
              <w:left w:val="nil"/>
              <w:bottom w:val="nil"/>
              <w:right w:val="nil"/>
            </w:tcBorders>
            <w:noWrap/>
            <w:vAlign w:val="center"/>
          </w:tcPr>
          <w:p w14:paraId="36692E1D">
            <w:pPr>
              <w:keepNext w:val="0"/>
              <w:keepLines w:val="0"/>
              <w:widowControl/>
              <w:suppressLineNumbers w:val="0"/>
              <w:spacing w:before="0" w:beforeAutospacing="0" w:after="0" w:afterAutospacing="0" w:line="240" w:lineRule="auto"/>
              <w:ind w:left="0" w:right="0" w:firstLine="0"/>
              <w:rPr>
                <w:rFonts w:hint="default" w:eastAsia="等线"/>
                <w:i/>
                <w:iCs/>
                <w:color w:val="000000"/>
                <w:sz w:val="20"/>
                <w:szCs w:val="20"/>
              </w:rPr>
            </w:pPr>
            <w:r>
              <w:rPr>
                <w:rFonts w:hint="default" w:eastAsia="等线"/>
                <w:i/>
                <w:iCs/>
                <w:color w:val="000000"/>
                <w:sz w:val="20"/>
                <w:szCs w:val="20"/>
              </w:rPr>
              <w:t>Trachyte</w:t>
            </w:r>
          </w:p>
        </w:tc>
        <w:tc>
          <w:tcPr>
            <w:tcW w:w="1304" w:type="dxa"/>
            <w:gridSpan w:val="3"/>
            <w:tcBorders>
              <w:top w:val="single" w:color="auto" w:sz="4" w:space="0"/>
              <w:left w:val="nil"/>
              <w:bottom w:val="nil"/>
              <w:right w:val="nil"/>
            </w:tcBorders>
            <w:noWrap/>
            <w:vAlign w:val="center"/>
          </w:tcPr>
          <w:p w14:paraId="7C1AD929">
            <w:pPr>
              <w:keepNext w:val="0"/>
              <w:keepLines w:val="0"/>
              <w:widowControl/>
              <w:suppressLineNumbers w:val="0"/>
              <w:spacing w:before="0" w:beforeAutospacing="0" w:after="0" w:afterAutospacing="0" w:line="240" w:lineRule="auto"/>
              <w:ind w:left="0" w:right="0" w:firstLine="0"/>
              <w:rPr>
                <w:rFonts w:hint="default" w:eastAsia="等线"/>
                <w:i/>
                <w:iCs/>
                <w:color w:val="000000"/>
                <w:sz w:val="20"/>
                <w:szCs w:val="20"/>
              </w:rPr>
            </w:pPr>
            <w:r>
              <w:rPr>
                <w:rFonts w:hint="default" w:eastAsia="等线"/>
                <w:i/>
                <w:iCs/>
                <w:color w:val="000000"/>
                <w:sz w:val="20"/>
                <w:szCs w:val="20"/>
              </w:rPr>
              <w:t>Andesite</w:t>
            </w:r>
          </w:p>
        </w:tc>
        <w:tc>
          <w:tcPr>
            <w:tcW w:w="1300" w:type="dxa"/>
            <w:gridSpan w:val="2"/>
            <w:tcBorders>
              <w:top w:val="single" w:color="auto" w:sz="4" w:space="0"/>
              <w:left w:val="nil"/>
              <w:bottom w:val="nil"/>
              <w:right w:val="nil"/>
            </w:tcBorders>
            <w:noWrap/>
            <w:vAlign w:val="center"/>
          </w:tcPr>
          <w:p w14:paraId="2D09F6CD">
            <w:pPr>
              <w:keepNext w:val="0"/>
              <w:keepLines w:val="0"/>
              <w:widowControl/>
              <w:suppressLineNumbers w:val="0"/>
              <w:spacing w:before="0" w:beforeAutospacing="0" w:after="0" w:afterAutospacing="0" w:line="240" w:lineRule="auto"/>
              <w:ind w:left="0" w:right="0" w:firstLine="0"/>
              <w:rPr>
                <w:rFonts w:hint="default" w:eastAsia="等线"/>
                <w:i/>
                <w:iCs/>
                <w:color w:val="000000"/>
                <w:sz w:val="20"/>
                <w:szCs w:val="20"/>
              </w:rPr>
            </w:pPr>
            <w:r>
              <w:rPr>
                <w:rFonts w:hint="default" w:eastAsia="等线"/>
                <w:i/>
                <w:iCs/>
                <w:color w:val="000000"/>
                <w:sz w:val="20"/>
                <w:szCs w:val="20"/>
              </w:rPr>
              <w:t>Granite</w:t>
            </w:r>
          </w:p>
        </w:tc>
        <w:tc>
          <w:tcPr>
            <w:tcW w:w="1447" w:type="dxa"/>
            <w:gridSpan w:val="2"/>
            <w:tcBorders>
              <w:top w:val="single" w:color="auto" w:sz="4" w:space="0"/>
              <w:left w:val="nil"/>
              <w:bottom w:val="nil"/>
              <w:right w:val="nil"/>
            </w:tcBorders>
            <w:noWrap/>
            <w:vAlign w:val="center"/>
          </w:tcPr>
          <w:p w14:paraId="724DE884">
            <w:pPr>
              <w:keepNext w:val="0"/>
              <w:keepLines w:val="0"/>
              <w:widowControl/>
              <w:suppressLineNumbers w:val="0"/>
              <w:spacing w:before="0" w:beforeAutospacing="0" w:after="0" w:afterAutospacing="0" w:line="240" w:lineRule="auto"/>
              <w:ind w:left="0" w:right="0" w:firstLine="0"/>
              <w:rPr>
                <w:rFonts w:hint="default" w:eastAsia="等线"/>
                <w:i/>
                <w:iCs/>
                <w:color w:val="000000"/>
                <w:sz w:val="20"/>
                <w:szCs w:val="20"/>
              </w:rPr>
            </w:pPr>
            <w:r>
              <w:rPr>
                <w:rFonts w:hint="default" w:eastAsia="等线"/>
                <w:i/>
                <w:iCs/>
                <w:color w:val="000000"/>
                <w:sz w:val="20"/>
                <w:szCs w:val="20"/>
              </w:rPr>
              <w:t>Total</w:t>
            </w:r>
          </w:p>
        </w:tc>
      </w:tr>
      <w:tr w14:paraId="6B812624">
        <w:tblPrEx>
          <w:tblCellMar>
            <w:top w:w="0" w:type="dxa"/>
            <w:left w:w="108" w:type="dxa"/>
            <w:bottom w:w="0" w:type="dxa"/>
            <w:right w:w="108" w:type="dxa"/>
          </w:tblCellMar>
        </w:tblPrEx>
        <w:trPr>
          <w:trHeight w:val="259" w:hRule="atLeast"/>
        </w:trPr>
        <w:tc>
          <w:tcPr>
            <w:tcW w:w="1011" w:type="dxa"/>
            <w:tcBorders>
              <w:top w:val="single" w:color="auto" w:sz="4" w:space="0"/>
              <w:left w:val="nil"/>
              <w:bottom w:val="single" w:color="auto" w:sz="4" w:space="0"/>
              <w:right w:val="nil"/>
            </w:tcBorders>
            <w:noWrap/>
            <w:vAlign w:val="center"/>
          </w:tcPr>
          <w:p w14:paraId="2E864735">
            <w:pPr>
              <w:keepNext w:val="0"/>
              <w:keepLines w:val="0"/>
              <w:widowControl/>
              <w:suppressLineNumbers w:val="0"/>
              <w:spacing w:before="0" w:beforeAutospacing="0" w:after="0" w:afterAutospacing="0" w:line="240" w:lineRule="auto"/>
              <w:ind w:left="0" w:right="0" w:firstLine="0"/>
              <w:rPr>
                <w:rFonts w:hint="default" w:eastAsia="等线"/>
                <w:i/>
                <w:iCs/>
                <w:color w:val="000000"/>
                <w:sz w:val="20"/>
                <w:szCs w:val="20"/>
              </w:rPr>
            </w:pPr>
            <w:r>
              <w:rPr>
                <w:rFonts w:hint="default" w:eastAsia="等线"/>
                <w:i/>
                <w:iCs/>
                <w:color w:val="000000"/>
                <w:sz w:val="20"/>
                <w:szCs w:val="20"/>
              </w:rPr>
              <w:t>　</w:t>
            </w:r>
          </w:p>
        </w:tc>
        <w:tc>
          <w:tcPr>
            <w:tcW w:w="2074" w:type="dxa"/>
            <w:tcBorders>
              <w:top w:val="single" w:color="auto" w:sz="4" w:space="0"/>
              <w:left w:val="nil"/>
              <w:bottom w:val="single" w:color="auto" w:sz="4" w:space="0"/>
              <w:right w:val="nil"/>
            </w:tcBorders>
            <w:noWrap/>
            <w:vAlign w:val="center"/>
          </w:tcPr>
          <w:p w14:paraId="706697D0">
            <w:pPr>
              <w:keepNext w:val="0"/>
              <w:keepLines w:val="0"/>
              <w:widowControl/>
              <w:suppressLineNumbers w:val="0"/>
              <w:spacing w:before="0" w:beforeAutospacing="0" w:after="0" w:afterAutospacing="0" w:line="240" w:lineRule="auto"/>
              <w:ind w:left="0" w:right="0" w:firstLine="0"/>
              <w:rPr>
                <w:rFonts w:hint="default" w:eastAsia="等线"/>
                <w:i/>
                <w:iCs/>
                <w:color w:val="000000"/>
                <w:sz w:val="20"/>
                <w:szCs w:val="20"/>
              </w:rPr>
            </w:pPr>
            <w:r>
              <w:rPr>
                <w:rFonts w:hint="default" w:eastAsia="等线"/>
                <w:i/>
                <w:iCs/>
                <w:color w:val="000000"/>
                <w:sz w:val="20"/>
                <w:szCs w:val="20"/>
              </w:rPr>
              <w:t>　</w:t>
            </w:r>
          </w:p>
        </w:tc>
        <w:tc>
          <w:tcPr>
            <w:tcW w:w="567" w:type="dxa"/>
            <w:tcBorders>
              <w:top w:val="single" w:color="auto" w:sz="4" w:space="0"/>
              <w:left w:val="nil"/>
              <w:bottom w:val="single" w:color="auto" w:sz="4" w:space="0"/>
              <w:right w:val="nil"/>
            </w:tcBorders>
            <w:noWrap/>
            <w:vAlign w:val="center"/>
          </w:tcPr>
          <w:p w14:paraId="2ADB056B">
            <w:pPr>
              <w:keepNext w:val="0"/>
              <w:keepLines w:val="0"/>
              <w:widowControl/>
              <w:suppressLineNumbers w:val="0"/>
              <w:spacing w:before="0" w:beforeAutospacing="0" w:after="0" w:afterAutospacing="0" w:line="240" w:lineRule="auto"/>
              <w:ind w:left="0" w:right="0" w:firstLine="0"/>
              <w:rPr>
                <w:rFonts w:hint="default" w:eastAsia="等线"/>
                <w:i/>
                <w:iCs/>
                <w:color w:val="000000"/>
                <w:sz w:val="20"/>
                <w:szCs w:val="20"/>
              </w:rPr>
            </w:pPr>
            <w:r>
              <w:rPr>
                <w:rFonts w:hint="default" w:eastAsia="等线"/>
                <w:i/>
                <w:iCs/>
                <w:color w:val="000000"/>
                <w:sz w:val="20"/>
                <w:szCs w:val="20"/>
              </w:rPr>
              <w:t>n</w:t>
            </w:r>
          </w:p>
        </w:tc>
        <w:tc>
          <w:tcPr>
            <w:tcW w:w="828" w:type="dxa"/>
            <w:tcBorders>
              <w:top w:val="single" w:color="auto" w:sz="4" w:space="0"/>
              <w:left w:val="nil"/>
              <w:bottom w:val="single" w:color="auto" w:sz="4" w:space="0"/>
              <w:right w:val="nil"/>
            </w:tcBorders>
            <w:noWrap/>
            <w:vAlign w:val="center"/>
          </w:tcPr>
          <w:p w14:paraId="2F6BA147">
            <w:pPr>
              <w:keepNext w:val="0"/>
              <w:keepLines w:val="0"/>
              <w:widowControl/>
              <w:suppressLineNumbers w:val="0"/>
              <w:spacing w:before="0" w:beforeAutospacing="0" w:after="0" w:afterAutospacing="0" w:line="240" w:lineRule="auto"/>
              <w:ind w:left="0" w:right="0" w:firstLine="0"/>
              <w:rPr>
                <w:rFonts w:hint="default" w:eastAsia="等线"/>
                <w:i/>
                <w:iCs/>
                <w:color w:val="000000"/>
                <w:sz w:val="20"/>
                <w:szCs w:val="20"/>
              </w:rPr>
            </w:pPr>
            <w:r>
              <w:rPr>
                <w:rFonts w:hint="default" w:eastAsia="等线"/>
                <w:i/>
                <w:iCs/>
                <w:color w:val="000000"/>
                <w:sz w:val="20"/>
                <w:szCs w:val="20"/>
              </w:rPr>
              <w:t>%</w:t>
            </w:r>
          </w:p>
        </w:tc>
        <w:tc>
          <w:tcPr>
            <w:tcW w:w="419" w:type="dxa"/>
            <w:tcBorders>
              <w:top w:val="single" w:color="auto" w:sz="4" w:space="0"/>
              <w:left w:val="nil"/>
              <w:bottom w:val="single" w:color="auto" w:sz="4" w:space="0"/>
              <w:right w:val="nil"/>
            </w:tcBorders>
            <w:noWrap/>
            <w:vAlign w:val="center"/>
          </w:tcPr>
          <w:p w14:paraId="4F16FE9A">
            <w:pPr>
              <w:keepNext w:val="0"/>
              <w:keepLines w:val="0"/>
              <w:widowControl/>
              <w:suppressLineNumbers w:val="0"/>
              <w:spacing w:before="0" w:beforeAutospacing="0" w:after="0" w:afterAutospacing="0" w:line="240" w:lineRule="auto"/>
              <w:ind w:left="0" w:right="0" w:firstLine="0"/>
              <w:rPr>
                <w:rFonts w:hint="default" w:eastAsia="等线"/>
                <w:i/>
                <w:iCs/>
                <w:color w:val="000000"/>
                <w:sz w:val="20"/>
                <w:szCs w:val="20"/>
              </w:rPr>
            </w:pPr>
            <w:r>
              <w:rPr>
                <w:rFonts w:hint="default" w:eastAsia="等线"/>
                <w:i/>
                <w:iCs/>
                <w:color w:val="000000"/>
                <w:sz w:val="20"/>
                <w:szCs w:val="20"/>
              </w:rPr>
              <w:t>n</w:t>
            </w:r>
          </w:p>
        </w:tc>
        <w:tc>
          <w:tcPr>
            <w:tcW w:w="880" w:type="dxa"/>
            <w:tcBorders>
              <w:top w:val="single" w:color="auto" w:sz="4" w:space="0"/>
              <w:left w:val="nil"/>
              <w:bottom w:val="single" w:color="auto" w:sz="4" w:space="0"/>
              <w:right w:val="nil"/>
            </w:tcBorders>
            <w:noWrap/>
            <w:vAlign w:val="center"/>
          </w:tcPr>
          <w:p w14:paraId="403243AB">
            <w:pPr>
              <w:keepNext w:val="0"/>
              <w:keepLines w:val="0"/>
              <w:widowControl/>
              <w:suppressLineNumbers w:val="0"/>
              <w:spacing w:before="0" w:beforeAutospacing="0" w:after="0" w:afterAutospacing="0" w:line="240" w:lineRule="auto"/>
              <w:ind w:left="0" w:right="0" w:firstLine="0"/>
              <w:rPr>
                <w:rFonts w:hint="default" w:eastAsia="等线"/>
                <w:i/>
                <w:iCs/>
                <w:color w:val="000000"/>
                <w:sz w:val="20"/>
                <w:szCs w:val="20"/>
              </w:rPr>
            </w:pPr>
            <w:r>
              <w:rPr>
                <w:rFonts w:hint="default" w:eastAsia="等线"/>
                <w:i/>
                <w:iCs/>
                <w:color w:val="000000"/>
                <w:sz w:val="20"/>
                <w:szCs w:val="20"/>
              </w:rPr>
              <w:t>%</w:t>
            </w:r>
          </w:p>
        </w:tc>
        <w:tc>
          <w:tcPr>
            <w:tcW w:w="420" w:type="dxa"/>
            <w:tcBorders>
              <w:top w:val="single" w:color="auto" w:sz="4" w:space="0"/>
              <w:left w:val="nil"/>
              <w:bottom w:val="single" w:color="auto" w:sz="4" w:space="0"/>
              <w:right w:val="nil"/>
            </w:tcBorders>
            <w:noWrap/>
            <w:vAlign w:val="center"/>
          </w:tcPr>
          <w:p w14:paraId="635ADC46">
            <w:pPr>
              <w:keepNext w:val="0"/>
              <w:keepLines w:val="0"/>
              <w:widowControl/>
              <w:suppressLineNumbers w:val="0"/>
              <w:spacing w:before="0" w:beforeAutospacing="0" w:after="0" w:afterAutospacing="0" w:line="240" w:lineRule="auto"/>
              <w:ind w:left="0" w:right="0" w:firstLine="0"/>
              <w:rPr>
                <w:rFonts w:hint="default" w:eastAsia="等线"/>
                <w:i/>
                <w:iCs/>
                <w:color w:val="000000"/>
                <w:sz w:val="20"/>
                <w:szCs w:val="20"/>
              </w:rPr>
            </w:pPr>
            <w:r>
              <w:rPr>
                <w:rFonts w:hint="default" w:eastAsia="等线"/>
                <w:i/>
                <w:iCs/>
                <w:color w:val="000000"/>
                <w:sz w:val="20"/>
                <w:szCs w:val="20"/>
              </w:rPr>
              <w:t>n</w:t>
            </w:r>
          </w:p>
        </w:tc>
        <w:tc>
          <w:tcPr>
            <w:tcW w:w="880" w:type="dxa"/>
            <w:tcBorders>
              <w:top w:val="single" w:color="auto" w:sz="4" w:space="0"/>
              <w:left w:val="nil"/>
              <w:bottom w:val="single" w:color="auto" w:sz="4" w:space="0"/>
              <w:right w:val="nil"/>
            </w:tcBorders>
            <w:noWrap/>
            <w:vAlign w:val="center"/>
          </w:tcPr>
          <w:p w14:paraId="2FC14B83">
            <w:pPr>
              <w:keepNext w:val="0"/>
              <w:keepLines w:val="0"/>
              <w:widowControl/>
              <w:suppressLineNumbers w:val="0"/>
              <w:spacing w:before="0" w:beforeAutospacing="0" w:after="0" w:afterAutospacing="0" w:line="240" w:lineRule="auto"/>
              <w:ind w:left="0" w:right="0" w:firstLine="0"/>
              <w:rPr>
                <w:rFonts w:hint="default" w:eastAsia="等线"/>
                <w:i/>
                <w:iCs/>
                <w:color w:val="000000"/>
                <w:sz w:val="20"/>
                <w:szCs w:val="20"/>
              </w:rPr>
            </w:pPr>
            <w:r>
              <w:rPr>
                <w:rFonts w:hint="default" w:eastAsia="等线"/>
                <w:i/>
                <w:iCs/>
                <w:color w:val="000000"/>
                <w:sz w:val="20"/>
                <w:szCs w:val="20"/>
              </w:rPr>
              <w:t>%</w:t>
            </w:r>
          </w:p>
        </w:tc>
        <w:tc>
          <w:tcPr>
            <w:tcW w:w="420" w:type="dxa"/>
            <w:tcBorders>
              <w:top w:val="single" w:color="auto" w:sz="4" w:space="0"/>
              <w:left w:val="nil"/>
              <w:bottom w:val="single" w:color="auto" w:sz="4" w:space="0"/>
              <w:right w:val="nil"/>
            </w:tcBorders>
            <w:noWrap/>
            <w:vAlign w:val="center"/>
          </w:tcPr>
          <w:p w14:paraId="257AB184">
            <w:pPr>
              <w:keepNext w:val="0"/>
              <w:keepLines w:val="0"/>
              <w:widowControl/>
              <w:suppressLineNumbers w:val="0"/>
              <w:spacing w:before="0" w:beforeAutospacing="0" w:after="0" w:afterAutospacing="0" w:line="240" w:lineRule="auto"/>
              <w:ind w:left="0" w:right="0" w:firstLine="0"/>
              <w:rPr>
                <w:rFonts w:hint="default" w:eastAsia="等线"/>
                <w:i/>
                <w:iCs/>
                <w:color w:val="000000"/>
                <w:sz w:val="20"/>
                <w:szCs w:val="20"/>
              </w:rPr>
            </w:pPr>
            <w:r>
              <w:rPr>
                <w:rFonts w:hint="default" w:eastAsia="等线"/>
                <w:i/>
                <w:iCs/>
                <w:color w:val="000000"/>
                <w:sz w:val="20"/>
                <w:szCs w:val="20"/>
              </w:rPr>
              <w:t>n</w:t>
            </w:r>
          </w:p>
        </w:tc>
        <w:tc>
          <w:tcPr>
            <w:tcW w:w="880" w:type="dxa"/>
            <w:tcBorders>
              <w:top w:val="single" w:color="auto" w:sz="4" w:space="0"/>
              <w:left w:val="nil"/>
              <w:bottom w:val="single" w:color="auto" w:sz="4" w:space="0"/>
              <w:right w:val="nil"/>
            </w:tcBorders>
            <w:noWrap/>
            <w:vAlign w:val="center"/>
          </w:tcPr>
          <w:p w14:paraId="6EF8CF05">
            <w:pPr>
              <w:keepNext w:val="0"/>
              <w:keepLines w:val="0"/>
              <w:widowControl/>
              <w:suppressLineNumbers w:val="0"/>
              <w:spacing w:before="0" w:beforeAutospacing="0" w:after="0" w:afterAutospacing="0" w:line="240" w:lineRule="auto"/>
              <w:ind w:left="0" w:right="0" w:firstLine="0"/>
              <w:rPr>
                <w:rFonts w:hint="default" w:eastAsia="等线"/>
                <w:i/>
                <w:iCs/>
                <w:color w:val="000000"/>
                <w:sz w:val="20"/>
                <w:szCs w:val="20"/>
              </w:rPr>
            </w:pPr>
            <w:r>
              <w:rPr>
                <w:rFonts w:hint="default" w:eastAsia="等线"/>
                <w:i/>
                <w:iCs/>
                <w:color w:val="000000"/>
                <w:sz w:val="20"/>
                <w:szCs w:val="20"/>
              </w:rPr>
              <w:t>%</w:t>
            </w:r>
          </w:p>
        </w:tc>
        <w:tc>
          <w:tcPr>
            <w:tcW w:w="516" w:type="dxa"/>
            <w:tcBorders>
              <w:top w:val="single" w:color="auto" w:sz="4" w:space="0"/>
              <w:left w:val="nil"/>
              <w:bottom w:val="single" w:color="auto" w:sz="4" w:space="0"/>
              <w:right w:val="nil"/>
            </w:tcBorders>
            <w:noWrap/>
            <w:vAlign w:val="center"/>
          </w:tcPr>
          <w:p w14:paraId="5A2AEA40">
            <w:pPr>
              <w:keepNext w:val="0"/>
              <w:keepLines w:val="0"/>
              <w:widowControl/>
              <w:suppressLineNumbers w:val="0"/>
              <w:spacing w:before="0" w:beforeAutospacing="0" w:after="0" w:afterAutospacing="0" w:line="240" w:lineRule="auto"/>
              <w:ind w:left="0" w:right="0" w:firstLine="0"/>
              <w:rPr>
                <w:rFonts w:hint="default" w:eastAsia="等线"/>
                <w:i/>
                <w:iCs/>
                <w:color w:val="000000"/>
                <w:sz w:val="20"/>
                <w:szCs w:val="20"/>
              </w:rPr>
            </w:pPr>
            <w:r>
              <w:rPr>
                <w:rFonts w:hint="default" w:eastAsia="等线"/>
                <w:i/>
                <w:iCs/>
                <w:color w:val="000000"/>
                <w:sz w:val="20"/>
                <w:szCs w:val="20"/>
              </w:rPr>
              <w:t>n</w:t>
            </w:r>
          </w:p>
        </w:tc>
        <w:tc>
          <w:tcPr>
            <w:tcW w:w="828" w:type="dxa"/>
            <w:tcBorders>
              <w:top w:val="single" w:color="auto" w:sz="4" w:space="0"/>
              <w:left w:val="nil"/>
              <w:bottom w:val="single" w:color="auto" w:sz="4" w:space="0"/>
              <w:right w:val="nil"/>
            </w:tcBorders>
            <w:noWrap/>
            <w:vAlign w:val="center"/>
          </w:tcPr>
          <w:p w14:paraId="3B6987C5">
            <w:pPr>
              <w:keepNext w:val="0"/>
              <w:keepLines w:val="0"/>
              <w:widowControl/>
              <w:suppressLineNumbers w:val="0"/>
              <w:spacing w:before="0" w:beforeAutospacing="0" w:after="0" w:afterAutospacing="0" w:line="240" w:lineRule="auto"/>
              <w:ind w:left="0" w:right="0" w:firstLine="0"/>
              <w:rPr>
                <w:rFonts w:hint="default" w:eastAsia="等线"/>
                <w:i/>
                <w:iCs/>
                <w:color w:val="000000"/>
                <w:sz w:val="20"/>
                <w:szCs w:val="20"/>
              </w:rPr>
            </w:pPr>
            <w:r>
              <w:rPr>
                <w:rFonts w:hint="default" w:eastAsia="等线"/>
                <w:i/>
                <w:iCs/>
                <w:color w:val="000000"/>
                <w:sz w:val="20"/>
                <w:szCs w:val="20"/>
              </w:rPr>
              <w:t>%</w:t>
            </w:r>
          </w:p>
        </w:tc>
        <w:tc>
          <w:tcPr>
            <w:tcW w:w="420" w:type="dxa"/>
            <w:tcBorders>
              <w:top w:val="single" w:color="auto" w:sz="4" w:space="0"/>
              <w:left w:val="nil"/>
              <w:bottom w:val="single" w:color="auto" w:sz="4" w:space="0"/>
              <w:right w:val="nil"/>
            </w:tcBorders>
            <w:noWrap/>
            <w:vAlign w:val="center"/>
          </w:tcPr>
          <w:p w14:paraId="5A8A6755">
            <w:pPr>
              <w:keepNext w:val="0"/>
              <w:keepLines w:val="0"/>
              <w:widowControl/>
              <w:suppressLineNumbers w:val="0"/>
              <w:spacing w:before="0" w:beforeAutospacing="0" w:after="0" w:afterAutospacing="0" w:line="240" w:lineRule="auto"/>
              <w:ind w:left="0" w:right="0" w:firstLine="0"/>
              <w:rPr>
                <w:rFonts w:hint="default" w:eastAsia="等线"/>
                <w:i/>
                <w:iCs/>
                <w:color w:val="000000"/>
                <w:sz w:val="20"/>
                <w:szCs w:val="20"/>
              </w:rPr>
            </w:pPr>
            <w:r>
              <w:rPr>
                <w:rFonts w:hint="default" w:eastAsia="等线"/>
                <w:i/>
                <w:iCs/>
                <w:color w:val="000000"/>
                <w:sz w:val="20"/>
                <w:szCs w:val="20"/>
              </w:rPr>
              <w:t>n</w:t>
            </w:r>
          </w:p>
        </w:tc>
        <w:tc>
          <w:tcPr>
            <w:tcW w:w="878" w:type="dxa"/>
            <w:tcBorders>
              <w:top w:val="single" w:color="auto" w:sz="4" w:space="0"/>
              <w:left w:val="nil"/>
              <w:bottom w:val="single" w:color="auto" w:sz="4" w:space="0"/>
              <w:right w:val="nil"/>
            </w:tcBorders>
            <w:noWrap/>
            <w:vAlign w:val="center"/>
          </w:tcPr>
          <w:p w14:paraId="0AAB0EC2">
            <w:pPr>
              <w:keepNext w:val="0"/>
              <w:keepLines w:val="0"/>
              <w:widowControl/>
              <w:suppressLineNumbers w:val="0"/>
              <w:spacing w:before="0" w:beforeAutospacing="0" w:after="0" w:afterAutospacing="0" w:line="240" w:lineRule="auto"/>
              <w:ind w:left="0" w:right="0" w:firstLine="0"/>
              <w:rPr>
                <w:rFonts w:hint="default" w:eastAsia="等线"/>
                <w:i/>
                <w:iCs/>
                <w:color w:val="000000"/>
                <w:sz w:val="20"/>
                <w:szCs w:val="20"/>
              </w:rPr>
            </w:pPr>
            <w:r>
              <w:rPr>
                <w:rFonts w:hint="default" w:eastAsia="等线"/>
                <w:i/>
                <w:iCs/>
                <w:color w:val="000000"/>
                <w:sz w:val="20"/>
                <w:szCs w:val="20"/>
              </w:rPr>
              <w:t>%</w:t>
            </w:r>
          </w:p>
        </w:tc>
        <w:tc>
          <w:tcPr>
            <w:tcW w:w="427" w:type="dxa"/>
            <w:gridSpan w:val="2"/>
            <w:tcBorders>
              <w:top w:val="single" w:color="auto" w:sz="4" w:space="0"/>
              <w:left w:val="nil"/>
              <w:bottom w:val="single" w:color="auto" w:sz="4" w:space="0"/>
              <w:right w:val="nil"/>
            </w:tcBorders>
            <w:noWrap/>
            <w:vAlign w:val="center"/>
          </w:tcPr>
          <w:p w14:paraId="5F61EB03">
            <w:pPr>
              <w:keepNext w:val="0"/>
              <w:keepLines w:val="0"/>
              <w:widowControl/>
              <w:suppressLineNumbers w:val="0"/>
              <w:spacing w:before="0" w:beforeAutospacing="0" w:after="0" w:afterAutospacing="0" w:line="240" w:lineRule="auto"/>
              <w:ind w:left="0" w:right="0" w:firstLine="0"/>
              <w:rPr>
                <w:rFonts w:hint="default" w:eastAsia="等线"/>
                <w:i/>
                <w:iCs/>
                <w:color w:val="000000"/>
                <w:sz w:val="20"/>
                <w:szCs w:val="20"/>
              </w:rPr>
            </w:pPr>
            <w:r>
              <w:rPr>
                <w:rFonts w:hint="default" w:eastAsia="等线"/>
                <w:i/>
                <w:iCs/>
                <w:color w:val="000000"/>
                <w:sz w:val="20"/>
                <w:szCs w:val="20"/>
              </w:rPr>
              <w:t>n</w:t>
            </w:r>
          </w:p>
        </w:tc>
        <w:tc>
          <w:tcPr>
            <w:tcW w:w="879" w:type="dxa"/>
            <w:tcBorders>
              <w:top w:val="single" w:color="auto" w:sz="4" w:space="0"/>
              <w:left w:val="nil"/>
              <w:bottom w:val="single" w:color="auto" w:sz="4" w:space="0"/>
              <w:right w:val="nil"/>
            </w:tcBorders>
            <w:noWrap/>
            <w:vAlign w:val="center"/>
          </w:tcPr>
          <w:p w14:paraId="4A81B751">
            <w:pPr>
              <w:keepNext w:val="0"/>
              <w:keepLines w:val="0"/>
              <w:widowControl/>
              <w:suppressLineNumbers w:val="0"/>
              <w:spacing w:before="0" w:beforeAutospacing="0" w:after="0" w:afterAutospacing="0" w:line="240" w:lineRule="auto"/>
              <w:ind w:left="0" w:right="0" w:firstLine="0"/>
              <w:rPr>
                <w:rFonts w:hint="default" w:eastAsia="等线"/>
                <w:i/>
                <w:iCs/>
                <w:color w:val="000000"/>
                <w:sz w:val="20"/>
                <w:szCs w:val="20"/>
              </w:rPr>
            </w:pPr>
            <w:r>
              <w:rPr>
                <w:rFonts w:hint="default" w:eastAsia="等线"/>
                <w:i/>
                <w:iCs/>
                <w:color w:val="000000"/>
                <w:sz w:val="20"/>
                <w:szCs w:val="20"/>
              </w:rPr>
              <w:t>%</w:t>
            </w:r>
          </w:p>
        </w:tc>
        <w:tc>
          <w:tcPr>
            <w:tcW w:w="616" w:type="dxa"/>
            <w:tcBorders>
              <w:top w:val="single" w:color="auto" w:sz="4" w:space="0"/>
              <w:left w:val="nil"/>
              <w:bottom w:val="single" w:color="auto" w:sz="4" w:space="0"/>
              <w:right w:val="nil"/>
            </w:tcBorders>
            <w:noWrap/>
            <w:vAlign w:val="center"/>
          </w:tcPr>
          <w:p w14:paraId="6D628779">
            <w:pPr>
              <w:keepNext w:val="0"/>
              <w:keepLines w:val="0"/>
              <w:widowControl/>
              <w:suppressLineNumbers w:val="0"/>
              <w:spacing w:before="0" w:beforeAutospacing="0" w:after="0" w:afterAutospacing="0" w:line="240" w:lineRule="auto"/>
              <w:ind w:left="0" w:right="0" w:firstLine="0"/>
              <w:rPr>
                <w:rFonts w:hint="default" w:eastAsia="等线"/>
                <w:i/>
                <w:iCs/>
                <w:color w:val="000000"/>
                <w:sz w:val="20"/>
                <w:szCs w:val="20"/>
              </w:rPr>
            </w:pPr>
            <w:r>
              <w:rPr>
                <w:rFonts w:hint="default" w:eastAsia="等线"/>
                <w:i/>
                <w:iCs/>
                <w:color w:val="000000"/>
                <w:sz w:val="20"/>
                <w:szCs w:val="20"/>
              </w:rPr>
              <w:t>n</w:t>
            </w:r>
          </w:p>
        </w:tc>
        <w:tc>
          <w:tcPr>
            <w:tcW w:w="831" w:type="dxa"/>
            <w:tcBorders>
              <w:top w:val="single" w:color="auto" w:sz="4" w:space="0"/>
              <w:left w:val="nil"/>
              <w:bottom w:val="single" w:color="auto" w:sz="4" w:space="0"/>
              <w:right w:val="nil"/>
            </w:tcBorders>
            <w:noWrap/>
            <w:vAlign w:val="center"/>
          </w:tcPr>
          <w:p w14:paraId="77F4201E">
            <w:pPr>
              <w:keepNext w:val="0"/>
              <w:keepLines w:val="0"/>
              <w:widowControl/>
              <w:suppressLineNumbers w:val="0"/>
              <w:spacing w:before="0" w:beforeAutospacing="0" w:after="0" w:afterAutospacing="0" w:line="240" w:lineRule="auto"/>
              <w:ind w:left="0" w:right="0" w:firstLine="0"/>
              <w:rPr>
                <w:rFonts w:hint="default" w:eastAsia="等线"/>
                <w:i/>
                <w:iCs/>
                <w:color w:val="000000"/>
                <w:sz w:val="20"/>
                <w:szCs w:val="20"/>
              </w:rPr>
            </w:pPr>
            <w:r>
              <w:rPr>
                <w:rFonts w:hint="default" w:eastAsia="等线"/>
                <w:i/>
                <w:iCs/>
                <w:color w:val="000000"/>
                <w:sz w:val="20"/>
                <w:szCs w:val="20"/>
              </w:rPr>
              <w:t>%</w:t>
            </w:r>
          </w:p>
        </w:tc>
      </w:tr>
      <w:tr w14:paraId="7D8E58DB">
        <w:tblPrEx>
          <w:tblCellMar>
            <w:top w:w="0" w:type="dxa"/>
            <w:left w:w="108" w:type="dxa"/>
            <w:bottom w:w="0" w:type="dxa"/>
            <w:right w:w="108" w:type="dxa"/>
          </w:tblCellMar>
        </w:tblPrEx>
        <w:trPr>
          <w:trHeight w:val="259" w:hRule="atLeast"/>
        </w:trPr>
        <w:tc>
          <w:tcPr>
            <w:tcW w:w="1011" w:type="dxa"/>
            <w:tcBorders>
              <w:top w:val="nil"/>
              <w:left w:val="nil"/>
              <w:bottom w:val="nil"/>
              <w:right w:val="nil"/>
            </w:tcBorders>
            <w:noWrap/>
            <w:vAlign w:val="center"/>
          </w:tcPr>
          <w:p w14:paraId="54A12E09">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Core</w:t>
            </w:r>
            <w:r>
              <w:rPr>
                <w:rFonts w:hint="eastAsia" w:eastAsia="等线"/>
                <w:color w:val="000000"/>
                <w:sz w:val="20"/>
                <w:szCs w:val="20"/>
              </w:rPr>
              <w:t>s</w:t>
            </w:r>
          </w:p>
        </w:tc>
        <w:tc>
          <w:tcPr>
            <w:tcW w:w="2074" w:type="dxa"/>
            <w:tcBorders>
              <w:top w:val="nil"/>
              <w:left w:val="nil"/>
              <w:bottom w:val="nil"/>
              <w:right w:val="nil"/>
            </w:tcBorders>
            <w:noWrap/>
            <w:vAlign w:val="center"/>
          </w:tcPr>
          <w:p w14:paraId="466FEBF5">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Initial core</w:t>
            </w:r>
          </w:p>
        </w:tc>
        <w:tc>
          <w:tcPr>
            <w:tcW w:w="567" w:type="dxa"/>
            <w:tcBorders>
              <w:top w:val="nil"/>
              <w:left w:val="nil"/>
              <w:bottom w:val="nil"/>
              <w:right w:val="nil"/>
            </w:tcBorders>
            <w:noWrap/>
            <w:vAlign w:val="center"/>
          </w:tcPr>
          <w:p w14:paraId="4EBBE3EE">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5</w:t>
            </w:r>
          </w:p>
        </w:tc>
        <w:tc>
          <w:tcPr>
            <w:tcW w:w="828" w:type="dxa"/>
            <w:tcBorders>
              <w:top w:val="nil"/>
              <w:left w:val="nil"/>
              <w:bottom w:val="nil"/>
              <w:right w:val="nil"/>
            </w:tcBorders>
            <w:noWrap/>
            <w:vAlign w:val="center"/>
          </w:tcPr>
          <w:p w14:paraId="1923F7B5">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0.4%</w:t>
            </w:r>
          </w:p>
        </w:tc>
        <w:tc>
          <w:tcPr>
            <w:tcW w:w="419" w:type="dxa"/>
            <w:tcBorders>
              <w:top w:val="nil"/>
              <w:left w:val="nil"/>
              <w:bottom w:val="nil"/>
              <w:right w:val="nil"/>
            </w:tcBorders>
            <w:noWrap/>
            <w:vAlign w:val="center"/>
          </w:tcPr>
          <w:p w14:paraId="13E290DB">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3</w:t>
            </w:r>
          </w:p>
        </w:tc>
        <w:tc>
          <w:tcPr>
            <w:tcW w:w="880" w:type="dxa"/>
            <w:tcBorders>
              <w:top w:val="nil"/>
              <w:left w:val="nil"/>
              <w:bottom w:val="nil"/>
              <w:right w:val="nil"/>
            </w:tcBorders>
            <w:noWrap/>
            <w:vAlign w:val="center"/>
          </w:tcPr>
          <w:p w14:paraId="75DBDA93">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0.2%</w:t>
            </w:r>
          </w:p>
        </w:tc>
        <w:tc>
          <w:tcPr>
            <w:tcW w:w="420" w:type="dxa"/>
            <w:tcBorders>
              <w:top w:val="nil"/>
              <w:left w:val="nil"/>
              <w:bottom w:val="nil"/>
              <w:right w:val="nil"/>
            </w:tcBorders>
            <w:noWrap/>
            <w:vAlign w:val="center"/>
          </w:tcPr>
          <w:p w14:paraId="0E5D4260">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2AC811DA">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0" w:type="dxa"/>
            <w:tcBorders>
              <w:top w:val="nil"/>
              <w:left w:val="nil"/>
              <w:bottom w:val="nil"/>
              <w:right w:val="nil"/>
            </w:tcBorders>
            <w:noWrap/>
            <w:vAlign w:val="center"/>
          </w:tcPr>
          <w:p w14:paraId="58619BC8">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80" w:type="dxa"/>
            <w:tcBorders>
              <w:top w:val="nil"/>
              <w:left w:val="nil"/>
              <w:bottom w:val="nil"/>
              <w:right w:val="nil"/>
            </w:tcBorders>
            <w:noWrap/>
            <w:vAlign w:val="center"/>
          </w:tcPr>
          <w:p w14:paraId="33A21B5A">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516" w:type="dxa"/>
            <w:tcBorders>
              <w:top w:val="nil"/>
              <w:left w:val="nil"/>
              <w:bottom w:val="nil"/>
              <w:right w:val="nil"/>
            </w:tcBorders>
            <w:noWrap/>
            <w:vAlign w:val="center"/>
          </w:tcPr>
          <w:p w14:paraId="6D002169">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28" w:type="dxa"/>
            <w:tcBorders>
              <w:top w:val="nil"/>
              <w:left w:val="nil"/>
              <w:bottom w:val="nil"/>
              <w:right w:val="nil"/>
            </w:tcBorders>
            <w:noWrap/>
            <w:vAlign w:val="center"/>
          </w:tcPr>
          <w:p w14:paraId="390EB18E">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420" w:type="dxa"/>
            <w:tcBorders>
              <w:top w:val="nil"/>
              <w:left w:val="nil"/>
              <w:bottom w:val="nil"/>
              <w:right w:val="nil"/>
            </w:tcBorders>
            <w:noWrap/>
            <w:vAlign w:val="center"/>
          </w:tcPr>
          <w:p w14:paraId="03BE6A88">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8" w:type="dxa"/>
            <w:tcBorders>
              <w:top w:val="nil"/>
              <w:left w:val="nil"/>
              <w:bottom w:val="nil"/>
              <w:right w:val="nil"/>
            </w:tcBorders>
            <w:noWrap/>
            <w:vAlign w:val="center"/>
          </w:tcPr>
          <w:p w14:paraId="3B09A3F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7" w:type="dxa"/>
            <w:gridSpan w:val="2"/>
            <w:tcBorders>
              <w:top w:val="nil"/>
              <w:left w:val="nil"/>
              <w:bottom w:val="nil"/>
              <w:right w:val="nil"/>
            </w:tcBorders>
            <w:noWrap/>
            <w:vAlign w:val="center"/>
          </w:tcPr>
          <w:p w14:paraId="7BE53723">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9" w:type="dxa"/>
            <w:tcBorders>
              <w:top w:val="nil"/>
              <w:left w:val="nil"/>
              <w:bottom w:val="nil"/>
              <w:right w:val="nil"/>
            </w:tcBorders>
            <w:noWrap/>
            <w:vAlign w:val="center"/>
          </w:tcPr>
          <w:p w14:paraId="23814130">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616" w:type="dxa"/>
            <w:tcBorders>
              <w:top w:val="nil"/>
              <w:left w:val="nil"/>
              <w:bottom w:val="nil"/>
              <w:right w:val="nil"/>
            </w:tcBorders>
            <w:noWrap/>
            <w:vAlign w:val="center"/>
          </w:tcPr>
          <w:p w14:paraId="30AE9180">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10</w:t>
            </w:r>
          </w:p>
        </w:tc>
        <w:tc>
          <w:tcPr>
            <w:tcW w:w="831" w:type="dxa"/>
            <w:tcBorders>
              <w:top w:val="nil"/>
              <w:left w:val="nil"/>
              <w:bottom w:val="nil"/>
              <w:right w:val="nil"/>
            </w:tcBorders>
            <w:noWrap/>
            <w:vAlign w:val="center"/>
          </w:tcPr>
          <w:p w14:paraId="3410A4C8">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0.7%</w:t>
            </w:r>
          </w:p>
        </w:tc>
      </w:tr>
      <w:tr w14:paraId="6F3D2FCE">
        <w:tblPrEx>
          <w:tblCellMar>
            <w:top w:w="0" w:type="dxa"/>
            <w:left w:w="108" w:type="dxa"/>
            <w:bottom w:w="0" w:type="dxa"/>
            <w:right w:w="108" w:type="dxa"/>
          </w:tblCellMar>
        </w:tblPrEx>
        <w:trPr>
          <w:trHeight w:val="259" w:hRule="atLeast"/>
        </w:trPr>
        <w:tc>
          <w:tcPr>
            <w:tcW w:w="1011" w:type="dxa"/>
            <w:tcBorders>
              <w:top w:val="nil"/>
              <w:left w:val="nil"/>
              <w:bottom w:val="nil"/>
              <w:right w:val="nil"/>
            </w:tcBorders>
            <w:noWrap/>
            <w:vAlign w:val="center"/>
          </w:tcPr>
          <w:p w14:paraId="58F3BF58">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(n=231)</w:t>
            </w:r>
          </w:p>
        </w:tc>
        <w:tc>
          <w:tcPr>
            <w:tcW w:w="2074" w:type="dxa"/>
            <w:tcBorders>
              <w:top w:val="nil"/>
              <w:left w:val="nil"/>
              <w:bottom w:val="nil"/>
              <w:right w:val="nil"/>
            </w:tcBorders>
            <w:noWrap/>
            <w:vAlign w:val="center"/>
          </w:tcPr>
          <w:p w14:paraId="1A00817E">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Unifacial core</w:t>
            </w:r>
          </w:p>
        </w:tc>
        <w:tc>
          <w:tcPr>
            <w:tcW w:w="567" w:type="dxa"/>
            <w:tcBorders>
              <w:top w:val="nil"/>
              <w:left w:val="nil"/>
              <w:bottom w:val="nil"/>
              <w:right w:val="nil"/>
            </w:tcBorders>
            <w:noWrap/>
            <w:vAlign w:val="center"/>
          </w:tcPr>
          <w:p w14:paraId="20746F2E">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72</w:t>
            </w:r>
          </w:p>
        </w:tc>
        <w:tc>
          <w:tcPr>
            <w:tcW w:w="828" w:type="dxa"/>
            <w:tcBorders>
              <w:top w:val="nil"/>
              <w:left w:val="nil"/>
              <w:bottom w:val="nil"/>
              <w:right w:val="nil"/>
            </w:tcBorders>
            <w:noWrap/>
            <w:vAlign w:val="center"/>
          </w:tcPr>
          <w:p w14:paraId="2DD9F83A">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5.3%</w:t>
            </w:r>
          </w:p>
        </w:tc>
        <w:tc>
          <w:tcPr>
            <w:tcW w:w="419" w:type="dxa"/>
            <w:tcBorders>
              <w:top w:val="nil"/>
              <w:left w:val="nil"/>
              <w:bottom w:val="nil"/>
              <w:right w:val="nil"/>
            </w:tcBorders>
            <w:noWrap/>
            <w:vAlign w:val="center"/>
          </w:tcPr>
          <w:p w14:paraId="1E148B9C">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9</w:t>
            </w:r>
          </w:p>
        </w:tc>
        <w:tc>
          <w:tcPr>
            <w:tcW w:w="880" w:type="dxa"/>
            <w:tcBorders>
              <w:top w:val="nil"/>
              <w:left w:val="nil"/>
              <w:bottom w:val="nil"/>
              <w:right w:val="nil"/>
            </w:tcBorders>
            <w:noWrap/>
            <w:vAlign w:val="center"/>
          </w:tcPr>
          <w:p w14:paraId="153C9E8A">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0.7%</w:t>
            </w:r>
          </w:p>
        </w:tc>
        <w:tc>
          <w:tcPr>
            <w:tcW w:w="420" w:type="dxa"/>
            <w:tcBorders>
              <w:top w:val="nil"/>
              <w:left w:val="nil"/>
              <w:bottom w:val="nil"/>
              <w:right w:val="nil"/>
            </w:tcBorders>
            <w:noWrap/>
            <w:vAlign w:val="center"/>
          </w:tcPr>
          <w:p w14:paraId="519AD6D1">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3C300317">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0" w:type="dxa"/>
            <w:tcBorders>
              <w:top w:val="nil"/>
              <w:left w:val="nil"/>
              <w:bottom w:val="nil"/>
              <w:right w:val="nil"/>
            </w:tcBorders>
            <w:noWrap/>
            <w:vAlign w:val="center"/>
          </w:tcPr>
          <w:p w14:paraId="18F36A2A">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3</w:t>
            </w:r>
          </w:p>
        </w:tc>
        <w:tc>
          <w:tcPr>
            <w:tcW w:w="880" w:type="dxa"/>
            <w:tcBorders>
              <w:top w:val="nil"/>
              <w:left w:val="nil"/>
              <w:bottom w:val="nil"/>
              <w:right w:val="nil"/>
            </w:tcBorders>
            <w:noWrap/>
            <w:vAlign w:val="center"/>
          </w:tcPr>
          <w:p w14:paraId="4D3C9AC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0.2%</w:t>
            </w:r>
          </w:p>
        </w:tc>
        <w:tc>
          <w:tcPr>
            <w:tcW w:w="516" w:type="dxa"/>
            <w:tcBorders>
              <w:top w:val="nil"/>
              <w:left w:val="nil"/>
              <w:bottom w:val="nil"/>
              <w:right w:val="nil"/>
            </w:tcBorders>
            <w:noWrap/>
            <w:vAlign w:val="center"/>
          </w:tcPr>
          <w:p w14:paraId="290BD0F7">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5</w:t>
            </w:r>
          </w:p>
        </w:tc>
        <w:tc>
          <w:tcPr>
            <w:tcW w:w="828" w:type="dxa"/>
            <w:tcBorders>
              <w:top w:val="nil"/>
              <w:left w:val="nil"/>
              <w:bottom w:val="nil"/>
              <w:right w:val="nil"/>
            </w:tcBorders>
            <w:noWrap/>
            <w:vAlign w:val="center"/>
          </w:tcPr>
          <w:p w14:paraId="455C5E6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0.4%</w:t>
            </w:r>
          </w:p>
        </w:tc>
        <w:tc>
          <w:tcPr>
            <w:tcW w:w="420" w:type="dxa"/>
            <w:tcBorders>
              <w:top w:val="nil"/>
              <w:left w:val="nil"/>
              <w:bottom w:val="nil"/>
              <w:right w:val="nil"/>
            </w:tcBorders>
            <w:noWrap/>
            <w:vAlign w:val="center"/>
          </w:tcPr>
          <w:p w14:paraId="039FA5D7">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8" w:type="dxa"/>
            <w:tcBorders>
              <w:top w:val="nil"/>
              <w:left w:val="nil"/>
              <w:bottom w:val="nil"/>
              <w:right w:val="nil"/>
            </w:tcBorders>
            <w:noWrap/>
            <w:vAlign w:val="center"/>
          </w:tcPr>
          <w:p w14:paraId="1EA9D098">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7" w:type="dxa"/>
            <w:gridSpan w:val="2"/>
            <w:tcBorders>
              <w:top w:val="nil"/>
              <w:left w:val="nil"/>
              <w:bottom w:val="nil"/>
              <w:right w:val="nil"/>
            </w:tcBorders>
            <w:noWrap/>
            <w:vAlign w:val="center"/>
          </w:tcPr>
          <w:p w14:paraId="73B4267D">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79" w:type="dxa"/>
            <w:tcBorders>
              <w:top w:val="nil"/>
              <w:left w:val="nil"/>
              <w:bottom w:val="nil"/>
              <w:right w:val="nil"/>
            </w:tcBorders>
            <w:noWrap/>
            <w:vAlign w:val="center"/>
          </w:tcPr>
          <w:p w14:paraId="6135905B">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616" w:type="dxa"/>
            <w:tcBorders>
              <w:top w:val="nil"/>
              <w:left w:val="nil"/>
              <w:bottom w:val="nil"/>
              <w:right w:val="nil"/>
            </w:tcBorders>
            <w:noWrap/>
            <w:vAlign w:val="center"/>
          </w:tcPr>
          <w:p w14:paraId="5EEFD224">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90</w:t>
            </w:r>
          </w:p>
        </w:tc>
        <w:tc>
          <w:tcPr>
            <w:tcW w:w="831" w:type="dxa"/>
            <w:tcBorders>
              <w:top w:val="nil"/>
              <w:left w:val="nil"/>
              <w:bottom w:val="nil"/>
              <w:right w:val="nil"/>
            </w:tcBorders>
            <w:noWrap/>
            <w:vAlign w:val="center"/>
          </w:tcPr>
          <w:p w14:paraId="315D9C2D">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6.6%</w:t>
            </w:r>
          </w:p>
        </w:tc>
      </w:tr>
      <w:tr w14:paraId="688EAC83">
        <w:tblPrEx>
          <w:tblCellMar>
            <w:top w:w="0" w:type="dxa"/>
            <w:left w:w="108" w:type="dxa"/>
            <w:bottom w:w="0" w:type="dxa"/>
            <w:right w:w="108" w:type="dxa"/>
          </w:tblCellMar>
        </w:tblPrEx>
        <w:trPr>
          <w:trHeight w:val="259" w:hRule="atLeast"/>
        </w:trPr>
        <w:tc>
          <w:tcPr>
            <w:tcW w:w="1011" w:type="dxa"/>
            <w:tcBorders>
              <w:top w:val="nil"/>
              <w:left w:val="nil"/>
              <w:bottom w:val="nil"/>
              <w:right w:val="nil"/>
            </w:tcBorders>
            <w:noWrap/>
            <w:vAlign w:val="center"/>
          </w:tcPr>
          <w:p w14:paraId="195FDA4A">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2074" w:type="dxa"/>
            <w:tcBorders>
              <w:top w:val="nil"/>
              <w:left w:val="nil"/>
              <w:bottom w:val="nil"/>
              <w:right w:val="nil"/>
            </w:tcBorders>
            <w:noWrap/>
            <w:vAlign w:val="center"/>
          </w:tcPr>
          <w:p w14:paraId="0D460474">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Bifacial core</w:t>
            </w:r>
          </w:p>
        </w:tc>
        <w:tc>
          <w:tcPr>
            <w:tcW w:w="567" w:type="dxa"/>
            <w:tcBorders>
              <w:top w:val="nil"/>
              <w:left w:val="nil"/>
              <w:bottom w:val="nil"/>
              <w:right w:val="nil"/>
            </w:tcBorders>
            <w:noWrap/>
            <w:vAlign w:val="center"/>
          </w:tcPr>
          <w:p w14:paraId="52259920">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22</w:t>
            </w:r>
          </w:p>
        </w:tc>
        <w:tc>
          <w:tcPr>
            <w:tcW w:w="828" w:type="dxa"/>
            <w:tcBorders>
              <w:top w:val="nil"/>
              <w:left w:val="nil"/>
              <w:bottom w:val="nil"/>
              <w:right w:val="nil"/>
            </w:tcBorders>
            <w:noWrap/>
            <w:vAlign w:val="center"/>
          </w:tcPr>
          <w:p w14:paraId="0770494E">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1.6%</w:t>
            </w:r>
          </w:p>
        </w:tc>
        <w:tc>
          <w:tcPr>
            <w:tcW w:w="419" w:type="dxa"/>
            <w:tcBorders>
              <w:top w:val="nil"/>
              <w:left w:val="nil"/>
              <w:bottom w:val="nil"/>
              <w:right w:val="nil"/>
            </w:tcBorders>
            <w:noWrap/>
            <w:vAlign w:val="center"/>
          </w:tcPr>
          <w:p w14:paraId="79B8DF4B">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5</w:t>
            </w:r>
          </w:p>
        </w:tc>
        <w:tc>
          <w:tcPr>
            <w:tcW w:w="880" w:type="dxa"/>
            <w:tcBorders>
              <w:top w:val="nil"/>
              <w:left w:val="nil"/>
              <w:bottom w:val="nil"/>
              <w:right w:val="nil"/>
            </w:tcBorders>
            <w:noWrap/>
            <w:vAlign w:val="center"/>
          </w:tcPr>
          <w:p w14:paraId="445B35A9">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0.4%</w:t>
            </w:r>
          </w:p>
        </w:tc>
        <w:tc>
          <w:tcPr>
            <w:tcW w:w="420" w:type="dxa"/>
            <w:tcBorders>
              <w:top w:val="nil"/>
              <w:left w:val="nil"/>
              <w:bottom w:val="nil"/>
              <w:right w:val="nil"/>
            </w:tcBorders>
            <w:noWrap/>
            <w:vAlign w:val="center"/>
          </w:tcPr>
          <w:p w14:paraId="7A266025">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80" w:type="dxa"/>
            <w:tcBorders>
              <w:top w:val="nil"/>
              <w:left w:val="nil"/>
              <w:bottom w:val="nil"/>
              <w:right w:val="nil"/>
            </w:tcBorders>
            <w:noWrap/>
            <w:vAlign w:val="center"/>
          </w:tcPr>
          <w:p w14:paraId="2D435DC9">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420" w:type="dxa"/>
            <w:tcBorders>
              <w:top w:val="nil"/>
              <w:left w:val="nil"/>
              <w:bottom w:val="nil"/>
              <w:right w:val="nil"/>
            </w:tcBorders>
            <w:noWrap/>
            <w:vAlign w:val="center"/>
          </w:tcPr>
          <w:p w14:paraId="0C71A2B1">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3</w:t>
            </w:r>
          </w:p>
        </w:tc>
        <w:tc>
          <w:tcPr>
            <w:tcW w:w="880" w:type="dxa"/>
            <w:tcBorders>
              <w:top w:val="nil"/>
              <w:left w:val="nil"/>
              <w:bottom w:val="nil"/>
              <w:right w:val="nil"/>
            </w:tcBorders>
            <w:noWrap/>
            <w:vAlign w:val="center"/>
          </w:tcPr>
          <w:p w14:paraId="7E7B1C64">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0.2%</w:t>
            </w:r>
          </w:p>
        </w:tc>
        <w:tc>
          <w:tcPr>
            <w:tcW w:w="516" w:type="dxa"/>
            <w:tcBorders>
              <w:top w:val="nil"/>
              <w:left w:val="nil"/>
              <w:bottom w:val="nil"/>
              <w:right w:val="nil"/>
            </w:tcBorders>
            <w:noWrap/>
            <w:vAlign w:val="center"/>
          </w:tcPr>
          <w:p w14:paraId="53FD1C17">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2</w:t>
            </w:r>
          </w:p>
        </w:tc>
        <w:tc>
          <w:tcPr>
            <w:tcW w:w="828" w:type="dxa"/>
            <w:tcBorders>
              <w:top w:val="nil"/>
              <w:left w:val="nil"/>
              <w:bottom w:val="nil"/>
              <w:right w:val="nil"/>
            </w:tcBorders>
            <w:noWrap/>
            <w:vAlign w:val="center"/>
          </w:tcPr>
          <w:p w14:paraId="302B909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420" w:type="dxa"/>
            <w:tcBorders>
              <w:top w:val="nil"/>
              <w:left w:val="nil"/>
              <w:bottom w:val="nil"/>
              <w:right w:val="nil"/>
            </w:tcBorders>
            <w:noWrap/>
            <w:vAlign w:val="center"/>
          </w:tcPr>
          <w:p w14:paraId="1257FDAE">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78" w:type="dxa"/>
            <w:tcBorders>
              <w:top w:val="nil"/>
              <w:left w:val="nil"/>
              <w:bottom w:val="nil"/>
              <w:right w:val="nil"/>
            </w:tcBorders>
            <w:noWrap/>
            <w:vAlign w:val="center"/>
          </w:tcPr>
          <w:p w14:paraId="54ABAE7D">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427" w:type="dxa"/>
            <w:gridSpan w:val="2"/>
            <w:tcBorders>
              <w:top w:val="nil"/>
              <w:left w:val="nil"/>
              <w:bottom w:val="nil"/>
              <w:right w:val="nil"/>
            </w:tcBorders>
            <w:noWrap/>
            <w:vAlign w:val="center"/>
          </w:tcPr>
          <w:p w14:paraId="5951C6AD">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79" w:type="dxa"/>
            <w:tcBorders>
              <w:top w:val="nil"/>
              <w:left w:val="nil"/>
              <w:bottom w:val="nil"/>
              <w:right w:val="nil"/>
            </w:tcBorders>
            <w:noWrap/>
            <w:vAlign w:val="center"/>
          </w:tcPr>
          <w:p w14:paraId="313FCFD0">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616" w:type="dxa"/>
            <w:tcBorders>
              <w:top w:val="nil"/>
              <w:left w:val="nil"/>
              <w:bottom w:val="nil"/>
              <w:right w:val="nil"/>
            </w:tcBorders>
            <w:noWrap/>
            <w:vAlign w:val="center"/>
          </w:tcPr>
          <w:p w14:paraId="781426CA">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35</w:t>
            </w:r>
          </w:p>
        </w:tc>
        <w:tc>
          <w:tcPr>
            <w:tcW w:w="831" w:type="dxa"/>
            <w:tcBorders>
              <w:top w:val="nil"/>
              <w:left w:val="nil"/>
              <w:bottom w:val="nil"/>
              <w:right w:val="nil"/>
            </w:tcBorders>
            <w:noWrap/>
            <w:vAlign w:val="center"/>
          </w:tcPr>
          <w:p w14:paraId="3821177B">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2.6%</w:t>
            </w:r>
          </w:p>
        </w:tc>
      </w:tr>
      <w:tr w14:paraId="5804E210">
        <w:tblPrEx>
          <w:tblCellMar>
            <w:top w:w="0" w:type="dxa"/>
            <w:left w:w="108" w:type="dxa"/>
            <w:bottom w:w="0" w:type="dxa"/>
            <w:right w:w="108" w:type="dxa"/>
          </w:tblCellMar>
        </w:tblPrEx>
        <w:trPr>
          <w:trHeight w:val="259" w:hRule="atLeast"/>
        </w:trPr>
        <w:tc>
          <w:tcPr>
            <w:tcW w:w="1011" w:type="dxa"/>
            <w:tcBorders>
              <w:top w:val="nil"/>
              <w:left w:val="nil"/>
              <w:bottom w:val="nil"/>
              <w:right w:val="nil"/>
            </w:tcBorders>
            <w:noWrap/>
            <w:vAlign w:val="center"/>
          </w:tcPr>
          <w:p w14:paraId="447D0DD5">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2074" w:type="dxa"/>
            <w:tcBorders>
              <w:top w:val="nil"/>
              <w:left w:val="nil"/>
              <w:bottom w:val="nil"/>
              <w:right w:val="nil"/>
            </w:tcBorders>
            <w:noWrap/>
            <w:vAlign w:val="center"/>
          </w:tcPr>
          <w:p w14:paraId="0C8881F8">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Multifacial core</w:t>
            </w:r>
          </w:p>
        </w:tc>
        <w:tc>
          <w:tcPr>
            <w:tcW w:w="567" w:type="dxa"/>
            <w:tcBorders>
              <w:top w:val="nil"/>
              <w:left w:val="nil"/>
              <w:bottom w:val="nil"/>
              <w:right w:val="nil"/>
            </w:tcBorders>
            <w:noWrap/>
            <w:vAlign w:val="center"/>
          </w:tcPr>
          <w:p w14:paraId="6BEEB58C">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12</w:t>
            </w:r>
          </w:p>
        </w:tc>
        <w:tc>
          <w:tcPr>
            <w:tcW w:w="828" w:type="dxa"/>
            <w:tcBorders>
              <w:top w:val="nil"/>
              <w:left w:val="nil"/>
              <w:bottom w:val="nil"/>
              <w:right w:val="nil"/>
            </w:tcBorders>
            <w:noWrap/>
            <w:vAlign w:val="center"/>
          </w:tcPr>
          <w:p w14:paraId="3FB7AD60">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0.9%</w:t>
            </w:r>
          </w:p>
        </w:tc>
        <w:tc>
          <w:tcPr>
            <w:tcW w:w="419" w:type="dxa"/>
            <w:tcBorders>
              <w:top w:val="nil"/>
              <w:left w:val="nil"/>
              <w:bottom w:val="nil"/>
              <w:right w:val="nil"/>
            </w:tcBorders>
            <w:noWrap/>
            <w:vAlign w:val="center"/>
          </w:tcPr>
          <w:p w14:paraId="04831CE9">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5</w:t>
            </w:r>
          </w:p>
        </w:tc>
        <w:tc>
          <w:tcPr>
            <w:tcW w:w="880" w:type="dxa"/>
            <w:tcBorders>
              <w:top w:val="nil"/>
              <w:left w:val="nil"/>
              <w:bottom w:val="nil"/>
              <w:right w:val="nil"/>
            </w:tcBorders>
            <w:noWrap/>
            <w:vAlign w:val="center"/>
          </w:tcPr>
          <w:p w14:paraId="34F8D2BD">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0.4%</w:t>
            </w:r>
          </w:p>
        </w:tc>
        <w:tc>
          <w:tcPr>
            <w:tcW w:w="420" w:type="dxa"/>
            <w:tcBorders>
              <w:top w:val="nil"/>
              <w:left w:val="nil"/>
              <w:bottom w:val="nil"/>
              <w:right w:val="nil"/>
            </w:tcBorders>
            <w:noWrap/>
            <w:vAlign w:val="center"/>
          </w:tcPr>
          <w:p w14:paraId="48B96A10">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0C26B3A5">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0" w:type="dxa"/>
            <w:tcBorders>
              <w:top w:val="nil"/>
              <w:left w:val="nil"/>
              <w:bottom w:val="nil"/>
              <w:right w:val="nil"/>
            </w:tcBorders>
            <w:noWrap/>
            <w:vAlign w:val="center"/>
          </w:tcPr>
          <w:p w14:paraId="43C66D8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80" w:type="dxa"/>
            <w:tcBorders>
              <w:top w:val="nil"/>
              <w:left w:val="nil"/>
              <w:bottom w:val="nil"/>
              <w:right w:val="nil"/>
            </w:tcBorders>
            <w:noWrap/>
            <w:vAlign w:val="center"/>
          </w:tcPr>
          <w:p w14:paraId="2E648A71">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516" w:type="dxa"/>
            <w:tcBorders>
              <w:top w:val="nil"/>
              <w:left w:val="nil"/>
              <w:bottom w:val="nil"/>
              <w:right w:val="nil"/>
            </w:tcBorders>
            <w:noWrap/>
            <w:vAlign w:val="center"/>
          </w:tcPr>
          <w:p w14:paraId="621FE5F1">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28" w:type="dxa"/>
            <w:tcBorders>
              <w:top w:val="nil"/>
              <w:left w:val="nil"/>
              <w:bottom w:val="nil"/>
              <w:right w:val="nil"/>
            </w:tcBorders>
            <w:noWrap/>
            <w:vAlign w:val="center"/>
          </w:tcPr>
          <w:p w14:paraId="7CC54708">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420" w:type="dxa"/>
            <w:tcBorders>
              <w:top w:val="nil"/>
              <w:left w:val="nil"/>
              <w:bottom w:val="nil"/>
              <w:right w:val="nil"/>
            </w:tcBorders>
            <w:noWrap/>
            <w:vAlign w:val="center"/>
          </w:tcPr>
          <w:p w14:paraId="3743011B">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8" w:type="dxa"/>
            <w:tcBorders>
              <w:top w:val="nil"/>
              <w:left w:val="nil"/>
              <w:bottom w:val="nil"/>
              <w:right w:val="nil"/>
            </w:tcBorders>
            <w:noWrap/>
            <w:vAlign w:val="center"/>
          </w:tcPr>
          <w:p w14:paraId="208E44B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7" w:type="dxa"/>
            <w:gridSpan w:val="2"/>
            <w:tcBorders>
              <w:top w:val="nil"/>
              <w:left w:val="nil"/>
              <w:bottom w:val="nil"/>
              <w:right w:val="nil"/>
            </w:tcBorders>
            <w:noWrap/>
            <w:vAlign w:val="center"/>
          </w:tcPr>
          <w:p w14:paraId="0CF0285C">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79" w:type="dxa"/>
            <w:tcBorders>
              <w:top w:val="nil"/>
              <w:left w:val="nil"/>
              <w:bottom w:val="nil"/>
              <w:right w:val="nil"/>
            </w:tcBorders>
            <w:noWrap/>
            <w:vAlign w:val="center"/>
          </w:tcPr>
          <w:p w14:paraId="74490425">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616" w:type="dxa"/>
            <w:tcBorders>
              <w:top w:val="nil"/>
              <w:left w:val="nil"/>
              <w:bottom w:val="nil"/>
              <w:right w:val="nil"/>
            </w:tcBorders>
            <w:noWrap/>
            <w:vAlign w:val="center"/>
          </w:tcPr>
          <w:p w14:paraId="3030FE85">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20</w:t>
            </w:r>
          </w:p>
        </w:tc>
        <w:tc>
          <w:tcPr>
            <w:tcW w:w="831" w:type="dxa"/>
            <w:tcBorders>
              <w:top w:val="nil"/>
              <w:left w:val="nil"/>
              <w:bottom w:val="nil"/>
              <w:right w:val="nil"/>
            </w:tcBorders>
            <w:noWrap/>
            <w:vAlign w:val="center"/>
          </w:tcPr>
          <w:p w14:paraId="62A1108D">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1.5%</w:t>
            </w:r>
          </w:p>
        </w:tc>
      </w:tr>
      <w:tr w14:paraId="733F5371">
        <w:tblPrEx>
          <w:tblCellMar>
            <w:top w:w="0" w:type="dxa"/>
            <w:left w:w="108" w:type="dxa"/>
            <w:bottom w:w="0" w:type="dxa"/>
            <w:right w:w="108" w:type="dxa"/>
          </w:tblCellMar>
        </w:tblPrEx>
        <w:trPr>
          <w:trHeight w:val="259" w:hRule="atLeast"/>
        </w:trPr>
        <w:tc>
          <w:tcPr>
            <w:tcW w:w="1011" w:type="dxa"/>
            <w:tcBorders>
              <w:top w:val="nil"/>
              <w:left w:val="nil"/>
              <w:bottom w:val="nil"/>
              <w:right w:val="nil"/>
            </w:tcBorders>
            <w:noWrap/>
            <w:vAlign w:val="center"/>
          </w:tcPr>
          <w:p w14:paraId="4E616EC8">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2074" w:type="dxa"/>
            <w:tcBorders>
              <w:top w:val="nil"/>
              <w:left w:val="nil"/>
              <w:bottom w:val="nil"/>
              <w:right w:val="nil"/>
            </w:tcBorders>
            <w:noWrap/>
            <w:vAlign w:val="center"/>
          </w:tcPr>
          <w:p w14:paraId="0AE3C8E0">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Centripetal core</w:t>
            </w:r>
          </w:p>
        </w:tc>
        <w:tc>
          <w:tcPr>
            <w:tcW w:w="567" w:type="dxa"/>
            <w:tcBorders>
              <w:top w:val="nil"/>
              <w:left w:val="nil"/>
              <w:bottom w:val="nil"/>
              <w:right w:val="nil"/>
            </w:tcBorders>
            <w:noWrap/>
            <w:vAlign w:val="center"/>
          </w:tcPr>
          <w:p w14:paraId="5F9DE129">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10</w:t>
            </w:r>
          </w:p>
        </w:tc>
        <w:tc>
          <w:tcPr>
            <w:tcW w:w="828" w:type="dxa"/>
            <w:tcBorders>
              <w:top w:val="nil"/>
              <w:left w:val="nil"/>
              <w:bottom w:val="nil"/>
              <w:right w:val="nil"/>
            </w:tcBorders>
            <w:noWrap/>
            <w:vAlign w:val="center"/>
          </w:tcPr>
          <w:p w14:paraId="46D3CD0B">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0.7%</w:t>
            </w:r>
          </w:p>
        </w:tc>
        <w:tc>
          <w:tcPr>
            <w:tcW w:w="419" w:type="dxa"/>
            <w:tcBorders>
              <w:top w:val="nil"/>
              <w:left w:val="nil"/>
              <w:bottom w:val="nil"/>
              <w:right w:val="nil"/>
            </w:tcBorders>
            <w:noWrap/>
            <w:vAlign w:val="center"/>
          </w:tcPr>
          <w:p w14:paraId="466DEF18">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5</w:t>
            </w:r>
          </w:p>
        </w:tc>
        <w:tc>
          <w:tcPr>
            <w:tcW w:w="880" w:type="dxa"/>
            <w:tcBorders>
              <w:top w:val="nil"/>
              <w:left w:val="nil"/>
              <w:bottom w:val="nil"/>
              <w:right w:val="nil"/>
            </w:tcBorders>
            <w:noWrap/>
            <w:vAlign w:val="center"/>
          </w:tcPr>
          <w:p w14:paraId="027A4C3B">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0.4%</w:t>
            </w:r>
          </w:p>
        </w:tc>
        <w:tc>
          <w:tcPr>
            <w:tcW w:w="420" w:type="dxa"/>
            <w:tcBorders>
              <w:top w:val="nil"/>
              <w:left w:val="nil"/>
              <w:bottom w:val="nil"/>
              <w:right w:val="nil"/>
            </w:tcBorders>
            <w:noWrap/>
            <w:vAlign w:val="center"/>
          </w:tcPr>
          <w:p w14:paraId="28CB251D">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145B8D6D">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0" w:type="dxa"/>
            <w:tcBorders>
              <w:top w:val="nil"/>
              <w:left w:val="nil"/>
              <w:bottom w:val="nil"/>
              <w:right w:val="nil"/>
            </w:tcBorders>
            <w:noWrap/>
            <w:vAlign w:val="center"/>
          </w:tcPr>
          <w:p w14:paraId="174D4872">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80" w:type="dxa"/>
            <w:tcBorders>
              <w:top w:val="nil"/>
              <w:left w:val="nil"/>
              <w:bottom w:val="nil"/>
              <w:right w:val="nil"/>
            </w:tcBorders>
            <w:noWrap/>
            <w:vAlign w:val="center"/>
          </w:tcPr>
          <w:p w14:paraId="0AE0F99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516" w:type="dxa"/>
            <w:tcBorders>
              <w:top w:val="nil"/>
              <w:left w:val="nil"/>
              <w:bottom w:val="nil"/>
              <w:right w:val="nil"/>
            </w:tcBorders>
            <w:noWrap/>
            <w:vAlign w:val="center"/>
          </w:tcPr>
          <w:p w14:paraId="73D39D7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28" w:type="dxa"/>
            <w:tcBorders>
              <w:top w:val="nil"/>
              <w:left w:val="nil"/>
              <w:bottom w:val="nil"/>
              <w:right w:val="nil"/>
            </w:tcBorders>
            <w:noWrap/>
            <w:vAlign w:val="center"/>
          </w:tcPr>
          <w:p w14:paraId="184DFF3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420" w:type="dxa"/>
            <w:tcBorders>
              <w:top w:val="nil"/>
              <w:left w:val="nil"/>
              <w:bottom w:val="nil"/>
              <w:right w:val="nil"/>
            </w:tcBorders>
            <w:noWrap/>
            <w:vAlign w:val="center"/>
          </w:tcPr>
          <w:p w14:paraId="034467A7">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8" w:type="dxa"/>
            <w:tcBorders>
              <w:top w:val="nil"/>
              <w:left w:val="nil"/>
              <w:bottom w:val="nil"/>
              <w:right w:val="nil"/>
            </w:tcBorders>
            <w:noWrap/>
            <w:vAlign w:val="center"/>
          </w:tcPr>
          <w:p w14:paraId="72492B83">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7" w:type="dxa"/>
            <w:gridSpan w:val="2"/>
            <w:tcBorders>
              <w:top w:val="nil"/>
              <w:left w:val="nil"/>
              <w:bottom w:val="nil"/>
              <w:right w:val="nil"/>
            </w:tcBorders>
            <w:noWrap/>
            <w:vAlign w:val="center"/>
          </w:tcPr>
          <w:p w14:paraId="7C17231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79" w:type="dxa"/>
            <w:tcBorders>
              <w:top w:val="nil"/>
              <w:left w:val="nil"/>
              <w:bottom w:val="nil"/>
              <w:right w:val="nil"/>
            </w:tcBorders>
            <w:noWrap/>
            <w:vAlign w:val="center"/>
          </w:tcPr>
          <w:p w14:paraId="1EAB47A3">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616" w:type="dxa"/>
            <w:tcBorders>
              <w:top w:val="nil"/>
              <w:left w:val="nil"/>
              <w:bottom w:val="nil"/>
              <w:right w:val="nil"/>
            </w:tcBorders>
            <w:noWrap/>
            <w:vAlign w:val="center"/>
          </w:tcPr>
          <w:p w14:paraId="2BE7F6EE">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17</w:t>
            </w:r>
          </w:p>
        </w:tc>
        <w:tc>
          <w:tcPr>
            <w:tcW w:w="831" w:type="dxa"/>
            <w:tcBorders>
              <w:top w:val="nil"/>
              <w:left w:val="nil"/>
              <w:bottom w:val="nil"/>
              <w:right w:val="nil"/>
            </w:tcBorders>
            <w:noWrap/>
            <w:vAlign w:val="center"/>
          </w:tcPr>
          <w:p w14:paraId="7CF8E392">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1.2%</w:t>
            </w:r>
          </w:p>
        </w:tc>
      </w:tr>
      <w:tr w14:paraId="6F2FFF93">
        <w:tblPrEx>
          <w:tblCellMar>
            <w:top w:w="0" w:type="dxa"/>
            <w:left w:w="108" w:type="dxa"/>
            <w:bottom w:w="0" w:type="dxa"/>
            <w:right w:w="108" w:type="dxa"/>
          </w:tblCellMar>
        </w:tblPrEx>
        <w:trPr>
          <w:trHeight w:val="259" w:hRule="atLeast"/>
        </w:trPr>
        <w:tc>
          <w:tcPr>
            <w:tcW w:w="1011" w:type="dxa"/>
            <w:tcBorders>
              <w:top w:val="nil"/>
              <w:left w:val="nil"/>
              <w:bottom w:val="nil"/>
              <w:right w:val="nil"/>
            </w:tcBorders>
            <w:noWrap/>
            <w:vAlign w:val="center"/>
          </w:tcPr>
          <w:p w14:paraId="5F711C8C">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2074" w:type="dxa"/>
            <w:tcBorders>
              <w:top w:val="nil"/>
              <w:left w:val="nil"/>
              <w:bottom w:val="nil"/>
              <w:right w:val="nil"/>
            </w:tcBorders>
            <w:noWrap/>
            <w:vAlign w:val="center"/>
          </w:tcPr>
          <w:p w14:paraId="11610280">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Discoid core</w:t>
            </w:r>
          </w:p>
        </w:tc>
        <w:tc>
          <w:tcPr>
            <w:tcW w:w="567" w:type="dxa"/>
            <w:tcBorders>
              <w:top w:val="nil"/>
              <w:left w:val="nil"/>
              <w:bottom w:val="nil"/>
              <w:right w:val="nil"/>
            </w:tcBorders>
            <w:noWrap/>
            <w:vAlign w:val="center"/>
          </w:tcPr>
          <w:p w14:paraId="51A9A198">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2</w:t>
            </w:r>
          </w:p>
        </w:tc>
        <w:tc>
          <w:tcPr>
            <w:tcW w:w="828" w:type="dxa"/>
            <w:tcBorders>
              <w:top w:val="nil"/>
              <w:left w:val="nil"/>
              <w:bottom w:val="nil"/>
              <w:right w:val="nil"/>
            </w:tcBorders>
            <w:noWrap/>
            <w:vAlign w:val="center"/>
          </w:tcPr>
          <w:p w14:paraId="73A92DCA">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419" w:type="dxa"/>
            <w:tcBorders>
              <w:top w:val="nil"/>
              <w:left w:val="nil"/>
              <w:bottom w:val="nil"/>
              <w:right w:val="nil"/>
            </w:tcBorders>
            <w:noWrap/>
            <w:vAlign w:val="center"/>
          </w:tcPr>
          <w:p w14:paraId="3C4E9BF7">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80" w:type="dxa"/>
            <w:tcBorders>
              <w:top w:val="nil"/>
              <w:left w:val="nil"/>
              <w:bottom w:val="nil"/>
              <w:right w:val="nil"/>
            </w:tcBorders>
            <w:noWrap/>
            <w:vAlign w:val="center"/>
          </w:tcPr>
          <w:p w14:paraId="2EC216B1">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420" w:type="dxa"/>
            <w:tcBorders>
              <w:top w:val="nil"/>
              <w:left w:val="nil"/>
              <w:bottom w:val="nil"/>
              <w:right w:val="nil"/>
            </w:tcBorders>
            <w:noWrap/>
            <w:vAlign w:val="center"/>
          </w:tcPr>
          <w:p w14:paraId="66ED5479">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39CE8D6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0" w:type="dxa"/>
            <w:tcBorders>
              <w:top w:val="nil"/>
              <w:left w:val="nil"/>
              <w:bottom w:val="nil"/>
              <w:right w:val="nil"/>
            </w:tcBorders>
            <w:noWrap/>
            <w:vAlign w:val="center"/>
          </w:tcPr>
          <w:p w14:paraId="4414AF3E">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6893C825">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516" w:type="dxa"/>
            <w:tcBorders>
              <w:top w:val="nil"/>
              <w:left w:val="nil"/>
              <w:bottom w:val="nil"/>
              <w:right w:val="nil"/>
            </w:tcBorders>
            <w:noWrap/>
            <w:vAlign w:val="center"/>
          </w:tcPr>
          <w:p w14:paraId="08721F7E">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28" w:type="dxa"/>
            <w:tcBorders>
              <w:top w:val="nil"/>
              <w:left w:val="nil"/>
              <w:bottom w:val="nil"/>
              <w:right w:val="nil"/>
            </w:tcBorders>
            <w:noWrap/>
            <w:vAlign w:val="center"/>
          </w:tcPr>
          <w:p w14:paraId="1D2ED568">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420" w:type="dxa"/>
            <w:tcBorders>
              <w:top w:val="nil"/>
              <w:left w:val="nil"/>
              <w:bottom w:val="nil"/>
              <w:right w:val="nil"/>
            </w:tcBorders>
            <w:noWrap/>
            <w:vAlign w:val="center"/>
          </w:tcPr>
          <w:p w14:paraId="28BDA5D7">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8" w:type="dxa"/>
            <w:tcBorders>
              <w:top w:val="nil"/>
              <w:left w:val="nil"/>
              <w:bottom w:val="nil"/>
              <w:right w:val="nil"/>
            </w:tcBorders>
            <w:noWrap/>
            <w:vAlign w:val="center"/>
          </w:tcPr>
          <w:p w14:paraId="0E8FDF48">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7" w:type="dxa"/>
            <w:gridSpan w:val="2"/>
            <w:tcBorders>
              <w:top w:val="nil"/>
              <w:left w:val="nil"/>
              <w:bottom w:val="nil"/>
              <w:right w:val="nil"/>
            </w:tcBorders>
            <w:noWrap/>
            <w:vAlign w:val="center"/>
          </w:tcPr>
          <w:p w14:paraId="40758D25">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79" w:type="dxa"/>
            <w:tcBorders>
              <w:top w:val="nil"/>
              <w:left w:val="nil"/>
              <w:bottom w:val="nil"/>
              <w:right w:val="nil"/>
            </w:tcBorders>
            <w:noWrap/>
            <w:vAlign w:val="center"/>
          </w:tcPr>
          <w:p w14:paraId="78B4A2EC">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616" w:type="dxa"/>
            <w:tcBorders>
              <w:top w:val="nil"/>
              <w:left w:val="nil"/>
              <w:bottom w:val="nil"/>
              <w:right w:val="nil"/>
            </w:tcBorders>
            <w:noWrap/>
            <w:vAlign w:val="center"/>
          </w:tcPr>
          <w:p w14:paraId="44DB39C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4</w:t>
            </w:r>
          </w:p>
        </w:tc>
        <w:tc>
          <w:tcPr>
            <w:tcW w:w="831" w:type="dxa"/>
            <w:tcBorders>
              <w:top w:val="nil"/>
              <w:left w:val="nil"/>
              <w:bottom w:val="nil"/>
              <w:right w:val="nil"/>
            </w:tcBorders>
            <w:noWrap/>
            <w:vAlign w:val="center"/>
          </w:tcPr>
          <w:p w14:paraId="2945A0A1">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0.3%</w:t>
            </w:r>
          </w:p>
        </w:tc>
      </w:tr>
      <w:tr w14:paraId="1A523541">
        <w:tblPrEx>
          <w:tblCellMar>
            <w:top w:w="0" w:type="dxa"/>
            <w:left w:w="108" w:type="dxa"/>
            <w:bottom w:w="0" w:type="dxa"/>
            <w:right w:w="108" w:type="dxa"/>
          </w:tblCellMar>
        </w:tblPrEx>
        <w:trPr>
          <w:trHeight w:val="259" w:hRule="atLeast"/>
        </w:trPr>
        <w:tc>
          <w:tcPr>
            <w:tcW w:w="1011" w:type="dxa"/>
            <w:tcBorders>
              <w:top w:val="nil"/>
              <w:left w:val="nil"/>
              <w:bottom w:val="nil"/>
              <w:right w:val="nil"/>
            </w:tcBorders>
            <w:noWrap/>
            <w:vAlign w:val="center"/>
          </w:tcPr>
          <w:p w14:paraId="1F6CA85C">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2074" w:type="dxa"/>
            <w:tcBorders>
              <w:top w:val="nil"/>
              <w:left w:val="nil"/>
              <w:bottom w:val="nil"/>
              <w:right w:val="nil"/>
            </w:tcBorders>
            <w:noWrap/>
            <w:vAlign w:val="center"/>
          </w:tcPr>
          <w:p w14:paraId="268391F0">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Bipolar-on-anvil core</w:t>
            </w:r>
          </w:p>
        </w:tc>
        <w:tc>
          <w:tcPr>
            <w:tcW w:w="567" w:type="dxa"/>
            <w:tcBorders>
              <w:top w:val="nil"/>
              <w:left w:val="nil"/>
              <w:bottom w:val="nil"/>
              <w:right w:val="nil"/>
            </w:tcBorders>
            <w:noWrap/>
            <w:vAlign w:val="center"/>
          </w:tcPr>
          <w:p w14:paraId="208266BA">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3</w:t>
            </w:r>
          </w:p>
        </w:tc>
        <w:tc>
          <w:tcPr>
            <w:tcW w:w="828" w:type="dxa"/>
            <w:tcBorders>
              <w:top w:val="nil"/>
              <w:left w:val="nil"/>
              <w:bottom w:val="nil"/>
              <w:right w:val="nil"/>
            </w:tcBorders>
            <w:noWrap/>
            <w:vAlign w:val="center"/>
          </w:tcPr>
          <w:p w14:paraId="45ABAC6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0.2%</w:t>
            </w:r>
          </w:p>
        </w:tc>
        <w:tc>
          <w:tcPr>
            <w:tcW w:w="419" w:type="dxa"/>
            <w:tcBorders>
              <w:top w:val="nil"/>
              <w:left w:val="nil"/>
              <w:bottom w:val="nil"/>
              <w:right w:val="nil"/>
            </w:tcBorders>
            <w:noWrap/>
            <w:vAlign w:val="center"/>
          </w:tcPr>
          <w:p w14:paraId="6603075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1D3EBAAE">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420" w:type="dxa"/>
            <w:tcBorders>
              <w:top w:val="nil"/>
              <w:left w:val="nil"/>
              <w:bottom w:val="nil"/>
              <w:right w:val="nil"/>
            </w:tcBorders>
            <w:noWrap/>
            <w:vAlign w:val="center"/>
          </w:tcPr>
          <w:p w14:paraId="0A8C5FA9">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463E7D95">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0" w:type="dxa"/>
            <w:tcBorders>
              <w:top w:val="nil"/>
              <w:left w:val="nil"/>
              <w:bottom w:val="nil"/>
              <w:right w:val="nil"/>
            </w:tcBorders>
            <w:noWrap/>
            <w:vAlign w:val="center"/>
          </w:tcPr>
          <w:p w14:paraId="666496E4">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3BFD99E5">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516" w:type="dxa"/>
            <w:tcBorders>
              <w:top w:val="nil"/>
              <w:left w:val="nil"/>
              <w:bottom w:val="nil"/>
              <w:right w:val="nil"/>
            </w:tcBorders>
            <w:noWrap/>
            <w:vAlign w:val="center"/>
          </w:tcPr>
          <w:p w14:paraId="0B05C3B5">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28" w:type="dxa"/>
            <w:tcBorders>
              <w:top w:val="nil"/>
              <w:left w:val="nil"/>
              <w:bottom w:val="nil"/>
              <w:right w:val="nil"/>
            </w:tcBorders>
            <w:noWrap/>
            <w:vAlign w:val="center"/>
          </w:tcPr>
          <w:p w14:paraId="77319E3D">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420" w:type="dxa"/>
            <w:tcBorders>
              <w:top w:val="nil"/>
              <w:left w:val="nil"/>
              <w:bottom w:val="nil"/>
              <w:right w:val="nil"/>
            </w:tcBorders>
            <w:noWrap/>
            <w:vAlign w:val="center"/>
          </w:tcPr>
          <w:p w14:paraId="45907FCC">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8" w:type="dxa"/>
            <w:tcBorders>
              <w:top w:val="nil"/>
              <w:left w:val="nil"/>
              <w:bottom w:val="nil"/>
              <w:right w:val="nil"/>
            </w:tcBorders>
            <w:noWrap/>
            <w:vAlign w:val="center"/>
          </w:tcPr>
          <w:p w14:paraId="538395D7">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7" w:type="dxa"/>
            <w:gridSpan w:val="2"/>
            <w:tcBorders>
              <w:top w:val="nil"/>
              <w:left w:val="nil"/>
              <w:bottom w:val="nil"/>
              <w:right w:val="nil"/>
            </w:tcBorders>
            <w:noWrap/>
            <w:vAlign w:val="center"/>
          </w:tcPr>
          <w:p w14:paraId="7A18460C">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9" w:type="dxa"/>
            <w:tcBorders>
              <w:top w:val="nil"/>
              <w:left w:val="nil"/>
              <w:bottom w:val="nil"/>
              <w:right w:val="nil"/>
            </w:tcBorders>
            <w:noWrap/>
            <w:vAlign w:val="center"/>
          </w:tcPr>
          <w:p w14:paraId="10443E9C">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616" w:type="dxa"/>
            <w:tcBorders>
              <w:top w:val="nil"/>
              <w:left w:val="nil"/>
              <w:bottom w:val="nil"/>
              <w:right w:val="nil"/>
            </w:tcBorders>
            <w:noWrap/>
            <w:vAlign w:val="center"/>
          </w:tcPr>
          <w:p w14:paraId="2522B114">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3</w:t>
            </w:r>
          </w:p>
        </w:tc>
        <w:tc>
          <w:tcPr>
            <w:tcW w:w="831" w:type="dxa"/>
            <w:tcBorders>
              <w:top w:val="nil"/>
              <w:left w:val="nil"/>
              <w:bottom w:val="nil"/>
              <w:right w:val="nil"/>
            </w:tcBorders>
            <w:noWrap/>
            <w:vAlign w:val="center"/>
          </w:tcPr>
          <w:p w14:paraId="3EF00DE7">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0.2%</w:t>
            </w:r>
          </w:p>
        </w:tc>
      </w:tr>
      <w:tr w14:paraId="1B8939FB">
        <w:tblPrEx>
          <w:tblCellMar>
            <w:top w:w="0" w:type="dxa"/>
            <w:left w:w="108" w:type="dxa"/>
            <w:bottom w:w="0" w:type="dxa"/>
            <w:right w:w="108" w:type="dxa"/>
          </w:tblCellMar>
        </w:tblPrEx>
        <w:trPr>
          <w:trHeight w:val="259" w:hRule="atLeast"/>
        </w:trPr>
        <w:tc>
          <w:tcPr>
            <w:tcW w:w="1011" w:type="dxa"/>
            <w:tcBorders>
              <w:top w:val="nil"/>
              <w:left w:val="nil"/>
              <w:bottom w:val="nil"/>
              <w:right w:val="nil"/>
            </w:tcBorders>
            <w:noWrap/>
            <w:vAlign w:val="center"/>
          </w:tcPr>
          <w:p w14:paraId="5ED1CC63">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2074" w:type="dxa"/>
            <w:tcBorders>
              <w:top w:val="nil"/>
              <w:left w:val="nil"/>
              <w:bottom w:val="nil"/>
              <w:right w:val="nil"/>
            </w:tcBorders>
            <w:noWrap/>
            <w:vAlign w:val="center"/>
          </w:tcPr>
          <w:p w14:paraId="319AE0A3">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Core-on-flake</w:t>
            </w:r>
          </w:p>
        </w:tc>
        <w:tc>
          <w:tcPr>
            <w:tcW w:w="567" w:type="dxa"/>
            <w:tcBorders>
              <w:top w:val="nil"/>
              <w:left w:val="nil"/>
              <w:bottom w:val="nil"/>
              <w:right w:val="nil"/>
            </w:tcBorders>
            <w:noWrap/>
            <w:vAlign w:val="center"/>
          </w:tcPr>
          <w:p w14:paraId="1DA88B8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7</w:t>
            </w:r>
          </w:p>
        </w:tc>
        <w:tc>
          <w:tcPr>
            <w:tcW w:w="828" w:type="dxa"/>
            <w:tcBorders>
              <w:top w:val="nil"/>
              <w:left w:val="nil"/>
              <w:bottom w:val="nil"/>
              <w:right w:val="nil"/>
            </w:tcBorders>
            <w:noWrap/>
            <w:vAlign w:val="center"/>
          </w:tcPr>
          <w:p w14:paraId="65FEA538">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0.5%</w:t>
            </w:r>
          </w:p>
        </w:tc>
        <w:tc>
          <w:tcPr>
            <w:tcW w:w="419" w:type="dxa"/>
            <w:tcBorders>
              <w:top w:val="nil"/>
              <w:left w:val="nil"/>
              <w:bottom w:val="nil"/>
              <w:right w:val="nil"/>
            </w:tcBorders>
            <w:noWrap/>
            <w:vAlign w:val="center"/>
          </w:tcPr>
          <w:p w14:paraId="75153EFD">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80" w:type="dxa"/>
            <w:tcBorders>
              <w:top w:val="nil"/>
              <w:left w:val="nil"/>
              <w:bottom w:val="nil"/>
              <w:right w:val="nil"/>
            </w:tcBorders>
            <w:noWrap/>
            <w:vAlign w:val="center"/>
          </w:tcPr>
          <w:p w14:paraId="4B1E7475">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420" w:type="dxa"/>
            <w:tcBorders>
              <w:top w:val="nil"/>
              <w:left w:val="nil"/>
              <w:bottom w:val="nil"/>
              <w:right w:val="nil"/>
            </w:tcBorders>
            <w:noWrap/>
            <w:vAlign w:val="center"/>
          </w:tcPr>
          <w:p w14:paraId="6A6692C7">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7C19DA2B">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0" w:type="dxa"/>
            <w:tcBorders>
              <w:top w:val="nil"/>
              <w:left w:val="nil"/>
              <w:bottom w:val="nil"/>
              <w:right w:val="nil"/>
            </w:tcBorders>
            <w:noWrap/>
            <w:vAlign w:val="center"/>
          </w:tcPr>
          <w:p w14:paraId="06D3A9D2">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01269D0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516" w:type="dxa"/>
            <w:tcBorders>
              <w:top w:val="nil"/>
              <w:left w:val="nil"/>
              <w:bottom w:val="nil"/>
              <w:right w:val="nil"/>
            </w:tcBorders>
            <w:noWrap/>
            <w:vAlign w:val="center"/>
          </w:tcPr>
          <w:p w14:paraId="4163EBAA">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28" w:type="dxa"/>
            <w:tcBorders>
              <w:top w:val="nil"/>
              <w:left w:val="nil"/>
              <w:bottom w:val="nil"/>
              <w:right w:val="nil"/>
            </w:tcBorders>
            <w:noWrap/>
            <w:vAlign w:val="center"/>
          </w:tcPr>
          <w:p w14:paraId="3154C0D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420" w:type="dxa"/>
            <w:tcBorders>
              <w:top w:val="nil"/>
              <w:left w:val="nil"/>
              <w:bottom w:val="nil"/>
              <w:right w:val="nil"/>
            </w:tcBorders>
            <w:noWrap/>
            <w:vAlign w:val="center"/>
          </w:tcPr>
          <w:p w14:paraId="1B769C2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8" w:type="dxa"/>
            <w:tcBorders>
              <w:top w:val="nil"/>
              <w:left w:val="nil"/>
              <w:bottom w:val="nil"/>
              <w:right w:val="nil"/>
            </w:tcBorders>
            <w:noWrap/>
            <w:vAlign w:val="center"/>
          </w:tcPr>
          <w:p w14:paraId="30511F71">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7" w:type="dxa"/>
            <w:gridSpan w:val="2"/>
            <w:tcBorders>
              <w:top w:val="nil"/>
              <w:left w:val="nil"/>
              <w:bottom w:val="nil"/>
              <w:right w:val="nil"/>
            </w:tcBorders>
            <w:noWrap/>
            <w:vAlign w:val="center"/>
          </w:tcPr>
          <w:p w14:paraId="33301063">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9" w:type="dxa"/>
            <w:tcBorders>
              <w:top w:val="nil"/>
              <w:left w:val="nil"/>
              <w:bottom w:val="nil"/>
              <w:right w:val="nil"/>
            </w:tcBorders>
            <w:noWrap/>
            <w:vAlign w:val="center"/>
          </w:tcPr>
          <w:p w14:paraId="55F173BD">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616" w:type="dxa"/>
            <w:tcBorders>
              <w:top w:val="nil"/>
              <w:left w:val="nil"/>
              <w:bottom w:val="nil"/>
              <w:right w:val="nil"/>
            </w:tcBorders>
            <w:noWrap/>
            <w:vAlign w:val="center"/>
          </w:tcPr>
          <w:p w14:paraId="2AF20855">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8</w:t>
            </w:r>
          </w:p>
        </w:tc>
        <w:tc>
          <w:tcPr>
            <w:tcW w:w="831" w:type="dxa"/>
            <w:tcBorders>
              <w:top w:val="nil"/>
              <w:left w:val="nil"/>
              <w:bottom w:val="nil"/>
              <w:right w:val="nil"/>
            </w:tcBorders>
            <w:noWrap/>
            <w:vAlign w:val="center"/>
          </w:tcPr>
          <w:p w14:paraId="22366339">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0.6%</w:t>
            </w:r>
          </w:p>
        </w:tc>
      </w:tr>
      <w:tr w14:paraId="2975B83F">
        <w:tblPrEx>
          <w:tblCellMar>
            <w:top w:w="0" w:type="dxa"/>
            <w:left w:w="108" w:type="dxa"/>
            <w:bottom w:w="0" w:type="dxa"/>
            <w:right w:w="108" w:type="dxa"/>
          </w:tblCellMar>
        </w:tblPrEx>
        <w:trPr>
          <w:trHeight w:val="259" w:hRule="atLeast"/>
        </w:trPr>
        <w:tc>
          <w:tcPr>
            <w:tcW w:w="1011" w:type="dxa"/>
            <w:tcBorders>
              <w:top w:val="nil"/>
              <w:left w:val="nil"/>
              <w:bottom w:val="single" w:color="auto" w:sz="4" w:space="0"/>
              <w:right w:val="nil"/>
            </w:tcBorders>
            <w:noWrap/>
            <w:vAlign w:val="center"/>
          </w:tcPr>
          <w:p w14:paraId="7A821577">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2074" w:type="dxa"/>
            <w:tcBorders>
              <w:top w:val="nil"/>
              <w:left w:val="nil"/>
              <w:bottom w:val="single" w:color="auto" w:sz="4" w:space="0"/>
              <w:right w:val="nil"/>
            </w:tcBorders>
            <w:noWrap/>
            <w:vAlign w:val="center"/>
          </w:tcPr>
          <w:p w14:paraId="6B7E7AC7">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Fragmental core</w:t>
            </w:r>
          </w:p>
        </w:tc>
        <w:tc>
          <w:tcPr>
            <w:tcW w:w="567" w:type="dxa"/>
            <w:tcBorders>
              <w:top w:val="nil"/>
              <w:left w:val="nil"/>
              <w:bottom w:val="single" w:color="auto" w:sz="4" w:space="0"/>
              <w:right w:val="nil"/>
            </w:tcBorders>
            <w:noWrap/>
            <w:vAlign w:val="center"/>
          </w:tcPr>
          <w:p w14:paraId="6E390A91">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29</w:t>
            </w:r>
          </w:p>
        </w:tc>
        <w:tc>
          <w:tcPr>
            <w:tcW w:w="828" w:type="dxa"/>
            <w:tcBorders>
              <w:top w:val="nil"/>
              <w:left w:val="nil"/>
              <w:bottom w:val="single" w:color="auto" w:sz="4" w:space="0"/>
              <w:right w:val="nil"/>
            </w:tcBorders>
            <w:noWrap/>
            <w:vAlign w:val="center"/>
          </w:tcPr>
          <w:p w14:paraId="1D575AA2">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2.1%</w:t>
            </w:r>
          </w:p>
        </w:tc>
        <w:tc>
          <w:tcPr>
            <w:tcW w:w="419" w:type="dxa"/>
            <w:tcBorders>
              <w:top w:val="nil"/>
              <w:left w:val="nil"/>
              <w:bottom w:val="single" w:color="auto" w:sz="4" w:space="0"/>
              <w:right w:val="nil"/>
            </w:tcBorders>
            <w:noWrap/>
            <w:vAlign w:val="center"/>
          </w:tcPr>
          <w:p w14:paraId="3B3CB95E">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6</w:t>
            </w:r>
          </w:p>
        </w:tc>
        <w:tc>
          <w:tcPr>
            <w:tcW w:w="880" w:type="dxa"/>
            <w:tcBorders>
              <w:top w:val="nil"/>
              <w:left w:val="nil"/>
              <w:bottom w:val="single" w:color="auto" w:sz="4" w:space="0"/>
              <w:right w:val="nil"/>
            </w:tcBorders>
            <w:noWrap/>
            <w:vAlign w:val="center"/>
          </w:tcPr>
          <w:p w14:paraId="23A00DB0">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0.4%</w:t>
            </w:r>
          </w:p>
        </w:tc>
        <w:tc>
          <w:tcPr>
            <w:tcW w:w="420" w:type="dxa"/>
            <w:tcBorders>
              <w:top w:val="nil"/>
              <w:left w:val="nil"/>
              <w:bottom w:val="single" w:color="auto" w:sz="4" w:space="0"/>
              <w:right w:val="nil"/>
            </w:tcBorders>
            <w:noWrap/>
            <w:vAlign w:val="center"/>
          </w:tcPr>
          <w:p w14:paraId="4E39D7CD">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single" w:color="auto" w:sz="4" w:space="0"/>
              <w:right w:val="nil"/>
            </w:tcBorders>
            <w:noWrap/>
            <w:vAlign w:val="center"/>
          </w:tcPr>
          <w:p w14:paraId="1C18BC8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0" w:type="dxa"/>
            <w:tcBorders>
              <w:top w:val="nil"/>
              <w:left w:val="nil"/>
              <w:bottom w:val="single" w:color="auto" w:sz="4" w:space="0"/>
              <w:right w:val="nil"/>
            </w:tcBorders>
            <w:noWrap/>
            <w:vAlign w:val="center"/>
          </w:tcPr>
          <w:p w14:paraId="7C052D7A">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80" w:type="dxa"/>
            <w:tcBorders>
              <w:top w:val="nil"/>
              <w:left w:val="nil"/>
              <w:bottom w:val="single" w:color="auto" w:sz="4" w:space="0"/>
              <w:right w:val="nil"/>
            </w:tcBorders>
            <w:noWrap/>
            <w:vAlign w:val="center"/>
          </w:tcPr>
          <w:p w14:paraId="6DAEA87D">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516" w:type="dxa"/>
            <w:tcBorders>
              <w:top w:val="nil"/>
              <w:left w:val="nil"/>
              <w:bottom w:val="single" w:color="auto" w:sz="4" w:space="0"/>
              <w:right w:val="nil"/>
            </w:tcBorders>
            <w:noWrap/>
            <w:vAlign w:val="center"/>
          </w:tcPr>
          <w:p w14:paraId="6082B753">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5</w:t>
            </w:r>
          </w:p>
        </w:tc>
        <w:tc>
          <w:tcPr>
            <w:tcW w:w="828" w:type="dxa"/>
            <w:tcBorders>
              <w:top w:val="nil"/>
              <w:left w:val="nil"/>
              <w:bottom w:val="single" w:color="auto" w:sz="4" w:space="0"/>
              <w:right w:val="nil"/>
            </w:tcBorders>
            <w:noWrap/>
            <w:vAlign w:val="center"/>
          </w:tcPr>
          <w:p w14:paraId="11BFC4F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0.4%</w:t>
            </w:r>
          </w:p>
        </w:tc>
        <w:tc>
          <w:tcPr>
            <w:tcW w:w="420" w:type="dxa"/>
            <w:tcBorders>
              <w:top w:val="nil"/>
              <w:left w:val="nil"/>
              <w:bottom w:val="single" w:color="auto" w:sz="4" w:space="0"/>
              <w:right w:val="nil"/>
            </w:tcBorders>
            <w:noWrap/>
            <w:vAlign w:val="center"/>
          </w:tcPr>
          <w:p w14:paraId="04F515F3">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78" w:type="dxa"/>
            <w:tcBorders>
              <w:top w:val="nil"/>
              <w:left w:val="nil"/>
              <w:bottom w:val="single" w:color="auto" w:sz="4" w:space="0"/>
              <w:right w:val="nil"/>
            </w:tcBorders>
            <w:noWrap/>
            <w:vAlign w:val="center"/>
          </w:tcPr>
          <w:p w14:paraId="4957BE4E">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427" w:type="dxa"/>
            <w:gridSpan w:val="2"/>
            <w:tcBorders>
              <w:top w:val="nil"/>
              <w:left w:val="nil"/>
              <w:bottom w:val="single" w:color="auto" w:sz="4" w:space="0"/>
              <w:right w:val="nil"/>
            </w:tcBorders>
            <w:noWrap/>
            <w:vAlign w:val="center"/>
          </w:tcPr>
          <w:p w14:paraId="462C8490">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2</w:t>
            </w:r>
          </w:p>
        </w:tc>
        <w:tc>
          <w:tcPr>
            <w:tcW w:w="879" w:type="dxa"/>
            <w:tcBorders>
              <w:top w:val="nil"/>
              <w:left w:val="nil"/>
              <w:bottom w:val="single" w:color="auto" w:sz="4" w:space="0"/>
              <w:right w:val="nil"/>
            </w:tcBorders>
            <w:noWrap/>
            <w:vAlign w:val="center"/>
          </w:tcPr>
          <w:p w14:paraId="34E65411">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616" w:type="dxa"/>
            <w:tcBorders>
              <w:top w:val="nil"/>
              <w:left w:val="nil"/>
              <w:bottom w:val="single" w:color="auto" w:sz="4" w:space="0"/>
              <w:right w:val="nil"/>
            </w:tcBorders>
            <w:noWrap/>
            <w:vAlign w:val="center"/>
          </w:tcPr>
          <w:p w14:paraId="0333DC28">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44</w:t>
            </w:r>
          </w:p>
        </w:tc>
        <w:tc>
          <w:tcPr>
            <w:tcW w:w="831" w:type="dxa"/>
            <w:tcBorders>
              <w:top w:val="nil"/>
              <w:left w:val="nil"/>
              <w:bottom w:val="single" w:color="auto" w:sz="4" w:space="0"/>
              <w:right w:val="nil"/>
            </w:tcBorders>
            <w:noWrap/>
            <w:vAlign w:val="center"/>
          </w:tcPr>
          <w:p w14:paraId="7791A50C">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3.2%</w:t>
            </w:r>
          </w:p>
        </w:tc>
      </w:tr>
      <w:tr w14:paraId="16E98AC3">
        <w:tblPrEx>
          <w:tblCellMar>
            <w:top w:w="0" w:type="dxa"/>
            <w:left w:w="108" w:type="dxa"/>
            <w:bottom w:w="0" w:type="dxa"/>
            <w:right w:w="108" w:type="dxa"/>
          </w:tblCellMar>
        </w:tblPrEx>
        <w:trPr>
          <w:trHeight w:val="259" w:hRule="atLeast"/>
        </w:trPr>
        <w:tc>
          <w:tcPr>
            <w:tcW w:w="1011" w:type="dxa"/>
            <w:tcBorders>
              <w:top w:val="single" w:color="auto" w:sz="4" w:space="0"/>
              <w:left w:val="nil"/>
              <w:bottom w:val="nil"/>
              <w:right w:val="nil"/>
            </w:tcBorders>
            <w:noWrap/>
            <w:vAlign w:val="center"/>
          </w:tcPr>
          <w:p w14:paraId="242A0F3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Flake</w:t>
            </w:r>
            <w:r>
              <w:rPr>
                <w:rFonts w:hint="eastAsia" w:eastAsia="等线"/>
                <w:color w:val="000000"/>
                <w:sz w:val="20"/>
                <w:szCs w:val="20"/>
              </w:rPr>
              <w:t>s</w:t>
            </w:r>
          </w:p>
        </w:tc>
        <w:tc>
          <w:tcPr>
            <w:tcW w:w="2074" w:type="dxa"/>
            <w:tcBorders>
              <w:top w:val="single" w:color="auto" w:sz="4" w:space="0"/>
              <w:left w:val="nil"/>
              <w:bottom w:val="nil"/>
              <w:right w:val="nil"/>
            </w:tcBorders>
            <w:noWrap/>
            <w:vAlign w:val="center"/>
          </w:tcPr>
          <w:p w14:paraId="7C97ACDD">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Cortical flake</w:t>
            </w:r>
          </w:p>
        </w:tc>
        <w:tc>
          <w:tcPr>
            <w:tcW w:w="567" w:type="dxa"/>
            <w:tcBorders>
              <w:top w:val="single" w:color="auto" w:sz="4" w:space="0"/>
              <w:left w:val="nil"/>
              <w:bottom w:val="nil"/>
              <w:right w:val="nil"/>
            </w:tcBorders>
            <w:noWrap/>
            <w:vAlign w:val="center"/>
          </w:tcPr>
          <w:p w14:paraId="61CF9757">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53</w:t>
            </w:r>
          </w:p>
        </w:tc>
        <w:tc>
          <w:tcPr>
            <w:tcW w:w="828" w:type="dxa"/>
            <w:tcBorders>
              <w:top w:val="single" w:color="auto" w:sz="4" w:space="0"/>
              <w:left w:val="nil"/>
              <w:bottom w:val="nil"/>
              <w:right w:val="nil"/>
            </w:tcBorders>
            <w:noWrap/>
            <w:vAlign w:val="center"/>
          </w:tcPr>
          <w:p w14:paraId="73EDC49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3.9%</w:t>
            </w:r>
          </w:p>
        </w:tc>
        <w:tc>
          <w:tcPr>
            <w:tcW w:w="419" w:type="dxa"/>
            <w:tcBorders>
              <w:top w:val="single" w:color="auto" w:sz="4" w:space="0"/>
              <w:left w:val="nil"/>
              <w:bottom w:val="nil"/>
              <w:right w:val="nil"/>
            </w:tcBorders>
            <w:noWrap/>
            <w:vAlign w:val="center"/>
          </w:tcPr>
          <w:p w14:paraId="039BA27C">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9</w:t>
            </w:r>
          </w:p>
        </w:tc>
        <w:tc>
          <w:tcPr>
            <w:tcW w:w="880" w:type="dxa"/>
            <w:tcBorders>
              <w:top w:val="single" w:color="auto" w:sz="4" w:space="0"/>
              <w:left w:val="nil"/>
              <w:bottom w:val="nil"/>
              <w:right w:val="nil"/>
            </w:tcBorders>
            <w:noWrap/>
            <w:vAlign w:val="center"/>
          </w:tcPr>
          <w:p w14:paraId="04B5296C">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0.7%</w:t>
            </w:r>
          </w:p>
        </w:tc>
        <w:tc>
          <w:tcPr>
            <w:tcW w:w="420" w:type="dxa"/>
            <w:tcBorders>
              <w:top w:val="single" w:color="auto" w:sz="4" w:space="0"/>
              <w:left w:val="nil"/>
              <w:bottom w:val="nil"/>
              <w:right w:val="nil"/>
            </w:tcBorders>
            <w:noWrap/>
            <w:vAlign w:val="center"/>
          </w:tcPr>
          <w:p w14:paraId="3502B474">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single" w:color="auto" w:sz="4" w:space="0"/>
              <w:left w:val="nil"/>
              <w:bottom w:val="nil"/>
              <w:right w:val="nil"/>
            </w:tcBorders>
            <w:noWrap/>
            <w:vAlign w:val="center"/>
          </w:tcPr>
          <w:p w14:paraId="43D1A407">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0" w:type="dxa"/>
            <w:tcBorders>
              <w:top w:val="single" w:color="auto" w:sz="4" w:space="0"/>
              <w:left w:val="nil"/>
              <w:bottom w:val="nil"/>
              <w:right w:val="nil"/>
            </w:tcBorders>
            <w:noWrap/>
            <w:vAlign w:val="center"/>
          </w:tcPr>
          <w:p w14:paraId="5C8E6AD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80" w:type="dxa"/>
            <w:tcBorders>
              <w:top w:val="single" w:color="auto" w:sz="4" w:space="0"/>
              <w:left w:val="nil"/>
              <w:bottom w:val="nil"/>
              <w:right w:val="nil"/>
            </w:tcBorders>
            <w:noWrap/>
            <w:vAlign w:val="center"/>
          </w:tcPr>
          <w:p w14:paraId="5EA6CE0B">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516" w:type="dxa"/>
            <w:tcBorders>
              <w:top w:val="single" w:color="auto" w:sz="4" w:space="0"/>
              <w:left w:val="nil"/>
              <w:bottom w:val="nil"/>
              <w:right w:val="nil"/>
            </w:tcBorders>
            <w:noWrap/>
            <w:vAlign w:val="center"/>
          </w:tcPr>
          <w:p w14:paraId="403B5E74">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6</w:t>
            </w:r>
          </w:p>
        </w:tc>
        <w:tc>
          <w:tcPr>
            <w:tcW w:w="828" w:type="dxa"/>
            <w:tcBorders>
              <w:top w:val="single" w:color="auto" w:sz="4" w:space="0"/>
              <w:left w:val="nil"/>
              <w:bottom w:val="nil"/>
              <w:right w:val="nil"/>
            </w:tcBorders>
            <w:noWrap/>
            <w:vAlign w:val="center"/>
          </w:tcPr>
          <w:p w14:paraId="40A3558B">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0.4%</w:t>
            </w:r>
          </w:p>
        </w:tc>
        <w:tc>
          <w:tcPr>
            <w:tcW w:w="420" w:type="dxa"/>
            <w:tcBorders>
              <w:top w:val="single" w:color="auto" w:sz="4" w:space="0"/>
              <w:left w:val="nil"/>
              <w:bottom w:val="nil"/>
              <w:right w:val="nil"/>
            </w:tcBorders>
            <w:noWrap/>
            <w:vAlign w:val="center"/>
          </w:tcPr>
          <w:p w14:paraId="55158153">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78" w:type="dxa"/>
            <w:tcBorders>
              <w:top w:val="single" w:color="auto" w:sz="4" w:space="0"/>
              <w:left w:val="nil"/>
              <w:bottom w:val="nil"/>
              <w:right w:val="nil"/>
            </w:tcBorders>
            <w:noWrap/>
            <w:vAlign w:val="center"/>
          </w:tcPr>
          <w:p w14:paraId="350F2019">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427" w:type="dxa"/>
            <w:gridSpan w:val="2"/>
            <w:tcBorders>
              <w:top w:val="single" w:color="auto" w:sz="4" w:space="0"/>
              <w:left w:val="nil"/>
              <w:bottom w:val="nil"/>
              <w:right w:val="nil"/>
            </w:tcBorders>
            <w:noWrap/>
            <w:vAlign w:val="center"/>
          </w:tcPr>
          <w:p w14:paraId="204F3BD8">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79" w:type="dxa"/>
            <w:tcBorders>
              <w:top w:val="single" w:color="auto" w:sz="4" w:space="0"/>
              <w:left w:val="nil"/>
              <w:bottom w:val="nil"/>
              <w:right w:val="nil"/>
            </w:tcBorders>
            <w:noWrap/>
            <w:vAlign w:val="center"/>
          </w:tcPr>
          <w:p w14:paraId="1AB7A25D">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616" w:type="dxa"/>
            <w:tcBorders>
              <w:top w:val="single" w:color="auto" w:sz="4" w:space="0"/>
              <w:left w:val="nil"/>
              <w:bottom w:val="nil"/>
              <w:right w:val="nil"/>
            </w:tcBorders>
            <w:noWrap/>
            <w:vAlign w:val="center"/>
          </w:tcPr>
          <w:p w14:paraId="11DC9BE9">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71</w:t>
            </w:r>
          </w:p>
        </w:tc>
        <w:tc>
          <w:tcPr>
            <w:tcW w:w="831" w:type="dxa"/>
            <w:tcBorders>
              <w:top w:val="single" w:color="auto" w:sz="4" w:space="0"/>
              <w:left w:val="nil"/>
              <w:bottom w:val="nil"/>
              <w:right w:val="nil"/>
            </w:tcBorders>
            <w:noWrap/>
            <w:vAlign w:val="center"/>
          </w:tcPr>
          <w:p w14:paraId="5755F01E">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5.2%</w:t>
            </w:r>
          </w:p>
        </w:tc>
      </w:tr>
      <w:tr w14:paraId="151FA024">
        <w:tblPrEx>
          <w:tblCellMar>
            <w:top w:w="0" w:type="dxa"/>
            <w:left w:w="108" w:type="dxa"/>
            <w:bottom w:w="0" w:type="dxa"/>
            <w:right w:w="108" w:type="dxa"/>
          </w:tblCellMar>
        </w:tblPrEx>
        <w:trPr>
          <w:trHeight w:val="259" w:hRule="atLeast"/>
        </w:trPr>
        <w:tc>
          <w:tcPr>
            <w:tcW w:w="1011" w:type="dxa"/>
            <w:tcBorders>
              <w:top w:val="nil"/>
              <w:left w:val="nil"/>
              <w:bottom w:val="nil"/>
              <w:right w:val="nil"/>
            </w:tcBorders>
            <w:noWrap/>
            <w:vAlign w:val="center"/>
          </w:tcPr>
          <w:p w14:paraId="187D28D8">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(n=221)</w:t>
            </w:r>
          </w:p>
        </w:tc>
        <w:tc>
          <w:tcPr>
            <w:tcW w:w="2074" w:type="dxa"/>
            <w:tcBorders>
              <w:top w:val="nil"/>
              <w:left w:val="nil"/>
              <w:bottom w:val="nil"/>
              <w:right w:val="nil"/>
            </w:tcBorders>
            <w:noWrap/>
            <w:vAlign w:val="center"/>
          </w:tcPr>
          <w:p w14:paraId="14949D52">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Unipolar flake</w:t>
            </w:r>
          </w:p>
        </w:tc>
        <w:tc>
          <w:tcPr>
            <w:tcW w:w="567" w:type="dxa"/>
            <w:tcBorders>
              <w:top w:val="nil"/>
              <w:left w:val="nil"/>
              <w:bottom w:val="nil"/>
              <w:right w:val="nil"/>
            </w:tcBorders>
            <w:noWrap/>
            <w:vAlign w:val="center"/>
          </w:tcPr>
          <w:p w14:paraId="246404C5">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14</w:t>
            </w:r>
          </w:p>
        </w:tc>
        <w:tc>
          <w:tcPr>
            <w:tcW w:w="828" w:type="dxa"/>
            <w:tcBorders>
              <w:top w:val="nil"/>
              <w:left w:val="nil"/>
              <w:bottom w:val="nil"/>
              <w:right w:val="nil"/>
            </w:tcBorders>
            <w:noWrap/>
            <w:vAlign w:val="center"/>
          </w:tcPr>
          <w:p w14:paraId="2C17B2F7">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1.0%</w:t>
            </w:r>
          </w:p>
        </w:tc>
        <w:tc>
          <w:tcPr>
            <w:tcW w:w="419" w:type="dxa"/>
            <w:tcBorders>
              <w:top w:val="nil"/>
              <w:left w:val="nil"/>
              <w:bottom w:val="nil"/>
              <w:right w:val="nil"/>
            </w:tcBorders>
            <w:noWrap/>
            <w:vAlign w:val="center"/>
          </w:tcPr>
          <w:p w14:paraId="24396674">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3</w:t>
            </w:r>
          </w:p>
        </w:tc>
        <w:tc>
          <w:tcPr>
            <w:tcW w:w="880" w:type="dxa"/>
            <w:tcBorders>
              <w:top w:val="nil"/>
              <w:left w:val="nil"/>
              <w:bottom w:val="nil"/>
              <w:right w:val="nil"/>
            </w:tcBorders>
            <w:noWrap/>
            <w:vAlign w:val="center"/>
          </w:tcPr>
          <w:p w14:paraId="491C36D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0.2%</w:t>
            </w:r>
          </w:p>
        </w:tc>
        <w:tc>
          <w:tcPr>
            <w:tcW w:w="420" w:type="dxa"/>
            <w:tcBorders>
              <w:top w:val="nil"/>
              <w:left w:val="nil"/>
              <w:bottom w:val="nil"/>
              <w:right w:val="nil"/>
            </w:tcBorders>
            <w:noWrap/>
            <w:vAlign w:val="center"/>
          </w:tcPr>
          <w:p w14:paraId="5A71F4D5">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60CA77D4">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0" w:type="dxa"/>
            <w:tcBorders>
              <w:top w:val="nil"/>
              <w:left w:val="nil"/>
              <w:bottom w:val="nil"/>
              <w:right w:val="nil"/>
            </w:tcBorders>
            <w:noWrap/>
            <w:vAlign w:val="center"/>
          </w:tcPr>
          <w:p w14:paraId="5263E1CC">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2</w:t>
            </w:r>
          </w:p>
        </w:tc>
        <w:tc>
          <w:tcPr>
            <w:tcW w:w="880" w:type="dxa"/>
            <w:tcBorders>
              <w:top w:val="nil"/>
              <w:left w:val="nil"/>
              <w:bottom w:val="nil"/>
              <w:right w:val="nil"/>
            </w:tcBorders>
            <w:noWrap/>
            <w:vAlign w:val="center"/>
          </w:tcPr>
          <w:p w14:paraId="5CDA2A85">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516" w:type="dxa"/>
            <w:tcBorders>
              <w:top w:val="nil"/>
              <w:left w:val="nil"/>
              <w:bottom w:val="nil"/>
              <w:right w:val="nil"/>
            </w:tcBorders>
            <w:noWrap/>
            <w:vAlign w:val="center"/>
          </w:tcPr>
          <w:p w14:paraId="389E213C">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5</w:t>
            </w:r>
          </w:p>
        </w:tc>
        <w:tc>
          <w:tcPr>
            <w:tcW w:w="828" w:type="dxa"/>
            <w:tcBorders>
              <w:top w:val="nil"/>
              <w:left w:val="nil"/>
              <w:bottom w:val="nil"/>
              <w:right w:val="nil"/>
            </w:tcBorders>
            <w:noWrap/>
            <w:vAlign w:val="center"/>
          </w:tcPr>
          <w:p w14:paraId="256DCA5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0.4%</w:t>
            </w:r>
          </w:p>
        </w:tc>
        <w:tc>
          <w:tcPr>
            <w:tcW w:w="420" w:type="dxa"/>
            <w:tcBorders>
              <w:top w:val="nil"/>
              <w:left w:val="nil"/>
              <w:bottom w:val="nil"/>
              <w:right w:val="nil"/>
            </w:tcBorders>
            <w:noWrap/>
            <w:vAlign w:val="center"/>
          </w:tcPr>
          <w:p w14:paraId="7FF9749A">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8" w:type="dxa"/>
            <w:tcBorders>
              <w:top w:val="nil"/>
              <w:left w:val="nil"/>
              <w:bottom w:val="nil"/>
              <w:right w:val="nil"/>
            </w:tcBorders>
            <w:noWrap/>
            <w:vAlign w:val="center"/>
          </w:tcPr>
          <w:p w14:paraId="1FFB2CD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7" w:type="dxa"/>
            <w:gridSpan w:val="2"/>
            <w:tcBorders>
              <w:top w:val="nil"/>
              <w:left w:val="nil"/>
              <w:bottom w:val="nil"/>
              <w:right w:val="nil"/>
            </w:tcBorders>
            <w:noWrap/>
            <w:vAlign w:val="center"/>
          </w:tcPr>
          <w:p w14:paraId="01F3CF02">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79" w:type="dxa"/>
            <w:tcBorders>
              <w:top w:val="nil"/>
              <w:left w:val="nil"/>
              <w:bottom w:val="nil"/>
              <w:right w:val="nil"/>
            </w:tcBorders>
            <w:noWrap/>
            <w:vAlign w:val="center"/>
          </w:tcPr>
          <w:p w14:paraId="01593B39">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616" w:type="dxa"/>
            <w:tcBorders>
              <w:top w:val="nil"/>
              <w:left w:val="nil"/>
              <w:bottom w:val="nil"/>
              <w:right w:val="nil"/>
            </w:tcBorders>
            <w:noWrap/>
            <w:vAlign w:val="center"/>
          </w:tcPr>
          <w:p w14:paraId="5741B5BA">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25</w:t>
            </w:r>
          </w:p>
        </w:tc>
        <w:tc>
          <w:tcPr>
            <w:tcW w:w="831" w:type="dxa"/>
            <w:tcBorders>
              <w:top w:val="nil"/>
              <w:left w:val="nil"/>
              <w:bottom w:val="nil"/>
              <w:right w:val="nil"/>
            </w:tcBorders>
            <w:noWrap/>
            <w:vAlign w:val="center"/>
          </w:tcPr>
          <w:p w14:paraId="0EE57E01">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1.8%</w:t>
            </w:r>
          </w:p>
        </w:tc>
      </w:tr>
      <w:tr w14:paraId="740F1857">
        <w:tblPrEx>
          <w:tblCellMar>
            <w:top w:w="0" w:type="dxa"/>
            <w:left w:w="108" w:type="dxa"/>
            <w:bottom w:w="0" w:type="dxa"/>
            <w:right w:w="108" w:type="dxa"/>
          </w:tblCellMar>
        </w:tblPrEx>
        <w:trPr>
          <w:trHeight w:val="259" w:hRule="atLeast"/>
        </w:trPr>
        <w:tc>
          <w:tcPr>
            <w:tcW w:w="1011" w:type="dxa"/>
            <w:tcBorders>
              <w:top w:val="nil"/>
              <w:left w:val="nil"/>
              <w:bottom w:val="nil"/>
              <w:right w:val="nil"/>
            </w:tcBorders>
            <w:noWrap/>
            <w:vAlign w:val="center"/>
          </w:tcPr>
          <w:p w14:paraId="794F4C42">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2074" w:type="dxa"/>
            <w:tcBorders>
              <w:top w:val="nil"/>
              <w:left w:val="nil"/>
              <w:bottom w:val="nil"/>
              <w:right w:val="nil"/>
            </w:tcBorders>
            <w:noWrap/>
            <w:vAlign w:val="center"/>
          </w:tcPr>
          <w:p w14:paraId="722D6F3E">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Bipolar flake</w:t>
            </w:r>
          </w:p>
        </w:tc>
        <w:tc>
          <w:tcPr>
            <w:tcW w:w="567" w:type="dxa"/>
            <w:tcBorders>
              <w:top w:val="nil"/>
              <w:left w:val="nil"/>
              <w:bottom w:val="nil"/>
              <w:right w:val="nil"/>
            </w:tcBorders>
            <w:noWrap/>
            <w:vAlign w:val="center"/>
          </w:tcPr>
          <w:p w14:paraId="541193A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3</w:t>
            </w:r>
          </w:p>
        </w:tc>
        <w:tc>
          <w:tcPr>
            <w:tcW w:w="828" w:type="dxa"/>
            <w:tcBorders>
              <w:top w:val="nil"/>
              <w:left w:val="nil"/>
              <w:bottom w:val="nil"/>
              <w:right w:val="nil"/>
            </w:tcBorders>
            <w:noWrap/>
            <w:vAlign w:val="center"/>
          </w:tcPr>
          <w:p w14:paraId="415B8BA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0.2%</w:t>
            </w:r>
          </w:p>
        </w:tc>
        <w:tc>
          <w:tcPr>
            <w:tcW w:w="419" w:type="dxa"/>
            <w:tcBorders>
              <w:top w:val="nil"/>
              <w:left w:val="nil"/>
              <w:bottom w:val="nil"/>
              <w:right w:val="nil"/>
            </w:tcBorders>
            <w:noWrap/>
            <w:vAlign w:val="center"/>
          </w:tcPr>
          <w:p w14:paraId="7009286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80" w:type="dxa"/>
            <w:tcBorders>
              <w:top w:val="nil"/>
              <w:left w:val="nil"/>
              <w:bottom w:val="nil"/>
              <w:right w:val="nil"/>
            </w:tcBorders>
            <w:noWrap/>
            <w:vAlign w:val="center"/>
          </w:tcPr>
          <w:p w14:paraId="2A610EF4">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420" w:type="dxa"/>
            <w:tcBorders>
              <w:top w:val="nil"/>
              <w:left w:val="nil"/>
              <w:bottom w:val="nil"/>
              <w:right w:val="nil"/>
            </w:tcBorders>
            <w:noWrap/>
            <w:vAlign w:val="center"/>
          </w:tcPr>
          <w:p w14:paraId="68877E61">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310843FA">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0" w:type="dxa"/>
            <w:tcBorders>
              <w:top w:val="nil"/>
              <w:left w:val="nil"/>
              <w:bottom w:val="nil"/>
              <w:right w:val="nil"/>
            </w:tcBorders>
            <w:noWrap/>
            <w:vAlign w:val="center"/>
          </w:tcPr>
          <w:p w14:paraId="2524A783">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0A3B1054">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516" w:type="dxa"/>
            <w:tcBorders>
              <w:top w:val="nil"/>
              <w:left w:val="nil"/>
              <w:bottom w:val="nil"/>
              <w:right w:val="nil"/>
            </w:tcBorders>
            <w:noWrap/>
            <w:vAlign w:val="center"/>
          </w:tcPr>
          <w:p w14:paraId="16EE21C9">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28" w:type="dxa"/>
            <w:tcBorders>
              <w:top w:val="nil"/>
              <w:left w:val="nil"/>
              <w:bottom w:val="nil"/>
              <w:right w:val="nil"/>
            </w:tcBorders>
            <w:noWrap/>
            <w:vAlign w:val="center"/>
          </w:tcPr>
          <w:p w14:paraId="4892E97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420" w:type="dxa"/>
            <w:tcBorders>
              <w:top w:val="nil"/>
              <w:left w:val="nil"/>
              <w:bottom w:val="nil"/>
              <w:right w:val="nil"/>
            </w:tcBorders>
            <w:noWrap/>
            <w:vAlign w:val="center"/>
          </w:tcPr>
          <w:p w14:paraId="47147FE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8" w:type="dxa"/>
            <w:tcBorders>
              <w:top w:val="nil"/>
              <w:left w:val="nil"/>
              <w:bottom w:val="nil"/>
              <w:right w:val="nil"/>
            </w:tcBorders>
            <w:noWrap/>
            <w:vAlign w:val="center"/>
          </w:tcPr>
          <w:p w14:paraId="787CC2A5">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7" w:type="dxa"/>
            <w:gridSpan w:val="2"/>
            <w:tcBorders>
              <w:top w:val="nil"/>
              <w:left w:val="nil"/>
              <w:bottom w:val="nil"/>
              <w:right w:val="nil"/>
            </w:tcBorders>
            <w:noWrap/>
            <w:vAlign w:val="center"/>
          </w:tcPr>
          <w:p w14:paraId="65443770">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9" w:type="dxa"/>
            <w:tcBorders>
              <w:top w:val="nil"/>
              <w:left w:val="nil"/>
              <w:bottom w:val="nil"/>
              <w:right w:val="nil"/>
            </w:tcBorders>
            <w:noWrap/>
            <w:vAlign w:val="center"/>
          </w:tcPr>
          <w:p w14:paraId="050FBB80">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616" w:type="dxa"/>
            <w:tcBorders>
              <w:top w:val="nil"/>
              <w:left w:val="nil"/>
              <w:bottom w:val="nil"/>
              <w:right w:val="nil"/>
            </w:tcBorders>
            <w:noWrap/>
            <w:vAlign w:val="center"/>
          </w:tcPr>
          <w:p w14:paraId="4798E1FC">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4</w:t>
            </w:r>
          </w:p>
        </w:tc>
        <w:tc>
          <w:tcPr>
            <w:tcW w:w="831" w:type="dxa"/>
            <w:tcBorders>
              <w:top w:val="nil"/>
              <w:left w:val="nil"/>
              <w:bottom w:val="nil"/>
              <w:right w:val="nil"/>
            </w:tcBorders>
            <w:noWrap/>
            <w:vAlign w:val="center"/>
          </w:tcPr>
          <w:p w14:paraId="4F225B22">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0.3%</w:t>
            </w:r>
          </w:p>
        </w:tc>
      </w:tr>
      <w:tr w14:paraId="6F00379A">
        <w:tblPrEx>
          <w:tblCellMar>
            <w:top w:w="0" w:type="dxa"/>
            <w:left w:w="108" w:type="dxa"/>
            <w:bottom w:w="0" w:type="dxa"/>
            <w:right w:w="108" w:type="dxa"/>
          </w:tblCellMar>
        </w:tblPrEx>
        <w:trPr>
          <w:trHeight w:val="259" w:hRule="atLeast"/>
        </w:trPr>
        <w:tc>
          <w:tcPr>
            <w:tcW w:w="1011" w:type="dxa"/>
            <w:tcBorders>
              <w:top w:val="nil"/>
              <w:left w:val="nil"/>
              <w:bottom w:val="nil"/>
              <w:right w:val="nil"/>
            </w:tcBorders>
            <w:noWrap/>
            <w:vAlign w:val="center"/>
          </w:tcPr>
          <w:p w14:paraId="0225BE84">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2074" w:type="dxa"/>
            <w:tcBorders>
              <w:top w:val="nil"/>
              <w:left w:val="nil"/>
              <w:bottom w:val="nil"/>
              <w:right w:val="nil"/>
            </w:tcBorders>
            <w:noWrap/>
            <w:vAlign w:val="center"/>
          </w:tcPr>
          <w:p w14:paraId="7D0A79A2">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Orthogonal flake</w:t>
            </w:r>
          </w:p>
        </w:tc>
        <w:tc>
          <w:tcPr>
            <w:tcW w:w="567" w:type="dxa"/>
            <w:tcBorders>
              <w:top w:val="nil"/>
              <w:left w:val="nil"/>
              <w:bottom w:val="nil"/>
              <w:right w:val="nil"/>
            </w:tcBorders>
            <w:noWrap/>
            <w:vAlign w:val="center"/>
          </w:tcPr>
          <w:p w14:paraId="15E93817">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13</w:t>
            </w:r>
          </w:p>
        </w:tc>
        <w:tc>
          <w:tcPr>
            <w:tcW w:w="828" w:type="dxa"/>
            <w:tcBorders>
              <w:top w:val="nil"/>
              <w:left w:val="nil"/>
              <w:bottom w:val="nil"/>
              <w:right w:val="nil"/>
            </w:tcBorders>
            <w:noWrap/>
            <w:vAlign w:val="center"/>
          </w:tcPr>
          <w:p w14:paraId="2F1974B1">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1.0%</w:t>
            </w:r>
          </w:p>
        </w:tc>
        <w:tc>
          <w:tcPr>
            <w:tcW w:w="419" w:type="dxa"/>
            <w:tcBorders>
              <w:top w:val="nil"/>
              <w:left w:val="nil"/>
              <w:bottom w:val="nil"/>
              <w:right w:val="nil"/>
            </w:tcBorders>
            <w:noWrap/>
            <w:vAlign w:val="center"/>
          </w:tcPr>
          <w:p w14:paraId="7E9E75D3">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80" w:type="dxa"/>
            <w:tcBorders>
              <w:top w:val="nil"/>
              <w:left w:val="nil"/>
              <w:bottom w:val="nil"/>
              <w:right w:val="nil"/>
            </w:tcBorders>
            <w:noWrap/>
            <w:vAlign w:val="center"/>
          </w:tcPr>
          <w:p w14:paraId="201B2374">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420" w:type="dxa"/>
            <w:tcBorders>
              <w:top w:val="nil"/>
              <w:left w:val="nil"/>
              <w:bottom w:val="nil"/>
              <w:right w:val="nil"/>
            </w:tcBorders>
            <w:noWrap/>
            <w:vAlign w:val="center"/>
          </w:tcPr>
          <w:p w14:paraId="4C2BE019">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4A40F972">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0" w:type="dxa"/>
            <w:tcBorders>
              <w:top w:val="nil"/>
              <w:left w:val="nil"/>
              <w:bottom w:val="nil"/>
              <w:right w:val="nil"/>
            </w:tcBorders>
            <w:noWrap/>
            <w:vAlign w:val="center"/>
          </w:tcPr>
          <w:p w14:paraId="39AE6680">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80" w:type="dxa"/>
            <w:tcBorders>
              <w:top w:val="nil"/>
              <w:left w:val="nil"/>
              <w:bottom w:val="nil"/>
              <w:right w:val="nil"/>
            </w:tcBorders>
            <w:noWrap/>
            <w:vAlign w:val="center"/>
          </w:tcPr>
          <w:p w14:paraId="729F1F67">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516" w:type="dxa"/>
            <w:tcBorders>
              <w:top w:val="nil"/>
              <w:left w:val="nil"/>
              <w:bottom w:val="nil"/>
              <w:right w:val="nil"/>
            </w:tcBorders>
            <w:noWrap/>
            <w:vAlign w:val="center"/>
          </w:tcPr>
          <w:p w14:paraId="5D84A9A1">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28" w:type="dxa"/>
            <w:tcBorders>
              <w:top w:val="nil"/>
              <w:left w:val="nil"/>
              <w:bottom w:val="nil"/>
              <w:right w:val="nil"/>
            </w:tcBorders>
            <w:noWrap/>
            <w:vAlign w:val="center"/>
          </w:tcPr>
          <w:p w14:paraId="456C5F07">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420" w:type="dxa"/>
            <w:tcBorders>
              <w:top w:val="nil"/>
              <w:left w:val="nil"/>
              <w:bottom w:val="nil"/>
              <w:right w:val="nil"/>
            </w:tcBorders>
            <w:noWrap/>
            <w:vAlign w:val="center"/>
          </w:tcPr>
          <w:p w14:paraId="69866BB4">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8" w:type="dxa"/>
            <w:tcBorders>
              <w:top w:val="nil"/>
              <w:left w:val="nil"/>
              <w:bottom w:val="nil"/>
              <w:right w:val="nil"/>
            </w:tcBorders>
            <w:noWrap/>
            <w:vAlign w:val="center"/>
          </w:tcPr>
          <w:p w14:paraId="64DEC243">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7" w:type="dxa"/>
            <w:gridSpan w:val="2"/>
            <w:tcBorders>
              <w:top w:val="nil"/>
              <w:left w:val="nil"/>
              <w:bottom w:val="nil"/>
              <w:right w:val="nil"/>
            </w:tcBorders>
            <w:noWrap/>
            <w:vAlign w:val="center"/>
          </w:tcPr>
          <w:p w14:paraId="50CF776E">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9" w:type="dxa"/>
            <w:tcBorders>
              <w:top w:val="nil"/>
              <w:left w:val="nil"/>
              <w:bottom w:val="nil"/>
              <w:right w:val="nil"/>
            </w:tcBorders>
            <w:noWrap/>
            <w:vAlign w:val="center"/>
          </w:tcPr>
          <w:p w14:paraId="422590CD">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616" w:type="dxa"/>
            <w:tcBorders>
              <w:top w:val="nil"/>
              <w:left w:val="nil"/>
              <w:bottom w:val="nil"/>
              <w:right w:val="nil"/>
            </w:tcBorders>
            <w:noWrap/>
            <w:vAlign w:val="center"/>
          </w:tcPr>
          <w:p w14:paraId="3630DA25">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15</w:t>
            </w:r>
          </w:p>
        </w:tc>
        <w:tc>
          <w:tcPr>
            <w:tcW w:w="831" w:type="dxa"/>
            <w:tcBorders>
              <w:top w:val="nil"/>
              <w:left w:val="nil"/>
              <w:bottom w:val="nil"/>
              <w:right w:val="nil"/>
            </w:tcBorders>
            <w:noWrap/>
            <w:vAlign w:val="center"/>
          </w:tcPr>
          <w:p w14:paraId="0B2D96D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1.1%</w:t>
            </w:r>
          </w:p>
        </w:tc>
      </w:tr>
      <w:tr w14:paraId="55A86C9E">
        <w:tblPrEx>
          <w:tblCellMar>
            <w:top w:w="0" w:type="dxa"/>
            <w:left w:w="108" w:type="dxa"/>
            <w:bottom w:w="0" w:type="dxa"/>
            <w:right w:w="108" w:type="dxa"/>
          </w:tblCellMar>
        </w:tblPrEx>
        <w:trPr>
          <w:trHeight w:val="259" w:hRule="atLeast"/>
        </w:trPr>
        <w:tc>
          <w:tcPr>
            <w:tcW w:w="1011" w:type="dxa"/>
            <w:tcBorders>
              <w:top w:val="nil"/>
              <w:left w:val="nil"/>
              <w:bottom w:val="nil"/>
              <w:right w:val="nil"/>
            </w:tcBorders>
            <w:noWrap/>
            <w:vAlign w:val="center"/>
          </w:tcPr>
          <w:p w14:paraId="7662010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2074" w:type="dxa"/>
            <w:tcBorders>
              <w:top w:val="nil"/>
              <w:left w:val="nil"/>
              <w:bottom w:val="nil"/>
              <w:right w:val="nil"/>
            </w:tcBorders>
            <w:noWrap/>
            <w:vAlign w:val="center"/>
          </w:tcPr>
          <w:p w14:paraId="28CF8EDE">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Naturally backed flake</w:t>
            </w:r>
          </w:p>
        </w:tc>
        <w:tc>
          <w:tcPr>
            <w:tcW w:w="567" w:type="dxa"/>
            <w:tcBorders>
              <w:top w:val="nil"/>
              <w:left w:val="nil"/>
              <w:bottom w:val="nil"/>
              <w:right w:val="nil"/>
            </w:tcBorders>
            <w:noWrap/>
            <w:vAlign w:val="center"/>
          </w:tcPr>
          <w:p w14:paraId="3DA89C3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5</w:t>
            </w:r>
          </w:p>
        </w:tc>
        <w:tc>
          <w:tcPr>
            <w:tcW w:w="828" w:type="dxa"/>
            <w:tcBorders>
              <w:top w:val="nil"/>
              <w:left w:val="nil"/>
              <w:bottom w:val="nil"/>
              <w:right w:val="nil"/>
            </w:tcBorders>
            <w:noWrap/>
            <w:vAlign w:val="center"/>
          </w:tcPr>
          <w:p w14:paraId="087D9AFD">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0.4%</w:t>
            </w:r>
          </w:p>
        </w:tc>
        <w:tc>
          <w:tcPr>
            <w:tcW w:w="419" w:type="dxa"/>
            <w:tcBorders>
              <w:top w:val="nil"/>
              <w:left w:val="nil"/>
              <w:bottom w:val="nil"/>
              <w:right w:val="nil"/>
            </w:tcBorders>
            <w:noWrap/>
            <w:vAlign w:val="center"/>
          </w:tcPr>
          <w:p w14:paraId="55AF8771">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80" w:type="dxa"/>
            <w:tcBorders>
              <w:top w:val="nil"/>
              <w:left w:val="nil"/>
              <w:bottom w:val="nil"/>
              <w:right w:val="nil"/>
            </w:tcBorders>
            <w:noWrap/>
            <w:vAlign w:val="center"/>
          </w:tcPr>
          <w:p w14:paraId="49EBE858">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420" w:type="dxa"/>
            <w:tcBorders>
              <w:top w:val="nil"/>
              <w:left w:val="nil"/>
              <w:bottom w:val="nil"/>
              <w:right w:val="nil"/>
            </w:tcBorders>
            <w:noWrap/>
            <w:vAlign w:val="center"/>
          </w:tcPr>
          <w:p w14:paraId="7A3D6031">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1FA02B0B">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0" w:type="dxa"/>
            <w:tcBorders>
              <w:top w:val="nil"/>
              <w:left w:val="nil"/>
              <w:bottom w:val="nil"/>
              <w:right w:val="nil"/>
            </w:tcBorders>
            <w:noWrap/>
            <w:vAlign w:val="center"/>
          </w:tcPr>
          <w:p w14:paraId="5EA0068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3C287351">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516" w:type="dxa"/>
            <w:tcBorders>
              <w:top w:val="nil"/>
              <w:left w:val="nil"/>
              <w:bottom w:val="nil"/>
              <w:right w:val="nil"/>
            </w:tcBorders>
            <w:noWrap/>
            <w:vAlign w:val="center"/>
          </w:tcPr>
          <w:p w14:paraId="76DCBC52">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28" w:type="dxa"/>
            <w:tcBorders>
              <w:top w:val="nil"/>
              <w:left w:val="nil"/>
              <w:bottom w:val="nil"/>
              <w:right w:val="nil"/>
            </w:tcBorders>
            <w:noWrap/>
            <w:vAlign w:val="center"/>
          </w:tcPr>
          <w:p w14:paraId="0D31841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420" w:type="dxa"/>
            <w:tcBorders>
              <w:top w:val="nil"/>
              <w:left w:val="nil"/>
              <w:bottom w:val="nil"/>
              <w:right w:val="nil"/>
            </w:tcBorders>
            <w:noWrap/>
            <w:vAlign w:val="center"/>
          </w:tcPr>
          <w:p w14:paraId="3FA501DB">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8" w:type="dxa"/>
            <w:tcBorders>
              <w:top w:val="nil"/>
              <w:left w:val="nil"/>
              <w:bottom w:val="nil"/>
              <w:right w:val="nil"/>
            </w:tcBorders>
            <w:noWrap/>
            <w:vAlign w:val="center"/>
          </w:tcPr>
          <w:p w14:paraId="3844FB70">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7" w:type="dxa"/>
            <w:gridSpan w:val="2"/>
            <w:tcBorders>
              <w:top w:val="nil"/>
              <w:left w:val="nil"/>
              <w:bottom w:val="nil"/>
              <w:right w:val="nil"/>
            </w:tcBorders>
            <w:noWrap/>
            <w:vAlign w:val="center"/>
          </w:tcPr>
          <w:p w14:paraId="496EB91A">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79" w:type="dxa"/>
            <w:tcBorders>
              <w:top w:val="nil"/>
              <w:left w:val="nil"/>
              <w:bottom w:val="nil"/>
              <w:right w:val="nil"/>
            </w:tcBorders>
            <w:noWrap/>
            <w:vAlign w:val="center"/>
          </w:tcPr>
          <w:p w14:paraId="37BFE3E0">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616" w:type="dxa"/>
            <w:tcBorders>
              <w:top w:val="nil"/>
              <w:left w:val="nil"/>
              <w:bottom w:val="nil"/>
              <w:right w:val="nil"/>
            </w:tcBorders>
            <w:noWrap/>
            <w:vAlign w:val="center"/>
          </w:tcPr>
          <w:p w14:paraId="5795E283">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7</w:t>
            </w:r>
          </w:p>
        </w:tc>
        <w:tc>
          <w:tcPr>
            <w:tcW w:w="831" w:type="dxa"/>
            <w:tcBorders>
              <w:top w:val="nil"/>
              <w:left w:val="nil"/>
              <w:bottom w:val="nil"/>
              <w:right w:val="nil"/>
            </w:tcBorders>
            <w:noWrap/>
            <w:vAlign w:val="center"/>
          </w:tcPr>
          <w:p w14:paraId="2C1FA923">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0.5%</w:t>
            </w:r>
          </w:p>
        </w:tc>
      </w:tr>
      <w:tr w14:paraId="3AF91FDE">
        <w:tblPrEx>
          <w:tblCellMar>
            <w:top w:w="0" w:type="dxa"/>
            <w:left w:w="108" w:type="dxa"/>
            <w:bottom w:w="0" w:type="dxa"/>
            <w:right w:w="108" w:type="dxa"/>
          </w:tblCellMar>
        </w:tblPrEx>
        <w:trPr>
          <w:trHeight w:val="259" w:hRule="atLeast"/>
        </w:trPr>
        <w:tc>
          <w:tcPr>
            <w:tcW w:w="1011" w:type="dxa"/>
            <w:tcBorders>
              <w:top w:val="nil"/>
              <w:left w:val="nil"/>
              <w:bottom w:val="nil"/>
              <w:right w:val="nil"/>
            </w:tcBorders>
            <w:noWrap/>
            <w:vAlign w:val="center"/>
          </w:tcPr>
          <w:p w14:paraId="395BDF7C">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2074" w:type="dxa"/>
            <w:tcBorders>
              <w:top w:val="nil"/>
              <w:left w:val="nil"/>
              <w:bottom w:val="nil"/>
              <w:right w:val="nil"/>
            </w:tcBorders>
            <w:noWrap/>
            <w:vAlign w:val="center"/>
          </w:tcPr>
          <w:p w14:paraId="14997C14">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Core-edge flake</w:t>
            </w:r>
          </w:p>
        </w:tc>
        <w:tc>
          <w:tcPr>
            <w:tcW w:w="567" w:type="dxa"/>
            <w:tcBorders>
              <w:top w:val="nil"/>
              <w:left w:val="nil"/>
              <w:bottom w:val="nil"/>
              <w:right w:val="nil"/>
            </w:tcBorders>
            <w:noWrap/>
            <w:vAlign w:val="center"/>
          </w:tcPr>
          <w:p w14:paraId="5F39D18C">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2</w:t>
            </w:r>
          </w:p>
        </w:tc>
        <w:tc>
          <w:tcPr>
            <w:tcW w:w="828" w:type="dxa"/>
            <w:tcBorders>
              <w:top w:val="nil"/>
              <w:left w:val="nil"/>
              <w:bottom w:val="nil"/>
              <w:right w:val="nil"/>
            </w:tcBorders>
            <w:noWrap/>
            <w:vAlign w:val="center"/>
          </w:tcPr>
          <w:p w14:paraId="4828D03C">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419" w:type="dxa"/>
            <w:tcBorders>
              <w:top w:val="nil"/>
              <w:left w:val="nil"/>
              <w:bottom w:val="nil"/>
              <w:right w:val="nil"/>
            </w:tcBorders>
            <w:noWrap/>
            <w:vAlign w:val="center"/>
          </w:tcPr>
          <w:p w14:paraId="60C9689C">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29BF0835">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420" w:type="dxa"/>
            <w:tcBorders>
              <w:top w:val="nil"/>
              <w:left w:val="nil"/>
              <w:bottom w:val="nil"/>
              <w:right w:val="nil"/>
            </w:tcBorders>
            <w:noWrap/>
            <w:vAlign w:val="center"/>
          </w:tcPr>
          <w:p w14:paraId="20AAA36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4D4CAC6B">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0" w:type="dxa"/>
            <w:tcBorders>
              <w:top w:val="nil"/>
              <w:left w:val="nil"/>
              <w:bottom w:val="nil"/>
              <w:right w:val="nil"/>
            </w:tcBorders>
            <w:noWrap/>
            <w:vAlign w:val="center"/>
          </w:tcPr>
          <w:p w14:paraId="117F6F92">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60E800B0">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516" w:type="dxa"/>
            <w:tcBorders>
              <w:top w:val="nil"/>
              <w:left w:val="nil"/>
              <w:bottom w:val="nil"/>
              <w:right w:val="nil"/>
            </w:tcBorders>
            <w:noWrap/>
            <w:vAlign w:val="center"/>
          </w:tcPr>
          <w:p w14:paraId="3F6F592C">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28" w:type="dxa"/>
            <w:tcBorders>
              <w:top w:val="nil"/>
              <w:left w:val="nil"/>
              <w:bottom w:val="nil"/>
              <w:right w:val="nil"/>
            </w:tcBorders>
            <w:noWrap/>
            <w:vAlign w:val="center"/>
          </w:tcPr>
          <w:p w14:paraId="2DBCC2C7">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420" w:type="dxa"/>
            <w:tcBorders>
              <w:top w:val="nil"/>
              <w:left w:val="nil"/>
              <w:bottom w:val="nil"/>
              <w:right w:val="nil"/>
            </w:tcBorders>
            <w:noWrap/>
            <w:vAlign w:val="center"/>
          </w:tcPr>
          <w:p w14:paraId="3D89254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8" w:type="dxa"/>
            <w:tcBorders>
              <w:top w:val="nil"/>
              <w:left w:val="nil"/>
              <w:bottom w:val="nil"/>
              <w:right w:val="nil"/>
            </w:tcBorders>
            <w:noWrap/>
            <w:vAlign w:val="center"/>
          </w:tcPr>
          <w:p w14:paraId="51691972">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7" w:type="dxa"/>
            <w:gridSpan w:val="2"/>
            <w:tcBorders>
              <w:top w:val="nil"/>
              <w:left w:val="nil"/>
              <w:bottom w:val="nil"/>
              <w:right w:val="nil"/>
            </w:tcBorders>
            <w:noWrap/>
            <w:vAlign w:val="center"/>
          </w:tcPr>
          <w:p w14:paraId="48020AC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9" w:type="dxa"/>
            <w:tcBorders>
              <w:top w:val="nil"/>
              <w:left w:val="nil"/>
              <w:bottom w:val="nil"/>
              <w:right w:val="nil"/>
            </w:tcBorders>
            <w:noWrap/>
            <w:vAlign w:val="center"/>
          </w:tcPr>
          <w:p w14:paraId="11641809">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616" w:type="dxa"/>
            <w:tcBorders>
              <w:top w:val="nil"/>
              <w:left w:val="nil"/>
              <w:bottom w:val="nil"/>
              <w:right w:val="nil"/>
            </w:tcBorders>
            <w:noWrap/>
            <w:vAlign w:val="center"/>
          </w:tcPr>
          <w:p w14:paraId="47FADD6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2</w:t>
            </w:r>
          </w:p>
        </w:tc>
        <w:tc>
          <w:tcPr>
            <w:tcW w:w="831" w:type="dxa"/>
            <w:tcBorders>
              <w:top w:val="nil"/>
              <w:left w:val="nil"/>
              <w:bottom w:val="nil"/>
              <w:right w:val="nil"/>
            </w:tcBorders>
            <w:noWrap/>
            <w:vAlign w:val="center"/>
          </w:tcPr>
          <w:p w14:paraId="7E0C5A82">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r>
      <w:tr w14:paraId="11AA7A45">
        <w:tblPrEx>
          <w:tblCellMar>
            <w:top w:w="0" w:type="dxa"/>
            <w:left w:w="108" w:type="dxa"/>
            <w:bottom w:w="0" w:type="dxa"/>
            <w:right w:w="108" w:type="dxa"/>
          </w:tblCellMar>
        </w:tblPrEx>
        <w:trPr>
          <w:trHeight w:val="259" w:hRule="atLeast"/>
        </w:trPr>
        <w:tc>
          <w:tcPr>
            <w:tcW w:w="1011" w:type="dxa"/>
            <w:tcBorders>
              <w:top w:val="nil"/>
              <w:left w:val="nil"/>
              <w:bottom w:val="nil"/>
              <w:right w:val="nil"/>
            </w:tcBorders>
            <w:noWrap/>
            <w:vAlign w:val="center"/>
          </w:tcPr>
          <w:p w14:paraId="02485E32">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2074" w:type="dxa"/>
            <w:tcBorders>
              <w:top w:val="nil"/>
              <w:left w:val="nil"/>
              <w:bottom w:val="nil"/>
              <w:right w:val="nil"/>
            </w:tcBorders>
            <w:noWrap/>
            <w:vAlign w:val="center"/>
          </w:tcPr>
          <w:p w14:paraId="2D524FC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Kombewa flake</w:t>
            </w:r>
          </w:p>
        </w:tc>
        <w:tc>
          <w:tcPr>
            <w:tcW w:w="567" w:type="dxa"/>
            <w:tcBorders>
              <w:top w:val="nil"/>
              <w:left w:val="nil"/>
              <w:bottom w:val="nil"/>
              <w:right w:val="nil"/>
            </w:tcBorders>
            <w:noWrap/>
            <w:vAlign w:val="center"/>
          </w:tcPr>
          <w:p w14:paraId="49CB2DD5">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28" w:type="dxa"/>
            <w:tcBorders>
              <w:top w:val="nil"/>
              <w:left w:val="nil"/>
              <w:bottom w:val="nil"/>
              <w:right w:val="nil"/>
            </w:tcBorders>
            <w:noWrap/>
            <w:vAlign w:val="center"/>
          </w:tcPr>
          <w:p w14:paraId="12AA1920">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419" w:type="dxa"/>
            <w:tcBorders>
              <w:top w:val="nil"/>
              <w:left w:val="nil"/>
              <w:bottom w:val="nil"/>
              <w:right w:val="nil"/>
            </w:tcBorders>
            <w:noWrap/>
            <w:vAlign w:val="center"/>
          </w:tcPr>
          <w:p w14:paraId="2292A4D0">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6EC97E4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420" w:type="dxa"/>
            <w:tcBorders>
              <w:top w:val="nil"/>
              <w:left w:val="nil"/>
              <w:bottom w:val="nil"/>
              <w:right w:val="nil"/>
            </w:tcBorders>
            <w:noWrap/>
            <w:vAlign w:val="center"/>
          </w:tcPr>
          <w:p w14:paraId="42FE44E8">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2FA64D54">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0" w:type="dxa"/>
            <w:tcBorders>
              <w:top w:val="nil"/>
              <w:left w:val="nil"/>
              <w:bottom w:val="nil"/>
              <w:right w:val="nil"/>
            </w:tcBorders>
            <w:noWrap/>
            <w:vAlign w:val="center"/>
          </w:tcPr>
          <w:p w14:paraId="19F14937">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5892713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516" w:type="dxa"/>
            <w:tcBorders>
              <w:top w:val="nil"/>
              <w:left w:val="nil"/>
              <w:bottom w:val="nil"/>
              <w:right w:val="nil"/>
            </w:tcBorders>
            <w:noWrap/>
            <w:vAlign w:val="center"/>
          </w:tcPr>
          <w:p w14:paraId="050E013C">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28" w:type="dxa"/>
            <w:tcBorders>
              <w:top w:val="nil"/>
              <w:left w:val="nil"/>
              <w:bottom w:val="nil"/>
              <w:right w:val="nil"/>
            </w:tcBorders>
            <w:noWrap/>
            <w:vAlign w:val="center"/>
          </w:tcPr>
          <w:p w14:paraId="0551FB65">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420" w:type="dxa"/>
            <w:tcBorders>
              <w:top w:val="nil"/>
              <w:left w:val="nil"/>
              <w:bottom w:val="nil"/>
              <w:right w:val="nil"/>
            </w:tcBorders>
            <w:noWrap/>
            <w:vAlign w:val="center"/>
          </w:tcPr>
          <w:p w14:paraId="352605B1">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8" w:type="dxa"/>
            <w:tcBorders>
              <w:top w:val="nil"/>
              <w:left w:val="nil"/>
              <w:bottom w:val="nil"/>
              <w:right w:val="nil"/>
            </w:tcBorders>
            <w:noWrap/>
            <w:vAlign w:val="center"/>
          </w:tcPr>
          <w:p w14:paraId="0EB53364">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7" w:type="dxa"/>
            <w:gridSpan w:val="2"/>
            <w:tcBorders>
              <w:top w:val="nil"/>
              <w:left w:val="nil"/>
              <w:bottom w:val="nil"/>
              <w:right w:val="nil"/>
            </w:tcBorders>
            <w:noWrap/>
            <w:vAlign w:val="center"/>
          </w:tcPr>
          <w:p w14:paraId="58813FDE">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9" w:type="dxa"/>
            <w:tcBorders>
              <w:top w:val="nil"/>
              <w:left w:val="nil"/>
              <w:bottom w:val="nil"/>
              <w:right w:val="nil"/>
            </w:tcBorders>
            <w:noWrap/>
            <w:vAlign w:val="center"/>
          </w:tcPr>
          <w:p w14:paraId="717C1EDB">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616" w:type="dxa"/>
            <w:tcBorders>
              <w:top w:val="nil"/>
              <w:left w:val="nil"/>
              <w:bottom w:val="nil"/>
              <w:right w:val="nil"/>
            </w:tcBorders>
            <w:noWrap/>
            <w:vAlign w:val="center"/>
          </w:tcPr>
          <w:p w14:paraId="41B8B763">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31" w:type="dxa"/>
            <w:tcBorders>
              <w:top w:val="nil"/>
              <w:left w:val="nil"/>
              <w:bottom w:val="nil"/>
              <w:right w:val="nil"/>
            </w:tcBorders>
            <w:noWrap/>
            <w:vAlign w:val="center"/>
          </w:tcPr>
          <w:p w14:paraId="6660264E">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r>
      <w:tr w14:paraId="76E00363">
        <w:tblPrEx>
          <w:tblCellMar>
            <w:top w:w="0" w:type="dxa"/>
            <w:left w:w="108" w:type="dxa"/>
            <w:bottom w:w="0" w:type="dxa"/>
            <w:right w:w="108" w:type="dxa"/>
          </w:tblCellMar>
        </w:tblPrEx>
        <w:trPr>
          <w:trHeight w:val="259" w:hRule="atLeast"/>
        </w:trPr>
        <w:tc>
          <w:tcPr>
            <w:tcW w:w="1011" w:type="dxa"/>
            <w:tcBorders>
              <w:top w:val="nil"/>
              <w:left w:val="nil"/>
              <w:bottom w:val="nil"/>
              <w:right w:val="nil"/>
            </w:tcBorders>
            <w:noWrap/>
            <w:vAlign w:val="center"/>
          </w:tcPr>
          <w:p w14:paraId="54216D2D">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2074" w:type="dxa"/>
            <w:tcBorders>
              <w:top w:val="nil"/>
              <w:left w:val="nil"/>
              <w:bottom w:val="nil"/>
              <w:right w:val="nil"/>
            </w:tcBorders>
            <w:noWrap/>
            <w:vAlign w:val="center"/>
          </w:tcPr>
          <w:p w14:paraId="2166357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eastAsia" w:eastAsia="等线"/>
                <w:color w:val="000000"/>
                <w:sz w:val="20"/>
                <w:szCs w:val="20"/>
              </w:rPr>
              <w:t>Indeterminate</w:t>
            </w:r>
            <w:r>
              <w:rPr>
                <w:rFonts w:hint="default" w:eastAsia="等线"/>
                <w:color w:val="000000"/>
                <w:sz w:val="20"/>
                <w:szCs w:val="20"/>
              </w:rPr>
              <w:t xml:space="preserve"> flake</w:t>
            </w:r>
          </w:p>
        </w:tc>
        <w:tc>
          <w:tcPr>
            <w:tcW w:w="567" w:type="dxa"/>
            <w:tcBorders>
              <w:top w:val="nil"/>
              <w:left w:val="nil"/>
              <w:bottom w:val="nil"/>
              <w:right w:val="nil"/>
            </w:tcBorders>
            <w:noWrap/>
            <w:vAlign w:val="center"/>
          </w:tcPr>
          <w:p w14:paraId="691DA8BC">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28" w:type="dxa"/>
            <w:tcBorders>
              <w:top w:val="nil"/>
              <w:left w:val="nil"/>
              <w:bottom w:val="nil"/>
              <w:right w:val="nil"/>
            </w:tcBorders>
            <w:noWrap/>
            <w:vAlign w:val="center"/>
          </w:tcPr>
          <w:p w14:paraId="31DF2F55">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419" w:type="dxa"/>
            <w:tcBorders>
              <w:top w:val="nil"/>
              <w:left w:val="nil"/>
              <w:bottom w:val="nil"/>
              <w:right w:val="nil"/>
            </w:tcBorders>
            <w:noWrap/>
            <w:vAlign w:val="center"/>
          </w:tcPr>
          <w:p w14:paraId="5A278D18">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3A5CBAEB">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420" w:type="dxa"/>
            <w:tcBorders>
              <w:top w:val="nil"/>
              <w:left w:val="nil"/>
              <w:bottom w:val="nil"/>
              <w:right w:val="nil"/>
            </w:tcBorders>
            <w:noWrap/>
            <w:vAlign w:val="center"/>
          </w:tcPr>
          <w:p w14:paraId="127BA41D">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2C539EBD">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0" w:type="dxa"/>
            <w:tcBorders>
              <w:top w:val="nil"/>
              <w:left w:val="nil"/>
              <w:bottom w:val="nil"/>
              <w:right w:val="nil"/>
            </w:tcBorders>
            <w:noWrap/>
            <w:vAlign w:val="center"/>
          </w:tcPr>
          <w:p w14:paraId="1EFD86F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80" w:type="dxa"/>
            <w:tcBorders>
              <w:top w:val="nil"/>
              <w:left w:val="nil"/>
              <w:bottom w:val="nil"/>
              <w:right w:val="nil"/>
            </w:tcBorders>
            <w:noWrap/>
            <w:vAlign w:val="center"/>
          </w:tcPr>
          <w:p w14:paraId="7F2F5E1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516" w:type="dxa"/>
            <w:tcBorders>
              <w:top w:val="nil"/>
              <w:left w:val="nil"/>
              <w:bottom w:val="nil"/>
              <w:right w:val="nil"/>
            </w:tcBorders>
            <w:noWrap/>
            <w:vAlign w:val="center"/>
          </w:tcPr>
          <w:p w14:paraId="5739603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28" w:type="dxa"/>
            <w:tcBorders>
              <w:top w:val="nil"/>
              <w:left w:val="nil"/>
              <w:bottom w:val="nil"/>
              <w:right w:val="nil"/>
            </w:tcBorders>
            <w:noWrap/>
            <w:vAlign w:val="center"/>
          </w:tcPr>
          <w:p w14:paraId="4F2CD8F3">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420" w:type="dxa"/>
            <w:tcBorders>
              <w:top w:val="nil"/>
              <w:left w:val="nil"/>
              <w:bottom w:val="nil"/>
              <w:right w:val="nil"/>
            </w:tcBorders>
            <w:noWrap/>
            <w:vAlign w:val="center"/>
          </w:tcPr>
          <w:p w14:paraId="068BBA3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8" w:type="dxa"/>
            <w:tcBorders>
              <w:top w:val="nil"/>
              <w:left w:val="nil"/>
              <w:bottom w:val="nil"/>
              <w:right w:val="nil"/>
            </w:tcBorders>
            <w:noWrap/>
            <w:vAlign w:val="center"/>
          </w:tcPr>
          <w:p w14:paraId="3974BFCE">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7" w:type="dxa"/>
            <w:gridSpan w:val="2"/>
            <w:tcBorders>
              <w:top w:val="nil"/>
              <w:left w:val="nil"/>
              <w:bottom w:val="nil"/>
              <w:right w:val="nil"/>
            </w:tcBorders>
            <w:noWrap/>
            <w:vAlign w:val="center"/>
          </w:tcPr>
          <w:p w14:paraId="4EEF0F29">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9" w:type="dxa"/>
            <w:tcBorders>
              <w:top w:val="nil"/>
              <w:left w:val="nil"/>
              <w:bottom w:val="nil"/>
              <w:right w:val="nil"/>
            </w:tcBorders>
            <w:noWrap/>
            <w:vAlign w:val="center"/>
          </w:tcPr>
          <w:p w14:paraId="4425831E">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616" w:type="dxa"/>
            <w:tcBorders>
              <w:top w:val="nil"/>
              <w:left w:val="nil"/>
              <w:bottom w:val="nil"/>
              <w:right w:val="nil"/>
            </w:tcBorders>
            <w:noWrap/>
            <w:vAlign w:val="center"/>
          </w:tcPr>
          <w:p w14:paraId="6E23ECF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2</w:t>
            </w:r>
          </w:p>
        </w:tc>
        <w:tc>
          <w:tcPr>
            <w:tcW w:w="831" w:type="dxa"/>
            <w:tcBorders>
              <w:top w:val="nil"/>
              <w:left w:val="nil"/>
              <w:bottom w:val="nil"/>
              <w:right w:val="nil"/>
            </w:tcBorders>
            <w:noWrap/>
            <w:vAlign w:val="center"/>
          </w:tcPr>
          <w:p w14:paraId="73469C1D">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r>
      <w:tr w14:paraId="459F6B0A">
        <w:tblPrEx>
          <w:tblCellMar>
            <w:top w:w="0" w:type="dxa"/>
            <w:left w:w="108" w:type="dxa"/>
            <w:bottom w:w="0" w:type="dxa"/>
            <w:right w:w="108" w:type="dxa"/>
          </w:tblCellMar>
        </w:tblPrEx>
        <w:trPr>
          <w:trHeight w:val="259" w:hRule="atLeast"/>
        </w:trPr>
        <w:tc>
          <w:tcPr>
            <w:tcW w:w="1011" w:type="dxa"/>
            <w:tcBorders>
              <w:top w:val="nil"/>
              <w:left w:val="nil"/>
              <w:bottom w:val="nil"/>
              <w:right w:val="nil"/>
            </w:tcBorders>
            <w:noWrap/>
            <w:vAlign w:val="center"/>
          </w:tcPr>
          <w:p w14:paraId="0AEEDABD">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2074" w:type="dxa"/>
            <w:tcBorders>
              <w:top w:val="nil"/>
              <w:left w:val="nil"/>
              <w:bottom w:val="nil"/>
              <w:right w:val="nil"/>
            </w:tcBorders>
            <w:noWrap/>
            <w:vAlign w:val="center"/>
          </w:tcPr>
          <w:p w14:paraId="084A3C30">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Bipolar-on-anvil flake</w:t>
            </w:r>
          </w:p>
        </w:tc>
        <w:tc>
          <w:tcPr>
            <w:tcW w:w="567" w:type="dxa"/>
            <w:tcBorders>
              <w:top w:val="nil"/>
              <w:left w:val="nil"/>
              <w:bottom w:val="nil"/>
              <w:right w:val="nil"/>
            </w:tcBorders>
            <w:noWrap/>
            <w:vAlign w:val="center"/>
          </w:tcPr>
          <w:p w14:paraId="22F3A168">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4</w:t>
            </w:r>
          </w:p>
        </w:tc>
        <w:tc>
          <w:tcPr>
            <w:tcW w:w="828" w:type="dxa"/>
            <w:tcBorders>
              <w:top w:val="nil"/>
              <w:left w:val="nil"/>
              <w:bottom w:val="nil"/>
              <w:right w:val="nil"/>
            </w:tcBorders>
            <w:noWrap/>
            <w:vAlign w:val="center"/>
          </w:tcPr>
          <w:p w14:paraId="7783CD72">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0.3%</w:t>
            </w:r>
          </w:p>
        </w:tc>
        <w:tc>
          <w:tcPr>
            <w:tcW w:w="419" w:type="dxa"/>
            <w:tcBorders>
              <w:top w:val="nil"/>
              <w:left w:val="nil"/>
              <w:bottom w:val="nil"/>
              <w:right w:val="nil"/>
            </w:tcBorders>
            <w:noWrap/>
            <w:vAlign w:val="center"/>
          </w:tcPr>
          <w:p w14:paraId="166D973C">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2</w:t>
            </w:r>
          </w:p>
        </w:tc>
        <w:tc>
          <w:tcPr>
            <w:tcW w:w="880" w:type="dxa"/>
            <w:tcBorders>
              <w:top w:val="nil"/>
              <w:left w:val="nil"/>
              <w:bottom w:val="nil"/>
              <w:right w:val="nil"/>
            </w:tcBorders>
            <w:noWrap/>
            <w:vAlign w:val="center"/>
          </w:tcPr>
          <w:p w14:paraId="054FA65A">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420" w:type="dxa"/>
            <w:tcBorders>
              <w:top w:val="nil"/>
              <w:left w:val="nil"/>
              <w:bottom w:val="nil"/>
              <w:right w:val="nil"/>
            </w:tcBorders>
            <w:noWrap/>
            <w:vAlign w:val="center"/>
          </w:tcPr>
          <w:p w14:paraId="5BAD7E18">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29CB4FCA">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0" w:type="dxa"/>
            <w:tcBorders>
              <w:top w:val="nil"/>
              <w:left w:val="nil"/>
              <w:bottom w:val="nil"/>
              <w:right w:val="nil"/>
            </w:tcBorders>
            <w:noWrap/>
            <w:vAlign w:val="center"/>
          </w:tcPr>
          <w:p w14:paraId="77C0AF87">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361AC242">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516" w:type="dxa"/>
            <w:tcBorders>
              <w:top w:val="nil"/>
              <w:left w:val="nil"/>
              <w:bottom w:val="nil"/>
              <w:right w:val="nil"/>
            </w:tcBorders>
            <w:noWrap/>
            <w:vAlign w:val="center"/>
          </w:tcPr>
          <w:p w14:paraId="3B9B2D54">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2</w:t>
            </w:r>
          </w:p>
        </w:tc>
        <w:tc>
          <w:tcPr>
            <w:tcW w:w="828" w:type="dxa"/>
            <w:tcBorders>
              <w:top w:val="nil"/>
              <w:left w:val="nil"/>
              <w:bottom w:val="nil"/>
              <w:right w:val="nil"/>
            </w:tcBorders>
            <w:noWrap/>
            <w:vAlign w:val="center"/>
          </w:tcPr>
          <w:p w14:paraId="4B26B0B4">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420" w:type="dxa"/>
            <w:tcBorders>
              <w:top w:val="nil"/>
              <w:left w:val="nil"/>
              <w:bottom w:val="nil"/>
              <w:right w:val="nil"/>
            </w:tcBorders>
            <w:noWrap/>
            <w:vAlign w:val="center"/>
          </w:tcPr>
          <w:p w14:paraId="2655C448">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8" w:type="dxa"/>
            <w:tcBorders>
              <w:top w:val="nil"/>
              <w:left w:val="nil"/>
              <w:bottom w:val="nil"/>
              <w:right w:val="nil"/>
            </w:tcBorders>
            <w:noWrap/>
            <w:vAlign w:val="center"/>
          </w:tcPr>
          <w:p w14:paraId="4357BE4C">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7" w:type="dxa"/>
            <w:gridSpan w:val="2"/>
            <w:tcBorders>
              <w:top w:val="nil"/>
              <w:left w:val="nil"/>
              <w:bottom w:val="nil"/>
              <w:right w:val="nil"/>
            </w:tcBorders>
            <w:noWrap/>
            <w:vAlign w:val="center"/>
          </w:tcPr>
          <w:p w14:paraId="182C2FAC">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9" w:type="dxa"/>
            <w:tcBorders>
              <w:top w:val="nil"/>
              <w:left w:val="nil"/>
              <w:bottom w:val="nil"/>
              <w:right w:val="nil"/>
            </w:tcBorders>
            <w:noWrap/>
            <w:vAlign w:val="center"/>
          </w:tcPr>
          <w:p w14:paraId="722D8697">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616" w:type="dxa"/>
            <w:tcBorders>
              <w:top w:val="nil"/>
              <w:left w:val="nil"/>
              <w:bottom w:val="nil"/>
              <w:right w:val="nil"/>
            </w:tcBorders>
            <w:noWrap/>
            <w:vAlign w:val="center"/>
          </w:tcPr>
          <w:p w14:paraId="57913608">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8</w:t>
            </w:r>
          </w:p>
        </w:tc>
        <w:tc>
          <w:tcPr>
            <w:tcW w:w="831" w:type="dxa"/>
            <w:tcBorders>
              <w:top w:val="nil"/>
              <w:left w:val="nil"/>
              <w:bottom w:val="nil"/>
              <w:right w:val="nil"/>
            </w:tcBorders>
            <w:noWrap/>
            <w:vAlign w:val="center"/>
          </w:tcPr>
          <w:p w14:paraId="78D2AF63">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0.6%</w:t>
            </w:r>
          </w:p>
        </w:tc>
      </w:tr>
      <w:tr w14:paraId="5C063A9B">
        <w:tblPrEx>
          <w:tblCellMar>
            <w:top w:w="0" w:type="dxa"/>
            <w:left w:w="108" w:type="dxa"/>
            <w:bottom w:w="0" w:type="dxa"/>
            <w:right w:w="108" w:type="dxa"/>
          </w:tblCellMar>
        </w:tblPrEx>
        <w:trPr>
          <w:trHeight w:val="259" w:hRule="atLeast"/>
        </w:trPr>
        <w:tc>
          <w:tcPr>
            <w:tcW w:w="1011" w:type="dxa"/>
            <w:tcBorders>
              <w:top w:val="nil"/>
              <w:left w:val="nil"/>
              <w:bottom w:val="nil"/>
              <w:right w:val="nil"/>
            </w:tcBorders>
            <w:noWrap/>
            <w:vAlign w:val="center"/>
          </w:tcPr>
          <w:p w14:paraId="0FDA4510">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2074" w:type="dxa"/>
            <w:tcBorders>
              <w:top w:val="nil"/>
              <w:left w:val="nil"/>
              <w:bottom w:val="nil"/>
              <w:right w:val="nil"/>
            </w:tcBorders>
            <w:noWrap/>
            <w:vAlign w:val="center"/>
          </w:tcPr>
          <w:p w14:paraId="439835E7">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Fragmental flake</w:t>
            </w:r>
          </w:p>
        </w:tc>
        <w:tc>
          <w:tcPr>
            <w:tcW w:w="567" w:type="dxa"/>
            <w:tcBorders>
              <w:top w:val="nil"/>
              <w:left w:val="nil"/>
              <w:bottom w:val="nil"/>
              <w:right w:val="nil"/>
            </w:tcBorders>
            <w:noWrap/>
            <w:vAlign w:val="center"/>
          </w:tcPr>
          <w:p w14:paraId="4158B682">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40</w:t>
            </w:r>
          </w:p>
        </w:tc>
        <w:tc>
          <w:tcPr>
            <w:tcW w:w="828" w:type="dxa"/>
            <w:tcBorders>
              <w:top w:val="nil"/>
              <w:left w:val="nil"/>
              <w:bottom w:val="nil"/>
              <w:right w:val="nil"/>
            </w:tcBorders>
            <w:noWrap/>
            <w:vAlign w:val="center"/>
          </w:tcPr>
          <w:p w14:paraId="035E8008">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2.9%</w:t>
            </w:r>
          </w:p>
        </w:tc>
        <w:tc>
          <w:tcPr>
            <w:tcW w:w="419" w:type="dxa"/>
            <w:tcBorders>
              <w:top w:val="nil"/>
              <w:left w:val="nil"/>
              <w:bottom w:val="nil"/>
              <w:right w:val="nil"/>
            </w:tcBorders>
            <w:noWrap/>
            <w:vAlign w:val="center"/>
          </w:tcPr>
          <w:p w14:paraId="5B626E79">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7</w:t>
            </w:r>
          </w:p>
        </w:tc>
        <w:tc>
          <w:tcPr>
            <w:tcW w:w="880" w:type="dxa"/>
            <w:tcBorders>
              <w:top w:val="nil"/>
              <w:left w:val="nil"/>
              <w:bottom w:val="nil"/>
              <w:right w:val="nil"/>
            </w:tcBorders>
            <w:noWrap/>
            <w:vAlign w:val="center"/>
          </w:tcPr>
          <w:p w14:paraId="6A35014E">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0.5%</w:t>
            </w:r>
          </w:p>
        </w:tc>
        <w:tc>
          <w:tcPr>
            <w:tcW w:w="420" w:type="dxa"/>
            <w:tcBorders>
              <w:top w:val="nil"/>
              <w:left w:val="nil"/>
              <w:bottom w:val="nil"/>
              <w:right w:val="nil"/>
            </w:tcBorders>
            <w:noWrap/>
            <w:vAlign w:val="center"/>
          </w:tcPr>
          <w:p w14:paraId="0E7FF604">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5E0DA169">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0" w:type="dxa"/>
            <w:tcBorders>
              <w:top w:val="nil"/>
              <w:left w:val="nil"/>
              <w:bottom w:val="nil"/>
              <w:right w:val="nil"/>
            </w:tcBorders>
            <w:noWrap/>
            <w:vAlign w:val="center"/>
          </w:tcPr>
          <w:p w14:paraId="4BF62E8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80" w:type="dxa"/>
            <w:tcBorders>
              <w:top w:val="nil"/>
              <w:left w:val="nil"/>
              <w:bottom w:val="nil"/>
              <w:right w:val="nil"/>
            </w:tcBorders>
            <w:noWrap/>
            <w:vAlign w:val="center"/>
          </w:tcPr>
          <w:p w14:paraId="3E64EFA1">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516" w:type="dxa"/>
            <w:tcBorders>
              <w:top w:val="nil"/>
              <w:left w:val="nil"/>
              <w:bottom w:val="nil"/>
              <w:right w:val="nil"/>
            </w:tcBorders>
            <w:noWrap/>
            <w:vAlign w:val="center"/>
          </w:tcPr>
          <w:p w14:paraId="4149B87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3</w:t>
            </w:r>
          </w:p>
        </w:tc>
        <w:tc>
          <w:tcPr>
            <w:tcW w:w="828" w:type="dxa"/>
            <w:tcBorders>
              <w:top w:val="nil"/>
              <w:left w:val="nil"/>
              <w:bottom w:val="nil"/>
              <w:right w:val="nil"/>
            </w:tcBorders>
            <w:noWrap/>
            <w:vAlign w:val="center"/>
          </w:tcPr>
          <w:p w14:paraId="4437C524">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0.2%</w:t>
            </w:r>
          </w:p>
        </w:tc>
        <w:tc>
          <w:tcPr>
            <w:tcW w:w="420" w:type="dxa"/>
            <w:tcBorders>
              <w:top w:val="nil"/>
              <w:left w:val="nil"/>
              <w:bottom w:val="nil"/>
              <w:right w:val="nil"/>
            </w:tcBorders>
            <w:noWrap/>
            <w:vAlign w:val="center"/>
          </w:tcPr>
          <w:p w14:paraId="2A92CA39">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8" w:type="dxa"/>
            <w:tcBorders>
              <w:top w:val="nil"/>
              <w:left w:val="nil"/>
              <w:bottom w:val="nil"/>
              <w:right w:val="nil"/>
            </w:tcBorders>
            <w:noWrap/>
            <w:vAlign w:val="center"/>
          </w:tcPr>
          <w:p w14:paraId="5C64C5D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7" w:type="dxa"/>
            <w:gridSpan w:val="2"/>
            <w:tcBorders>
              <w:top w:val="nil"/>
              <w:left w:val="nil"/>
              <w:bottom w:val="nil"/>
              <w:right w:val="nil"/>
            </w:tcBorders>
            <w:noWrap/>
            <w:vAlign w:val="center"/>
          </w:tcPr>
          <w:p w14:paraId="2107DBB3">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3</w:t>
            </w:r>
          </w:p>
        </w:tc>
        <w:tc>
          <w:tcPr>
            <w:tcW w:w="879" w:type="dxa"/>
            <w:tcBorders>
              <w:top w:val="nil"/>
              <w:left w:val="nil"/>
              <w:bottom w:val="nil"/>
              <w:right w:val="nil"/>
            </w:tcBorders>
            <w:noWrap/>
            <w:vAlign w:val="center"/>
          </w:tcPr>
          <w:p w14:paraId="458413C8">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0.2%</w:t>
            </w:r>
          </w:p>
        </w:tc>
        <w:tc>
          <w:tcPr>
            <w:tcW w:w="616" w:type="dxa"/>
            <w:tcBorders>
              <w:top w:val="nil"/>
              <w:left w:val="nil"/>
              <w:bottom w:val="nil"/>
              <w:right w:val="nil"/>
            </w:tcBorders>
            <w:noWrap/>
            <w:vAlign w:val="center"/>
          </w:tcPr>
          <w:p w14:paraId="76F7AA82">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54</w:t>
            </w:r>
          </w:p>
        </w:tc>
        <w:tc>
          <w:tcPr>
            <w:tcW w:w="831" w:type="dxa"/>
            <w:tcBorders>
              <w:top w:val="nil"/>
              <w:left w:val="nil"/>
              <w:bottom w:val="nil"/>
              <w:right w:val="nil"/>
            </w:tcBorders>
            <w:noWrap/>
            <w:vAlign w:val="center"/>
          </w:tcPr>
          <w:p w14:paraId="165528AD">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4.0%</w:t>
            </w:r>
          </w:p>
        </w:tc>
      </w:tr>
      <w:tr w14:paraId="0623A1E6">
        <w:tblPrEx>
          <w:tblCellMar>
            <w:top w:w="0" w:type="dxa"/>
            <w:left w:w="108" w:type="dxa"/>
            <w:bottom w:w="0" w:type="dxa"/>
            <w:right w:w="108" w:type="dxa"/>
          </w:tblCellMar>
        </w:tblPrEx>
        <w:trPr>
          <w:trHeight w:val="259" w:hRule="atLeast"/>
        </w:trPr>
        <w:tc>
          <w:tcPr>
            <w:tcW w:w="1011" w:type="dxa"/>
            <w:tcBorders>
              <w:top w:val="nil"/>
              <w:left w:val="nil"/>
              <w:bottom w:val="single" w:color="auto" w:sz="4" w:space="0"/>
              <w:right w:val="nil"/>
            </w:tcBorders>
            <w:noWrap/>
            <w:vAlign w:val="center"/>
          </w:tcPr>
          <w:p w14:paraId="76032A44">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2074" w:type="dxa"/>
            <w:tcBorders>
              <w:top w:val="nil"/>
              <w:left w:val="nil"/>
              <w:bottom w:val="single" w:color="auto" w:sz="4" w:space="0"/>
              <w:right w:val="nil"/>
            </w:tcBorders>
            <w:noWrap/>
            <w:vAlign w:val="center"/>
          </w:tcPr>
          <w:p w14:paraId="72796A5C">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Siret flake</w:t>
            </w:r>
          </w:p>
        </w:tc>
        <w:tc>
          <w:tcPr>
            <w:tcW w:w="567" w:type="dxa"/>
            <w:tcBorders>
              <w:top w:val="nil"/>
              <w:left w:val="nil"/>
              <w:bottom w:val="single" w:color="auto" w:sz="4" w:space="0"/>
              <w:right w:val="nil"/>
            </w:tcBorders>
            <w:noWrap/>
            <w:vAlign w:val="center"/>
          </w:tcPr>
          <w:p w14:paraId="36F24EC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21</w:t>
            </w:r>
          </w:p>
        </w:tc>
        <w:tc>
          <w:tcPr>
            <w:tcW w:w="828" w:type="dxa"/>
            <w:tcBorders>
              <w:top w:val="nil"/>
              <w:left w:val="nil"/>
              <w:bottom w:val="single" w:color="auto" w:sz="4" w:space="0"/>
              <w:right w:val="nil"/>
            </w:tcBorders>
            <w:noWrap/>
            <w:vAlign w:val="center"/>
          </w:tcPr>
          <w:p w14:paraId="08C4C572">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1.5%</w:t>
            </w:r>
          </w:p>
        </w:tc>
        <w:tc>
          <w:tcPr>
            <w:tcW w:w="419" w:type="dxa"/>
            <w:tcBorders>
              <w:top w:val="nil"/>
              <w:left w:val="nil"/>
              <w:bottom w:val="single" w:color="auto" w:sz="4" w:space="0"/>
              <w:right w:val="nil"/>
            </w:tcBorders>
            <w:noWrap/>
            <w:vAlign w:val="center"/>
          </w:tcPr>
          <w:p w14:paraId="7FD74CC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3</w:t>
            </w:r>
          </w:p>
        </w:tc>
        <w:tc>
          <w:tcPr>
            <w:tcW w:w="880" w:type="dxa"/>
            <w:tcBorders>
              <w:top w:val="nil"/>
              <w:left w:val="nil"/>
              <w:bottom w:val="single" w:color="auto" w:sz="4" w:space="0"/>
              <w:right w:val="nil"/>
            </w:tcBorders>
            <w:noWrap/>
            <w:vAlign w:val="center"/>
          </w:tcPr>
          <w:p w14:paraId="01A94823">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0.2%</w:t>
            </w:r>
          </w:p>
        </w:tc>
        <w:tc>
          <w:tcPr>
            <w:tcW w:w="420" w:type="dxa"/>
            <w:tcBorders>
              <w:top w:val="nil"/>
              <w:left w:val="nil"/>
              <w:bottom w:val="single" w:color="auto" w:sz="4" w:space="0"/>
              <w:right w:val="nil"/>
            </w:tcBorders>
            <w:noWrap/>
            <w:vAlign w:val="center"/>
          </w:tcPr>
          <w:p w14:paraId="56411219">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single" w:color="auto" w:sz="4" w:space="0"/>
              <w:right w:val="nil"/>
            </w:tcBorders>
            <w:noWrap/>
            <w:vAlign w:val="center"/>
          </w:tcPr>
          <w:p w14:paraId="19602972">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0" w:type="dxa"/>
            <w:tcBorders>
              <w:top w:val="nil"/>
              <w:left w:val="nil"/>
              <w:bottom w:val="single" w:color="auto" w:sz="4" w:space="0"/>
              <w:right w:val="nil"/>
            </w:tcBorders>
            <w:noWrap/>
            <w:vAlign w:val="center"/>
          </w:tcPr>
          <w:p w14:paraId="1922A99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single" w:color="auto" w:sz="4" w:space="0"/>
              <w:right w:val="nil"/>
            </w:tcBorders>
            <w:noWrap/>
            <w:vAlign w:val="center"/>
          </w:tcPr>
          <w:p w14:paraId="61D1FCD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516" w:type="dxa"/>
            <w:tcBorders>
              <w:top w:val="nil"/>
              <w:left w:val="nil"/>
              <w:bottom w:val="single" w:color="auto" w:sz="4" w:space="0"/>
              <w:right w:val="nil"/>
            </w:tcBorders>
            <w:noWrap/>
            <w:vAlign w:val="center"/>
          </w:tcPr>
          <w:p w14:paraId="4FDED51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6</w:t>
            </w:r>
          </w:p>
        </w:tc>
        <w:tc>
          <w:tcPr>
            <w:tcW w:w="828" w:type="dxa"/>
            <w:tcBorders>
              <w:top w:val="nil"/>
              <w:left w:val="nil"/>
              <w:bottom w:val="single" w:color="auto" w:sz="4" w:space="0"/>
              <w:right w:val="nil"/>
            </w:tcBorders>
            <w:noWrap/>
            <w:vAlign w:val="center"/>
          </w:tcPr>
          <w:p w14:paraId="32A2E57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0.4%</w:t>
            </w:r>
          </w:p>
        </w:tc>
        <w:tc>
          <w:tcPr>
            <w:tcW w:w="420" w:type="dxa"/>
            <w:tcBorders>
              <w:top w:val="nil"/>
              <w:left w:val="nil"/>
              <w:bottom w:val="single" w:color="auto" w:sz="4" w:space="0"/>
              <w:right w:val="nil"/>
            </w:tcBorders>
            <w:noWrap/>
            <w:vAlign w:val="center"/>
          </w:tcPr>
          <w:p w14:paraId="2E4B0DC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8" w:type="dxa"/>
            <w:tcBorders>
              <w:top w:val="nil"/>
              <w:left w:val="nil"/>
              <w:bottom w:val="single" w:color="auto" w:sz="4" w:space="0"/>
              <w:right w:val="nil"/>
            </w:tcBorders>
            <w:noWrap/>
            <w:vAlign w:val="center"/>
          </w:tcPr>
          <w:p w14:paraId="105D7B6B">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7" w:type="dxa"/>
            <w:gridSpan w:val="2"/>
            <w:tcBorders>
              <w:top w:val="nil"/>
              <w:left w:val="nil"/>
              <w:bottom w:val="single" w:color="auto" w:sz="4" w:space="0"/>
              <w:right w:val="nil"/>
            </w:tcBorders>
            <w:noWrap/>
            <w:vAlign w:val="center"/>
          </w:tcPr>
          <w:p w14:paraId="6D547AB4">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2</w:t>
            </w:r>
          </w:p>
        </w:tc>
        <w:tc>
          <w:tcPr>
            <w:tcW w:w="879" w:type="dxa"/>
            <w:tcBorders>
              <w:top w:val="nil"/>
              <w:left w:val="nil"/>
              <w:bottom w:val="single" w:color="auto" w:sz="4" w:space="0"/>
              <w:right w:val="nil"/>
            </w:tcBorders>
            <w:noWrap/>
            <w:vAlign w:val="center"/>
          </w:tcPr>
          <w:p w14:paraId="5CF44C7E">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616" w:type="dxa"/>
            <w:tcBorders>
              <w:top w:val="nil"/>
              <w:left w:val="nil"/>
              <w:bottom w:val="single" w:color="auto" w:sz="4" w:space="0"/>
              <w:right w:val="nil"/>
            </w:tcBorders>
            <w:noWrap/>
            <w:vAlign w:val="center"/>
          </w:tcPr>
          <w:p w14:paraId="2327566A">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32</w:t>
            </w:r>
          </w:p>
        </w:tc>
        <w:tc>
          <w:tcPr>
            <w:tcW w:w="831" w:type="dxa"/>
            <w:tcBorders>
              <w:top w:val="nil"/>
              <w:left w:val="nil"/>
              <w:bottom w:val="single" w:color="auto" w:sz="4" w:space="0"/>
              <w:right w:val="nil"/>
            </w:tcBorders>
            <w:noWrap/>
            <w:vAlign w:val="center"/>
          </w:tcPr>
          <w:p w14:paraId="372AF5C7">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2.3%</w:t>
            </w:r>
          </w:p>
        </w:tc>
      </w:tr>
      <w:tr w14:paraId="4ADFADFC">
        <w:tblPrEx>
          <w:tblCellMar>
            <w:top w:w="0" w:type="dxa"/>
            <w:left w:w="108" w:type="dxa"/>
            <w:bottom w:w="0" w:type="dxa"/>
            <w:right w:w="108" w:type="dxa"/>
          </w:tblCellMar>
        </w:tblPrEx>
        <w:trPr>
          <w:trHeight w:val="259" w:hRule="atLeast"/>
        </w:trPr>
        <w:tc>
          <w:tcPr>
            <w:tcW w:w="1011" w:type="dxa"/>
            <w:tcBorders>
              <w:top w:val="single" w:color="auto" w:sz="4" w:space="0"/>
              <w:left w:val="nil"/>
              <w:bottom w:val="nil"/>
              <w:right w:val="nil"/>
            </w:tcBorders>
            <w:noWrap/>
            <w:vAlign w:val="center"/>
          </w:tcPr>
          <w:p w14:paraId="2006966D">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Tool</w:t>
            </w:r>
            <w:r>
              <w:rPr>
                <w:rFonts w:hint="eastAsia" w:eastAsia="等线"/>
                <w:color w:val="000000"/>
                <w:sz w:val="20"/>
                <w:szCs w:val="20"/>
              </w:rPr>
              <w:t>s</w:t>
            </w:r>
          </w:p>
        </w:tc>
        <w:tc>
          <w:tcPr>
            <w:tcW w:w="2074" w:type="dxa"/>
            <w:tcBorders>
              <w:top w:val="single" w:color="auto" w:sz="4" w:space="0"/>
              <w:left w:val="nil"/>
              <w:bottom w:val="nil"/>
              <w:right w:val="nil"/>
            </w:tcBorders>
            <w:noWrap/>
            <w:vAlign w:val="center"/>
          </w:tcPr>
          <w:p w14:paraId="37C58AF8">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Scraper</w:t>
            </w:r>
          </w:p>
        </w:tc>
        <w:tc>
          <w:tcPr>
            <w:tcW w:w="567" w:type="dxa"/>
            <w:tcBorders>
              <w:top w:val="single" w:color="auto" w:sz="4" w:space="0"/>
              <w:left w:val="nil"/>
              <w:bottom w:val="nil"/>
              <w:right w:val="nil"/>
            </w:tcBorders>
            <w:noWrap/>
            <w:vAlign w:val="center"/>
          </w:tcPr>
          <w:p w14:paraId="30712EDA">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9</w:t>
            </w:r>
          </w:p>
        </w:tc>
        <w:tc>
          <w:tcPr>
            <w:tcW w:w="828" w:type="dxa"/>
            <w:tcBorders>
              <w:top w:val="single" w:color="auto" w:sz="4" w:space="0"/>
              <w:left w:val="nil"/>
              <w:bottom w:val="nil"/>
              <w:right w:val="nil"/>
            </w:tcBorders>
            <w:noWrap/>
            <w:vAlign w:val="center"/>
          </w:tcPr>
          <w:p w14:paraId="011F241C">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0.7%</w:t>
            </w:r>
          </w:p>
        </w:tc>
        <w:tc>
          <w:tcPr>
            <w:tcW w:w="419" w:type="dxa"/>
            <w:tcBorders>
              <w:top w:val="single" w:color="auto" w:sz="4" w:space="0"/>
              <w:left w:val="nil"/>
              <w:bottom w:val="nil"/>
              <w:right w:val="nil"/>
            </w:tcBorders>
            <w:noWrap/>
            <w:vAlign w:val="center"/>
          </w:tcPr>
          <w:p w14:paraId="22B90184">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2</w:t>
            </w:r>
          </w:p>
        </w:tc>
        <w:tc>
          <w:tcPr>
            <w:tcW w:w="880" w:type="dxa"/>
            <w:tcBorders>
              <w:top w:val="single" w:color="auto" w:sz="4" w:space="0"/>
              <w:left w:val="nil"/>
              <w:bottom w:val="nil"/>
              <w:right w:val="nil"/>
            </w:tcBorders>
            <w:noWrap/>
            <w:vAlign w:val="center"/>
          </w:tcPr>
          <w:p w14:paraId="2E7BF96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420" w:type="dxa"/>
            <w:tcBorders>
              <w:top w:val="single" w:color="auto" w:sz="4" w:space="0"/>
              <w:left w:val="nil"/>
              <w:bottom w:val="nil"/>
              <w:right w:val="nil"/>
            </w:tcBorders>
            <w:noWrap/>
            <w:vAlign w:val="center"/>
          </w:tcPr>
          <w:p w14:paraId="651B983B">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single" w:color="auto" w:sz="4" w:space="0"/>
              <w:left w:val="nil"/>
              <w:bottom w:val="nil"/>
              <w:right w:val="nil"/>
            </w:tcBorders>
            <w:noWrap/>
            <w:vAlign w:val="center"/>
          </w:tcPr>
          <w:p w14:paraId="6EABED47">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0" w:type="dxa"/>
            <w:tcBorders>
              <w:top w:val="single" w:color="auto" w:sz="4" w:space="0"/>
              <w:left w:val="nil"/>
              <w:bottom w:val="nil"/>
              <w:right w:val="nil"/>
            </w:tcBorders>
            <w:noWrap/>
            <w:vAlign w:val="center"/>
          </w:tcPr>
          <w:p w14:paraId="54BABD38">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single" w:color="auto" w:sz="4" w:space="0"/>
              <w:left w:val="nil"/>
              <w:bottom w:val="nil"/>
              <w:right w:val="nil"/>
            </w:tcBorders>
            <w:noWrap/>
            <w:vAlign w:val="center"/>
          </w:tcPr>
          <w:p w14:paraId="1AF9F413">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516" w:type="dxa"/>
            <w:tcBorders>
              <w:top w:val="single" w:color="auto" w:sz="4" w:space="0"/>
              <w:left w:val="nil"/>
              <w:bottom w:val="nil"/>
              <w:right w:val="nil"/>
            </w:tcBorders>
            <w:noWrap/>
            <w:vAlign w:val="center"/>
          </w:tcPr>
          <w:p w14:paraId="02153182">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28" w:type="dxa"/>
            <w:tcBorders>
              <w:top w:val="single" w:color="auto" w:sz="4" w:space="0"/>
              <w:left w:val="nil"/>
              <w:bottom w:val="nil"/>
              <w:right w:val="nil"/>
            </w:tcBorders>
            <w:noWrap/>
            <w:vAlign w:val="center"/>
          </w:tcPr>
          <w:p w14:paraId="0218E8F9">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420" w:type="dxa"/>
            <w:tcBorders>
              <w:top w:val="single" w:color="auto" w:sz="4" w:space="0"/>
              <w:left w:val="nil"/>
              <w:bottom w:val="nil"/>
              <w:right w:val="nil"/>
            </w:tcBorders>
            <w:noWrap/>
            <w:vAlign w:val="center"/>
          </w:tcPr>
          <w:p w14:paraId="10AE5A6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8" w:type="dxa"/>
            <w:tcBorders>
              <w:top w:val="single" w:color="auto" w:sz="4" w:space="0"/>
              <w:left w:val="nil"/>
              <w:bottom w:val="nil"/>
              <w:right w:val="nil"/>
            </w:tcBorders>
            <w:noWrap/>
            <w:vAlign w:val="center"/>
          </w:tcPr>
          <w:p w14:paraId="0BCEBF8A">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7" w:type="dxa"/>
            <w:gridSpan w:val="2"/>
            <w:tcBorders>
              <w:top w:val="single" w:color="auto" w:sz="4" w:space="0"/>
              <w:left w:val="nil"/>
              <w:bottom w:val="nil"/>
              <w:right w:val="nil"/>
            </w:tcBorders>
            <w:noWrap/>
            <w:vAlign w:val="center"/>
          </w:tcPr>
          <w:p w14:paraId="1596BDBD">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9" w:type="dxa"/>
            <w:tcBorders>
              <w:top w:val="single" w:color="auto" w:sz="4" w:space="0"/>
              <w:left w:val="nil"/>
              <w:bottom w:val="nil"/>
              <w:right w:val="nil"/>
            </w:tcBorders>
            <w:noWrap/>
            <w:vAlign w:val="center"/>
          </w:tcPr>
          <w:p w14:paraId="52F9AA35">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616" w:type="dxa"/>
            <w:tcBorders>
              <w:top w:val="single" w:color="auto" w:sz="4" w:space="0"/>
              <w:left w:val="nil"/>
              <w:bottom w:val="nil"/>
              <w:right w:val="nil"/>
            </w:tcBorders>
            <w:noWrap/>
            <w:vAlign w:val="center"/>
          </w:tcPr>
          <w:p w14:paraId="4F03A3E4">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12</w:t>
            </w:r>
          </w:p>
        </w:tc>
        <w:tc>
          <w:tcPr>
            <w:tcW w:w="831" w:type="dxa"/>
            <w:tcBorders>
              <w:top w:val="single" w:color="auto" w:sz="4" w:space="0"/>
              <w:left w:val="nil"/>
              <w:bottom w:val="nil"/>
              <w:right w:val="nil"/>
            </w:tcBorders>
            <w:noWrap/>
            <w:vAlign w:val="center"/>
          </w:tcPr>
          <w:p w14:paraId="59B3340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0.9%</w:t>
            </w:r>
          </w:p>
        </w:tc>
      </w:tr>
      <w:tr w14:paraId="33CF1681">
        <w:tblPrEx>
          <w:tblCellMar>
            <w:top w:w="0" w:type="dxa"/>
            <w:left w:w="108" w:type="dxa"/>
            <w:bottom w:w="0" w:type="dxa"/>
            <w:right w:w="108" w:type="dxa"/>
          </w:tblCellMar>
        </w:tblPrEx>
        <w:trPr>
          <w:trHeight w:val="259" w:hRule="atLeast"/>
        </w:trPr>
        <w:tc>
          <w:tcPr>
            <w:tcW w:w="1011" w:type="dxa"/>
            <w:tcBorders>
              <w:top w:val="nil"/>
              <w:left w:val="nil"/>
              <w:bottom w:val="nil"/>
              <w:right w:val="nil"/>
            </w:tcBorders>
            <w:noWrap/>
            <w:vAlign w:val="center"/>
          </w:tcPr>
          <w:p w14:paraId="0222744B">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(n=34)</w:t>
            </w:r>
          </w:p>
        </w:tc>
        <w:tc>
          <w:tcPr>
            <w:tcW w:w="2074" w:type="dxa"/>
            <w:tcBorders>
              <w:top w:val="nil"/>
              <w:left w:val="nil"/>
              <w:bottom w:val="nil"/>
              <w:right w:val="nil"/>
            </w:tcBorders>
            <w:noWrap/>
            <w:vAlign w:val="center"/>
          </w:tcPr>
          <w:p w14:paraId="7ED40941">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Notch</w:t>
            </w:r>
          </w:p>
        </w:tc>
        <w:tc>
          <w:tcPr>
            <w:tcW w:w="567" w:type="dxa"/>
            <w:tcBorders>
              <w:top w:val="nil"/>
              <w:left w:val="nil"/>
              <w:bottom w:val="nil"/>
              <w:right w:val="nil"/>
            </w:tcBorders>
            <w:noWrap/>
            <w:vAlign w:val="center"/>
          </w:tcPr>
          <w:p w14:paraId="277402AB">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3</w:t>
            </w:r>
          </w:p>
        </w:tc>
        <w:tc>
          <w:tcPr>
            <w:tcW w:w="828" w:type="dxa"/>
            <w:tcBorders>
              <w:top w:val="nil"/>
              <w:left w:val="nil"/>
              <w:bottom w:val="nil"/>
              <w:right w:val="nil"/>
            </w:tcBorders>
            <w:noWrap/>
            <w:vAlign w:val="center"/>
          </w:tcPr>
          <w:p w14:paraId="289734DC">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0.2%</w:t>
            </w:r>
          </w:p>
        </w:tc>
        <w:tc>
          <w:tcPr>
            <w:tcW w:w="419" w:type="dxa"/>
            <w:tcBorders>
              <w:top w:val="nil"/>
              <w:left w:val="nil"/>
              <w:bottom w:val="nil"/>
              <w:right w:val="nil"/>
            </w:tcBorders>
            <w:noWrap/>
            <w:vAlign w:val="center"/>
          </w:tcPr>
          <w:p w14:paraId="4BD3B47D">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2</w:t>
            </w:r>
          </w:p>
        </w:tc>
        <w:tc>
          <w:tcPr>
            <w:tcW w:w="880" w:type="dxa"/>
            <w:tcBorders>
              <w:top w:val="nil"/>
              <w:left w:val="nil"/>
              <w:bottom w:val="nil"/>
              <w:right w:val="nil"/>
            </w:tcBorders>
            <w:noWrap/>
            <w:vAlign w:val="center"/>
          </w:tcPr>
          <w:p w14:paraId="13BFEDB7">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420" w:type="dxa"/>
            <w:tcBorders>
              <w:top w:val="nil"/>
              <w:left w:val="nil"/>
              <w:bottom w:val="nil"/>
              <w:right w:val="nil"/>
            </w:tcBorders>
            <w:noWrap/>
            <w:vAlign w:val="center"/>
          </w:tcPr>
          <w:p w14:paraId="450F31D7">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72F7CCF5">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0" w:type="dxa"/>
            <w:tcBorders>
              <w:top w:val="nil"/>
              <w:left w:val="nil"/>
              <w:bottom w:val="nil"/>
              <w:right w:val="nil"/>
            </w:tcBorders>
            <w:noWrap/>
            <w:vAlign w:val="center"/>
          </w:tcPr>
          <w:p w14:paraId="277EDAA0">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4895FD4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516" w:type="dxa"/>
            <w:tcBorders>
              <w:top w:val="nil"/>
              <w:left w:val="nil"/>
              <w:bottom w:val="nil"/>
              <w:right w:val="nil"/>
            </w:tcBorders>
            <w:noWrap/>
            <w:vAlign w:val="center"/>
          </w:tcPr>
          <w:p w14:paraId="3D223568">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28" w:type="dxa"/>
            <w:tcBorders>
              <w:top w:val="nil"/>
              <w:left w:val="nil"/>
              <w:bottom w:val="nil"/>
              <w:right w:val="nil"/>
            </w:tcBorders>
            <w:noWrap/>
            <w:vAlign w:val="center"/>
          </w:tcPr>
          <w:p w14:paraId="64679B7D">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420" w:type="dxa"/>
            <w:tcBorders>
              <w:top w:val="nil"/>
              <w:left w:val="nil"/>
              <w:bottom w:val="nil"/>
              <w:right w:val="nil"/>
            </w:tcBorders>
            <w:noWrap/>
            <w:vAlign w:val="center"/>
          </w:tcPr>
          <w:p w14:paraId="75C4F9E7">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8" w:type="dxa"/>
            <w:tcBorders>
              <w:top w:val="nil"/>
              <w:left w:val="nil"/>
              <w:bottom w:val="nil"/>
              <w:right w:val="nil"/>
            </w:tcBorders>
            <w:noWrap/>
            <w:vAlign w:val="center"/>
          </w:tcPr>
          <w:p w14:paraId="20B3F78D">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7" w:type="dxa"/>
            <w:gridSpan w:val="2"/>
            <w:tcBorders>
              <w:top w:val="nil"/>
              <w:left w:val="nil"/>
              <w:bottom w:val="nil"/>
              <w:right w:val="nil"/>
            </w:tcBorders>
            <w:noWrap/>
            <w:vAlign w:val="center"/>
          </w:tcPr>
          <w:p w14:paraId="332C8D9A">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9" w:type="dxa"/>
            <w:tcBorders>
              <w:top w:val="nil"/>
              <w:left w:val="nil"/>
              <w:bottom w:val="nil"/>
              <w:right w:val="nil"/>
            </w:tcBorders>
            <w:noWrap/>
            <w:vAlign w:val="center"/>
          </w:tcPr>
          <w:p w14:paraId="4F411B52">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616" w:type="dxa"/>
            <w:tcBorders>
              <w:top w:val="nil"/>
              <w:left w:val="nil"/>
              <w:bottom w:val="nil"/>
              <w:right w:val="nil"/>
            </w:tcBorders>
            <w:noWrap/>
            <w:vAlign w:val="center"/>
          </w:tcPr>
          <w:p w14:paraId="0FC1F27B">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5</w:t>
            </w:r>
          </w:p>
        </w:tc>
        <w:tc>
          <w:tcPr>
            <w:tcW w:w="831" w:type="dxa"/>
            <w:tcBorders>
              <w:top w:val="nil"/>
              <w:left w:val="nil"/>
              <w:bottom w:val="nil"/>
              <w:right w:val="nil"/>
            </w:tcBorders>
            <w:noWrap/>
            <w:vAlign w:val="center"/>
          </w:tcPr>
          <w:p w14:paraId="1E801C6C">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0.4%</w:t>
            </w:r>
          </w:p>
        </w:tc>
      </w:tr>
      <w:tr w14:paraId="06A93C29">
        <w:tblPrEx>
          <w:tblCellMar>
            <w:top w:w="0" w:type="dxa"/>
            <w:left w:w="108" w:type="dxa"/>
            <w:bottom w:w="0" w:type="dxa"/>
            <w:right w:w="108" w:type="dxa"/>
          </w:tblCellMar>
        </w:tblPrEx>
        <w:trPr>
          <w:trHeight w:val="259" w:hRule="atLeast"/>
        </w:trPr>
        <w:tc>
          <w:tcPr>
            <w:tcW w:w="1011" w:type="dxa"/>
            <w:tcBorders>
              <w:top w:val="nil"/>
              <w:left w:val="nil"/>
              <w:bottom w:val="nil"/>
              <w:right w:val="nil"/>
            </w:tcBorders>
            <w:noWrap/>
            <w:vAlign w:val="center"/>
          </w:tcPr>
          <w:p w14:paraId="2A9F2057">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2074" w:type="dxa"/>
            <w:tcBorders>
              <w:top w:val="nil"/>
              <w:left w:val="nil"/>
              <w:bottom w:val="nil"/>
              <w:right w:val="nil"/>
            </w:tcBorders>
            <w:noWrap/>
            <w:vAlign w:val="center"/>
          </w:tcPr>
          <w:p w14:paraId="35A87C67">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Denticulate</w:t>
            </w:r>
          </w:p>
        </w:tc>
        <w:tc>
          <w:tcPr>
            <w:tcW w:w="567" w:type="dxa"/>
            <w:tcBorders>
              <w:top w:val="nil"/>
              <w:left w:val="nil"/>
              <w:bottom w:val="nil"/>
              <w:right w:val="nil"/>
            </w:tcBorders>
            <w:noWrap/>
            <w:vAlign w:val="center"/>
          </w:tcPr>
          <w:p w14:paraId="1BB94A3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5</w:t>
            </w:r>
          </w:p>
        </w:tc>
        <w:tc>
          <w:tcPr>
            <w:tcW w:w="828" w:type="dxa"/>
            <w:tcBorders>
              <w:top w:val="nil"/>
              <w:left w:val="nil"/>
              <w:bottom w:val="nil"/>
              <w:right w:val="nil"/>
            </w:tcBorders>
            <w:noWrap/>
            <w:vAlign w:val="center"/>
          </w:tcPr>
          <w:p w14:paraId="2E6209A9">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0.4%</w:t>
            </w:r>
          </w:p>
        </w:tc>
        <w:tc>
          <w:tcPr>
            <w:tcW w:w="419" w:type="dxa"/>
            <w:tcBorders>
              <w:top w:val="nil"/>
              <w:left w:val="nil"/>
              <w:bottom w:val="nil"/>
              <w:right w:val="nil"/>
            </w:tcBorders>
            <w:noWrap/>
            <w:vAlign w:val="center"/>
          </w:tcPr>
          <w:p w14:paraId="021969C5">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23FB681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420" w:type="dxa"/>
            <w:tcBorders>
              <w:top w:val="nil"/>
              <w:left w:val="nil"/>
              <w:bottom w:val="nil"/>
              <w:right w:val="nil"/>
            </w:tcBorders>
            <w:noWrap/>
            <w:vAlign w:val="center"/>
          </w:tcPr>
          <w:p w14:paraId="7ED4CC5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44B006DD">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0" w:type="dxa"/>
            <w:tcBorders>
              <w:top w:val="nil"/>
              <w:left w:val="nil"/>
              <w:bottom w:val="nil"/>
              <w:right w:val="nil"/>
            </w:tcBorders>
            <w:noWrap/>
            <w:vAlign w:val="center"/>
          </w:tcPr>
          <w:p w14:paraId="30041D6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28E9FA4D">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516" w:type="dxa"/>
            <w:tcBorders>
              <w:top w:val="nil"/>
              <w:left w:val="nil"/>
              <w:bottom w:val="nil"/>
              <w:right w:val="nil"/>
            </w:tcBorders>
            <w:noWrap/>
            <w:vAlign w:val="center"/>
          </w:tcPr>
          <w:p w14:paraId="333420A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28" w:type="dxa"/>
            <w:tcBorders>
              <w:top w:val="nil"/>
              <w:left w:val="nil"/>
              <w:bottom w:val="nil"/>
              <w:right w:val="nil"/>
            </w:tcBorders>
            <w:noWrap/>
            <w:vAlign w:val="center"/>
          </w:tcPr>
          <w:p w14:paraId="71D6A2B4">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420" w:type="dxa"/>
            <w:tcBorders>
              <w:top w:val="nil"/>
              <w:left w:val="nil"/>
              <w:bottom w:val="nil"/>
              <w:right w:val="nil"/>
            </w:tcBorders>
            <w:noWrap/>
            <w:vAlign w:val="center"/>
          </w:tcPr>
          <w:p w14:paraId="522CB805">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8" w:type="dxa"/>
            <w:tcBorders>
              <w:top w:val="nil"/>
              <w:left w:val="nil"/>
              <w:bottom w:val="nil"/>
              <w:right w:val="nil"/>
            </w:tcBorders>
            <w:noWrap/>
            <w:vAlign w:val="center"/>
          </w:tcPr>
          <w:p w14:paraId="189C6F8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7" w:type="dxa"/>
            <w:gridSpan w:val="2"/>
            <w:tcBorders>
              <w:top w:val="nil"/>
              <w:left w:val="nil"/>
              <w:bottom w:val="nil"/>
              <w:right w:val="nil"/>
            </w:tcBorders>
            <w:noWrap/>
            <w:vAlign w:val="center"/>
          </w:tcPr>
          <w:p w14:paraId="44708F53">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9" w:type="dxa"/>
            <w:tcBorders>
              <w:top w:val="nil"/>
              <w:left w:val="nil"/>
              <w:bottom w:val="nil"/>
              <w:right w:val="nil"/>
            </w:tcBorders>
            <w:noWrap/>
            <w:vAlign w:val="center"/>
          </w:tcPr>
          <w:p w14:paraId="2D373CD8">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616" w:type="dxa"/>
            <w:tcBorders>
              <w:top w:val="nil"/>
              <w:left w:val="nil"/>
              <w:bottom w:val="nil"/>
              <w:right w:val="nil"/>
            </w:tcBorders>
            <w:noWrap/>
            <w:vAlign w:val="center"/>
          </w:tcPr>
          <w:p w14:paraId="3B25EE34">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6</w:t>
            </w:r>
          </w:p>
        </w:tc>
        <w:tc>
          <w:tcPr>
            <w:tcW w:w="831" w:type="dxa"/>
            <w:tcBorders>
              <w:top w:val="nil"/>
              <w:left w:val="nil"/>
              <w:bottom w:val="nil"/>
              <w:right w:val="nil"/>
            </w:tcBorders>
            <w:noWrap/>
            <w:vAlign w:val="center"/>
          </w:tcPr>
          <w:p w14:paraId="3930228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0.4%</w:t>
            </w:r>
          </w:p>
        </w:tc>
      </w:tr>
      <w:tr w14:paraId="5FE2EE80">
        <w:tblPrEx>
          <w:tblCellMar>
            <w:top w:w="0" w:type="dxa"/>
            <w:left w:w="108" w:type="dxa"/>
            <w:bottom w:w="0" w:type="dxa"/>
            <w:right w:w="108" w:type="dxa"/>
          </w:tblCellMar>
        </w:tblPrEx>
        <w:trPr>
          <w:trHeight w:val="259" w:hRule="atLeast"/>
        </w:trPr>
        <w:tc>
          <w:tcPr>
            <w:tcW w:w="1011" w:type="dxa"/>
            <w:tcBorders>
              <w:top w:val="nil"/>
              <w:left w:val="nil"/>
              <w:bottom w:val="nil"/>
              <w:right w:val="nil"/>
            </w:tcBorders>
            <w:noWrap/>
            <w:vAlign w:val="center"/>
          </w:tcPr>
          <w:p w14:paraId="25759D54">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2074" w:type="dxa"/>
            <w:tcBorders>
              <w:top w:val="nil"/>
              <w:left w:val="nil"/>
              <w:bottom w:val="nil"/>
              <w:right w:val="nil"/>
            </w:tcBorders>
            <w:noWrap/>
            <w:vAlign w:val="center"/>
          </w:tcPr>
          <w:p w14:paraId="2C216E57">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Chopper</w:t>
            </w:r>
          </w:p>
        </w:tc>
        <w:tc>
          <w:tcPr>
            <w:tcW w:w="567" w:type="dxa"/>
            <w:tcBorders>
              <w:top w:val="nil"/>
              <w:left w:val="nil"/>
              <w:bottom w:val="nil"/>
              <w:right w:val="nil"/>
            </w:tcBorders>
            <w:noWrap/>
            <w:vAlign w:val="center"/>
          </w:tcPr>
          <w:p w14:paraId="1992DCBE">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28" w:type="dxa"/>
            <w:tcBorders>
              <w:top w:val="nil"/>
              <w:left w:val="nil"/>
              <w:bottom w:val="nil"/>
              <w:right w:val="nil"/>
            </w:tcBorders>
            <w:noWrap/>
            <w:vAlign w:val="center"/>
          </w:tcPr>
          <w:p w14:paraId="322B366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419" w:type="dxa"/>
            <w:tcBorders>
              <w:top w:val="nil"/>
              <w:left w:val="nil"/>
              <w:bottom w:val="nil"/>
              <w:right w:val="nil"/>
            </w:tcBorders>
            <w:noWrap/>
            <w:vAlign w:val="center"/>
          </w:tcPr>
          <w:p w14:paraId="3ED2A492">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320053C0">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420" w:type="dxa"/>
            <w:tcBorders>
              <w:top w:val="nil"/>
              <w:left w:val="nil"/>
              <w:bottom w:val="nil"/>
              <w:right w:val="nil"/>
            </w:tcBorders>
            <w:noWrap/>
            <w:vAlign w:val="center"/>
          </w:tcPr>
          <w:p w14:paraId="5199B701">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110E7B6E">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0" w:type="dxa"/>
            <w:tcBorders>
              <w:top w:val="nil"/>
              <w:left w:val="nil"/>
              <w:bottom w:val="nil"/>
              <w:right w:val="nil"/>
            </w:tcBorders>
            <w:noWrap/>
            <w:vAlign w:val="center"/>
          </w:tcPr>
          <w:p w14:paraId="73A1EB2C">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25C7EA60">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516" w:type="dxa"/>
            <w:tcBorders>
              <w:top w:val="nil"/>
              <w:left w:val="nil"/>
              <w:bottom w:val="nil"/>
              <w:right w:val="nil"/>
            </w:tcBorders>
            <w:noWrap/>
            <w:vAlign w:val="center"/>
          </w:tcPr>
          <w:p w14:paraId="0177343A">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28" w:type="dxa"/>
            <w:tcBorders>
              <w:top w:val="nil"/>
              <w:left w:val="nil"/>
              <w:bottom w:val="nil"/>
              <w:right w:val="nil"/>
            </w:tcBorders>
            <w:noWrap/>
            <w:vAlign w:val="center"/>
          </w:tcPr>
          <w:p w14:paraId="551B5642">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420" w:type="dxa"/>
            <w:tcBorders>
              <w:top w:val="nil"/>
              <w:left w:val="nil"/>
              <w:bottom w:val="nil"/>
              <w:right w:val="nil"/>
            </w:tcBorders>
            <w:noWrap/>
            <w:vAlign w:val="center"/>
          </w:tcPr>
          <w:p w14:paraId="14C8FCDE">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8" w:type="dxa"/>
            <w:tcBorders>
              <w:top w:val="nil"/>
              <w:left w:val="nil"/>
              <w:bottom w:val="nil"/>
              <w:right w:val="nil"/>
            </w:tcBorders>
            <w:noWrap/>
            <w:vAlign w:val="center"/>
          </w:tcPr>
          <w:p w14:paraId="7D999C3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7" w:type="dxa"/>
            <w:gridSpan w:val="2"/>
            <w:tcBorders>
              <w:top w:val="nil"/>
              <w:left w:val="nil"/>
              <w:bottom w:val="nil"/>
              <w:right w:val="nil"/>
            </w:tcBorders>
            <w:noWrap/>
            <w:vAlign w:val="center"/>
          </w:tcPr>
          <w:p w14:paraId="090C27A8">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9" w:type="dxa"/>
            <w:tcBorders>
              <w:top w:val="nil"/>
              <w:left w:val="nil"/>
              <w:bottom w:val="nil"/>
              <w:right w:val="nil"/>
            </w:tcBorders>
            <w:noWrap/>
            <w:vAlign w:val="center"/>
          </w:tcPr>
          <w:p w14:paraId="325A1ACB">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616" w:type="dxa"/>
            <w:tcBorders>
              <w:top w:val="nil"/>
              <w:left w:val="nil"/>
              <w:bottom w:val="nil"/>
              <w:right w:val="nil"/>
            </w:tcBorders>
            <w:noWrap/>
            <w:vAlign w:val="center"/>
          </w:tcPr>
          <w:p w14:paraId="45C2B184">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2</w:t>
            </w:r>
          </w:p>
        </w:tc>
        <w:tc>
          <w:tcPr>
            <w:tcW w:w="831" w:type="dxa"/>
            <w:tcBorders>
              <w:top w:val="nil"/>
              <w:left w:val="nil"/>
              <w:bottom w:val="nil"/>
              <w:right w:val="nil"/>
            </w:tcBorders>
            <w:noWrap/>
            <w:vAlign w:val="center"/>
          </w:tcPr>
          <w:p w14:paraId="5920F1A3">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r>
      <w:tr w14:paraId="3D26DF3F">
        <w:tblPrEx>
          <w:tblCellMar>
            <w:top w:w="0" w:type="dxa"/>
            <w:left w:w="108" w:type="dxa"/>
            <w:bottom w:w="0" w:type="dxa"/>
            <w:right w:w="108" w:type="dxa"/>
          </w:tblCellMar>
        </w:tblPrEx>
        <w:trPr>
          <w:trHeight w:val="259" w:hRule="atLeast"/>
        </w:trPr>
        <w:tc>
          <w:tcPr>
            <w:tcW w:w="1011" w:type="dxa"/>
            <w:tcBorders>
              <w:top w:val="nil"/>
              <w:left w:val="nil"/>
              <w:bottom w:val="nil"/>
              <w:right w:val="nil"/>
            </w:tcBorders>
            <w:noWrap/>
            <w:vAlign w:val="center"/>
          </w:tcPr>
          <w:p w14:paraId="1FE4A11C">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2074" w:type="dxa"/>
            <w:tcBorders>
              <w:top w:val="nil"/>
              <w:left w:val="nil"/>
              <w:bottom w:val="nil"/>
              <w:right w:val="nil"/>
            </w:tcBorders>
            <w:noWrap/>
            <w:vAlign w:val="center"/>
          </w:tcPr>
          <w:p w14:paraId="2105654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Infomal tool</w:t>
            </w:r>
          </w:p>
        </w:tc>
        <w:tc>
          <w:tcPr>
            <w:tcW w:w="567" w:type="dxa"/>
            <w:tcBorders>
              <w:top w:val="nil"/>
              <w:left w:val="nil"/>
              <w:bottom w:val="nil"/>
              <w:right w:val="nil"/>
            </w:tcBorders>
            <w:noWrap/>
            <w:vAlign w:val="center"/>
          </w:tcPr>
          <w:p w14:paraId="670AE773">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4</w:t>
            </w:r>
          </w:p>
        </w:tc>
        <w:tc>
          <w:tcPr>
            <w:tcW w:w="828" w:type="dxa"/>
            <w:tcBorders>
              <w:top w:val="nil"/>
              <w:left w:val="nil"/>
              <w:bottom w:val="nil"/>
              <w:right w:val="nil"/>
            </w:tcBorders>
            <w:noWrap/>
            <w:vAlign w:val="center"/>
          </w:tcPr>
          <w:p w14:paraId="285E0962">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0.3%</w:t>
            </w:r>
          </w:p>
        </w:tc>
        <w:tc>
          <w:tcPr>
            <w:tcW w:w="419" w:type="dxa"/>
            <w:tcBorders>
              <w:top w:val="nil"/>
              <w:left w:val="nil"/>
              <w:bottom w:val="nil"/>
              <w:right w:val="nil"/>
            </w:tcBorders>
            <w:noWrap/>
            <w:vAlign w:val="center"/>
          </w:tcPr>
          <w:p w14:paraId="3A9ACFF1">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60281422">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420" w:type="dxa"/>
            <w:tcBorders>
              <w:top w:val="nil"/>
              <w:left w:val="nil"/>
              <w:bottom w:val="nil"/>
              <w:right w:val="nil"/>
            </w:tcBorders>
            <w:noWrap/>
            <w:vAlign w:val="center"/>
          </w:tcPr>
          <w:p w14:paraId="7C995668">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2194CFDD">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0" w:type="dxa"/>
            <w:tcBorders>
              <w:top w:val="nil"/>
              <w:left w:val="nil"/>
              <w:bottom w:val="nil"/>
              <w:right w:val="nil"/>
            </w:tcBorders>
            <w:noWrap/>
            <w:vAlign w:val="center"/>
          </w:tcPr>
          <w:p w14:paraId="64F72354">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nil"/>
              <w:right w:val="nil"/>
            </w:tcBorders>
            <w:noWrap/>
            <w:vAlign w:val="center"/>
          </w:tcPr>
          <w:p w14:paraId="781349BE">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516" w:type="dxa"/>
            <w:tcBorders>
              <w:top w:val="nil"/>
              <w:left w:val="nil"/>
              <w:bottom w:val="nil"/>
              <w:right w:val="nil"/>
            </w:tcBorders>
            <w:noWrap/>
            <w:vAlign w:val="center"/>
          </w:tcPr>
          <w:p w14:paraId="1701045F">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1</w:t>
            </w:r>
          </w:p>
        </w:tc>
        <w:tc>
          <w:tcPr>
            <w:tcW w:w="828" w:type="dxa"/>
            <w:tcBorders>
              <w:top w:val="nil"/>
              <w:left w:val="nil"/>
              <w:bottom w:val="nil"/>
              <w:right w:val="nil"/>
            </w:tcBorders>
            <w:noWrap/>
            <w:vAlign w:val="center"/>
          </w:tcPr>
          <w:p w14:paraId="1D117E37">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420" w:type="dxa"/>
            <w:tcBorders>
              <w:top w:val="nil"/>
              <w:left w:val="nil"/>
              <w:bottom w:val="nil"/>
              <w:right w:val="nil"/>
            </w:tcBorders>
            <w:noWrap/>
            <w:vAlign w:val="center"/>
          </w:tcPr>
          <w:p w14:paraId="4323C551">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8" w:type="dxa"/>
            <w:tcBorders>
              <w:top w:val="nil"/>
              <w:left w:val="nil"/>
              <w:bottom w:val="nil"/>
              <w:right w:val="nil"/>
            </w:tcBorders>
            <w:noWrap/>
            <w:vAlign w:val="center"/>
          </w:tcPr>
          <w:p w14:paraId="4E559D40">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7" w:type="dxa"/>
            <w:gridSpan w:val="2"/>
            <w:tcBorders>
              <w:top w:val="nil"/>
              <w:left w:val="nil"/>
              <w:bottom w:val="nil"/>
              <w:right w:val="nil"/>
            </w:tcBorders>
            <w:noWrap/>
            <w:vAlign w:val="center"/>
          </w:tcPr>
          <w:p w14:paraId="457E7E83">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9" w:type="dxa"/>
            <w:tcBorders>
              <w:top w:val="nil"/>
              <w:left w:val="nil"/>
              <w:bottom w:val="nil"/>
              <w:right w:val="nil"/>
            </w:tcBorders>
            <w:noWrap/>
            <w:vAlign w:val="center"/>
          </w:tcPr>
          <w:p w14:paraId="20C82E66">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616" w:type="dxa"/>
            <w:tcBorders>
              <w:top w:val="nil"/>
              <w:left w:val="nil"/>
              <w:bottom w:val="nil"/>
              <w:right w:val="nil"/>
            </w:tcBorders>
            <w:noWrap/>
            <w:vAlign w:val="center"/>
          </w:tcPr>
          <w:p w14:paraId="3AA8CB7B">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5</w:t>
            </w:r>
          </w:p>
        </w:tc>
        <w:tc>
          <w:tcPr>
            <w:tcW w:w="831" w:type="dxa"/>
            <w:tcBorders>
              <w:top w:val="nil"/>
              <w:left w:val="nil"/>
              <w:bottom w:val="nil"/>
              <w:right w:val="nil"/>
            </w:tcBorders>
            <w:noWrap/>
            <w:vAlign w:val="center"/>
          </w:tcPr>
          <w:p w14:paraId="78931202">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0.4%</w:t>
            </w:r>
          </w:p>
        </w:tc>
      </w:tr>
      <w:tr w14:paraId="59F66FFF">
        <w:tblPrEx>
          <w:tblCellMar>
            <w:top w:w="0" w:type="dxa"/>
            <w:left w:w="108" w:type="dxa"/>
            <w:bottom w:w="0" w:type="dxa"/>
            <w:right w:w="108" w:type="dxa"/>
          </w:tblCellMar>
        </w:tblPrEx>
        <w:trPr>
          <w:trHeight w:val="259" w:hRule="atLeast"/>
        </w:trPr>
        <w:tc>
          <w:tcPr>
            <w:tcW w:w="1011" w:type="dxa"/>
            <w:tcBorders>
              <w:top w:val="nil"/>
              <w:left w:val="nil"/>
              <w:bottom w:val="single" w:color="auto" w:sz="4" w:space="0"/>
              <w:right w:val="nil"/>
            </w:tcBorders>
            <w:noWrap/>
            <w:vAlign w:val="center"/>
          </w:tcPr>
          <w:p w14:paraId="174F4BEE">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2074" w:type="dxa"/>
            <w:tcBorders>
              <w:top w:val="nil"/>
              <w:left w:val="nil"/>
              <w:bottom w:val="single" w:color="auto" w:sz="4" w:space="0"/>
              <w:right w:val="nil"/>
            </w:tcBorders>
            <w:noWrap/>
            <w:vAlign w:val="center"/>
          </w:tcPr>
          <w:p w14:paraId="5820AD58">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Hammerstone</w:t>
            </w:r>
          </w:p>
        </w:tc>
        <w:tc>
          <w:tcPr>
            <w:tcW w:w="567" w:type="dxa"/>
            <w:tcBorders>
              <w:top w:val="nil"/>
              <w:left w:val="nil"/>
              <w:bottom w:val="single" w:color="auto" w:sz="4" w:space="0"/>
              <w:right w:val="nil"/>
            </w:tcBorders>
            <w:noWrap/>
            <w:vAlign w:val="center"/>
          </w:tcPr>
          <w:p w14:paraId="78A6F889">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2</w:t>
            </w:r>
          </w:p>
        </w:tc>
        <w:tc>
          <w:tcPr>
            <w:tcW w:w="828" w:type="dxa"/>
            <w:tcBorders>
              <w:top w:val="nil"/>
              <w:left w:val="nil"/>
              <w:bottom w:val="single" w:color="auto" w:sz="4" w:space="0"/>
              <w:right w:val="nil"/>
            </w:tcBorders>
            <w:noWrap/>
            <w:vAlign w:val="center"/>
          </w:tcPr>
          <w:p w14:paraId="38998B5E">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419" w:type="dxa"/>
            <w:tcBorders>
              <w:top w:val="nil"/>
              <w:left w:val="nil"/>
              <w:bottom w:val="single" w:color="auto" w:sz="4" w:space="0"/>
              <w:right w:val="nil"/>
            </w:tcBorders>
            <w:noWrap/>
            <w:vAlign w:val="center"/>
          </w:tcPr>
          <w:p w14:paraId="758468B1">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single" w:color="auto" w:sz="4" w:space="0"/>
              <w:right w:val="nil"/>
            </w:tcBorders>
            <w:noWrap/>
            <w:vAlign w:val="center"/>
          </w:tcPr>
          <w:p w14:paraId="73B13C71">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420" w:type="dxa"/>
            <w:tcBorders>
              <w:top w:val="nil"/>
              <w:left w:val="nil"/>
              <w:bottom w:val="single" w:color="auto" w:sz="4" w:space="0"/>
              <w:right w:val="nil"/>
            </w:tcBorders>
            <w:noWrap/>
            <w:vAlign w:val="center"/>
          </w:tcPr>
          <w:p w14:paraId="7168BBDA">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single" w:color="auto" w:sz="4" w:space="0"/>
              <w:right w:val="nil"/>
            </w:tcBorders>
            <w:noWrap/>
            <w:vAlign w:val="center"/>
          </w:tcPr>
          <w:p w14:paraId="59FB7D53">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420" w:type="dxa"/>
            <w:tcBorders>
              <w:top w:val="nil"/>
              <w:left w:val="nil"/>
              <w:bottom w:val="single" w:color="auto" w:sz="4" w:space="0"/>
              <w:right w:val="nil"/>
            </w:tcBorders>
            <w:noWrap/>
            <w:vAlign w:val="center"/>
          </w:tcPr>
          <w:p w14:paraId="2003BEFB">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80" w:type="dxa"/>
            <w:tcBorders>
              <w:top w:val="nil"/>
              <w:left w:val="nil"/>
              <w:bottom w:val="single" w:color="auto" w:sz="4" w:space="0"/>
              <w:right w:val="nil"/>
            </w:tcBorders>
            <w:noWrap/>
            <w:vAlign w:val="center"/>
          </w:tcPr>
          <w:p w14:paraId="4AC27741">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516" w:type="dxa"/>
            <w:tcBorders>
              <w:top w:val="nil"/>
              <w:left w:val="nil"/>
              <w:bottom w:val="single" w:color="auto" w:sz="4" w:space="0"/>
              <w:right w:val="nil"/>
            </w:tcBorders>
            <w:noWrap/>
            <w:vAlign w:val="center"/>
          </w:tcPr>
          <w:p w14:paraId="2165CAD0">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28" w:type="dxa"/>
            <w:tcBorders>
              <w:top w:val="nil"/>
              <w:left w:val="nil"/>
              <w:bottom w:val="single" w:color="auto" w:sz="4" w:space="0"/>
              <w:right w:val="nil"/>
            </w:tcBorders>
            <w:noWrap/>
            <w:vAlign w:val="center"/>
          </w:tcPr>
          <w:p w14:paraId="59224B01">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420" w:type="dxa"/>
            <w:tcBorders>
              <w:top w:val="nil"/>
              <w:left w:val="nil"/>
              <w:bottom w:val="single" w:color="auto" w:sz="4" w:space="0"/>
              <w:right w:val="nil"/>
            </w:tcBorders>
            <w:noWrap/>
            <w:vAlign w:val="center"/>
          </w:tcPr>
          <w:p w14:paraId="13A43D1B">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2</w:t>
            </w:r>
          </w:p>
        </w:tc>
        <w:tc>
          <w:tcPr>
            <w:tcW w:w="878" w:type="dxa"/>
            <w:tcBorders>
              <w:top w:val="nil"/>
              <w:left w:val="nil"/>
              <w:bottom w:val="single" w:color="auto" w:sz="4" w:space="0"/>
              <w:right w:val="nil"/>
            </w:tcBorders>
            <w:noWrap/>
            <w:vAlign w:val="center"/>
          </w:tcPr>
          <w:p w14:paraId="1EC90330">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0.1%</w:t>
            </w:r>
          </w:p>
        </w:tc>
        <w:tc>
          <w:tcPr>
            <w:tcW w:w="427" w:type="dxa"/>
            <w:gridSpan w:val="2"/>
            <w:tcBorders>
              <w:top w:val="nil"/>
              <w:left w:val="nil"/>
              <w:bottom w:val="single" w:color="auto" w:sz="4" w:space="0"/>
              <w:right w:val="nil"/>
            </w:tcBorders>
            <w:noWrap/>
            <w:vAlign w:val="center"/>
          </w:tcPr>
          <w:p w14:paraId="208BFBC4">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w:t>
            </w:r>
          </w:p>
        </w:tc>
        <w:tc>
          <w:tcPr>
            <w:tcW w:w="879" w:type="dxa"/>
            <w:tcBorders>
              <w:top w:val="nil"/>
              <w:left w:val="nil"/>
              <w:bottom w:val="single" w:color="auto" w:sz="4" w:space="0"/>
              <w:right w:val="nil"/>
            </w:tcBorders>
            <w:noWrap/>
            <w:vAlign w:val="center"/>
          </w:tcPr>
          <w:p w14:paraId="354651F0">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p>
        </w:tc>
        <w:tc>
          <w:tcPr>
            <w:tcW w:w="616" w:type="dxa"/>
            <w:tcBorders>
              <w:top w:val="nil"/>
              <w:left w:val="nil"/>
              <w:bottom w:val="single" w:color="auto" w:sz="4" w:space="0"/>
              <w:right w:val="nil"/>
            </w:tcBorders>
            <w:noWrap/>
            <w:vAlign w:val="center"/>
          </w:tcPr>
          <w:p w14:paraId="65C245D1">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4</w:t>
            </w:r>
          </w:p>
        </w:tc>
        <w:tc>
          <w:tcPr>
            <w:tcW w:w="831" w:type="dxa"/>
            <w:tcBorders>
              <w:top w:val="nil"/>
              <w:left w:val="nil"/>
              <w:bottom w:val="single" w:color="auto" w:sz="4" w:space="0"/>
              <w:right w:val="nil"/>
            </w:tcBorders>
            <w:noWrap/>
            <w:vAlign w:val="center"/>
          </w:tcPr>
          <w:p w14:paraId="68FD56C3">
            <w:pPr>
              <w:keepNext w:val="0"/>
              <w:keepLines w:val="0"/>
              <w:widowControl/>
              <w:suppressLineNumbers w:val="0"/>
              <w:spacing w:before="0" w:beforeAutospacing="0" w:after="0" w:afterAutospacing="0" w:line="240" w:lineRule="auto"/>
              <w:ind w:left="0" w:right="0" w:firstLine="0"/>
              <w:rPr>
                <w:rFonts w:hint="default" w:eastAsia="等线"/>
                <w:color w:val="000000"/>
                <w:sz w:val="20"/>
                <w:szCs w:val="20"/>
              </w:rPr>
            </w:pPr>
            <w:r>
              <w:rPr>
                <w:rFonts w:hint="default" w:eastAsia="等线"/>
                <w:color w:val="000000"/>
                <w:sz w:val="20"/>
                <w:szCs w:val="20"/>
              </w:rPr>
              <w:t>0.3%</w:t>
            </w:r>
          </w:p>
        </w:tc>
      </w:tr>
      <w:tr w14:paraId="70516BEA">
        <w:tblPrEx>
          <w:tblCellMar>
            <w:top w:w="0" w:type="dxa"/>
            <w:left w:w="108" w:type="dxa"/>
            <w:bottom w:w="0" w:type="dxa"/>
            <w:right w:w="108" w:type="dxa"/>
          </w:tblCellMar>
        </w:tblPrEx>
        <w:trPr>
          <w:trHeight w:val="520" w:hRule="atLeast"/>
        </w:trPr>
        <w:tc>
          <w:tcPr>
            <w:tcW w:w="1011" w:type="dxa"/>
            <w:tcBorders>
              <w:top w:val="single" w:color="auto" w:sz="4" w:space="0"/>
              <w:left w:val="nil"/>
              <w:bottom w:val="nil"/>
              <w:right w:val="nil"/>
            </w:tcBorders>
            <w:vAlign w:val="center"/>
          </w:tcPr>
          <w:p w14:paraId="5E337ED3">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Debris (n=880)</w:t>
            </w:r>
          </w:p>
        </w:tc>
        <w:tc>
          <w:tcPr>
            <w:tcW w:w="2074" w:type="dxa"/>
            <w:tcBorders>
              <w:top w:val="single" w:color="auto" w:sz="4" w:space="0"/>
              <w:left w:val="nil"/>
              <w:bottom w:val="nil"/>
              <w:right w:val="nil"/>
            </w:tcBorders>
            <w:noWrap/>
            <w:vAlign w:val="center"/>
          </w:tcPr>
          <w:p w14:paraId="789541C9">
            <w:pPr>
              <w:keepNext w:val="0"/>
              <w:keepLines w:val="0"/>
              <w:widowControl/>
              <w:suppressLineNumbers w:val="0"/>
              <w:spacing w:before="0" w:beforeAutospacing="0" w:after="0" w:afterAutospacing="0" w:line="240" w:lineRule="auto"/>
              <w:ind w:left="0" w:right="0" w:firstLine="0"/>
              <w:rPr>
                <w:rFonts w:hint="default" w:eastAsia="等线"/>
                <w:sz w:val="20"/>
                <w:szCs w:val="20"/>
              </w:rPr>
            </w:pPr>
          </w:p>
        </w:tc>
        <w:tc>
          <w:tcPr>
            <w:tcW w:w="567" w:type="dxa"/>
            <w:tcBorders>
              <w:top w:val="single" w:color="auto" w:sz="4" w:space="0"/>
              <w:left w:val="nil"/>
              <w:bottom w:val="nil"/>
              <w:right w:val="nil"/>
            </w:tcBorders>
            <w:noWrap/>
            <w:vAlign w:val="center"/>
          </w:tcPr>
          <w:p w14:paraId="1109B3C2">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569</w:t>
            </w:r>
          </w:p>
        </w:tc>
        <w:tc>
          <w:tcPr>
            <w:tcW w:w="828" w:type="dxa"/>
            <w:tcBorders>
              <w:top w:val="single" w:color="auto" w:sz="4" w:space="0"/>
              <w:left w:val="nil"/>
              <w:bottom w:val="nil"/>
              <w:right w:val="nil"/>
            </w:tcBorders>
            <w:noWrap/>
            <w:vAlign w:val="center"/>
          </w:tcPr>
          <w:p w14:paraId="3C41D72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41.7%</w:t>
            </w:r>
          </w:p>
        </w:tc>
        <w:tc>
          <w:tcPr>
            <w:tcW w:w="419" w:type="dxa"/>
            <w:tcBorders>
              <w:top w:val="single" w:color="auto" w:sz="4" w:space="0"/>
              <w:left w:val="nil"/>
              <w:bottom w:val="nil"/>
              <w:right w:val="nil"/>
            </w:tcBorders>
            <w:noWrap/>
            <w:vAlign w:val="center"/>
          </w:tcPr>
          <w:p w14:paraId="44E76CB9">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8</w:t>
            </w:r>
          </w:p>
        </w:tc>
        <w:tc>
          <w:tcPr>
            <w:tcW w:w="880" w:type="dxa"/>
            <w:tcBorders>
              <w:top w:val="single" w:color="auto" w:sz="4" w:space="0"/>
              <w:left w:val="nil"/>
              <w:bottom w:val="nil"/>
              <w:right w:val="nil"/>
            </w:tcBorders>
            <w:noWrap/>
            <w:vAlign w:val="center"/>
          </w:tcPr>
          <w:p w14:paraId="7D42DD94">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0.6%</w:t>
            </w:r>
          </w:p>
        </w:tc>
        <w:tc>
          <w:tcPr>
            <w:tcW w:w="420" w:type="dxa"/>
            <w:tcBorders>
              <w:top w:val="single" w:color="auto" w:sz="4" w:space="0"/>
              <w:left w:val="nil"/>
              <w:bottom w:val="nil"/>
              <w:right w:val="nil"/>
            </w:tcBorders>
            <w:noWrap/>
            <w:vAlign w:val="center"/>
          </w:tcPr>
          <w:p w14:paraId="093B77F2">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10</w:t>
            </w:r>
          </w:p>
        </w:tc>
        <w:tc>
          <w:tcPr>
            <w:tcW w:w="880" w:type="dxa"/>
            <w:tcBorders>
              <w:top w:val="single" w:color="auto" w:sz="4" w:space="0"/>
              <w:left w:val="nil"/>
              <w:bottom w:val="nil"/>
              <w:right w:val="nil"/>
            </w:tcBorders>
            <w:noWrap/>
            <w:vAlign w:val="center"/>
          </w:tcPr>
          <w:p w14:paraId="49753816">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0.7%</w:t>
            </w:r>
          </w:p>
        </w:tc>
        <w:tc>
          <w:tcPr>
            <w:tcW w:w="420" w:type="dxa"/>
            <w:tcBorders>
              <w:top w:val="single" w:color="auto" w:sz="4" w:space="0"/>
              <w:left w:val="nil"/>
              <w:bottom w:val="nil"/>
              <w:right w:val="nil"/>
            </w:tcBorders>
            <w:noWrap/>
            <w:vAlign w:val="center"/>
          </w:tcPr>
          <w:p w14:paraId="30F56E2C">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44</w:t>
            </w:r>
          </w:p>
        </w:tc>
        <w:tc>
          <w:tcPr>
            <w:tcW w:w="880" w:type="dxa"/>
            <w:tcBorders>
              <w:top w:val="single" w:color="auto" w:sz="4" w:space="0"/>
              <w:left w:val="nil"/>
              <w:bottom w:val="nil"/>
              <w:right w:val="nil"/>
            </w:tcBorders>
            <w:noWrap/>
            <w:vAlign w:val="center"/>
          </w:tcPr>
          <w:p w14:paraId="52906114">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3.2%</w:t>
            </w:r>
          </w:p>
        </w:tc>
        <w:tc>
          <w:tcPr>
            <w:tcW w:w="516" w:type="dxa"/>
            <w:tcBorders>
              <w:top w:val="single" w:color="auto" w:sz="4" w:space="0"/>
              <w:left w:val="nil"/>
              <w:bottom w:val="nil"/>
              <w:right w:val="nil"/>
            </w:tcBorders>
            <w:noWrap/>
            <w:vAlign w:val="center"/>
          </w:tcPr>
          <w:p w14:paraId="07E926F8">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207</w:t>
            </w:r>
          </w:p>
        </w:tc>
        <w:tc>
          <w:tcPr>
            <w:tcW w:w="828" w:type="dxa"/>
            <w:tcBorders>
              <w:top w:val="single" w:color="auto" w:sz="4" w:space="0"/>
              <w:left w:val="nil"/>
              <w:bottom w:val="nil"/>
              <w:right w:val="nil"/>
            </w:tcBorders>
            <w:noWrap/>
            <w:vAlign w:val="center"/>
          </w:tcPr>
          <w:p w14:paraId="16889E63">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15.2%</w:t>
            </w:r>
          </w:p>
        </w:tc>
        <w:tc>
          <w:tcPr>
            <w:tcW w:w="420" w:type="dxa"/>
            <w:tcBorders>
              <w:top w:val="single" w:color="auto" w:sz="4" w:space="0"/>
              <w:left w:val="nil"/>
              <w:bottom w:val="nil"/>
              <w:right w:val="nil"/>
            </w:tcBorders>
            <w:noWrap/>
            <w:vAlign w:val="center"/>
          </w:tcPr>
          <w:p w14:paraId="1230E87A">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11</w:t>
            </w:r>
          </w:p>
        </w:tc>
        <w:tc>
          <w:tcPr>
            <w:tcW w:w="878" w:type="dxa"/>
            <w:tcBorders>
              <w:top w:val="single" w:color="auto" w:sz="4" w:space="0"/>
              <w:left w:val="nil"/>
              <w:bottom w:val="nil"/>
              <w:right w:val="nil"/>
            </w:tcBorders>
            <w:noWrap/>
            <w:vAlign w:val="center"/>
          </w:tcPr>
          <w:p w14:paraId="79533FBF">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0.8%</w:t>
            </w:r>
          </w:p>
        </w:tc>
        <w:tc>
          <w:tcPr>
            <w:tcW w:w="427" w:type="dxa"/>
            <w:gridSpan w:val="2"/>
            <w:tcBorders>
              <w:top w:val="single" w:color="auto" w:sz="4" w:space="0"/>
              <w:left w:val="nil"/>
              <w:bottom w:val="nil"/>
              <w:right w:val="nil"/>
            </w:tcBorders>
            <w:noWrap/>
            <w:vAlign w:val="center"/>
          </w:tcPr>
          <w:p w14:paraId="09C181C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31</w:t>
            </w:r>
          </w:p>
        </w:tc>
        <w:tc>
          <w:tcPr>
            <w:tcW w:w="879" w:type="dxa"/>
            <w:tcBorders>
              <w:top w:val="single" w:color="auto" w:sz="4" w:space="0"/>
              <w:left w:val="nil"/>
              <w:bottom w:val="nil"/>
              <w:right w:val="nil"/>
            </w:tcBorders>
            <w:noWrap/>
            <w:vAlign w:val="center"/>
          </w:tcPr>
          <w:p w14:paraId="5F9C0DF3">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2.3%</w:t>
            </w:r>
          </w:p>
        </w:tc>
        <w:tc>
          <w:tcPr>
            <w:tcW w:w="616" w:type="dxa"/>
            <w:tcBorders>
              <w:top w:val="single" w:color="auto" w:sz="4" w:space="0"/>
              <w:left w:val="nil"/>
              <w:bottom w:val="nil"/>
              <w:right w:val="nil"/>
            </w:tcBorders>
            <w:noWrap/>
            <w:vAlign w:val="center"/>
          </w:tcPr>
          <w:p w14:paraId="00D003A4">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880</w:t>
            </w:r>
          </w:p>
        </w:tc>
        <w:tc>
          <w:tcPr>
            <w:tcW w:w="831" w:type="dxa"/>
            <w:tcBorders>
              <w:top w:val="single" w:color="auto" w:sz="4" w:space="0"/>
              <w:left w:val="nil"/>
              <w:bottom w:val="nil"/>
              <w:right w:val="nil"/>
            </w:tcBorders>
            <w:noWrap/>
            <w:vAlign w:val="center"/>
          </w:tcPr>
          <w:p w14:paraId="47284E52">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64.4%</w:t>
            </w:r>
          </w:p>
        </w:tc>
      </w:tr>
      <w:tr w14:paraId="4ED8853F">
        <w:tblPrEx>
          <w:tblCellMar>
            <w:top w:w="0" w:type="dxa"/>
            <w:left w:w="108" w:type="dxa"/>
            <w:bottom w:w="0" w:type="dxa"/>
            <w:right w:w="108" w:type="dxa"/>
          </w:tblCellMar>
        </w:tblPrEx>
        <w:trPr>
          <w:trHeight w:val="259" w:hRule="atLeast"/>
        </w:trPr>
        <w:tc>
          <w:tcPr>
            <w:tcW w:w="3085" w:type="dxa"/>
            <w:gridSpan w:val="2"/>
            <w:tcBorders>
              <w:top w:val="single" w:color="auto" w:sz="4" w:space="0"/>
              <w:left w:val="nil"/>
              <w:bottom w:val="single" w:color="auto" w:sz="4" w:space="0"/>
              <w:right w:val="nil"/>
            </w:tcBorders>
            <w:noWrap/>
            <w:vAlign w:val="center"/>
          </w:tcPr>
          <w:p w14:paraId="7EA5EA4A">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Total</w:t>
            </w:r>
          </w:p>
        </w:tc>
        <w:tc>
          <w:tcPr>
            <w:tcW w:w="567" w:type="dxa"/>
            <w:tcBorders>
              <w:top w:val="single" w:color="auto" w:sz="4" w:space="0"/>
              <w:left w:val="nil"/>
              <w:bottom w:val="single" w:color="auto" w:sz="4" w:space="0"/>
              <w:right w:val="nil"/>
            </w:tcBorders>
            <w:noWrap/>
            <w:vAlign w:val="center"/>
          </w:tcPr>
          <w:p w14:paraId="3E1A0382">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912</w:t>
            </w:r>
          </w:p>
        </w:tc>
        <w:tc>
          <w:tcPr>
            <w:tcW w:w="828" w:type="dxa"/>
            <w:tcBorders>
              <w:top w:val="single" w:color="auto" w:sz="4" w:space="0"/>
              <w:left w:val="nil"/>
              <w:bottom w:val="single" w:color="auto" w:sz="4" w:space="0"/>
              <w:right w:val="nil"/>
            </w:tcBorders>
            <w:noWrap/>
            <w:vAlign w:val="center"/>
          </w:tcPr>
          <w:p w14:paraId="070557FD">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66.8%</w:t>
            </w:r>
          </w:p>
        </w:tc>
        <w:tc>
          <w:tcPr>
            <w:tcW w:w="419" w:type="dxa"/>
            <w:tcBorders>
              <w:top w:val="single" w:color="auto" w:sz="4" w:space="0"/>
              <w:left w:val="nil"/>
              <w:bottom w:val="single" w:color="auto" w:sz="4" w:space="0"/>
              <w:right w:val="nil"/>
            </w:tcBorders>
            <w:noWrap/>
            <w:vAlign w:val="center"/>
          </w:tcPr>
          <w:p w14:paraId="730D3C81">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74</w:t>
            </w:r>
          </w:p>
        </w:tc>
        <w:tc>
          <w:tcPr>
            <w:tcW w:w="880" w:type="dxa"/>
            <w:tcBorders>
              <w:top w:val="single" w:color="auto" w:sz="4" w:space="0"/>
              <w:left w:val="nil"/>
              <w:bottom w:val="single" w:color="auto" w:sz="4" w:space="0"/>
              <w:right w:val="nil"/>
            </w:tcBorders>
            <w:noWrap/>
            <w:vAlign w:val="center"/>
          </w:tcPr>
          <w:p w14:paraId="5DD71886">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5.4%</w:t>
            </w:r>
          </w:p>
        </w:tc>
        <w:tc>
          <w:tcPr>
            <w:tcW w:w="420" w:type="dxa"/>
            <w:tcBorders>
              <w:top w:val="single" w:color="auto" w:sz="4" w:space="0"/>
              <w:left w:val="nil"/>
              <w:bottom w:val="single" w:color="auto" w:sz="4" w:space="0"/>
              <w:right w:val="nil"/>
            </w:tcBorders>
            <w:noWrap/>
            <w:vAlign w:val="center"/>
          </w:tcPr>
          <w:p w14:paraId="1FD4A9AB">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11</w:t>
            </w:r>
          </w:p>
        </w:tc>
        <w:tc>
          <w:tcPr>
            <w:tcW w:w="880" w:type="dxa"/>
            <w:tcBorders>
              <w:top w:val="single" w:color="auto" w:sz="4" w:space="0"/>
              <w:left w:val="nil"/>
              <w:bottom w:val="single" w:color="auto" w:sz="4" w:space="0"/>
              <w:right w:val="nil"/>
            </w:tcBorders>
            <w:noWrap/>
            <w:vAlign w:val="center"/>
          </w:tcPr>
          <w:p w14:paraId="3C7DC88F">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0.8%</w:t>
            </w:r>
          </w:p>
        </w:tc>
        <w:tc>
          <w:tcPr>
            <w:tcW w:w="420" w:type="dxa"/>
            <w:tcBorders>
              <w:top w:val="single" w:color="auto" w:sz="4" w:space="0"/>
              <w:left w:val="nil"/>
              <w:bottom w:val="single" w:color="auto" w:sz="4" w:space="0"/>
              <w:right w:val="nil"/>
            </w:tcBorders>
            <w:noWrap/>
            <w:vAlign w:val="center"/>
          </w:tcPr>
          <w:p w14:paraId="4083DBB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60</w:t>
            </w:r>
          </w:p>
        </w:tc>
        <w:tc>
          <w:tcPr>
            <w:tcW w:w="880" w:type="dxa"/>
            <w:tcBorders>
              <w:top w:val="single" w:color="auto" w:sz="4" w:space="0"/>
              <w:left w:val="nil"/>
              <w:bottom w:val="single" w:color="auto" w:sz="4" w:space="0"/>
              <w:right w:val="nil"/>
            </w:tcBorders>
            <w:noWrap/>
            <w:vAlign w:val="center"/>
          </w:tcPr>
          <w:p w14:paraId="1D908CB7">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4.4%</w:t>
            </w:r>
          </w:p>
        </w:tc>
        <w:tc>
          <w:tcPr>
            <w:tcW w:w="516" w:type="dxa"/>
            <w:tcBorders>
              <w:top w:val="single" w:color="auto" w:sz="4" w:space="0"/>
              <w:left w:val="nil"/>
              <w:bottom w:val="single" w:color="auto" w:sz="4" w:space="0"/>
              <w:right w:val="nil"/>
            </w:tcBorders>
            <w:noWrap/>
            <w:vAlign w:val="center"/>
          </w:tcPr>
          <w:p w14:paraId="4D7319C7">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247</w:t>
            </w:r>
          </w:p>
        </w:tc>
        <w:tc>
          <w:tcPr>
            <w:tcW w:w="828" w:type="dxa"/>
            <w:tcBorders>
              <w:top w:val="single" w:color="auto" w:sz="4" w:space="0"/>
              <w:left w:val="nil"/>
              <w:bottom w:val="single" w:color="auto" w:sz="4" w:space="0"/>
              <w:right w:val="nil"/>
            </w:tcBorders>
            <w:noWrap/>
            <w:vAlign w:val="center"/>
          </w:tcPr>
          <w:p w14:paraId="53B0C434">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18.1%</w:t>
            </w:r>
          </w:p>
        </w:tc>
        <w:tc>
          <w:tcPr>
            <w:tcW w:w="420" w:type="dxa"/>
            <w:tcBorders>
              <w:top w:val="single" w:color="auto" w:sz="4" w:space="0"/>
              <w:left w:val="nil"/>
              <w:bottom w:val="single" w:color="auto" w:sz="4" w:space="0"/>
              <w:right w:val="nil"/>
            </w:tcBorders>
            <w:noWrap/>
            <w:vAlign w:val="center"/>
          </w:tcPr>
          <w:p w14:paraId="3F63E1B9">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16</w:t>
            </w:r>
          </w:p>
        </w:tc>
        <w:tc>
          <w:tcPr>
            <w:tcW w:w="884" w:type="dxa"/>
            <w:gridSpan w:val="2"/>
            <w:tcBorders>
              <w:top w:val="single" w:color="auto" w:sz="4" w:space="0"/>
              <w:left w:val="nil"/>
              <w:bottom w:val="single" w:color="auto" w:sz="4" w:space="0"/>
              <w:right w:val="nil"/>
            </w:tcBorders>
            <w:noWrap/>
            <w:vAlign w:val="center"/>
          </w:tcPr>
          <w:p w14:paraId="75D7401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1.2%</w:t>
            </w:r>
          </w:p>
        </w:tc>
        <w:tc>
          <w:tcPr>
            <w:tcW w:w="421" w:type="dxa"/>
            <w:tcBorders>
              <w:top w:val="single" w:color="auto" w:sz="4" w:space="0"/>
              <w:left w:val="nil"/>
              <w:bottom w:val="single" w:color="auto" w:sz="4" w:space="0"/>
              <w:right w:val="nil"/>
            </w:tcBorders>
            <w:noWrap/>
            <w:vAlign w:val="center"/>
          </w:tcPr>
          <w:p w14:paraId="5DC26993">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46</w:t>
            </w:r>
          </w:p>
        </w:tc>
        <w:tc>
          <w:tcPr>
            <w:tcW w:w="879" w:type="dxa"/>
            <w:tcBorders>
              <w:top w:val="single" w:color="auto" w:sz="4" w:space="0"/>
              <w:left w:val="nil"/>
              <w:bottom w:val="single" w:color="auto" w:sz="4" w:space="0"/>
              <w:right w:val="nil"/>
            </w:tcBorders>
            <w:noWrap/>
            <w:vAlign w:val="center"/>
          </w:tcPr>
          <w:p w14:paraId="065927AA">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3.4%</w:t>
            </w:r>
          </w:p>
        </w:tc>
        <w:tc>
          <w:tcPr>
            <w:tcW w:w="616" w:type="dxa"/>
            <w:tcBorders>
              <w:top w:val="single" w:color="auto" w:sz="4" w:space="0"/>
              <w:left w:val="nil"/>
              <w:bottom w:val="single" w:color="auto" w:sz="4" w:space="0"/>
              <w:right w:val="nil"/>
            </w:tcBorders>
            <w:noWrap/>
            <w:vAlign w:val="center"/>
          </w:tcPr>
          <w:p w14:paraId="2553508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1366</w:t>
            </w:r>
          </w:p>
        </w:tc>
        <w:tc>
          <w:tcPr>
            <w:tcW w:w="831" w:type="dxa"/>
            <w:tcBorders>
              <w:top w:val="single" w:color="auto" w:sz="4" w:space="0"/>
              <w:left w:val="nil"/>
              <w:bottom w:val="single" w:color="auto" w:sz="4" w:space="0"/>
              <w:right w:val="nil"/>
            </w:tcBorders>
            <w:noWrap/>
            <w:vAlign w:val="center"/>
          </w:tcPr>
          <w:p w14:paraId="0844B4CB">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100%</w:t>
            </w:r>
          </w:p>
        </w:tc>
      </w:tr>
    </w:tbl>
    <w:p w14:paraId="3AA9F151">
      <w:pPr>
        <w:pStyle w:val="7"/>
      </w:pPr>
      <w:r>
        <w:rPr>
          <w:b/>
        </w:rPr>
        <w:br w:type="column"/>
      </w:r>
      <w:r>
        <w:rPr>
          <w:b/>
          <w:bCs w:val="0"/>
        </w:rPr>
        <w:t xml:space="preserve">Supplementary Table </w:t>
      </w:r>
      <w:r>
        <w:rPr>
          <w:rFonts w:hint="eastAsia"/>
          <w:b/>
          <w:bCs w:val="0"/>
          <w:lang w:val="en-US" w:eastAsia="zh-CN"/>
        </w:rPr>
        <w:t>19</w:t>
      </w:r>
      <w:r>
        <w:t xml:space="preserve"> | </w:t>
      </w:r>
      <w:r>
        <w:rPr>
          <w:rFonts w:hint="eastAsia"/>
          <w:lang w:val="en-US" w:eastAsia="zh-CN"/>
        </w:rPr>
        <w:t>Statistics of the number of complete core, complete flakes, and retouched tools for each layer</w:t>
      </w:r>
      <w:r>
        <w:t>.</w:t>
      </w:r>
    </w:p>
    <w:tbl>
      <w:tblPr>
        <w:tblStyle w:val="25"/>
        <w:tblW w:w="0" w:type="auto"/>
        <w:tblInd w:w="108"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72"/>
        <w:gridCol w:w="2037"/>
        <w:gridCol w:w="965"/>
        <w:gridCol w:w="965"/>
        <w:gridCol w:w="965"/>
        <w:gridCol w:w="966"/>
        <w:gridCol w:w="967"/>
        <w:gridCol w:w="967"/>
        <w:gridCol w:w="967"/>
        <w:gridCol w:w="967"/>
        <w:gridCol w:w="969"/>
        <w:gridCol w:w="969"/>
        <w:gridCol w:w="960"/>
      </w:tblGrid>
      <w:tr w14:paraId="3481632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72" w:type="dxa"/>
            <w:tcBorders>
              <w:bottom w:val="single" w:color="auto" w:sz="4" w:space="0"/>
            </w:tcBorders>
          </w:tcPr>
          <w:p w14:paraId="016833A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eastAsia="等线"/>
                <w:i/>
                <w:iCs/>
                <w:color w:val="000000"/>
                <w:kern w:val="2"/>
                <w:sz w:val="20"/>
                <w:szCs w:val="20"/>
              </w:rPr>
            </w:pPr>
            <w:r>
              <w:rPr>
                <w:rFonts w:hint="eastAsia" w:eastAsia="等线"/>
                <w:i/>
                <w:iCs/>
                <w:color w:val="000000"/>
                <w:kern w:val="2"/>
                <w:sz w:val="20"/>
                <w:szCs w:val="20"/>
              </w:rPr>
              <w:t>Category</w:t>
            </w:r>
          </w:p>
        </w:tc>
        <w:tc>
          <w:tcPr>
            <w:tcW w:w="2066" w:type="dxa"/>
            <w:tcBorders>
              <w:bottom w:val="single" w:color="auto" w:sz="4" w:space="0"/>
            </w:tcBorders>
          </w:tcPr>
          <w:p w14:paraId="3FCF5A7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eastAsia="宋体"/>
                <w:b w:val="0"/>
                <w:bCs w:val="0"/>
                <w:kern w:val="2"/>
                <w:vertAlign w:val="baseline"/>
                <w:lang w:val="en-US" w:eastAsia="zh-CN"/>
              </w:rPr>
            </w:pPr>
            <w:r>
              <w:rPr>
                <w:rFonts w:hint="default" w:eastAsia="等线"/>
                <w:i/>
                <w:iCs/>
                <w:color w:val="000000"/>
                <w:kern w:val="2"/>
                <w:sz w:val="20"/>
                <w:szCs w:val="20"/>
              </w:rPr>
              <w:t>Techno-typology</w:t>
            </w:r>
          </w:p>
        </w:tc>
        <w:tc>
          <w:tcPr>
            <w:tcW w:w="982" w:type="dxa"/>
            <w:tcBorders>
              <w:bottom w:val="single" w:color="auto" w:sz="4" w:space="0"/>
            </w:tcBorders>
          </w:tcPr>
          <w:p w14:paraId="4868941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eastAsia="等线"/>
                <w:b w:val="0"/>
                <w:i/>
                <w:iCs/>
                <w:color w:val="000000"/>
                <w:kern w:val="2"/>
                <w:sz w:val="20"/>
                <w:szCs w:val="20"/>
                <w:vertAlign w:val="baseline"/>
                <w:lang w:val="en-US" w:eastAsia="zh-CN"/>
              </w:rPr>
            </w:pPr>
            <w:r>
              <w:rPr>
                <w:rFonts w:hint="default" w:eastAsia="等线"/>
                <w:b w:val="0"/>
                <w:i/>
                <w:iCs/>
                <w:color w:val="000000"/>
                <w:kern w:val="2"/>
                <w:sz w:val="20"/>
                <w:szCs w:val="20"/>
                <w:vertAlign w:val="baseline"/>
                <w:lang w:val="en-US" w:eastAsia="zh-CN"/>
              </w:rPr>
              <w:t>Layer 3</w:t>
            </w:r>
          </w:p>
        </w:tc>
        <w:tc>
          <w:tcPr>
            <w:tcW w:w="982" w:type="dxa"/>
            <w:tcBorders>
              <w:bottom w:val="single" w:color="auto" w:sz="4" w:space="0"/>
            </w:tcBorders>
          </w:tcPr>
          <w:p w14:paraId="6DF88BE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eastAsia="等线"/>
                <w:b w:val="0"/>
                <w:i/>
                <w:iCs/>
                <w:color w:val="000000"/>
                <w:kern w:val="2"/>
                <w:sz w:val="20"/>
                <w:szCs w:val="20"/>
                <w:vertAlign w:val="baseline"/>
                <w:lang w:val="en-US" w:eastAsia="zh-CN"/>
              </w:rPr>
            </w:pPr>
            <w:r>
              <w:rPr>
                <w:rFonts w:hint="eastAsia" w:eastAsia="等线"/>
                <w:b w:val="0"/>
                <w:i/>
                <w:iCs/>
                <w:color w:val="000000"/>
                <w:kern w:val="2"/>
                <w:sz w:val="20"/>
                <w:szCs w:val="20"/>
                <w:vertAlign w:val="baseline"/>
                <w:lang w:val="en-US" w:eastAsia="zh-CN"/>
              </w:rPr>
              <w:t>Layer 4</w:t>
            </w:r>
          </w:p>
        </w:tc>
        <w:tc>
          <w:tcPr>
            <w:tcW w:w="982" w:type="dxa"/>
            <w:tcBorders>
              <w:bottom w:val="single" w:color="auto" w:sz="4" w:space="0"/>
            </w:tcBorders>
          </w:tcPr>
          <w:p w14:paraId="0E87B6A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eastAsia="等线"/>
                <w:b w:val="0"/>
                <w:i/>
                <w:iCs/>
                <w:color w:val="000000"/>
                <w:kern w:val="2"/>
                <w:sz w:val="20"/>
                <w:szCs w:val="20"/>
                <w:vertAlign w:val="baseline"/>
                <w:lang w:val="en-US" w:eastAsia="zh-CN"/>
              </w:rPr>
            </w:pPr>
            <w:r>
              <w:rPr>
                <w:rFonts w:hint="eastAsia" w:eastAsia="等线"/>
                <w:b w:val="0"/>
                <w:i/>
                <w:iCs/>
                <w:color w:val="000000"/>
                <w:kern w:val="2"/>
                <w:sz w:val="20"/>
                <w:szCs w:val="20"/>
                <w:vertAlign w:val="baseline"/>
                <w:lang w:val="en-US" w:eastAsia="zh-CN"/>
              </w:rPr>
              <w:t>Layer 5</w:t>
            </w:r>
          </w:p>
        </w:tc>
        <w:tc>
          <w:tcPr>
            <w:tcW w:w="983" w:type="dxa"/>
            <w:tcBorders>
              <w:bottom w:val="single" w:color="auto" w:sz="4" w:space="0"/>
            </w:tcBorders>
          </w:tcPr>
          <w:p w14:paraId="56C7B0D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eastAsia="等线"/>
                <w:b w:val="0"/>
                <w:i/>
                <w:iCs/>
                <w:color w:val="000000"/>
                <w:kern w:val="2"/>
                <w:sz w:val="20"/>
                <w:szCs w:val="20"/>
                <w:vertAlign w:val="baseline"/>
                <w:lang w:val="en-US"/>
              </w:rPr>
            </w:pPr>
            <w:r>
              <w:rPr>
                <w:rFonts w:hint="eastAsia" w:eastAsia="等线"/>
                <w:b w:val="0"/>
                <w:i/>
                <w:iCs/>
                <w:color w:val="000000"/>
                <w:kern w:val="2"/>
                <w:sz w:val="20"/>
                <w:szCs w:val="20"/>
                <w:vertAlign w:val="baseline"/>
                <w:lang w:val="en-US" w:eastAsia="zh-CN"/>
              </w:rPr>
              <w:t>Layer 6</w:t>
            </w:r>
          </w:p>
        </w:tc>
        <w:tc>
          <w:tcPr>
            <w:tcW w:w="984" w:type="dxa"/>
            <w:tcBorders>
              <w:bottom w:val="single" w:color="auto" w:sz="4" w:space="0"/>
            </w:tcBorders>
          </w:tcPr>
          <w:p w14:paraId="26927AF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eastAsia="等线"/>
                <w:b w:val="0"/>
                <w:i/>
                <w:iCs/>
                <w:color w:val="000000"/>
                <w:kern w:val="2"/>
                <w:sz w:val="20"/>
                <w:szCs w:val="20"/>
                <w:vertAlign w:val="baseline"/>
                <w:lang w:val="en-US"/>
              </w:rPr>
            </w:pPr>
            <w:r>
              <w:rPr>
                <w:rFonts w:hint="eastAsia" w:eastAsia="等线"/>
                <w:b w:val="0"/>
                <w:i/>
                <w:iCs/>
                <w:color w:val="000000"/>
                <w:kern w:val="2"/>
                <w:sz w:val="20"/>
                <w:szCs w:val="20"/>
                <w:vertAlign w:val="baseline"/>
                <w:lang w:val="en-US" w:eastAsia="zh-CN"/>
              </w:rPr>
              <w:t>Layer 7</w:t>
            </w:r>
          </w:p>
        </w:tc>
        <w:tc>
          <w:tcPr>
            <w:tcW w:w="984" w:type="dxa"/>
            <w:tcBorders>
              <w:bottom w:val="single" w:color="auto" w:sz="4" w:space="0"/>
            </w:tcBorders>
          </w:tcPr>
          <w:p w14:paraId="441358C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eastAsia="等线"/>
                <w:b w:val="0"/>
                <w:i/>
                <w:iCs/>
                <w:color w:val="000000"/>
                <w:kern w:val="2"/>
                <w:sz w:val="20"/>
                <w:szCs w:val="20"/>
                <w:vertAlign w:val="baseline"/>
                <w:lang w:val="en-US"/>
              </w:rPr>
            </w:pPr>
            <w:r>
              <w:rPr>
                <w:rFonts w:hint="eastAsia" w:eastAsia="等线"/>
                <w:b w:val="0"/>
                <w:i/>
                <w:iCs/>
                <w:color w:val="000000"/>
                <w:kern w:val="2"/>
                <w:sz w:val="20"/>
                <w:szCs w:val="20"/>
                <w:vertAlign w:val="baseline"/>
                <w:lang w:val="en-US" w:eastAsia="zh-CN"/>
              </w:rPr>
              <w:t>Layer 8</w:t>
            </w:r>
          </w:p>
        </w:tc>
        <w:tc>
          <w:tcPr>
            <w:tcW w:w="984" w:type="dxa"/>
            <w:tcBorders>
              <w:bottom w:val="single" w:color="auto" w:sz="4" w:space="0"/>
            </w:tcBorders>
          </w:tcPr>
          <w:p w14:paraId="3D798E3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eastAsia="等线"/>
                <w:b w:val="0"/>
                <w:i/>
                <w:iCs/>
                <w:color w:val="000000"/>
                <w:kern w:val="2"/>
                <w:sz w:val="20"/>
                <w:szCs w:val="20"/>
                <w:vertAlign w:val="baseline"/>
                <w:lang w:val="en-US"/>
              </w:rPr>
            </w:pPr>
            <w:r>
              <w:rPr>
                <w:rFonts w:hint="eastAsia" w:eastAsia="等线"/>
                <w:b w:val="0"/>
                <w:i/>
                <w:iCs/>
                <w:color w:val="000000"/>
                <w:kern w:val="2"/>
                <w:sz w:val="20"/>
                <w:szCs w:val="20"/>
                <w:vertAlign w:val="baseline"/>
                <w:lang w:val="en-US" w:eastAsia="zh-CN"/>
              </w:rPr>
              <w:t>Layer 9</w:t>
            </w:r>
          </w:p>
        </w:tc>
        <w:tc>
          <w:tcPr>
            <w:tcW w:w="984" w:type="dxa"/>
            <w:tcBorders>
              <w:bottom w:val="single" w:color="auto" w:sz="4" w:space="0"/>
            </w:tcBorders>
          </w:tcPr>
          <w:p w14:paraId="198495C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eastAsia="等线"/>
                <w:b w:val="0"/>
                <w:i/>
                <w:iCs/>
                <w:color w:val="000000"/>
                <w:kern w:val="2"/>
                <w:sz w:val="20"/>
                <w:szCs w:val="20"/>
                <w:vertAlign w:val="baseline"/>
                <w:lang w:val="en-US"/>
              </w:rPr>
            </w:pPr>
            <w:r>
              <w:rPr>
                <w:rFonts w:hint="eastAsia" w:eastAsia="等线"/>
                <w:b w:val="0"/>
                <w:i/>
                <w:iCs/>
                <w:color w:val="000000"/>
                <w:kern w:val="2"/>
                <w:sz w:val="20"/>
                <w:szCs w:val="20"/>
                <w:vertAlign w:val="baseline"/>
                <w:lang w:val="en-US" w:eastAsia="zh-CN"/>
              </w:rPr>
              <w:t>Layer 10</w:t>
            </w:r>
          </w:p>
        </w:tc>
        <w:tc>
          <w:tcPr>
            <w:tcW w:w="985" w:type="dxa"/>
            <w:tcBorders>
              <w:bottom w:val="single" w:color="auto" w:sz="4" w:space="0"/>
            </w:tcBorders>
          </w:tcPr>
          <w:p w14:paraId="227A710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eastAsia="等线"/>
                <w:b w:val="0"/>
                <w:i/>
                <w:iCs/>
                <w:color w:val="000000"/>
                <w:kern w:val="2"/>
                <w:sz w:val="20"/>
                <w:szCs w:val="20"/>
                <w:vertAlign w:val="baseline"/>
                <w:lang w:val="en-US"/>
              </w:rPr>
            </w:pPr>
            <w:r>
              <w:rPr>
                <w:rFonts w:hint="eastAsia" w:eastAsia="等线"/>
                <w:b w:val="0"/>
                <w:i/>
                <w:iCs/>
                <w:color w:val="000000"/>
                <w:kern w:val="2"/>
                <w:sz w:val="20"/>
                <w:szCs w:val="20"/>
                <w:vertAlign w:val="baseline"/>
                <w:lang w:val="en-US" w:eastAsia="zh-CN"/>
              </w:rPr>
              <w:t>Layer 11</w:t>
            </w:r>
          </w:p>
        </w:tc>
        <w:tc>
          <w:tcPr>
            <w:tcW w:w="985" w:type="dxa"/>
            <w:tcBorders>
              <w:bottom w:val="single" w:color="auto" w:sz="4" w:space="0"/>
            </w:tcBorders>
          </w:tcPr>
          <w:p w14:paraId="707FD15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eastAsia="等线"/>
                <w:b w:val="0"/>
                <w:i/>
                <w:iCs/>
                <w:color w:val="000000"/>
                <w:kern w:val="2"/>
                <w:sz w:val="20"/>
                <w:szCs w:val="20"/>
                <w:vertAlign w:val="baseline"/>
                <w:lang w:val="en-US"/>
              </w:rPr>
            </w:pPr>
            <w:r>
              <w:rPr>
                <w:rFonts w:hint="eastAsia" w:eastAsia="等线"/>
                <w:b w:val="0"/>
                <w:i/>
                <w:iCs/>
                <w:color w:val="000000"/>
                <w:kern w:val="2"/>
                <w:sz w:val="20"/>
                <w:szCs w:val="20"/>
                <w:vertAlign w:val="baseline"/>
                <w:lang w:val="en-US" w:eastAsia="zh-CN"/>
              </w:rPr>
              <w:t>Layer 12</w:t>
            </w:r>
          </w:p>
        </w:tc>
        <w:tc>
          <w:tcPr>
            <w:tcW w:w="979" w:type="dxa"/>
            <w:tcBorders>
              <w:bottom w:val="single" w:color="auto" w:sz="4" w:space="0"/>
            </w:tcBorders>
          </w:tcPr>
          <w:p w14:paraId="74CDDC8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eastAsia="等线"/>
                <w:b w:val="0"/>
                <w:i/>
                <w:iCs/>
                <w:color w:val="000000"/>
                <w:kern w:val="2"/>
                <w:sz w:val="20"/>
                <w:szCs w:val="20"/>
                <w:vertAlign w:val="baseline"/>
                <w:lang w:val="en-US" w:eastAsia="zh-CN"/>
              </w:rPr>
            </w:pPr>
            <w:r>
              <w:rPr>
                <w:rFonts w:hint="eastAsia" w:eastAsia="等线"/>
                <w:b w:val="0"/>
                <w:i/>
                <w:iCs/>
                <w:color w:val="000000"/>
                <w:kern w:val="2"/>
                <w:sz w:val="20"/>
                <w:szCs w:val="20"/>
                <w:vertAlign w:val="baseline"/>
                <w:lang w:val="en-US" w:eastAsia="zh-CN"/>
              </w:rPr>
              <w:t>Total</w:t>
            </w:r>
          </w:p>
        </w:tc>
      </w:tr>
      <w:tr w14:paraId="4B024E4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72" w:type="dxa"/>
            <w:vMerge w:val="restart"/>
            <w:tcBorders>
              <w:top w:val="single" w:color="auto" w:sz="4" w:space="0"/>
            </w:tcBorders>
          </w:tcPr>
          <w:p w14:paraId="461CAB3B">
            <w:pPr>
              <w:pStyle w:val="7"/>
              <w:keepNext w:val="0"/>
              <w:keepLines w:val="0"/>
              <w:widowControl/>
              <w:suppressLineNumbers w:val="0"/>
              <w:spacing w:before="0" w:beforeAutospacing="0" w:afterAutospacing="0"/>
              <w:ind w:left="0" w:right="0"/>
              <w:rPr>
                <w:rFonts w:hint="eastAsia"/>
                <w:b w:val="0"/>
                <w:bCs w:val="0"/>
                <w:kern w:val="2"/>
                <w:sz w:val="20"/>
                <w:szCs w:val="13"/>
                <w:vertAlign w:val="baseline"/>
                <w:lang w:val="en-US" w:eastAsia="zh-CN"/>
              </w:rPr>
            </w:pPr>
            <w:r>
              <w:rPr>
                <w:rFonts w:hint="eastAsia"/>
                <w:b w:val="0"/>
                <w:bCs w:val="0"/>
                <w:kern w:val="2"/>
                <w:sz w:val="20"/>
                <w:szCs w:val="13"/>
                <w:vertAlign w:val="baseline"/>
                <w:lang w:val="en-US" w:eastAsia="zh-CN"/>
              </w:rPr>
              <w:t>Complete</w:t>
            </w:r>
          </w:p>
          <w:p w14:paraId="7ED53E05">
            <w:pPr>
              <w:pStyle w:val="7"/>
              <w:keepNext w:val="0"/>
              <w:keepLines w:val="0"/>
              <w:widowControl/>
              <w:suppressLineNumbers w:val="0"/>
              <w:spacing w:before="0" w:beforeAutospacing="0" w:afterAutospacing="0"/>
              <w:ind w:left="0" w:right="0"/>
              <w:rPr>
                <w:rFonts w:hint="default"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Cores (n=187)</w:t>
            </w:r>
          </w:p>
        </w:tc>
        <w:tc>
          <w:tcPr>
            <w:tcW w:w="2066" w:type="dxa"/>
            <w:tcBorders>
              <w:top w:val="single" w:color="auto" w:sz="4" w:space="0"/>
            </w:tcBorders>
          </w:tcPr>
          <w:p w14:paraId="7BC54A70">
            <w:pPr>
              <w:pStyle w:val="7"/>
              <w:keepNext w:val="0"/>
              <w:keepLines w:val="0"/>
              <w:widowControl/>
              <w:suppressLineNumbers w:val="0"/>
              <w:spacing w:before="0" w:beforeAutospacing="0" w:afterAutospacing="0"/>
              <w:ind w:left="0" w:right="0"/>
              <w:rPr>
                <w:rFonts w:hint="default"/>
                <w:b w:val="0"/>
                <w:bCs w:val="0"/>
                <w:kern w:val="2"/>
                <w:vertAlign w:val="baseline"/>
              </w:rPr>
            </w:pPr>
            <w:r>
              <w:rPr>
                <w:rFonts w:hint="default" w:eastAsia="等线"/>
                <w:color w:val="000000"/>
                <w:kern w:val="2"/>
                <w:sz w:val="20"/>
                <w:szCs w:val="20"/>
              </w:rPr>
              <w:t>Initial core</w:t>
            </w:r>
          </w:p>
        </w:tc>
        <w:tc>
          <w:tcPr>
            <w:tcW w:w="982" w:type="dxa"/>
            <w:tcBorders>
              <w:top w:val="single" w:color="auto" w:sz="4" w:space="0"/>
            </w:tcBorders>
          </w:tcPr>
          <w:p w14:paraId="050C5F18">
            <w:pPr>
              <w:pStyle w:val="7"/>
              <w:keepNext w:val="0"/>
              <w:keepLines w:val="0"/>
              <w:widowControl/>
              <w:suppressLineNumbers w:val="0"/>
              <w:spacing w:before="0" w:beforeAutospacing="0" w:afterAutospacing="0"/>
              <w:ind w:left="0" w:right="0"/>
              <w:rPr>
                <w:rFonts w:hint="default"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2</w:t>
            </w:r>
          </w:p>
        </w:tc>
        <w:tc>
          <w:tcPr>
            <w:tcW w:w="982" w:type="dxa"/>
            <w:tcBorders>
              <w:top w:val="single" w:color="auto" w:sz="4" w:space="0"/>
            </w:tcBorders>
          </w:tcPr>
          <w:p w14:paraId="1C8B10DA">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2" w:type="dxa"/>
            <w:tcBorders>
              <w:top w:val="single" w:color="auto" w:sz="4" w:space="0"/>
            </w:tcBorders>
          </w:tcPr>
          <w:p w14:paraId="204AF4FE">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3" w:type="dxa"/>
            <w:tcBorders>
              <w:top w:val="single" w:color="auto" w:sz="4" w:space="0"/>
            </w:tcBorders>
          </w:tcPr>
          <w:p w14:paraId="358524F8">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Borders>
              <w:top w:val="single" w:color="auto" w:sz="4" w:space="0"/>
            </w:tcBorders>
          </w:tcPr>
          <w:p w14:paraId="24BA3C50">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Borders>
              <w:top w:val="single" w:color="auto" w:sz="4" w:space="0"/>
            </w:tcBorders>
          </w:tcPr>
          <w:p w14:paraId="15CE4FD4">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4" w:type="dxa"/>
            <w:tcBorders>
              <w:top w:val="single" w:color="auto" w:sz="4" w:space="0"/>
            </w:tcBorders>
          </w:tcPr>
          <w:p w14:paraId="3E4DF4CD">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3</w:t>
            </w:r>
          </w:p>
        </w:tc>
        <w:tc>
          <w:tcPr>
            <w:tcW w:w="984" w:type="dxa"/>
            <w:tcBorders>
              <w:top w:val="single" w:color="auto" w:sz="4" w:space="0"/>
            </w:tcBorders>
          </w:tcPr>
          <w:p w14:paraId="31B28E48">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5" w:type="dxa"/>
            <w:tcBorders>
              <w:top w:val="single" w:color="auto" w:sz="4" w:space="0"/>
            </w:tcBorders>
          </w:tcPr>
          <w:p w14:paraId="620D8EB4">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2</w:t>
            </w:r>
          </w:p>
        </w:tc>
        <w:tc>
          <w:tcPr>
            <w:tcW w:w="985" w:type="dxa"/>
            <w:tcBorders>
              <w:top w:val="single" w:color="auto" w:sz="4" w:space="0"/>
            </w:tcBorders>
          </w:tcPr>
          <w:p w14:paraId="4032859A">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2</w:t>
            </w:r>
          </w:p>
        </w:tc>
        <w:tc>
          <w:tcPr>
            <w:tcW w:w="979" w:type="dxa"/>
            <w:tcBorders>
              <w:top w:val="single" w:color="auto" w:sz="4" w:space="0"/>
            </w:tcBorders>
          </w:tcPr>
          <w:p w14:paraId="0319324B">
            <w:pPr>
              <w:pStyle w:val="7"/>
              <w:keepNext w:val="0"/>
              <w:keepLines w:val="0"/>
              <w:widowControl/>
              <w:suppressLineNumbers w:val="0"/>
              <w:spacing w:before="0" w:beforeAutospacing="0" w:afterAutospacing="0"/>
              <w:ind w:left="0" w:right="0"/>
              <w:rPr>
                <w:rFonts w:hint="default"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10</w:t>
            </w:r>
          </w:p>
        </w:tc>
      </w:tr>
      <w:tr w14:paraId="2028948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72" w:type="dxa"/>
            <w:vMerge w:val="continue"/>
          </w:tcPr>
          <w:p w14:paraId="70018241">
            <w:pPr>
              <w:pStyle w:val="7"/>
              <w:keepNext w:val="0"/>
              <w:keepLines w:val="0"/>
              <w:widowControl/>
              <w:suppressLineNumbers w:val="0"/>
              <w:spacing w:before="0" w:beforeAutospacing="0" w:afterAutospacing="0"/>
              <w:ind w:left="0" w:right="0"/>
              <w:rPr>
                <w:rFonts w:hint="default"/>
                <w:b w:val="0"/>
                <w:bCs w:val="0"/>
                <w:kern w:val="2"/>
                <w:vertAlign w:val="baseline"/>
              </w:rPr>
            </w:pPr>
          </w:p>
        </w:tc>
        <w:tc>
          <w:tcPr>
            <w:tcW w:w="2066" w:type="dxa"/>
          </w:tcPr>
          <w:p w14:paraId="44E28C2F">
            <w:pPr>
              <w:pStyle w:val="7"/>
              <w:keepNext w:val="0"/>
              <w:keepLines w:val="0"/>
              <w:widowControl/>
              <w:suppressLineNumbers w:val="0"/>
              <w:spacing w:before="0" w:beforeAutospacing="0" w:afterAutospacing="0"/>
              <w:ind w:left="0" w:right="0"/>
              <w:rPr>
                <w:rFonts w:hint="default"/>
                <w:b w:val="0"/>
                <w:bCs w:val="0"/>
                <w:kern w:val="2"/>
                <w:vertAlign w:val="baseline"/>
              </w:rPr>
            </w:pPr>
            <w:r>
              <w:rPr>
                <w:rFonts w:hint="default" w:eastAsia="等线"/>
                <w:color w:val="000000"/>
                <w:kern w:val="2"/>
                <w:sz w:val="20"/>
                <w:szCs w:val="20"/>
              </w:rPr>
              <w:t>Unifacial core</w:t>
            </w:r>
          </w:p>
        </w:tc>
        <w:tc>
          <w:tcPr>
            <w:tcW w:w="982" w:type="dxa"/>
          </w:tcPr>
          <w:p w14:paraId="314F3396">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4</w:t>
            </w:r>
          </w:p>
        </w:tc>
        <w:tc>
          <w:tcPr>
            <w:tcW w:w="982" w:type="dxa"/>
          </w:tcPr>
          <w:p w14:paraId="108B9A70">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2" w:type="dxa"/>
          </w:tcPr>
          <w:p w14:paraId="0B5BBED7">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3" w:type="dxa"/>
          </w:tcPr>
          <w:p w14:paraId="362ECA1D">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Pr>
          <w:p w14:paraId="46DAF368">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5</w:t>
            </w:r>
          </w:p>
        </w:tc>
        <w:tc>
          <w:tcPr>
            <w:tcW w:w="984" w:type="dxa"/>
          </w:tcPr>
          <w:p w14:paraId="5DF29B5A">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4" w:type="dxa"/>
          </w:tcPr>
          <w:p w14:paraId="2852A979">
            <w:pPr>
              <w:pStyle w:val="7"/>
              <w:keepNext w:val="0"/>
              <w:keepLines w:val="0"/>
              <w:widowControl/>
              <w:suppressLineNumbers w:val="0"/>
              <w:spacing w:before="0" w:beforeAutospacing="0" w:afterAutospacing="0"/>
              <w:ind w:left="0" w:right="0"/>
              <w:rPr>
                <w:rFonts w:hint="default"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47</w:t>
            </w:r>
          </w:p>
        </w:tc>
        <w:tc>
          <w:tcPr>
            <w:tcW w:w="984" w:type="dxa"/>
          </w:tcPr>
          <w:p w14:paraId="35467F04">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7</w:t>
            </w:r>
          </w:p>
        </w:tc>
        <w:tc>
          <w:tcPr>
            <w:tcW w:w="985" w:type="dxa"/>
          </w:tcPr>
          <w:p w14:paraId="74A8EF9D">
            <w:pPr>
              <w:pStyle w:val="7"/>
              <w:keepNext w:val="0"/>
              <w:keepLines w:val="0"/>
              <w:widowControl/>
              <w:suppressLineNumbers w:val="0"/>
              <w:spacing w:before="0" w:beforeAutospacing="0" w:afterAutospacing="0"/>
              <w:ind w:left="0" w:right="0"/>
              <w:rPr>
                <w:rFonts w:hint="default"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15</w:t>
            </w:r>
          </w:p>
        </w:tc>
        <w:tc>
          <w:tcPr>
            <w:tcW w:w="985" w:type="dxa"/>
          </w:tcPr>
          <w:p w14:paraId="23418387">
            <w:pPr>
              <w:pStyle w:val="7"/>
              <w:keepNext w:val="0"/>
              <w:keepLines w:val="0"/>
              <w:widowControl/>
              <w:suppressLineNumbers w:val="0"/>
              <w:spacing w:before="0" w:beforeAutospacing="0" w:afterAutospacing="0"/>
              <w:ind w:left="0" w:right="0"/>
              <w:rPr>
                <w:rFonts w:hint="default"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10</w:t>
            </w:r>
          </w:p>
        </w:tc>
        <w:tc>
          <w:tcPr>
            <w:tcW w:w="979" w:type="dxa"/>
          </w:tcPr>
          <w:p w14:paraId="78429483">
            <w:pPr>
              <w:pStyle w:val="7"/>
              <w:keepNext w:val="0"/>
              <w:keepLines w:val="0"/>
              <w:widowControl/>
              <w:suppressLineNumbers w:val="0"/>
              <w:spacing w:before="0" w:beforeAutospacing="0" w:afterAutospacing="0"/>
              <w:ind w:left="0" w:right="0"/>
              <w:rPr>
                <w:rFonts w:hint="default"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90</w:t>
            </w:r>
          </w:p>
        </w:tc>
      </w:tr>
      <w:tr w14:paraId="159CF11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72" w:type="dxa"/>
            <w:vMerge w:val="continue"/>
          </w:tcPr>
          <w:p w14:paraId="1CC1F6DA">
            <w:pPr>
              <w:pStyle w:val="7"/>
              <w:keepNext w:val="0"/>
              <w:keepLines w:val="0"/>
              <w:widowControl/>
              <w:suppressLineNumbers w:val="0"/>
              <w:spacing w:before="0" w:beforeAutospacing="0" w:afterAutospacing="0"/>
              <w:ind w:left="0" w:right="0"/>
              <w:rPr>
                <w:rFonts w:hint="default"/>
                <w:b w:val="0"/>
                <w:bCs w:val="0"/>
                <w:kern w:val="2"/>
                <w:vertAlign w:val="baseline"/>
              </w:rPr>
            </w:pPr>
          </w:p>
        </w:tc>
        <w:tc>
          <w:tcPr>
            <w:tcW w:w="2066" w:type="dxa"/>
          </w:tcPr>
          <w:p w14:paraId="5714010F">
            <w:pPr>
              <w:pStyle w:val="7"/>
              <w:keepNext w:val="0"/>
              <w:keepLines w:val="0"/>
              <w:widowControl/>
              <w:suppressLineNumbers w:val="0"/>
              <w:spacing w:before="0" w:beforeAutospacing="0" w:afterAutospacing="0"/>
              <w:ind w:left="0" w:right="0"/>
              <w:rPr>
                <w:rFonts w:hint="default"/>
                <w:b w:val="0"/>
                <w:bCs w:val="0"/>
                <w:kern w:val="2"/>
                <w:vertAlign w:val="baseline"/>
              </w:rPr>
            </w:pPr>
            <w:r>
              <w:rPr>
                <w:rFonts w:hint="default" w:eastAsia="等线"/>
                <w:color w:val="000000"/>
                <w:kern w:val="2"/>
                <w:sz w:val="20"/>
                <w:szCs w:val="20"/>
              </w:rPr>
              <w:t>Bifacial core</w:t>
            </w:r>
          </w:p>
        </w:tc>
        <w:tc>
          <w:tcPr>
            <w:tcW w:w="982" w:type="dxa"/>
          </w:tcPr>
          <w:p w14:paraId="15899712">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6</w:t>
            </w:r>
          </w:p>
        </w:tc>
        <w:tc>
          <w:tcPr>
            <w:tcW w:w="982" w:type="dxa"/>
          </w:tcPr>
          <w:p w14:paraId="7E79CC44">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2</w:t>
            </w:r>
          </w:p>
        </w:tc>
        <w:tc>
          <w:tcPr>
            <w:tcW w:w="982" w:type="dxa"/>
          </w:tcPr>
          <w:p w14:paraId="5B5CBA88">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3" w:type="dxa"/>
          </w:tcPr>
          <w:p w14:paraId="3731BEA8">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4" w:type="dxa"/>
          </w:tcPr>
          <w:p w14:paraId="423699D6">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5</w:t>
            </w:r>
          </w:p>
        </w:tc>
        <w:tc>
          <w:tcPr>
            <w:tcW w:w="984" w:type="dxa"/>
          </w:tcPr>
          <w:p w14:paraId="11E1378E">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2</w:t>
            </w:r>
          </w:p>
        </w:tc>
        <w:tc>
          <w:tcPr>
            <w:tcW w:w="984" w:type="dxa"/>
          </w:tcPr>
          <w:p w14:paraId="1C9D3258">
            <w:pPr>
              <w:pStyle w:val="7"/>
              <w:keepNext w:val="0"/>
              <w:keepLines w:val="0"/>
              <w:widowControl/>
              <w:suppressLineNumbers w:val="0"/>
              <w:spacing w:before="0" w:beforeAutospacing="0" w:afterAutospacing="0"/>
              <w:ind w:left="0" w:right="0"/>
              <w:rPr>
                <w:rFonts w:hint="default"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14</w:t>
            </w:r>
          </w:p>
        </w:tc>
        <w:tc>
          <w:tcPr>
            <w:tcW w:w="984" w:type="dxa"/>
          </w:tcPr>
          <w:p w14:paraId="2847BDD8">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5" w:type="dxa"/>
          </w:tcPr>
          <w:p w14:paraId="0859B89E">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4</w:t>
            </w:r>
          </w:p>
        </w:tc>
        <w:tc>
          <w:tcPr>
            <w:tcW w:w="985" w:type="dxa"/>
          </w:tcPr>
          <w:p w14:paraId="568803FE">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79" w:type="dxa"/>
          </w:tcPr>
          <w:p w14:paraId="0F532BEB">
            <w:pPr>
              <w:pStyle w:val="7"/>
              <w:keepNext w:val="0"/>
              <w:keepLines w:val="0"/>
              <w:widowControl/>
              <w:suppressLineNumbers w:val="0"/>
              <w:spacing w:before="0" w:beforeAutospacing="0" w:afterAutospacing="0"/>
              <w:ind w:left="0" w:right="0"/>
              <w:rPr>
                <w:rFonts w:hint="default"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35</w:t>
            </w:r>
          </w:p>
        </w:tc>
      </w:tr>
      <w:tr w14:paraId="760E8E4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72" w:type="dxa"/>
            <w:vMerge w:val="continue"/>
          </w:tcPr>
          <w:p w14:paraId="28E3902E">
            <w:pPr>
              <w:pStyle w:val="7"/>
              <w:keepNext w:val="0"/>
              <w:keepLines w:val="0"/>
              <w:widowControl/>
              <w:suppressLineNumbers w:val="0"/>
              <w:spacing w:before="0" w:beforeAutospacing="0" w:afterAutospacing="0"/>
              <w:ind w:left="0" w:right="0"/>
              <w:rPr>
                <w:rFonts w:hint="default"/>
                <w:b w:val="0"/>
                <w:bCs w:val="0"/>
                <w:kern w:val="2"/>
                <w:vertAlign w:val="baseline"/>
              </w:rPr>
            </w:pPr>
          </w:p>
        </w:tc>
        <w:tc>
          <w:tcPr>
            <w:tcW w:w="2066" w:type="dxa"/>
          </w:tcPr>
          <w:p w14:paraId="28570F9B">
            <w:pPr>
              <w:pStyle w:val="7"/>
              <w:keepNext w:val="0"/>
              <w:keepLines w:val="0"/>
              <w:widowControl/>
              <w:suppressLineNumbers w:val="0"/>
              <w:spacing w:before="0" w:beforeAutospacing="0" w:afterAutospacing="0"/>
              <w:ind w:left="0" w:right="0"/>
              <w:rPr>
                <w:rFonts w:hint="default"/>
                <w:b w:val="0"/>
                <w:bCs w:val="0"/>
                <w:kern w:val="2"/>
                <w:vertAlign w:val="baseline"/>
              </w:rPr>
            </w:pPr>
            <w:r>
              <w:rPr>
                <w:rFonts w:hint="default" w:eastAsia="等线"/>
                <w:color w:val="000000"/>
                <w:kern w:val="2"/>
                <w:sz w:val="20"/>
                <w:szCs w:val="20"/>
              </w:rPr>
              <w:t>Multifacial core</w:t>
            </w:r>
          </w:p>
        </w:tc>
        <w:tc>
          <w:tcPr>
            <w:tcW w:w="982" w:type="dxa"/>
          </w:tcPr>
          <w:p w14:paraId="62EA7D34">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4</w:t>
            </w:r>
          </w:p>
        </w:tc>
        <w:tc>
          <w:tcPr>
            <w:tcW w:w="982" w:type="dxa"/>
          </w:tcPr>
          <w:p w14:paraId="697454BE">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2</w:t>
            </w:r>
          </w:p>
        </w:tc>
        <w:tc>
          <w:tcPr>
            <w:tcW w:w="982" w:type="dxa"/>
          </w:tcPr>
          <w:p w14:paraId="3AAA6B5C">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3" w:type="dxa"/>
          </w:tcPr>
          <w:p w14:paraId="6A2F9673">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Pr>
          <w:p w14:paraId="3A35AF31">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2</w:t>
            </w:r>
          </w:p>
        </w:tc>
        <w:tc>
          <w:tcPr>
            <w:tcW w:w="984" w:type="dxa"/>
          </w:tcPr>
          <w:p w14:paraId="03835F4D">
            <w:pPr>
              <w:pStyle w:val="7"/>
              <w:keepNext w:val="0"/>
              <w:keepLines w:val="0"/>
              <w:widowControl/>
              <w:suppressLineNumbers w:val="0"/>
              <w:spacing w:before="0" w:beforeAutospacing="0" w:afterAutospacing="0"/>
              <w:ind w:left="0" w:right="0"/>
              <w:rPr>
                <w:rFonts w:hint="default"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Pr>
          <w:p w14:paraId="3B2DDAFC">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7</w:t>
            </w:r>
          </w:p>
        </w:tc>
        <w:tc>
          <w:tcPr>
            <w:tcW w:w="984" w:type="dxa"/>
          </w:tcPr>
          <w:p w14:paraId="33F17139">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5" w:type="dxa"/>
          </w:tcPr>
          <w:p w14:paraId="6B975F35">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4</w:t>
            </w:r>
          </w:p>
        </w:tc>
        <w:tc>
          <w:tcPr>
            <w:tcW w:w="985" w:type="dxa"/>
          </w:tcPr>
          <w:p w14:paraId="1D204F7A">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79" w:type="dxa"/>
          </w:tcPr>
          <w:p w14:paraId="3F6A7951">
            <w:pPr>
              <w:pStyle w:val="7"/>
              <w:keepNext w:val="0"/>
              <w:keepLines w:val="0"/>
              <w:widowControl/>
              <w:suppressLineNumbers w:val="0"/>
              <w:spacing w:before="0" w:beforeAutospacing="0" w:afterAutospacing="0"/>
              <w:ind w:left="0" w:right="0"/>
              <w:rPr>
                <w:rFonts w:hint="default"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20</w:t>
            </w:r>
          </w:p>
        </w:tc>
      </w:tr>
      <w:tr w14:paraId="22CEA8A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72" w:type="dxa"/>
            <w:vMerge w:val="continue"/>
          </w:tcPr>
          <w:p w14:paraId="54217C6B">
            <w:pPr>
              <w:pStyle w:val="7"/>
              <w:keepNext w:val="0"/>
              <w:keepLines w:val="0"/>
              <w:widowControl/>
              <w:suppressLineNumbers w:val="0"/>
              <w:spacing w:before="0" w:beforeAutospacing="0" w:afterAutospacing="0"/>
              <w:ind w:left="0" w:right="0"/>
              <w:rPr>
                <w:rFonts w:hint="default"/>
                <w:b w:val="0"/>
                <w:bCs w:val="0"/>
                <w:kern w:val="2"/>
                <w:vertAlign w:val="baseline"/>
              </w:rPr>
            </w:pPr>
          </w:p>
        </w:tc>
        <w:tc>
          <w:tcPr>
            <w:tcW w:w="2066" w:type="dxa"/>
          </w:tcPr>
          <w:p w14:paraId="4A4EED48">
            <w:pPr>
              <w:pStyle w:val="7"/>
              <w:keepNext w:val="0"/>
              <w:keepLines w:val="0"/>
              <w:widowControl/>
              <w:suppressLineNumbers w:val="0"/>
              <w:spacing w:before="0" w:beforeAutospacing="0" w:afterAutospacing="0"/>
              <w:ind w:left="0" w:right="0"/>
              <w:rPr>
                <w:rFonts w:hint="default"/>
                <w:b w:val="0"/>
                <w:bCs w:val="0"/>
                <w:kern w:val="2"/>
                <w:vertAlign w:val="baseline"/>
              </w:rPr>
            </w:pPr>
            <w:r>
              <w:rPr>
                <w:rFonts w:hint="default" w:eastAsia="等线"/>
                <w:color w:val="000000"/>
                <w:kern w:val="2"/>
                <w:sz w:val="20"/>
                <w:szCs w:val="20"/>
              </w:rPr>
              <w:t>Centripetal core</w:t>
            </w:r>
          </w:p>
        </w:tc>
        <w:tc>
          <w:tcPr>
            <w:tcW w:w="982" w:type="dxa"/>
          </w:tcPr>
          <w:p w14:paraId="0CDF3DE8">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4</w:t>
            </w:r>
          </w:p>
        </w:tc>
        <w:tc>
          <w:tcPr>
            <w:tcW w:w="982" w:type="dxa"/>
          </w:tcPr>
          <w:p w14:paraId="6DF8BE9B">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2" w:type="dxa"/>
          </w:tcPr>
          <w:p w14:paraId="195E87AD">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3" w:type="dxa"/>
          </w:tcPr>
          <w:p w14:paraId="01B92AAB">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Pr>
          <w:p w14:paraId="6787FC23">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2</w:t>
            </w:r>
          </w:p>
        </w:tc>
        <w:tc>
          <w:tcPr>
            <w:tcW w:w="984" w:type="dxa"/>
          </w:tcPr>
          <w:p w14:paraId="69E28424">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4" w:type="dxa"/>
          </w:tcPr>
          <w:p w14:paraId="773F66EB">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6</w:t>
            </w:r>
          </w:p>
        </w:tc>
        <w:tc>
          <w:tcPr>
            <w:tcW w:w="984" w:type="dxa"/>
          </w:tcPr>
          <w:p w14:paraId="6078C03B">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5" w:type="dxa"/>
          </w:tcPr>
          <w:p w14:paraId="419BD3FB">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5" w:type="dxa"/>
          </w:tcPr>
          <w:p w14:paraId="39948547">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3</w:t>
            </w:r>
          </w:p>
        </w:tc>
        <w:tc>
          <w:tcPr>
            <w:tcW w:w="979" w:type="dxa"/>
          </w:tcPr>
          <w:p w14:paraId="632D6B9D">
            <w:pPr>
              <w:pStyle w:val="7"/>
              <w:keepNext w:val="0"/>
              <w:keepLines w:val="0"/>
              <w:widowControl/>
              <w:suppressLineNumbers w:val="0"/>
              <w:spacing w:before="0" w:beforeAutospacing="0" w:afterAutospacing="0"/>
              <w:ind w:left="0" w:right="0"/>
              <w:rPr>
                <w:rFonts w:hint="default"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17</w:t>
            </w:r>
          </w:p>
        </w:tc>
      </w:tr>
      <w:tr w14:paraId="6055354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72" w:type="dxa"/>
            <w:vMerge w:val="continue"/>
          </w:tcPr>
          <w:p w14:paraId="6BACC29C">
            <w:pPr>
              <w:pStyle w:val="7"/>
              <w:keepNext w:val="0"/>
              <w:keepLines w:val="0"/>
              <w:widowControl/>
              <w:suppressLineNumbers w:val="0"/>
              <w:spacing w:before="0" w:beforeAutospacing="0" w:afterAutospacing="0"/>
              <w:ind w:left="0" w:right="0"/>
              <w:rPr>
                <w:rFonts w:hint="default"/>
                <w:b w:val="0"/>
                <w:bCs w:val="0"/>
                <w:kern w:val="2"/>
                <w:vertAlign w:val="baseline"/>
              </w:rPr>
            </w:pPr>
          </w:p>
        </w:tc>
        <w:tc>
          <w:tcPr>
            <w:tcW w:w="2066" w:type="dxa"/>
          </w:tcPr>
          <w:p w14:paraId="6BDEFEA7">
            <w:pPr>
              <w:pStyle w:val="7"/>
              <w:keepNext w:val="0"/>
              <w:keepLines w:val="0"/>
              <w:widowControl/>
              <w:suppressLineNumbers w:val="0"/>
              <w:spacing w:before="0" w:beforeAutospacing="0" w:afterAutospacing="0"/>
              <w:ind w:left="0" w:right="0"/>
              <w:rPr>
                <w:rFonts w:hint="default"/>
                <w:b w:val="0"/>
                <w:bCs w:val="0"/>
                <w:kern w:val="2"/>
                <w:vertAlign w:val="baseline"/>
              </w:rPr>
            </w:pPr>
            <w:r>
              <w:rPr>
                <w:rFonts w:hint="default" w:eastAsia="等线"/>
                <w:color w:val="000000"/>
                <w:kern w:val="2"/>
                <w:sz w:val="20"/>
                <w:szCs w:val="20"/>
              </w:rPr>
              <w:t>Discoid core</w:t>
            </w:r>
          </w:p>
        </w:tc>
        <w:tc>
          <w:tcPr>
            <w:tcW w:w="982" w:type="dxa"/>
          </w:tcPr>
          <w:p w14:paraId="70CE0131">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2" w:type="dxa"/>
          </w:tcPr>
          <w:p w14:paraId="2A5821A9">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2" w:type="dxa"/>
          </w:tcPr>
          <w:p w14:paraId="719FD852">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3" w:type="dxa"/>
          </w:tcPr>
          <w:p w14:paraId="3B5677EE">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4" w:type="dxa"/>
          </w:tcPr>
          <w:p w14:paraId="03AEDD56">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Pr>
          <w:p w14:paraId="5DA1CF2C">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Pr>
          <w:p w14:paraId="4CDAB131">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2</w:t>
            </w:r>
          </w:p>
        </w:tc>
        <w:tc>
          <w:tcPr>
            <w:tcW w:w="984" w:type="dxa"/>
          </w:tcPr>
          <w:p w14:paraId="226D90AC">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5" w:type="dxa"/>
          </w:tcPr>
          <w:p w14:paraId="3C7AF5EC">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5" w:type="dxa"/>
          </w:tcPr>
          <w:p w14:paraId="2CBEFC28">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79" w:type="dxa"/>
          </w:tcPr>
          <w:p w14:paraId="7983C510">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4</w:t>
            </w:r>
          </w:p>
        </w:tc>
      </w:tr>
      <w:tr w14:paraId="2112B5F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72" w:type="dxa"/>
            <w:vMerge w:val="continue"/>
          </w:tcPr>
          <w:p w14:paraId="7BA31995">
            <w:pPr>
              <w:pStyle w:val="7"/>
              <w:keepNext w:val="0"/>
              <w:keepLines w:val="0"/>
              <w:widowControl/>
              <w:suppressLineNumbers w:val="0"/>
              <w:spacing w:before="0" w:beforeAutospacing="0" w:afterAutospacing="0"/>
              <w:ind w:left="0" w:right="0"/>
              <w:rPr>
                <w:rFonts w:hint="default"/>
                <w:b w:val="0"/>
                <w:bCs w:val="0"/>
                <w:kern w:val="2"/>
                <w:vertAlign w:val="baseline"/>
              </w:rPr>
            </w:pPr>
          </w:p>
        </w:tc>
        <w:tc>
          <w:tcPr>
            <w:tcW w:w="2066" w:type="dxa"/>
          </w:tcPr>
          <w:p w14:paraId="4A93A540">
            <w:pPr>
              <w:pStyle w:val="7"/>
              <w:keepNext w:val="0"/>
              <w:keepLines w:val="0"/>
              <w:widowControl/>
              <w:suppressLineNumbers w:val="0"/>
              <w:spacing w:before="0" w:beforeAutospacing="0" w:afterAutospacing="0"/>
              <w:ind w:left="0" w:right="0"/>
              <w:rPr>
                <w:rFonts w:hint="default"/>
                <w:b w:val="0"/>
                <w:bCs w:val="0"/>
                <w:kern w:val="2"/>
                <w:vertAlign w:val="baseline"/>
              </w:rPr>
            </w:pPr>
            <w:r>
              <w:rPr>
                <w:rFonts w:hint="default" w:eastAsia="等线"/>
                <w:color w:val="000000"/>
                <w:kern w:val="2"/>
                <w:sz w:val="20"/>
                <w:szCs w:val="20"/>
              </w:rPr>
              <w:t>Bipolar-on-anvil core</w:t>
            </w:r>
          </w:p>
        </w:tc>
        <w:tc>
          <w:tcPr>
            <w:tcW w:w="982" w:type="dxa"/>
          </w:tcPr>
          <w:p w14:paraId="35198A1D">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2" w:type="dxa"/>
          </w:tcPr>
          <w:p w14:paraId="7EAFD0AA">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2" w:type="dxa"/>
          </w:tcPr>
          <w:p w14:paraId="3C162A88">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3" w:type="dxa"/>
          </w:tcPr>
          <w:p w14:paraId="23B7DC5F">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Pr>
          <w:p w14:paraId="68391202">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4" w:type="dxa"/>
          </w:tcPr>
          <w:p w14:paraId="7402C890">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Pr>
          <w:p w14:paraId="7510C941">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4" w:type="dxa"/>
          </w:tcPr>
          <w:p w14:paraId="4E46BDB2">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5" w:type="dxa"/>
          </w:tcPr>
          <w:p w14:paraId="084373C2">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5" w:type="dxa"/>
          </w:tcPr>
          <w:p w14:paraId="11BD4F7F">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79" w:type="dxa"/>
          </w:tcPr>
          <w:p w14:paraId="1AE11776">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3</w:t>
            </w:r>
          </w:p>
        </w:tc>
      </w:tr>
      <w:tr w14:paraId="7AFA559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72" w:type="dxa"/>
            <w:vMerge w:val="continue"/>
            <w:tcBorders>
              <w:bottom w:val="single" w:color="auto" w:sz="4" w:space="0"/>
            </w:tcBorders>
          </w:tcPr>
          <w:p w14:paraId="7924CACD">
            <w:pPr>
              <w:pStyle w:val="7"/>
              <w:keepNext w:val="0"/>
              <w:keepLines w:val="0"/>
              <w:widowControl/>
              <w:suppressLineNumbers w:val="0"/>
              <w:spacing w:before="0" w:beforeAutospacing="0" w:afterAutospacing="0"/>
              <w:ind w:left="0" w:right="0"/>
              <w:rPr>
                <w:rFonts w:hint="default"/>
                <w:b w:val="0"/>
                <w:bCs w:val="0"/>
                <w:kern w:val="2"/>
                <w:vertAlign w:val="baseline"/>
              </w:rPr>
            </w:pPr>
          </w:p>
        </w:tc>
        <w:tc>
          <w:tcPr>
            <w:tcW w:w="2066" w:type="dxa"/>
            <w:tcBorders>
              <w:bottom w:val="single" w:color="auto" w:sz="4" w:space="0"/>
            </w:tcBorders>
          </w:tcPr>
          <w:p w14:paraId="12CF1B13">
            <w:pPr>
              <w:pStyle w:val="7"/>
              <w:keepNext w:val="0"/>
              <w:keepLines w:val="0"/>
              <w:widowControl/>
              <w:suppressLineNumbers w:val="0"/>
              <w:spacing w:before="0" w:beforeAutospacing="0" w:afterAutospacing="0"/>
              <w:ind w:left="0" w:right="0"/>
              <w:rPr>
                <w:rFonts w:hint="default"/>
                <w:b w:val="0"/>
                <w:bCs w:val="0"/>
                <w:kern w:val="2"/>
                <w:vertAlign w:val="baseline"/>
              </w:rPr>
            </w:pPr>
            <w:r>
              <w:rPr>
                <w:rFonts w:hint="default" w:eastAsia="等线"/>
                <w:color w:val="000000"/>
                <w:kern w:val="2"/>
                <w:sz w:val="20"/>
                <w:szCs w:val="20"/>
              </w:rPr>
              <w:t>Core-on-flake</w:t>
            </w:r>
          </w:p>
        </w:tc>
        <w:tc>
          <w:tcPr>
            <w:tcW w:w="982" w:type="dxa"/>
            <w:tcBorders>
              <w:bottom w:val="single" w:color="auto" w:sz="4" w:space="0"/>
            </w:tcBorders>
          </w:tcPr>
          <w:p w14:paraId="74B422B7">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2" w:type="dxa"/>
            <w:tcBorders>
              <w:bottom w:val="single" w:color="auto" w:sz="4" w:space="0"/>
            </w:tcBorders>
          </w:tcPr>
          <w:p w14:paraId="7D4546D6">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2" w:type="dxa"/>
            <w:tcBorders>
              <w:bottom w:val="single" w:color="auto" w:sz="4" w:space="0"/>
            </w:tcBorders>
          </w:tcPr>
          <w:p w14:paraId="6BA1B533">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3" w:type="dxa"/>
            <w:tcBorders>
              <w:bottom w:val="single" w:color="auto" w:sz="4" w:space="0"/>
            </w:tcBorders>
          </w:tcPr>
          <w:p w14:paraId="00B9CC5B">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4" w:type="dxa"/>
            <w:tcBorders>
              <w:bottom w:val="single" w:color="auto" w:sz="4" w:space="0"/>
            </w:tcBorders>
          </w:tcPr>
          <w:p w14:paraId="0B451184">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Borders>
              <w:bottom w:val="single" w:color="auto" w:sz="4" w:space="0"/>
            </w:tcBorders>
          </w:tcPr>
          <w:p w14:paraId="26F9FB96">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Borders>
              <w:bottom w:val="single" w:color="auto" w:sz="4" w:space="0"/>
            </w:tcBorders>
          </w:tcPr>
          <w:p w14:paraId="5E46F06F">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3</w:t>
            </w:r>
          </w:p>
        </w:tc>
        <w:tc>
          <w:tcPr>
            <w:tcW w:w="984" w:type="dxa"/>
            <w:tcBorders>
              <w:bottom w:val="single" w:color="auto" w:sz="4" w:space="0"/>
            </w:tcBorders>
          </w:tcPr>
          <w:p w14:paraId="096E0958">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5" w:type="dxa"/>
            <w:tcBorders>
              <w:bottom w:val="single" w:color="auto" w:sz="4" w:space="0"/>
            </w:tcBorders>
          </w:tcPr>
          <w:p w14:paraId="58488A0C">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5" w:type="dxa"/>
            <w:tcBorders>
              <w:bottom w:val="single" w:color="auto" w:sz="4" w:space="0"/>
            </w:tcBorders>
          </w:tcPr>
          <w:p w14:paraId="2B3C42EB">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79" w:type="dxa"/>
            <w:tcBorders>
              <w:bottom w:val="single" w:color="auto" w:sz="4" w:space="0"/>
            </w:tcBorders>
          </w:tcPr>
          <w:p w14:paraId="10E47836">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8</w:t>
            </w:r>
          </w:p>
        </w:tc>
      </w:tr>
      <w:tr w14:paraId="69448A9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72" w:type="dxa"/>
            <w:vMerge w:val="restart"/>
            <w:tcBorders>
              <w:top w:val="single" w:color="auto" w:sz="4" w:space="0"/>
            </w:tcBorders>
          </w:tcPr>
          <w:p w14:paraId="4E59E77E">
            <w:pPr>
              <w:pStyle w:val="7"/>
              <w:keepNext w:val="0"/>
              <w:keepLines w:val="0"/>
              <w:widowControl/>
              <w:suppressLineNumbers w:val="0"/>
              <w:spacing w:before="0" w:beforeAutospacing="0" w:afterAutospacing="0"/>
              <w:ind w:left="0" w:right="0"/>
              <w:rPr>
                <w:rFonts w:hint="eastAsia"/>
                <w:b w:val="0"/>
                <w:bCs w:val="0"/>
                <w:kern w:val="2"/>
                <w:sz w:val="20"/>
                <w:szCs w:val="13"/>
                <w:vertAlign w:val="baseline"/>
                <w:lang w:val="en-US" w:eastAsia="zh-CN"/>
              </w:rPr>
            </w:pPr>
            <w:r>
              <w:rPr>
                <w:rFonts w:hint="eastAsia"/>
                <w:b w:val="0"/>
                <w:bCs w:val="0"/>
                <w:kern w:val="2"/>
                <w:sz w:val="20"/>
                <w:szCs w:val="13"/>
                <w:vertAlign w:val="baseline"/>
                <w:lang w:val="en-US" w:eastAsia="zh-CN"/>
              </w:rPr>
              <w:t>Complete</w:t>
            </w:r>
          </w:p>
          <w:p w14:paraId="2D8C8D6B">
            <w:pPr>
              <w:pStyle w:val="7"/>
              <w:keepNext w:val="0"/>
              <w:keepLines w:val="0"/>
              <w:widowControl/>
              <w:suppressLineNumbers w:val="0"/>
              <w:spacing w:before="0" w:beforeAutospacing="0" w:afterAutospacing="0"/>
              <w:ind w:left="0" w:right="0"/>
              <w:rPr>
                <w:rFonts w:hint="eastAsia"/>
                <w:b w:val="0"/>
                <w:bCs w:val="0"/>
                <w:kern w:val="2"/>
                <w:sz w:val="20"/>
                <w:szCs w:val="13"/>
                <w:vertAlign w:val="baseline"/>
                <w:lang w:val="en-US" w:eastAsia="zh-CN"/>
              </w:rPr>
            </w:pPr>
            <w:r>
              <w:rPr>
                <w:rFonts w:hint="eastAsia"/>
                <w:b w:val="0"/>
                <w:bCs w:val="0"/>
                <w:kern w:val="2"/>
                <w:sz w:val="20"/>
                <w:szCs w:val="13"/>
                <w:vertAlign w:val="baseline"/>
                <w:lang w:val="en-US" w:eastAsia="zh-CN"/>
              </w:rPr>
              <w:t>Flakes</w:t>
            </w:r>
          </w:p>
          <w:p w14:paraId="42E5D209">
            <w:pPr>
              <w:keepNext w:val="0"/>
              <w:keepLines w:val="0"/>
              <w:widowControl/>
              <w:suppressLineNumbers w:val="0"/>
              <w:spacing w:before="0" w:beforeAutospacing="0" w:afterAutospacing="0"/>
              <w:ind w:left="0" w:right="0" w:firstLine="0"/>
              <w:rPr>
                <w:rFonts w:hint="default"/>
                <w:kern w:val="2"/>
                <w:lang w:val="en-US"/>
              </w:rPr>
            </w:pPr>
            <w:r>
              <w:rPr>
                <w:rFonts w:hint="eastAsia"/>
                <w:b w:val="0"/>
                <w:bCs w:val="0"/>
                <w:kern w:val="2"/>
                <w:sz w:val="20"/>
                <w:szCs w:val="13"/>
                <w:vertAlign w:val="baseline"/>
                <w:lang w:val="en-US" w:eastAsia="zh-CN"/>
              </w:rPr>
              <w:t>(n=135)</w:t>
            </w:r>
          </w:p>
        </w:tc>
        <w:tc>
          <w:tcPr>
            <w:tcW w:w="2066" w:type="dxa"/>
            <w:tcBorders>
              <w:top w:val="single" w:color="auto" w:sz="4" w:space="0"/>
            </w:tcBorders>
          </w:tcPr>
          <w:p w14:paraId="18867498">
            <w:pPr>
              <w:pStyle w:val="7"/>
              <w:keepNext w:val="0"/>
              <w:keepLines w:val="0"/>
              <w:widowControl/>
              <w:suppressLineNumbers w:val="0"/>
              <w:spacing w:before="0" w:beforeAutospacing="0" w:afterAutospacing="0"/>
              <w:ind w:left="0" w:right="0"/>
              <w:rPr>
                <w:rFonts w:hint="default"/>
                <w:b w:val="0"/>
                <w:bCs w:val="0"/>
                <w:kern w:val="2"/>
                <w:vertAlign w:val="baseline"/>
              </w:rPr>
            </w:pPr>
            <w:r>
              <w:rPr>
                <w:rFonts w:hint="default" w:eastAsia="等线"/>
                <w:color w:val="000000"/>
                <w:kern w:val="2"/>
                <w:sz w:val="20"/>
                <w:szCs w:val="20"/>
              </w:rPr>
              <w:t>Cortical flake</w:t>
            </w:r>
          </w:p>
        </w:tc>
        <w:tc>
          <w:tcPr>
            <w:tcW w:w="982" w:type="dxa"/>
            <w:tcBorders>
              <w:top w:val="single" w:color="auto" w:sz="4" w:space="0"/>
            </w:tcBorders>
          </w:tcPr>
          <w:p w14:paraId="015B8941">
            <w:pPr>
              <w:pStyle w:val="7"/>
              <w:keepNext w:val="0"/>
              <w:keepLines w:val="0"/>
              <w:widowControl/>
              <w:suppressLineNumbers w:val="0"/>
              <w:spacing w:before="0" w:beforeAutospacing="0" w:afterAutospacing="0"/>
              <w:ind w:left="0" w:right="0"/>
              <w:rPr>
                <w:rFonts w:hint="default"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20</w:t>
            </w:r>
          </w:p>
        </w:tc>
        <w:tc>
          <w:tcPr>
            <w:tcW w:w="982" w:type="dxa"/>
            <w:tcBorders>
              <w:top w:val="single" w:color="auto" w:sz="4" w:space="0"/>
            </w:tcBorders>
          </w:tcPr>
          <w:p w14:paraId="2617DFA9">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6</w:t>
            </w:r>
          </w:p>
        </w:tc>
        <w:tc>
          <w:tcPr>
            <w:tcW w:w="982" w:type="dxa"/>
            <w:tcBorders>
              <w:top w:val="single" w:color="auto" w:sz="4" w:space="0"/>
            </w:tcBorders>
          </w:tcPr>
          <w:p w14:paraId="0C4B9541">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3" w:type="dxa"/>
            <w:tcBorders>
              <w:top w:val="single" w:color="auto" w:sz="4" w:space="0"/>
            </w:tcBorders>
          </w:tcPr>
          <w:p w14:paraId="50EFB836">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2</w:t>
            </w:r>
          </w:p>
        </w:tc>
        <w:tc>
          <w:tcPr>
            <w:tcW w:w="984" w:type="dxa"/>
            <w:tcBorders>
              <w:top w:val="single" w:color="auto" w:sz="4" w:space="0"/>
            </w:tcBorders>
          </w:tcPr>
          <w:p w14:paraId="67C54F85">
            <w:pPr>
              <w:pStyle w:val="7"/>
              <w:keepNext w:val="0"/>
              <w:keepLines w:val="0"/>
              <w:widowControl/>
              <w:suppressLineNumbers w:val="0"/>
              <w:spacing w:before="0" w:beforeAutospacing="0" w:afterAutospacing="0"/>
              <w:ind w:left="0" w:right="0"/>
              <w:rPr>
                <w:rFonts w:hint="default"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24</w:t>
            </w:r>
          </w:p>
        </w:tc>
        <w:tc>
          <w:tcPr>
            <w:tcW w:w="984" w:type="dxa"/>
            <w:tcBorders>
              <w:top w:val="single" w:color="auto" w:sz="4" w:space="0"/>
            </w:tcBorders>
          </w:tcPr>
          <w:p w14:paraId="2796AE69">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2</w:t>
            </w:r>
          </w:p>
        </w:tc>
        <w:tc>
          <w:tcPr>
            <w:tcW w:w="984" w:type="dxa"/>
            <w:tcBorders>
              <w:top w:val="single" w:color="auto" w:sz="4" w:space="0"/>
            </w:tcBorders>
          </w:tcPr>
          <w:p w14:paraId="2700F71C">
            <w:pPr>
              <w:pStyle w:val="7"/>
              <w:keepNext w:val="0"/>
              <w:keepLines w:val="0"/>
              <w:widowControl/>
              <w:suppressLineNumbers w:val="0"/>
              <w:spacing w:before="0" w:beforeAutospacing="0" w:afterAutospacing="0"/>
              <w:ind w:left="0" w:right="0"/>
              <w:rPr>
                <w:rFonts w:hint="default"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12</w:t>
            </w:r>
          </w:p>
        </w:tc>
        <w:tc>
          <w:tcPr>
            <w:tcW w:w="984" w:type="dxa"/>
            <w:tcBorders>
              <w:top w:val="single" w:color="auto" w:sz="4" w:space="0"/>
            </w:tcBorders>
          </w:tcPr>
          <w:p w14:paraId="5A868BE3">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5" w:type="dxa"/>
            <w:tcBorders>
              <w:top w:val="single" w:color="auto" w:sz="4" w:space="0"/>
            </w:tcBorders>
          </w:tcPr>
          <w:p w14:paraId="50909AC8">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2</w:t>
            </w:r>
          </w:p>
        </w:tc>
        <w:tc>
          <w:tcPr>
            <w:tcW w:w="985" w:type="dxa"/>
            <w:tcBorders>
              <w:top w:val="single" w:color="auto" w:sz="4" w:space="0"/>
            </w:tcBorders>
          </w:tcPr>
          <w:p w14:paraId="20411B5C">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3</w:t>
            </w:r>
          </w:p>
        </w:tc>
        <w:tc>
          <w:tcPr>
            <w:tcW w:w="979" w:type="dxa"/>
            <w:tcBorders>
              <w:top w:val="single" w:color="auto" w:sz="4" w:space="0"/>
            </w:tcBorders>
          </w:tcPr>
          <w:p w14:paraId="06BB28D2">
            <w:pPr>
              <w:pStyle w:val="7"/>
              <w:keepNext w:val="0"/>
              <w:keepLines w:val="0"/>
              <w:widowControl/>
              <w:suppressLineNumbers w:val="0"/>
              <w:spacing w:before="0" w:beforeAutospacing="0" w:afterAutospacing="0"/>
              <w:ind w:left="0" w:right="0"/>
              <w:rPr>
                <w:rFonts w:hint="default"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71</w:t>
            </w:r>
          </w:p>
        </w:tc>
      </w:tr>
      <w:tr w14:paraId="4C0E858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72" w:type="dxa"/>
            <w:vMerge w:val="continue"/>
          </w:tcPr>
          <w:p w14:paraId="2A848CDF">
            <w:pPr>
              <w:pStyle w:val="7"/>
              <w:keepNext w:val="0"/>
              <w:keepLines w:val="0"/>
              <w:widowControl/>
              <w:suppressLineNumbers w:val="0"/>
              <w:spacing w:before="0" w:beforeAutospacing="0" w:afterAutospacing="0"/>
              <w:ind w:left="0" w:right="0"/>
              <w:rPr>
                <w:rFonts w:hint="default"/>
                <w:b w:val="0"/>
                <w:bCs w:val="0"/>
                <w:kern w:val="2"/>
                <w:vertAlign w:val="baseline"/>
              </w:rPr>
            </w:pPr>
          </w:p>
        </w:tc>
        <w:tc>
          <w:tcPr>
            <w:tcW w:w="2066" w:type="dxa"/>
          </w:tcPr>
          <w:p w14:paraId="7ACFBD17">
            <w:pPr>
              <w:pStyle w:val="7"/>
              <w:keepNext w:val="0"/>
              <w:keepLines w:val="0"/>
              <w:widowControl/>
              <w:suppressLineNumbers w:val="0"/>
              <w:spacing w:before="0" w:beforeAutospacing="0" w:afterAutospacing="0"/>
              <w:ind w:left="0" w:right="0"/>
              <w:rPr>
                <w:rFonts w:hint="default"/>
                <w:b w:val="0"/>
                <w:bCs w:val="0"/>
                <w:kern w:val="2"/>
                <w:vertAlign w:val="baseline"/>
              </w:rPr>
            </w:pPr>
            <w:r>
              <w:rPr>
                <w:rFonts w:hint="default" w:eastAsia="等线"/>
                <w:color w:val="000000"/>
                <w:kern w:val="2"/>
                <w:sz w:val="20"/>
                <w:szCs w:val="20"/>
              </w:rPr>
              <w:t>Unipolar flake</w:t>
            </w:r>
          </w:p>
        </w:tc>
        <w:tc>
          <w:tcPr>
            <w:tcW w:w="982" w:type="dxa"/>
          </w:tcPr>
          <w:p w14:paraId="25690366">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6</w:t>
            </w:r>
          </w:p>
        </w:tc>
        <w:tc>
          <w:tcPr>
            <w:tcW w:w="982" w:type="dxa"/>
          </w:tcPr>
          <w:p w14:paraId="239B22EC">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4</w:t>
            </w:r>
          </w:p>
        </w:tc>
        <w:tc>
          <w:tcPr>
            <w:tcW w:w="982" w:type="dxa"/>
          </w:tcPr>
          <w:p w14:paraId="52738C87">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3" w:type="dxa"/>
          </w:tcPr>
          <w:p w14:paraId="6C2548FD">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4" w:type="dxa"/>
          </w:tcPr>
          <w:p w14:paraId="19D1CD89">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5</w:t>
            </w:r>
          </w:p>
        </w:tc>
        <w:tc>
          <w:tcPr>
            <w:tcW w:w="984" w:type="dxa"/>
          </w:tcPr>
          <w:p w14:paraId="0FCE628B">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4" w:type="dxa"/>
          </w:tcPr>
          <w:p w14:paraId="57A330EE">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2</w:t>
            </w:r>
          </w:p>
        </w:tc>
        <w:tc>
          <w:tcPr>
            <w:tcW w:w="984" w:type="dxa"/>
          </w:tcPr>
          <w:p w14:paraId="29B0F7E6">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5" w:type="dxa"/>
          </w:tcPr>
          <w:p w14:paraId="1211B33A">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4</w:t>
            </w:r>
          </w:p>
        </w:tc>
        <w:tc>
          <w:tcPr>
            <w:tcW w:w="985" w:type="dxa"/>
          </w:tcPr>
          <w:p w14:paraId="2A23F907">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79" w:type="dxa"/>
          </w:tcPr>
          <w:p w14:paraId="0B62E738">
            <w:pPr>
              <w:pStyle w:val="7"/>
              <w:keepNext w:val="0"/>
              <w:keepLines w:val="0"/>
              <w:widowControl/>
              <w:suppressLineNumbers w:val="0"/>
              <w:spacing w:before="0" w:beforeAutospacing="0" w:afterAutospacing="0"/>
              <w:ind w:left="0" w:right="0"/>
              <w:rPr>
                <w:rFonts w:hint="default"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25</w:t>
            </w:r>
          </w:p>
        </w:tc>
      </w:tr>
      <w:tr w14:paraId="48EA53D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72" w:type="dxa"/>
            <w:vMerge w:val="continue"/>
          </w:tcPr>
          <w:p w14:paraId="4E2201FC">
            <w:pPr>
              <w:pStyle w:val="7"/>
              <w:keepNext w:val="0"/>
              <w:keepLines w:val="0"/>
              <w:widowControl/>
              <w:suppressLineNumbers w:val="0"/>
              <w:spacing w:before="0" w:beforeAutospacing="0" w:afterAutospacing="0"/>
              <w:ind w:left="0" w:right="0"/>
              <w:rPr>
                <w:rFonts w:hint="default"/>
                <w:b w:val="0"/>
                <w:bCs w:val="0"/>
                <w:kern w:val="2"/>
                <w:vertAlign w:val="baseline"/>
              </w:rPr>
            </w:pPr>
          </w:p>
        </w:tc>
        <w:tc>
          <w:tcPr>
            <w:tcW w:w="2066" w:type="dxa"/>
          </w:tcPr>
          <w:p w14:paraId="47937905">
            <w:pPr>
              <w:pStyle w:val="7"/>
              <w:keepNext w:val="0"/>
              <w:keepLines w:val="0"/>
              <w:widowControl/>
              <w:suppressLineNumbers w:val="0"/>
              <w:spacing w:before="0" w:beforeAutospacing="0" w:afterAutospacing="0"/>
              <w:ind w:left="0" w:right="0"/>
              <w:rPr>
                <w:rFonts w:hint="default"/>
                <w:b w:val="0"/>
                <w:bCs w:val="0"/>
                <w:kern w:val="2"/>
                <w:vertAlign w:val="baseline"/>
              </w:rPr>
            </w:pPr>
            <w:r>
              <w:rPr>
                <w:rFonts w:hint="default" w:eastAsia="等线"/>
                <w:color w:val="000000"/>
                <w:kern w:val="2"/>
                <w:sz w:val="20"/>
                <w:szCs w:val="20"/>
              </w:rPr>
              <w:t>Bipolar flake</w:t>
            </w:r>
          </w:p>
        </w:tc>
        <w:tc>
          <w:tcPr>
            <w:tcW w:w="982" w:type="dxa"/>
          </w:tcPr>
          <w:p w14:paraId="41D2E87D">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2" w:type="dxa"/>
          </w:tcPr>
          <w:p w14:paraId="361723DD">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2" w:type="dxa"/>
          </w:tcPr>
          <w:p w14:paraId="70092B49">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3" w:type="dxa"/>
          </w:tcPr>
          <w:p w14:paraId="2DA9EC67">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2</w:t>
            </w:r>
          </w:p>
        </w:tc>
        <w:tc>
          <w:tcPr>
            <w:tcW w:w="984" w:type="dxa"/>
          </w:tcPr>
          <w:p w14:paraId="37E57F7B">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Pr>
          <w:p w14:paraId="7556EE9F">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Pr>
          <w:p w14:paraId="0FF0E99B">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Pr>
          <w:p w14:paraId="792391D1">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5" w:type="dxa"/>
          </w:tcPr>
          <w:p w14:paraId="792CAA55">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5" w:type="dxa"/>
          </w:tcPr>
          <w:p w14:paraId="2D1C73F4">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79" w:type="dxa"/>
          </w:tcPr>
          <w:p w14:paraId="78986A73">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4</w:t>
            </w:r>
          </w:p>
        </w:tc>
      </w:tr>
      <w:tr w14:paraId="1B531ED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72" w:type="dxa"/>
            <w:vMerge w:val="continue"/>
          </w:tcPr>
          <w:p w14:paraId="7291586D">
            <w:pPr>
              <w:pStyle w:val="7"/>
              <w:keepNext w:val="0"/>
              <w:keepLines w:val="0"/>
              <w:widowControl/>
              <w:suppressLineNumbers w:val="0"/>
              <w:spacing w:before="0" w:beforeAutospacing="0" w:afterAutospacing="0"/>
              <w:ind w:left="0" w:right="0"/>
              <w:rPr>
                <w:rFonts w:hint="default"/>
                <w:b w:val="0"/>
                <w:bCs w:val="0"/>
                <w:kern w:val="2"/>
                <w:vertAlign w:val="baseline"/>
              </w:rPr>
            </w:pPr>
          </w:p>
        </w:tc>
        <w:tc>
          <w:tcPr>
            <w:tcW w:w="2066" w:type="dxa"/>
          </w:tcPr>
          <w:p w14:paraId="32FA1FA0">
            <w:pPr>
              <w:pStyle w:val="7"/>
              <w:keepNext w:val="0"/>
              <w:keepLines w:val="0"/>
              <w:widowControl/>
              <w:suppressLineNumbers w:val="0"/>
              <w:spacing w:before="0" w:beforeAutospacing="0" w:afterAutospacing="0"/>
              <w:ind w:left="0" w:right="0"/>
              <w:rPr>
                <w:rFonts w:hint="default"/>
                <w:b w:val="0"/>
                <w:bCs w:val="0"/>
                <w:kern w:val="2"/>
                <w:vertAlign w:val="baseline"/>
              </w:rPr>
            </w:pPr>
            <w:r>
              <w:rPr>
                <w:rFonts w:hint="default" w:eastAsia="等线"/>
                <w:color w:val="000000"/>
                <w:kern w:val="2"/>
                <w:sz w:val="20"/>
                <w:szCs w:val="20"/>
              </w:rPr>
              <w:t>Orthogonal flake</w:t>
            </w:r>
          </w:p>
        </w:tc>
        <w:tc>
          <w:tcPr>
            <w:tcW w:w="982" w:type="dxa"/>
          </w:tcPr>
          <w:p w14:paraId="2D141C44">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6</w:t>
            </w:r>
          </w:p>
        </w:tc>
        <w:tc>
          <w:tcPr>
            <w:tcW w:w="982" w:type="dxa"/>
          </w:tcPr>
          <w:p w14:paraId="11453A40">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2" w:type="dxa"/>
          </w:tcPr>
          <w:p w14:paraId="7867E021">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3" w:type="dxa"/>
          </w:tcPr>
          <w:p w14:paraId="4CD1148C">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Pr>
          <w:p w14:paraId="0FBC2B4C">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5</w:t>
            </w:r>
          </w:p>
        </w:tc>
        <w:tc>
          <w:tcPr>
            <w:tcW w:w="984" w:type="dxa"/>
          </w:tcPr>
          <w:p w14:paraId="15EF46F1">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Pr>
          <w:p w14:paraId="6D328D13">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2</w:t>
            </w:r>
          </w:p>
        </w:tc>
        <w:tc>
          <w:tcPr>
            <w:tcW w:w="984" w:type="dxa"/>
          </w:tcPr>
          <w:p w14:paraId="63384489">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5" w:type="dxa"/>
          </w:tcPr>
          <w:p w14:paraId="06F66249">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5" w:type="dxa"/>
          </w:tcPr>
          <w:p w14:paraId="00591264">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79" w:type="dxa"/>
          </w:tcPr>
          <w:p w14:paraId="5D7567D8">
            <w:pPr>
              <w:pStyle w:val="7"/>
              <w:keepNext w:val="0"/>
              <w:keepLines w:val="0"/>
              <w:widowControl/>
              <w:suppressLineNumbers w:val="0"/>
              <w:spacing w:before="0" w:beforeAutospacing="0" w:afterAutospacing="0"/>
              <w:ind w:left="0" w:right="0"/>
              <w:rPr>
                <w:rFonts w:hint="default"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15</w:t>
            </w:r>
          </w:p>
        </w:tc>
      </w:tr>
      <w:tr w14:paraId="51FF0D2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72" w:type="dxa"/>
            <w:vMerge w:val="continue"/>
          </w:tcPr>
          <w:p w14:paraId="1E9F31B3">
            <w:pPr>
              <w:pStyle w:val="7"/>
              <w:keepNext w:val="0"/>
              <w:keepLines w:val="0"/>
              <w:widowControl/>
              <w:suppressLineNumbers w:val="0"/>
              <w:spacing w:before="0" w:beforeAutospacing="0" w:afterAutospacing="0"/>
              <w:ind w:left="0" w:right="0"/>
              <w:rPr>
                <w:rFonts w:hint="default"/>
                <w:b w:val="0"/>
                <w:bCs w:val="0"/>
                <w:kern w:val="2"/>
                <w:vertAlign w:val="baseline"/>
              </w:rPr>
            </w:pPr>
          </w:p>
        </w:tc>
        <w:tc>
          <w:tcPr>
            <w:tcW w:w="2066" w:type="dxa"/>
          </w:tcPr>
          <w:p w14:paraId="7124FA59">
            <w:pPr>
              <w:pStyle w:val="7"/>
              <w:keepNext w:val="0"/>
              <w:keepLines w:val="0"/>
              <w:widowControl/>
              <w:suppressLineNumbers w:val="0"/>
              <w:spacing w:before="0" w:beforeAutospacing="0" w:afterAutospacing="0"/>
              <w:ind w:left="0" w:right="0"/>
              <w:rPr>
                <w:rFonts w:hint="default"/>
                <w:b w:val="0"/>
                <w:bCs w:val="0"/>
                <w:kern w:val="2"/>
                <w:vertAlign w:val="baseline"/>
              </w:rPr>
            </w:pPr>
            <w:r>
              <w:rPr>
                <w:rFonts w:hint="default" w:eastAsia="等线"/>
                <w:color w:val="000000"/>
                <w:kern w:val="2"/>
                <w:sz w:val="20"/>
                <w:szCs w:val="20"/>
              </w:rPr>
              <w:t>Naturally backed flake</w:t>
            </w:r>
          </w:p>
        </w:tc>
        <w:tc>
          <w:tcPr>
            <w:tcW w:w="982" w:type="dxa"/>
          </w:tcPr>
          <w:p w14:paraId="5FC62FA2">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2" w:type="dxa"/>
          </w:tcPr>
          <w:p w14:paraId="08E093BD">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2" w:type="dxa"/>
          </w:tcPr>
          <w:p w14:paraId="5B2A7332">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3" w:type="dxa"/>
          </w:tcPr>
          <w:p w14:paraId="7CEE8B3D">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4" w:type="dxa"/>
          </w:tcPr>
          <w:p w14:paraId="427C203A">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2</w:t>
            </w:r>
          </w:p>
        </w:tc>
        <w:tc>
          <w:tcPr>
            <w:tcW w:w="984" w:type="dxa"/>
          </w:tcPr>
          <w:p w14:paraId="3402D2C7">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4" w:type="dxa"/>
          </w:tcPr>
          <w:p w14:paraId="0BCD5C8D">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4" w:type="dxa"/>
          </w:tcPr>
          <w:p w14:paraId="5AF69EAA">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5" w:type="dxa"/>
          </w:tcPr>
          <w:p w14:paraId="7B50C081">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5" w:type="dxa"/>
          </w:tcPr>
          <w:p w14:paraId="2640943C">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79" w:type="dxa"/>
          </w:tcPr>
          <w:p w14:paraId="56334C66">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7</w:t>
            </w:r>
          </w:p>
        </w:tc>
      </w:tr>
      <w:tr w14:paraId="516FCFA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72" w:type="dxa"/>
            <w:vMerge w:val="continue"/>
          </w:tcPr>
          <w:p w14:paraId="3BA63065">
            <w:pPr>
              <w:pStyle w:val="7"/>
              <w:keepNext w:val="0"/>
              <w:keepLines w:val="0"/>
              <w:widowControl/>
              <w:suppressLineNumbers w:val="0"/>
              <w:spacing w:before="0" w:beforeAutospacing="0" w:afterAutospacing="0"/>
              <w:ind w:left="0" w:right="0"/>
              <w:rPr>
                <w:rFonts w:hint="default"/>
                <w:b w:val="0"/>
                <w:bCs w:val="0"/>
                <w:kern w:val="2"/>
                <w:vertAlign w:val="baseline"/>
              </w:rPr>
            </w:pPr>
          </w:p>
        </w:tc>
        <w:tc>
          <w:tcPr>
            <w:tcW w:w="2066" w:type="dxa"/>
          </w:tcPr>
          <w:p w14:paraId="2792B6A5">
            <w:pPr>
              <w:pStyle w:val="7"/>
              <w:keepNext w:val="0"/>
              <w:keepLines w:val="0"/>
              <w:widowControl/>
              <w:suppressLineNumbers w:val="0"/>
              <w:spacing w:before="0" w:beforeAutospacing="0" w:afterAutospacing="0"/>
              <w:ind w:left="0" w:right="0"/>
              <w:rPr>
                <w:rFonts w:hint="default"/>
                <w:b w:val="0"/>
                <w:bCs w:val="0"/>
                <w:kern w:val="2"/>
                <w:vertAlign w:val="baseline"/>
              </w:rPr>
            </w:pPr>
            <w:r>
              <w:rPr>
                <w:rFonts w:hint="default" w:eastAsia="等线"/>
                <w:color w:val="000000"/>
                <w:kern w:val="2"/>
                <w:sz w:val="20"/>
                <w:szCs w:val="20"/>
              </w:rPr>
              <w:t>Core-edge flake</w:t>
            </w:r>
          </w:p>
        </w:tc>
        <w:tc>
          <w:tcPr>
            <w:tcW w:w="982" w:type="dxa"/>
          </w:tcPr>
          <w:p w14:paraId="5033E03A">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2" w:type="dxa"/>
          </w:tcPr>
          <w:p w14:paraId="425A4780">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2" w:type="dxa"/>
          </w:tcPr>
          <w:p w14:paraId="24084A4D">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3" w:type="dxa"/>
          </w:tcPr>
          <w:p w14:paraId="74A10361">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Pr>
          <w:p w14:paraId="48AC9621">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4" w:type="dxa"/>
          </w:tcPr>
          <w:p w14:paraId="4AD3BAF9">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Pr>
          <w:p w14:paraId="77BD4CBF">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Pr>
          <w:p w14:paraId="01775BB1">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5" w:type="dxa"/>
          </w:tcPr>
          <w:p w14:paraId="6F032F96">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5" w:type="dxa"/>
          </w:tcPr>
          <w:p w14:paraId="1BFC2491">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79" w:type="dxa"/>
          </w:tcPr>
          <w:p w14:paraId="144886A1">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2</w:t>
            </w:r>
          </w:p>
        </w:tc>
      </w:tr>
      <w:tr w14:paraId="7C66E20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72" w:type="dxa"/>
            <w:vMerge w:val="continue"/>
          </w:tcPr>
          <w:p w14:paraId="5C89347B">
            <w:pPr>
              <w:pStyle w:val="7"/>
              <w:keepNext w:val="0"/>
              <w:keepLines w:val="0"/>
              <w:widowControl/>
              <w:suppressLineNumbers w:val="0"/>
              <w:spacing w:before="0" w:beforeAutospacing="0" w:afterAutospacing="0"/>
              <w:ind w:left="0" w:right="0"/>
              <w:rPr>
                <w:rFonts w:hint="default"/>
                <w:b w:val="0"/>
                <w:bCs w:val="0"/>
                <w:kern w:val="2"/>
                <w:vertAlign w:val="baseline"/>
              </w:rPr>
            </w:pPr>
          </w:p>
        </w:tc>
        <w:tc>
          <w:tcPr>
            <w:tcW w:w="2066" w:type="dxa"/>
          </w:tcPr>
          <w:p w14:paraId="30F4DE4A">
            <w:pPr>
              <w:pStyle w:val="7"/>
              <w:keepNext w:val="0"/>
              <w:keepLines w:val="0"/>
              <w:widowControl/>
              <w:suppressLineNumbers w:val="0"/>
              <w:spacing w:before="0" w:beforeAutospacing="0" w:afterAutospacing="0"/>
              <w:ind w:left="0" w:right="0"/>
              <w:rPr>
                <w:rFonts w:hint="default"/>
                <w:b w:val="0"/>
                <w:bCs w:val="0"/>
                <w:kern w:val="2"/>
                <w:vertAlign w:val="baseline"/>
              </w:rPr>
            </w:pPr>
            <w:r>
              <w:rPr>
                <w:rFonts w:hint="default" w:eastAsia="等线"/>
                <w:color w:val="000000"/>
                <w:kern w:val="2"/>
                <w:sz w:val="20"/>
                <w:szCs w:val="20"/>
              </w:rPr>
              <w:t>Kombewa flake</w:t>
            </w:r>
          </w:p>
        </w:tc>
        <w:tc>
          <w:tcPr>
            <w:tcW w:w="982" w:type="dxa"/>
          </w:tcPr>
          <w:p w14:paraId="02AC79CE">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2" w:type="dxa"/>
          </w:tcPr>
          <w:p w14:paraId="0825E5F6">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2" w:type="dxa"/>
          </w:tcPr>
          <w:p w14:paraId="75A5D6A9">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3" w:type="dxa"/>
          </w:tcPr>
          <w:p w14:paraId="19674F3D">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Pr>
          <w:p w14:paraId="4706716A">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Pr>
          <w:p w14:paraId="4F2F51C5">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Pr>
          <w:p w14:paraId="251C6592">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Pr>
          <w:p w14:paraId="5BC10C16">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5" w:type="dxa"/>
          </w:tcPr>
          <w:p w14:paraId="651716BB">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5" w:type="dxa"/>
          </w:tcPr>
          <w:p w14:paraId="5AEF6155">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79" w:type="dxa"/>
          </w:tcPr>
          <w:p w14:paraId="5430DDBD">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r>
      <w:tr w14:paraId="334F399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72" w:type="dxa"/>
            <w:vMerge w:val="continue"/>
          </w:tcPr>
          <w:p w14:paraId="7DE82F7A">
            <w:pPr>
              <w:pStyle w:val="7"/>
              <w:keepNext w:val="0"/>
              <w:keepLines w:val="0"/>
              <w:widowControl/>
              <w:suppressLineNumbers w:val="0"/>
              <w:spacing w:before="0" w:beforeAutospacing="0" w:afterAutospacing="0"/>
              <w:ind w:left="0" w:right="0"/>
              <w:rPr>
                <w:rFonts w:hint="default"/>
                <w:b w:val="0"/>
                <w:bCs w:val="0"/>
                <w:kern w:val="2"/>
                <w:vertAlign w:val="baseline"/>
              </w:rPr>
            </w:pPr>
          </w:p>
        </w:tc>
        <w:tc>
          <w:tcPr>
            <w:tcW w:w="2066" w:type="dxa"/>
          </w:tcPr>
          <w:p w14:paraId="4BBB4053">
            <w:pPr>
              <w:pStyle w:val="7"/>
              <w:keepNext w:val="0"/>
              <w:keepLines w:val="0"/>
              <w:widowControl/>
              <w:suppressLineNumbers w:val="0"/>
              <w:spacing w:before="0" w:beforeAutospacing="0" w:afterAutospacing="0"/>
              <w:ind w:left="0" w:right="0"/>
              <w:rPr>
                <w:rFonts w:hint="default" w:eastAsia="等线"/>
                <w:color w:val="000000"/>
                <w:kern w:val="2"/>
                <w:sz w:val="20"/>
                <w:szCs w:val="20"/>
              </w:rPr>
            </w:pPr>
            <w:r>
              <w:rPr>
                <w:rFonts w:hint="default" w:eastAsia="等线"/>
                <w:color w:val="000000"/>
                <w:kern w:val="2"/>
                <w:sz w:val="20"/>
                <w:szCs w:val="20"/>
              </w:rPr>
              <w:t>Bipolar-on-anvil flake</w:t>
            </w:r>
          </w:p>
        </w:tc>
        <w:tc>
          <w:tcPr>
            <w:tcW w:w="982" w:type="dxa"/>
          </w:tcPr>
          <w:p w14:paraId="449E671A">
            <w:pPr>
              <w:pStyle w:val="7"/>
              <w:keepNext w:val="0"/>
              <w:keepLines w:val="0"/>
              <w:widowControl/>
              <w:suppressLineNumbers w:val="0"/>
              <w:spacing w:before="0" w:beforeAutospacing="0" w:afterAutospacing="0"/>
              <w:ind w:left="0" w:right="0"/>
              <w:rPr>
                <w:rFonts w:hint="default"/>
                <w:b w:val="0"/>
                <w:bCs w:val="0"/>
                <w:kern w:val="2"/>
                <w:sz w:val="20"/>
                <w:szCs w:val="13"/>
                <w:vertAlign w:val="baseline"/>
                <w:lang w:val="en-US" w:eastAsia="zh-CN"/>
              </w:rPr>
            </w:pPr>
            <w:r>
              <w:rPr>
                <w:rFonts w:hint="eastAsia"/>
                <w:b w:val="0"/>
                <w:bCs w:val="0"/>
                <w:kern w:val="2"/>
                <w:sz w:val="20"/>
                <w:szCs w:val="13"/>
                <w:vertAlign w:val="baseline"/>
                <w:lang w:val="en-US" w:eastAsia="zh-CN"/>
              </w:rPr>
              <w:t>3</w:t>
            </w:r>
          </w:p>
        </w:tc>
        <w:tc>
          <w:tcPr>
            <w:tcW w:w="982" w:type="dxa"/>
          </w:tcPr>
          <w:p w14:paraId="0E18E2E1">
            <w:pPr>
              <w:pStyle w:val="7"/>
              <w:keepNext w:val="0"/>
              <w:keepLines w:val="0"/>
              <w:widowControl/>
              <w:suppressLineNumbers w:val="0"/>
              <w:spacing w:before="0" w:beforeAutospacing="0" w:afterAutospacing="0"/>
              <w:ind w:left="0" w:right="0"/>
              <w:rPr>
                <w:rFonts w:hint="default"/>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2" w:type="dxa"/>
          </w:tcPr>
          <w:p w14:paraId="299DDCB3">
            <w:pPr>
              <w:pStyle w:val="7"/>
              <w:keepNext w:val="0"/>
              <w:keepLines w:val="0"/>
              <w:widowControl/>
              <w:suppressLineNumbers w:val="0"/>
              <w:spacing w:before="0" w:beforeAutospacing="0" w:afterAutospacing="0"/>
              <w:ind w:left="0" w:right="0"/>
              <w:rPr>
                <w:rFonts w:hint="default"/>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3" w:type="dxa"/>
          </w:tcPr>
          <w:p w14:paraId="74EBAB03">
            <w:pPr>
              <w:pStyle w:val="7"/>
              <w:keepNext w:val="0"/>
              <w:keepLines w:val="0"/>
              <w:widowControl/>
              <w:suppressLineNumbers w:val="0"/>
              <w:spacing w:before="0" w:beforeAutospacing="0" w:afterAutospacing="0"/>
              <w:ind w:left="0" w:right="0"/>
              <w:rPr>
                <w:rFonts w:hint="default"/>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Pr>
          <w:p w14:paraId="15B2D67A">
            <w:pPr>
              <w:pStyle w:val="7"/>
              <w:keepNext w:val="0"/>
              <w:keepLines w:val="0"/>
              <w:widowControl/>
              <w:suppressLineNumbers w:val="0"/>
              <w:spacing w:before="0" w:beforeAutospacing="0" w:afterAutospacing="0"/>
              <w:ind w:left="0" w:right="0"/>
              <w:rPr>
                <w:rFonts w:hint="default"/>
                <w:b w:val="0"/>
                <w:bCs w:val="0"/>
                <w:kern w:val="2"/>
                <w:sz w:val="20"/>
                <w:szCs w:val="13"/>
                <w:vertAlign w:val="baseline"/>
                <w:lang w:val="en-US" w:eastAsia="zh-CN"/>
              </w:rPr>
            </w:pPr>
            <w:r>
              <w:rPr>
                <w:rFonts w:hint="eastAsia"/>
                <w:b w:val="0"/>
                <w:bCs w:val="0"/>
                <w:kern w:val="2"/>
                <w:sz w:val="20"/>
                <w:szCs w:val="13"/>
                <w:vertAlign w:val="baseline"/>
                <w:lang w:val="en-US" w:eastAsia="zh-CN"/>
              </w:rPr>
              <w:t>2</w:t>
            </w:r>
          </w:p>
        </w:tc>
        <w:tc>
          <w:tcPr>
            <w:tcW w:w="984" w:type="dxa"/>
          </w:tcPr>
          <w:p w14:paraId="2D2701D6">
            <w:pPr>
              <w:pStyle w:val="7"/>
              <w:keepNext w:val="0"/>
              <w:keepLines w:val="0"/>
              <w:widowControl/>
              <w:suppressLineNumbers w:val="0"/>
              <w:spacing w:before="0" w:beforeAutospacing="0" w:afterAutospacing="0"/>
              <w:ind w:left="0" w:right="0"/>
              <w:rPr>
                <w:rFonts w:hint="default"/>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Pr>
          <w:p w14:paraId="7B89ACAD">
            <w:pPr>
              <w:pStyle w:val="7"/>
              <w:keepNext w:val="0"/>
              <w:keepLines w:val="0"/>
              <w:widowControl/>
              <w:suppressLineNumbers w:val="0"/>
              <w:spacing w:before="0" w:beforeAutospacing="0" w:afterAutospacing="0"/>
              <w:ind w:left="0" w:right="0"/>
              <w:rPr>
                <w:rFonts w:hint="default"/>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Pr>
          <w:p w14:paraId="3FD06CC7">
            <w:pPr>
              <w:pStyle w:val="7"/>
              <w:keepNext w:val="0"/>
              <w:keepLines w:val="0"/>
              <w:widowControl/>
              <w:suppressLineNumbers w:val="0"/>
              <w:spacing w:before="0" w:beforeAutospacing="0" w:afterAutospacing="0"/>
              <w:ind w:left="0" w:right="0"/>
              <w:rPr>
                <w:rFonts w:hint="default"/>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5" w:type="dxa"/>
          </w:tcPr>
          <w:p w14:paraId="2284FF5E">
            <w:pPr>
              <w:pStyle w:val="7"/>
              <w:keepNext w:val="0"/>
              <w:keepLines w:val="0"/>
              <w:widowControl/>
              <w:suppressLineNumbers w:val="0"/>
              <w:spacing w:before="0" w:beforeAutospacing="0" w:afterAutospacing="0"/>
              <w:ind w:left="0" w:right="0"/>
              <w:rPr>
                <w:rFonts w:hint="default"/>
                <w:b w:val="0"/>
                <w:bCs w:val="0"/>
                <w:kern w:val="2"/>
                <w:sz w:val="20"/>
                <w:szCs w:val="13"/>
                <w:vertAlign w:val="baseline"/>
                <w:lang w:val="en-US" w:eastAsia="zh-CN"/>
              </w:rPr>
            </w:pPr>
            <w:r>
              <w:rPr>
                <w:rFonts w:hint="eastAsia"/>
                <w:b w:val="0"/>
                <w:bCs w:val="0"/>
                <w:kern w:val="2"/>
                <w:sz w:val="20"/>
                <w:szCs w:val="13"/>
                <w:vertAlign w:val="baseline"/>
                <w:lang w:val="en-US" w:eastAsia="zh-CN"/>
              </w:rPr>
              <w:t>2</w:t>
            </w:r>
          </w:p>
        </w:tc>
        <w:tc>
          <w:tcPr>
            <w:tcW w:w="985" w:type="dxa"/>
          </w:tcPr>
          <w:p w14:paraId="6767357D">
            <w:pPr>
              <w:pStyle w:val="7"/>
              <w:keepNext w:val="0"/>
              <w:keepLines w:val="0"/>
              <w:widowControl/>
              <w:suppressLineNumbers w:val="0"/>
              <w:spacing w:before="0" w:beforeAutospacing="0" w:afterAutospacing="0"/>
              <w:ind w:left="0" w:right="0"/>
              <w:rPr>
                <w:rFonts w:hint="default"/>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79" w:type="dxa"/>
          </w:tcPr>
          <w:p w14:paraId="1670A351">
            <w:pPr>
              <w:pStyle w:val="7"/>
              <w:keepNext w:val="0"/>
              <w:keepLines w:val="0"/>
              <w:widowControl/>
              <w:suppressLineNumbers w:val="0"/>
              <w:spacing w:before="0" w:beforeAutospacing="0" w:afterAutospacing="0"/>
              <w:ind w:left="0" w:right="0"/>
              <w:rPr>
                <w:rFonts w:hint="default"/>
                <w:b w:val="0"/>
                <w:bCs w:val="0"/>
                <w:kern w:val="2"/>
                <w:sz w:val="20"/>
                <w:szCs w:val="13"/>
                <w:vertAlign w:val="baseline"/>
                <w:lang w:val="en-US" w:eastAsia="zh-CN"/>
              </w:rPr>
            </w:pPr>
            <w:r>
              <w:rPr>
                <w:rFonts w:hint="eastAsia"/>
                <w:b w:val="0"/>
                <w:bCs w:val="0"/>
                <w:kern w:val="2"/>
                <w:sz w:val="20"/>
                <w:szCs w:val="13"/>
                <w:vertAlign w:val="baseline"/>
                <w:lang w:val="en-US" w:eastAsia="zh-CN"/>
              </w:rPr>
              <w:t>8</w:t>
            </w:r>
          </w:p>
        </w:tc>
      </w:tr>
      <w:tr w14:paraId="45D8D18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72" w:type="dxa"/>
            <w:vMerge w:val="continue"/>
            <w:tcBorders>
              <w:bottom w:val="single" w:color="auto" w:sz="4" w:space="0"/>
            </w:tcBorders>
          </w:tcPr>
          <w:p w14:paraId="12FA25D3">
            <w:pPr>
              <w:pStyle w:val="7"/>
              <w:keepNext w:val="0"/>
              <w:keepLines w:val="0"/>
              <w:widowControl/>
              <w:suppressLineNumbers w:val="0"/>
              <w:spacing w:before="0" w:beforeAutospacing="0" w:afterAutospacing="0"/>
              <w:ind w:left="0" w:right="0"/>
              <w:rPr>
                <w:rFonts w:hint="default"/>
                <w:b w:val="0"/>
                <w:bCs w:val="0"/>
                <w:kern w:val="2"/>
                <w:vertAlign w:val="baseline"/>
              </w:rPr>
            </w:pPr>
          </w:p>
        </w:tc>
        <w:tc>
          <w:tcPr>
            <w:tcW w:w="2066" w:type="dxa"/>
            <w:tcBorders>
              <w:bottom w:val="single" w:color="auto" w:sz="4" w:space="0"/>
            </w:tcBorders>
          </w:tcPr>
          <w:p w14:paraId="0A52BEC5">
            <w:pPr>
              <w:pStyle w:val="7"/>
              <w:keepNext w:val="0"/>
              <w:keepLines w:val="0"/>
              <w:widowControl/>
              <w:suppressLineNumbers w:val="0"/>
              <w:spacing w:before="0" w:beforeAutospacing="0" w:afterAutospacing="0"/>
              <w:ind w:left="0" w:right="0"/>
              <w:rPr>
                <w:rFonts w:hint="default"/>
                <w:b w:val="0"/>
                <w:bCs w:val="0"/>
                <w:kern w:val="2"/>
                <w:vertAlign w:val="baseline"/>
              </w:rPr>
            </w:pPr>
            <w:r>
              <w:rPr>
                <w:rFonts w:hint="eastAsia" w:eastAsia="等线"/>
                <w:color w:val="000000"/>
                <w:kern w:val="2"/>
                <w:sz w:val="20"/>
                <w:szCs w:val="20"/>
              </w:rPr>
              <w:t>Indeterminate</w:t>
            </w:r>
            <w:r>
              <w:rPr>
                <w:rFonts w:hint="default" w:eastAsia="等线"/>
                <w:color w:val="000000"/>
                <w:kern w:val="2"/>
                <w:sz w:val="20"/>
                <w:szCs w:val="20"/>
              </w:rPr>
              <w:t xml:space="preserve"> flake</w:t>
            </w:r>
          </w:p>
        </w:tc>
        <w:tc>
          <w:tcPr>
            <w:tcW w:w="982" w:type="dxa"/>
            <w:tcBorders>
              <w:bottom w:val="single" w:color="auto" w:sz="4" w:space="0"/>
            </w:tcBorders>
          </w:tcPr>
          <w:p w14:paraId="74649401">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2" w:type="dxa"/>
            <w:tcBorders>
              <w:bottom w:val="single" w:color="auto" w:sz="4" w:space="0"/>
            </w:tcBorders>
          </w:tcPr>
          <w:p w14:paraId="16A71250">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2" w:type="dxa"/>
            <w:tcBorders>
              <w:bottom w:val="single" w:color="auto" w:sz="4" w:space="0"/>
            </w:tcBorders>
          </w:tcPr>
          <w:p w14:paraId="6621D739">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3" w:type="dxa"/>
            <w:tcBorders>
              <w:bottom w:val="single" w:color="auto" w:sz="4" w:space="0"/>
            </w:tcBorders>
          </w:tcPr>
          <w:p w14:paraId="68CF0B22">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Borders>
              <w:bottom w:val="single" w:color="auto" w:sz="4" w:space="0"/>
            </w:tcBorders>
          </w:tcPr>
          <w:p w14:paraId="7BB13350">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4" w:type="dxa"/>
            <w:tcBorders>
              <w:bottom w:val="single" w:color="auto" w:sz="4" w:space="0"/>
            </w:tcBorders>
          </w:tcPr>
          <w:p w14:paraId="11E179AD">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Borders>
              <w:bottom w:val="single" w:color="auto" w:sz="4" w:space="0"/>
            </w:tcBorders>
          </w:tcPr>
          <w:p w14:paraId="6CE5E914">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Borders>
              <w:bottom w:val="single" w:color="auto" w:sz="4" w:space="0"/>
            </w:tcBorders>
          </w:tcPr>
          <w:p w14:paraId="0E50D5A3">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5" w:type="dxa"/>
            <w:tcBorders>
              <w:bottom w:val="single" w:color="auto" w:sz="4" w:space="0"/>
            </w:tcBorders>
          </w:tcPr>
          <w:p w14:paraId="0996C7DA">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5" w:type="dxa"/>
            <w:tcBorders>
              <w:bottom w:val="single" w:color="auto" w:sz="4" w:space="0"/>
            </w:tcBorders>
          </w:tcPr>
          <w:p w14:paraId="0987F3C0">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79" w:type="dxa"/>
            <w:tcBorders>
              <w:bottom w:val="single" w:color="auto" w:sz="4" w:space="0"/>
            </w:tcBorders>
          </w:tcPr>
          <w:p w14:paraId="5B9B69A0">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2</w:t>
            </w:r>
          </w:p>
        </w:tc>
      </w:tr>
      <w:tr w14:paraId="1E34A9B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72" w:type="dxa"/>
            <w:vMerge w:val="restart"/>
            <w:tcBorders>
              <w:top w:val="single" w:color="auto" w:sz="4" w:space="0"/>
            </w:tcBorders>
          </w:tcPr>
          <w:p w14:paraId="26794123">
            <w:pPr>
              <w:pStyle w:val="7"/>
              <w:keepNext w:val="0"/>
              <w:keepLines w:val="0"/>
              <w:widowControl/>
              <w:suppressLineNumbers w:val="0"/>
              <w:spacing w:before="0" w:beforeAutospacing="0" w:afterAutospacing="0"/>
              <w:ind w:left="0" w:right="0"/>
              <w:rPr>
                <w:rFonts w:hint="eastAsia"/>
                <w:b w:val="0"/>
                <w:bCs w:val="0"/>
                <w:kern w:val="2"/>
                <w:sz w:val="20"/>
                <w:szCs w:val="13"/>
                <w:vertAlign w:val="baseline"/>
                <w:lang w:val="en-US" w:eastAsia="zh-CN"/>
              </w:rPr>
            </w:pPr>
            <w:r>
              <w:rPr>
                <w:rFonts w:hint="eastAsia"/>
                <w:b w:val="0"/>
                <w:bCs w:val="0"/>
                <w:kern w:val="2"/>
                <w:sz w:val="20"/>
                <w:szCs w:val="13"/>
                <w:vertAlign w:val="baseline"/>
                <w:lang w:val="en-US" w:eastAsia="zh-CN"/>
              </w:rPr>
              <w:t>Retouched</w:t>
            </w:r>
          </w:p>
          <w:p w14:paraId="460FF809">
            <w:pPr>
              <w:pStyle w:val="7"/>
              <w:keepNext w:val="0"/>
              <w:keepLines w:val="0"/>
              <w:widowControl/>
              <w:suppressLineNumbers w:val="0"/>
              <w:spacing w:before="0" w:beforeAutospacing="0" w:afterAutospacing="0"/>
              <w:ind w:left="0" w:right="0"/>
              <w:rPr>
                <w:rFonts w:hint="eastAsia"/>
                <w:b w:val="0"/>
                <w:bCs w:val="0"/>
                <w:kern w:val="2"/>
                <w:sz w:val="20"/>
                <w:szCs w:val="13"/>
                <w:vertAlign w:val="baseline"/>
                <w:lang w:val="en-US" w:eastAsia="zh-CN"/>
              </w:rPr>
            </w:pPr>
            <w:r>
              <w:rPr>
                <w:rFonts w:hint="eastAsia"/>
                <w:b w:val="0"/>
                <w:bCs w:val="0"/>
                <w:kern w:val="2"/>
                <w:sz w:val="20"/>
                <w:szCs w:val="13"/>
                <w:vertAlign w:val="baseline"/>
                <w:lang w:val="en-US" w:eastAsia="zh-CN"/>
              </w:rPr>
              <w:t>Tools</w:t>
            </w:r>
          </w:p>
          <w:p w14:paraId="15AE7F1B">
            <w:pPr>
              <w:keepNext w:val="0"/>
              <w:keepLines w:val="0"/>
              <w:widowControl/>
              <w:suppressLineNumbers w:val="0"/>
              <w:spacing w:before="0" w:beforeAutospacing="0" w:afterAutospacing="0"/>
              <w:ind w:left="0" w:right="0" w:firstLine="0"/>
              <w:rPr>
                <w:rFonts w:hint="default"/>
                <w:kern w:val="2"/>
                <w:lang w:val="en-US" w:eastAsia="zh-CN"/>
              </w:rPr>
            </w:pPr>
            <w:r>
              <w:rPr>
                <w:rFonts w:hint="eastAsia"/>
                <w:b w:val="0"/>
                <w:bCs w:val="0"/>
                <w:kern w:val="2"/>
                <w:sz w:val="20"/>
                <w:szCs w:val="13"/>
                <w:vertAlign w:val="baseline"/>
                <w:lang w:val="en-US" w:eastAsia="zh-CN"/>
              </w:rPr>
              <w:t>(n=30)</w:t>
            </w:r>
          </w:p>
        </w:tc>
        <w:tc>
          <w:tcPr>
            <w:tcW w:w="2066" w:type="dxa"/>
            <w:tcBorders>
              <w:top w:val="single" w:color="auto" w:sz="4" w:space="0"/>
            </w:tcBorders>
          </w:tcPr>
          <w:p w14:paraId="77EB7EE4">
            <w:pPr>
              <w:pStyle w:val="7"/>
              <w:keepNext w:val="0"/>
              <w:keepLines w:val="0"/>
              <w:widowControl/>
              <w:suppressLineNumbers w:val="0"/>
              <w:spacing w:before="0" w:beforeAutospacing="0" w:afterAutospacing="0"/>
              <w:ind w:left="0" w:right="0"/>
              <w:rPr>
                <w:rFonts w:hint="default"/>
                <w:b w:val="0"/>
                <w:bCs w:val="0"/>
                <w:kern w:val="2"/>
                <w:vertAlign w:val="baseline"/>
              </w:rPr>
            </w:pPr>
            <w:r>
              <w:rPr>
                <w:rFonts w:hint="default" w:eastAsia="等线"/>
                <w:color w:val="000000"/>
                <w:kern w:val="2"/>
                <w:sz w:val="20"/>
                <w:szCs w:val="20"/>
              </w:rPr>
              <w:t>Scraper</w:t>
            </w:r>
          </w:p>
        </w:tc>
        <w:tc>
          <w:tcPr>
            <w:tcW w:w="982" w:type="dxa"/>
            <w:tcBorders>
              <w:top w:val="single" w:color="auto" w:sz="4" w:space="0"/>
            </w:tcBorders>
          </w:tcPr>
          <w:p w14:paraId="0BCEB628">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5</w:t>
            </w:r>
          </w:p>
        </w:tc>
        <w:tc>
          <w:tcPr>
            <w:tcW w:w="982" w:type="dxa"/>
            <w:tcBorders>
              <w:top w:val="single" w:color="auto" w:sz="4" w:space="0"/>
            </w:tcBorders>
          </w:tcPr>
          <w:p w14:paraId="23A4AEF6">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2" w:type="dxa"/>
            <w:tcBorders>
              <w:top w:val="single" w:color="auto" w:sz="4" w:space="0"/>
            </w:tcBorders>
          </w:tcPr>
          <w:p w14:paraId="180D26DD">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3" w:type="dxa"/>
            <w:tcBorders>
              <w:top w:val="single" w:color="auto" w:sz="4" w:space="0"/>
            </w:tcBorders>
          </w:tcPr>
          <w:p w14:paraId="37F3E017">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Borders>
              <w:top w:val="single" w:color="auto" w:sz="4" w:space="0"/>
            </w:tcBorders>
          </w:tcPr>
          <w:p w14:paraId="6C3554AD">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3</w:t>
            </w:r>
          </w:p>
        </w:tc>
        <w:tc>
          <w:tcPr>
            <w:tcW w:w="984" w:type="dxa"/>
            <w:tcBorders>
              <w:top w:val="single" w:color="auto" w:sz="4" w:space="0"/>
            </w:tcBorders>
          </w:tcPr>
          <w:p w14:paraId="2082C467">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4" w:type="dxa"/>
            <w:tcBorders>
              <w:top w:val="single" w:color="auto" w:sz="4" w:space="0"/>
            </w:tcBorders>
          </w:tcPr>
          <w:p w14:paraId="5A13C5EF">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4" w:type="dxa"/>
            <w:tcBorders>
              <w:top w:val="single" w:color="auto" w:sz="4" w:space="0"/>
            </w:tcBorders>
          </w:tcPr>
          <w:p w14:paraId="050A68ED">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5" w:type="dxa"/>
            <w:tcBorders>
              <w:top w:val="single" w:color="auto" w:sz="4" w:space="0"/>
            </w:tcBorders>
          </w:tcPr>
          <w:p w14:paraId="78E16644">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5" w:type="dxa"/>
            <w:tcBorders>
              <w:top w:val="single" w:color="auto" w:sz="4" w:space="0"/>
            </w:tcBorders>
          </w:tcPr>
          <w:p w14:paraId="5B8D1304">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79" w:type="dxa"/>
            <w:tcBorders>
              <w:top w:val="single" w:color="auto" w:sz="4" w:space="0"/>
            </w:tcBorders>
          </w:tcPr>
          <w:p w14:paraId="0F9A8B2B">
            <w:pPr>
              <w:pStyle w:val="7"/>
              <w:keepNext w:val="0"/>
              <w:keepLines w:val="0"/>
              <w:widowControl/>
              <w:suppressLineNumbers w:val="0"/>
              <w:spacing w:before="0" w:beforeAutospacing="0" w:afterAutospacing="0"/>
              <w:ind w:left="0" w:right="0"/>
              <w:rPr>
                <w:rFonts w:hint="default"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12</w:t>
            </w:r>
          </w:p>
        </w:tc>
      </w:tr>
      <w:tr w14:paraId="347163E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72" w:type="dxa"/>
            <w:vMerge w:val="continue"/>
          </w:tcPr>
          <w:p w14:paraId="5D34DF8F">
            <w:pPr>
              <w:pStyle w:val="7"/>
              <w:keepNext w:val="0"/>
              <w:keepLines w:val="0"/>
              <w:widowControl/>
              <w:suppressLineNumbers w:val="0"/>
              <w:spacing w:before="0" w:beforeAutospacing="0" w:afterAutospacing="0"/>
              <w:ind w:left="0" w:right="0"/>
              <w:rPr>
                <w:rFonts w:hint="default"/>
                <w:b w:val="0"/>
                <w:bCs w:val="0"/>
                <w:kern w:val="2"/>
                <w:vertAlign w:val="baseline"/>
              </w:rPr>
            </w:pPr>
          </w:p>
        </w:tc>
        <w:tc>
          <w:tcPr>
            <w:tcW w:w="2066" w:type="dxa"/>
          </w:tcPr>
          <w:p w14:paraId="438945D8">
            <w:pPr>
              <w:pStyle w:val="7"/>
              <w:keepNext w:val="0"/>
              <w:keepLines w:val="0"/>
              <w:widowControl/>
              <w:suppressLineNumbers w:val="0"/>
              <w:spacing w:before="0" w:beforeAutospacing="0" w:afterAutospacing="0"/>
              <w:ind w:left="0" w:right="0"/>
              <w:rPr>
                <w:rFonts w:hint="default"/>
                <w:b w:val="0"/>
                <w:bCs w:val="0"/>
                <w:kern w:val="2"/>
                <w:vertAlign w:val="baseline"/>
              </w:rPr>
            </w:pPr>
            <w:r>
              <w:rPr>
                <w:rFonts w:hint="default" w:eastAsia="等线"/>
                <w:color w:val="000000"/>
                <w:kern w:val="2"/>
                <w:sz w:val="20"/>
                <w:szCs w:val="20"/>
              </w:rPr>
              <w:t>Notch</w:t>
            </w:r>
          </w:p>
        </w:tc>
        <w:tc>
          <w:tcPr>
            <w:tcW w:w="982" w:type="dxa"/>
          </w:tcPr>
          <w:p w14:paraId="19001D1B">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2</w:t>
            </w:r>
          </w:p>
        </w:tc>
        <w:tc>
          <w:tcPr>
            <w:tcW w:w="982" w:type="dxa"/>
          </w:tcPr>
          <w:p w14:paraId="60305EEF">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2" w:type="dxa"/>
          </w:tcPr>
          <w:p w14:paraId="4974375D">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3" w:type="dxa"/>
          </w:tcPr>
          <w:p w14:paraId="6ADF70C2">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Pr>
          <w:p w14:paraId="4F5260D9">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3</w:t>
            </w:r>
          </w:p>
        </w:tc>
        <w:tc>
          <w:tcPr>
            <w:tcW w:w="984" w:type="dxa"/>
          </w:tcPr>
          <w:p w14:paraId="22D13F26">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Pr>
          <w:p w14:paraId="45144781">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Pr>
          <w:p w14:paraId="5D945078">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5" w:type="dxa"/>
          </w:tcPr>
          <w:p w14:paraId="1E7CDA49">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5" w:type="dxa"/>
          </w:tcPr>
          <w:p w14:paraId="33AA612A">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79" w:type="dxa"/>
          </w:tcPr>
          <w:p w14:paraId="7C39922D">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5</w:t>
            </w:r>
          </w:p>
        </w:tc>
      </w:tr>
      <w:tr w14:paraId="5B9F964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72" w:type="dxa"/>
            <w:vMerge w:val="continue"/>
          </w:tcPr>
          <w:p w14:paraId="296F27B6">
            <w:pPr>
              <w:pStyle w:val="7"/>
              <w:keepNext w:val="0"/>
              <w:keepLines w:val="0"/>
              <w:widowControl/>
              <w:suppressLineNumbers w:val="0"/>
              <w:spacing w:before="0" w:beforeAutospacing="0" w:afterAutospacing="0"/>
              <w:ind w:left="0" w:right="0"/>
              <w:rPr>
                <w:rFonts w:hint="default"/>
                <w:b w:val="0"/>
                <w:bCs w:val="0"/>
                <w:kern w:val="2"/>
                <w:vertAlign w:val="baseline"/>
              </w:rPr>
            </w:pPr>
          </w:p>
        </w:tc>
        <w:tc>
          <w:tcPr>
            <w:tcW w:w="2066" w:type="dxa"/>
          </w:tcPr>
          <w:p w14:paraId="09CB3215">
            <w:pPr>
              <w:pStyle w:val="7"/>
              <w:keepNext w:val="0"/>
              <w:keepLines w:val="0"/>
              <w:widowControl/>
              <w:suppressLineNumbers w:val="0"/>
              <w:spacing w:before="0" w:beforeAutospacing="0" w:afterAutospacing="0"/>
              <w:ind w:left="0" w:right="0"/>
              <w:rPr>
                <w:rFonts w:hint="default"/>
                <w:b w:val="0"/>
                <w:bCs w:val="0"/>
                <w:kern w:val="2"/>
                <w:vertAlign w:val="baseline"/>
              </w:rPr>
            </w:pPr>
            <w:r>
              <w:rPr>
                <w:rFonts w:hint="default" w:eastAsia="等线"/>
                <w:color w:val="000000"/>
                <w:kern w:val="2"/>
                <w:sz w:val="20"/>
                <w:szCs w:val="20"/>
              </w:rPr>
              <w:t>Denticulate</w:t>
            </w:r>
          </w:p>
        </w:tc>
        <w:tc>
          <w:tcPr>
            <w:tcW w:w="982" w:type="dxa"/>
          </w:tcPr>
          <w:p w14:paraId="1B00857C">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3</w:t>
            </w:r>
          </w:p>
        </w:tc>
        <w:tc>
          <w:tcPr>
            <w:tcW w:w="982" w:type="dxa"/>
          </w:tcPr>
          <w:p w14:paraId="777B61F6">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2" w:type="dxa"/>
          </w:tcPr>
          <w:p w14:paraId="1D74CEED">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3" w:type="dxa"/>
          </w:tcPr>
          <w:p w14:paraId="511B007D">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Pr>
          <w:p w14:paraId="5024E892">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Pr>
          <w:p w14:paraId="7BEFD667">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Pr>
          <w:p w14:paraId="1415C79F">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4" w:type="dxa"/>
          </w:tcPr>
          <w:p w14:paraId="5473EE2B">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5" w:type="dxa"/>
          </w:tcPr>
          <w:p w14:paraId="5AA53FF1">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5" w:type="dxa"/>
          </w:tcPr>
          <w:p w14:paraId="23D5C1B5">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79" w:type="dxa"/>
          </w:tcPr>
          <w:p w14:paraId="2CFA5A91">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6</w:t>
            </w:r>
          </w:p>
        </w:tc>
      </w:tr>
      <w:tr w14:paraId="288A10F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72" w:type="dxa"/>
            <w:vMerge w:val="continue"/>
          </w:tcPr>
          <w:p w14:paraId="405D8AAF">
            <w:pPr>
              <w:pStyle w:val="7"/>
              <w:keepNext w:val="0"/>
              <w:keepLines w:val="0"/>
              <w:widowControl/>
              <w:suppressLineNumbers w:val="0"/>
              <w:spacing w:before="0" w:beforeAutospacing="0" w:afterAutospacing="0"/>
              <w:ind w:left="0" w:right="0"/>
              <w:rPr>
                <w:rFonts w:hint="default"/>
                <w:b w:val="0"/>
                <w:bCs w:val="0"/>
                <w:kern w:val="2"/>
                <w:vertAlign w:val="baseline"/>
              </w:rPr>
            </w:pPr>
          </w:p>
        </w:tc>
        <w:tc>
          <w:tcPr>
            <w:tcW w:w="2066" w:type="dxa"/>
          </w:tcPr>
          <w:p w14:paraId="55BCAC2A">
            <w:pPr>
              <w:pStyle w:val="7"/>
              <w:keepNext w:val="0"/>
              <w:keepLines w:val="0"/>
              <w:widowControl/>
              <w:suppressLineNumbers w:val="0"/>
              <w:spacing w:before="0" w:beforeAutospacing="0" w:afterAutospacing="0"/>
              <w:ind w:left="0" w:right="0"/>
              <w:rPr>
                <w:rFonts w:hint="default" w:eastAsia="等线"/>
                <w:b w:val="0"/>
                <w:bCs w:val="0"/>
                <w:kern w:val="2"/>
                <w:vertAlign w:val="baseline"/>
                <w:lang w:val="en-US" w:eastAsia="zh-CN"/>
              </w:rPr>
            </w:pPr>
            <w:r>
              <w:rPr>
                <w:rFonts w:hint="eastAsia" w:eastAsia="等线"/>
                <w:color w:val="000000"/>
                <w:kern w:val="2"/>
                <w:sz w:val="20"/>
                <w:szCs w:val="20"/>
                <w:lang w:val="en-US" w:eastAsia="zh-CN"/>
              </w:rPr>
              <w:t>Chopper</w:t>
            </w:r>
          </w:p>
        </w:tc>
        <w:tc>
          <w:tcPr>
            <w:tcW w:w="982" w:type="dxa"/>
          </w:tcPr>
          <w:p w14:paraId="0D3E138F">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2" w:type="dxa"/>
          </w:tcPr>
          <w:p w14:paraId="3247DD74">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2" w:type="dxa"/>
          </w:tcPr>
          <w:p w14:paraId="573748E2">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3" w:type="dxa"/>
          </w:tcPr>
          <w:p w14:paraId="0FFAE961">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Pr>
          <w:p w14:paraId="1DBB261E">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Pr>
          <w:p w14:paraId="13DFAD84">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Pr>
          <w:p w14:paraId="74D11C66">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Pr>
          <w:p w14:paraId="245E0373">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5" w:type="dxa"/>
          </w:tcPr>
          <w:p w14:paraId="3FB17377">
            <w:pPr>
              <w:pStyle w:val="7"/>
              <w:keepNext w:val="0"/>
              <w:keepLines w:val="0"/>
              <w:widowControl/>
              <w:suppressLineNumbers w:val="0"/>
              <w:spacing w:before="0" w:beforeAutospacing="0" w:afterAutospacing="0"/>
              <w:ind w:left="0" w:right="0"/>
              <w:rPr>
                <w:rFonts w:hint="default"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5" w:type="dxa"/>
          </w:tcPr>
          <w:p w14:paraId="77657A75">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79" w:type="dxa"/>
          </w:tcPr>
          <w:p w14:paraId="0B228D51">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2</w:t>
            </w:r>
          </w:p>
        </w:tc>
      </w:tr>
      <w:tr w14:paraId="4F3CA47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72" w:type="dxa"/>
            <w:vMerge w:val="continue"/>
            <w:tcBorders>
              <w:bottom w:val="single" w:color="auto" w:sz="4" w:space="0"/>
            </w:tcBorders>
          </w:tcPr>
          <w:p w14:paraId="1CEB689A">
            <w:pPr>
              <w:pStyle w:val="7"/>
              <w:keepNext w:val="0"/>
              <w:keepLines w:val="0"/>
              <w:widowControl/>
              <w:suppressLineNumbers w:val="0"/>
              <w:spacing w:before="0" w:beforeAutospacing="0" w:afterAutospacing="0"/>
              <w:ind w:left="0" w:right="0"/>
              <w:rPr>
                <w:rFonts w:hint="default"/>
                <w:b w:val="0"/>
                <w:bCs w:val="0"/>
                <w:kern w:val="2"/>
                <w:vertAlign w:val="baseline"/>
              </w:rPr>
            </w:pPr>
          </w:p>
        </w:tc>
        <w:tc>
          <w:tcPr>
            <w:tcW w:w="2066" w:type="dxa"/>
            <w:tcBorders>
              <w:bottom w:val="single" w:color="auto" w:sz="4" w:space="0"/>
            </w:tcBorders>
          </w:tcPr>
          <w:p w14:paraId="65726B95">
            <w:pPr>
              <w:pStyle w:val="7"/>
              <w:keepNext w:val="0"/>
              <w:keepLines w:val="0"/>
              <w:widowControl/>
              <w:suppressLineNumbers w:val="0"/>
              <w:spacing w:before="0" w:beforeAutospacing="0" w:afterAutospacing="0"/>
              <w:ind w:left="0" w:right="0"/>
              <w:rPr>
                <w:rFonts w:hint="default" w:eastAsia="宋体"/>
                <w:b w:val="0"/>
                <w:bCs w:val="0"/>
                <w:kern w:val="2"/>
                <w:vertAlign w:val="baseline"/>
                <w:lang w:val="en-US" w:eastAsia="zh-CN"/>
              </w:rPr>
            </w:pPr>
            <w:r>
              <w:rPr>
                <w:rFonts w:hint="eastAsia" w:eastAsia="等线"/>
                <w:color w:val="000000"/>
                <w:kern w:val="2"/>
                <w:sz w:val="20"/>
                <w:szCs w:val="20"/>
                <w:lang w:val="en-US" w:eastAsia="zh-CN"/>
              </w:rPr>
              <w:t>Informal tool</w:t>
            </w:r>
          </w:p>
        </w:tc>
        <w:tc>
          <w:tcPr>
            <w:tcW w:w="982" w:type="dxa"/>
            <w:tcBorders>
              <w:bottom w:val="single" w:color="auto" w:sz="4" w:space="0"/>
            </w:tcBorders>
          </w:tcPr>
          <w:p w14:paraId="39D91276">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2</w:t>
            </w:r>
          </w:p>
        </w:tc>
        <w:tc>
          <w:tcPr>
            <w:tcW w:w="982" w:type="dxa"/>
            <w:tcBorders>
              <w:bottom w:val="single" w:color="auto" w:sz="4" w:space="0"/>
            </w:tcBorders>
          </w:tcPr>
          <w:p w14:paraId="70E33EBE">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2" w:type="dxa"/>
            <w:tcBorders>
              <w:bottom w:val="single" w:color="auto" w:sz="4" w:space="0"/>
            </w:tcBorders>
          </w:tcPr>
          <w:p w14:paraId="22E57053">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3" w:type="dxa"/>
            <w:tcBorders>
              <w:bottom w:val="single" w:color="auto" w:sz="4" w:space="0"/>
            </w:tcBorders>
          </w:tcPr>
          <w:p w14:paraId="5C68C231">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Borders>
              <w:bottom w:val="single" w:color="auto" w:sz="4" w:space="0"/>
            </w:tcBorders>
          </w:tcPr>
          <w:p w14:paraId="5AA856FC">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4" w:type="dxa"/>
            <w:tcBorders>
              <w:bottom w:val="single" w:color="auto" w:sz="4" w:space="0"/>
            </w:tcBorders>
          </w:tcPr>
          <w:p w14:paraId="7B42A13A">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4" w:type="dxa"/>
            <w:tcBorders>
              <w:bottom w:val="single" w:color="auto" w:sz="4" w:space="0"/>
            </w:tcBorders>
          </w:tcPr>
          <w:p w14:paraId="6A427E0C">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2</w:t>
            </w:r>
          </w:p>
        </w:tc>
        <w:tc>
          <w:tcPr>
            <w:tcW w:w="984" w:type="dxa"/>
            <w:tcBorders>
              <w:bottom w:val="single" w:color="auto" w:sz="4" w:space="0"/>
            </w:tcBorders>
          </w:tcPr>
          <w:p w14:paraId="79CC8A4F">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5" w:type="dxa"/>
            <w:tcBorders>
              <w:bottom w:val="single" w:color="auto" w:sz="4" w:space="0"/>
            </w:tcBorders>
          </w:tcPr>
          <w:p w14:paraId="6FEA2371">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85" w:type="dxa"/>
            <w:tcBorders>
              <w:bottom w:val="single" w:color="auto" w:sz="4" w:space="0"/>
            </w:tcBorders>
          </w:tcPr>
          <w:p w14:paraId="33E15A36">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0</w:t>
            </w:r>
          </w:p>
        </w:tc>
        <w:tc>
          <w:tcPr>
            <w:tcW w:w="979" w:type="dxa"/>
            <w:tcBorders>
              <w:bottom w:val="single" w:color="auto" w:sz="4" w:space="0"/>
            </w:tcBorders>
          </w:tcPr>
          <w:p w14:paraId="569BBC16">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5</w:t>
            </w:r>
          </w:p>
        </w:tc>
      </w:tr>
      <w:tr w14:paraId="62967CC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72" w:type="dxa"/>
            <w:tcBorders>
              <w:top w:val="single" w:color="auto" w:sz="4" w:space="0"/>
            </w:tcBorders>
          </w:tcPr>
          <w:p w14:paraId="07499B77">
            <w:pPr>
              <w:pStyle w:val="7"/>
              <w:keepNext w:val="0"/>
              <w:keepLines w:val="0"/>
              <w:widowControl/>
              <w:suppressLineNumbers w:val="0"/>
              <w:spacing w:before="0" w:beforeAutospacing="0" w:afterAutospacing="0"/>
              <w:ind w:left="0" w:right="0"/>
              <w:rPr>
                <w:rFonts w:hint="eastAsia" w:eastAsia="宋体"/>
                <w:b w:val="0"/>
                <w:bCs w:val="0"/>
                <w:kern w:val="2"/>
                <w:vertAlign w:val="baseline"/>
                <w:lang w:val="en-US" w:eastAsia="zh-CN"/>
              </w:rPr>
            </w:pPr>
            <w:r>
              <w:rPr>
                <w:rFonts w:hint="default" w:eastAsia="等线"/>
                <w:kern w:val="2"/>
                <w:sz w:val="20"/>
                <w:szCs w:val="20"/>
              </w:rPr>
              <w:t>Total</w:t>
            </w:r>
          </w:p>
        </w:tc>
        <w:tc>
          <w:tcPr>
            <w:tcW w:w="2066" w:type="dxa"/>
            <w:tcBorders>
              <w:top w:val="single" w:color="auto" w:sz="4" w:space="0"/>
            </w:tcBorders>
          </w:tcPr>
          <w:p w14:paraId="042015B7">
            <w:pPr>
              <w:pStyle w:val="7"/>
              <w:keepNext w:val="0"/>
              <w:keepLines w:val="0"/>
              <w:widowControl/>
              <w:suppressLineNumbers w:val="0"/>
              <w:spacing w:before="0" w:beforeAutospacing="0" w:afterAutospacing="0"/>
              <w:ind w:left="0" w:right="0"/>
              <w:rPr>
                <w:rFonts w:hint="eastAsia" w:eastAsia="等线"/>
                <w:color w:val="000000"/>
                <w:kern w:val="2"/>
                <w:sz w:val="20"/>
                <w:szCs w:val="20"/>
                <w:lang w:val="en-US" w:eastAsia="zh-CN"/>
              </w:rPr>
            </w:pPr>
          </w:p>
        </w:tc>
        <w:tc>
          <w:tcPr>
            <w:tcW w:w="982" w:type="dxa"/>
            <w:tcBorders>
              <w:top w:val="single" w:color="auto" w:sz="4" w:space="0"/>
            </w:tcBorders>
          </w:tcPr>
          <w:p w14:paraId="078B579D">
            <w:pPr>
              <w:pStyle w:val="7"/>
              <w:keepNext w:val="0"/>
              <w:keepLines w:val="0"/>
              <w:widowControl/>
              <w:suppressLineNumbers w:val="0"/>
              <w:spacing w:before="0" w:beforeAutospacing="0" w:afterAutospacing="0"/>
              <w:ind w:left="0" w:right="0"/>
              <w:rPr>
                <w:rFonts w:hint="default"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71</w:t>
            </w:r>
          </w:p>
        </w:tc>
        <w:tc>
          <w:tcPr>
            <w:tcW w:w="982" w:type="dxa"/>
            <w:tcBorders>
              <w:top w:val="single" w:color="auto" w:sz="4" w:space="0"/>
            </w:tcBorders>
          </w:tcPr>
          <w:p w14:paraId="172362E2">
            <w:pPr>
              <w:pStyle w:val="7"/>
              <w:keepNext w:val="0"/>
              <w:keepLines w:val="0"/>
              <w:widowControl/>
              <w:suppressLineNumbers w:val="0"/>
              <w:spacing w:before="0" w:beforeAutospacing="0" w:afterAutospacing="0"/>
              <w:ind w:left="0" w:right="0"/>
              <w:rPr>
                <w:rFonts w:hint="default"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22</w:t>
            </w:r>
          </w:p>
        </w:tc>
        <w:tc>
          <w:tcPr>
            <w:tcW w:w="982" w:type="dxa"/>
            <w:tcBorders>
              <w:top w:val="single" w:color="auto" w:sz="4" w:space="0"/>
            </w:tcBorders>
          </w:tcPr>
          <w:p w14:paraId="6CA9BEA5">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w:t>
            </w:r>
          </w:p>
        </w:tc>
        <w:tc>
          <w:tcPr>
            <w:tcW w:w="983" w:type="dxa"/>
            <w:tcBorders>
              <w:top w:val="single" w:color="auto" w:sz="4" w:space="0"/>
            </w:tcBorders>
          </w:tcPr>
          <w:p w14:paraId="0F40BD83">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9</w:t>
            </w:r>
          </w:p>
        </w:tc>
        <w:tc>
          <w:tcPr>
            <w:tcW w:w="984" w:type="dxa"/>
            <w:tcBorders>
              <w:top w:val="single" w:color="auto" w:sz="4" w:space="0"/>
            </w:tcBorders>
          </w:tcPr>
          <w:p w14:paraId="66AB9B3B">
            <w:pPr>
              <w:pStyle w:val="7"/>
              <w:keepNext w:val="0"/>
              <w:keepLines w:val="0"/>
              <w:widowControl/>
              <w:suppressLineNumbers w:val="0"/>
              <w:spacing w:before="0" w:beforeAutospacing="0" w:afterAutospacing="0"/>
              <w:ind w:left="0" w:right="0"/>
              <w:rPr>
                <w:rFonts w:hint="default"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62</w:t>
            </w:r>
          </w:p>
        </w:tc>
        <w:tc>
          <w:tcPr>
            <w:tcW w:w="984" w:type="dxa"/>
            <w:tcBorders>
              <w:top w:val="single" w:color="auto" w:sz="4" w:space="0"/>
            </w:tcBorders>
          </w:tcPr>
          <w:p w14:paraId="00CF74E9">
            <w:pPr>
              <w:pStyle w:val="7"/>
              <w:keepNext w:val="0"/>
              <w:keepLines w:val="0"/>
              <w:widowControl/>
              <w:suppressLineNumbers w:val="0"/>
              <w:spacing w:before="0" w:beforeAutospacing="0" w:afterAutospacing="0"/>
              <w:ind w:left="0" w:right="0"/>
              <w:rPr>
                <w:rFonts w:hint="default"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10</w:t>
            </w:r>
          </w:p>
        </w:tc>
        <w:tc>
          <w:tcPr>
            <w:tcW w:w="984" w:type="dxa"/>
            <w:tcBorders>
              <w:top w:val="single" w:color="auto" w:sz="4" w:space="0"/>
            </w:tcBorders>
          </w:tcPr>
          <w:p w14:paraId="2FE927FB">
            <w:pPr>
              <w:pStyle w:val="7"/>
              <w:keepNext w:val="0"/>
              <w:keepLines w:val="0"/>
              <w:widowControl/>
              <w:suppressLineNumbers w:val="0"/>
              <w:spacing w:before="0" w:beforeAutospacing="0" w:afterAutospacing="0"/>
              <w:ind w:left="0" w:right="0"/>
              <w:rPr>
                <w:rFonts w:hint="default"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104</w:t>
            </w:r>
          </w:p>
        </w:tc>
        <w:tc>
          <w:tcPr>
            <w:tcW w:w="984" w:type="dxa"/>
            <w:tcBorders>
              <w:top w:val="single" w:color="auto" w:sz="4" w:space="0"/>
            </w:tcBorders>
          </w:tcPr>
          <w:p w14:paraId="083AF315">
            <w:pPr>
              <w:pStyle w:val="7"/>
              <w:keepNext w:val="0"/>
              <w:keepLines w:val="0"/>
              <w:widowControl/>
              <w:suppressLineNumbers w:val="0"/>
              <w:spacing w:before="0" w:beforeAutospacing="0" w:afterAutospacing="0"/>
              <w:ind w:left="0" w:right="0"/>
              <w:rPr>
                <w:rFonts w:hint="eastAsia"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9</w:t>
            </w:r>
          </w:p>
        </w:tc>
        <w:tc>
          <w:tcPr>
            <w:tcW w:w="985" w:type="dxa"/>
            <w:tcBorders>
              <w:top w:val="single" w:color="auto" w:sz="4" w:space="0"/>
            </w:tcBorders>
          </w:tcPr>
          <w:p w14:paraId="422D18E0">
            <w:pPr>
              <w:pStyle w:val="7"/>
              <w:keepNext w:val="0"/>
              <w:keepLines w:val="0"/>
              <w:widowControl/>
              <w:suppressLineNumbers w:val="0"/>
              <w:spacing w:before="0" w:beforeAutospacing="0" w:afterAutospacing="0"/>
              <w:ind w:left="0" w:right="0"/>
              <w:rPr>
                <w:rFonts w:hint="default"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40</w:t>
            </w:r>
          </w:p>
        </w:tc>
        <w:tc>
          <w:tcPr>
            <w:tcW w:w="985" w:type="dxa"/>
            <w:tcBorders>
              <w:top w:val="single" w:color="auto" w:sz="4" w:space="0"/>
            </w:tcBorders>
          </w:tcPr>
          <w:p w14:paraId="5236831E">
            <w:pPr>
              <w:pStyle w:val="7"/>
              <w:keepNext w:val="0"/>
              <w:keepLines w:val="0"/>
              <w:widowControl/>
              <w:suppressLineNumbers w:val="0"/>
              <w:spacing w:before="0" w:beforeAutospacing="0" w:afterAutospacing="0"/>
              <w:ind w:left="0" w:right="0"/>
              <w:rPr>
                <w:rFonts w:hint="default"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24</w:t>
            </w:r>
          </w:p>
        </w:tc>
        <w:tc>
          <w:tcPr>
            <w:tcW w:w="979" w:type="dxa"/>
            <w:tcBorders>
              <w:top w:val="single" w:color="auto" w:sz="4" w:space="0"/>
            </w:tcBorders>
          </w:tcPr>
          <w:p w14:paraId="79CD9A30">
            <w:pPr>
              <w:pStyle w:val="7"/>
              <w:keepNext w:val="0"/>
              <w:keepLines w:val="0"/>
              <w:widowControl/>
              <w:suppressLineNumbers w:val="0"/>
              <w:spacing w:before="0" w:beforeAutospacing="0" w:afterAutospacing="0"/>
              <w:ind w:left="0" w:right="0"/>
              <w:rPr>
                <w:rFonts w:hint="default" w:eastAsia="宋体"/>
                <w:b w:val="0"/>
                <w:bCs w:val="0"/>
                <w:kern w:val="2"/>
                <w:sz w:val="20"/>
                <w:szCs w:val="13"/>
                <w:vertAlign w:val="baseline"/>
                <w:lang w:val="en-US" w:eastAsia="zh-CN"/>
              </w:rPr>
            </w:pPr>
            <w:r>
              <w:rPr>
                <w:rFonts w:hint="eastAsia"/>
                <w:b w:val="0"/>
                <w:bCs w:val="0"/>
                <w:kern w:val="2"/>
                <w:sz w:val="20"/>
                <w:szCs w:val="13"/>
                <w:vertAlign w:val="baseline"/>
                <w:lang w:val="en-US" w:eastAsia="zh-CN"/>
              </w:rPr>
              <w:t>352</w:t>
            </w:r>
          </w:p>
        </w:tc>
      </w:tr>
    </w:tbl>
    <w:p w14:paraId="5E59779A">
      <w:pPr>
        <w:pStyle w:val="7"/>
        <w:rPr>
          <w:b/>
        </w:rPr>
      </w:pPr>
    </w:p>
    <w:p w14:paraId="1A8136CF">
      <w:pPr>
        <w:pStyle w:val="7"/>
        <w:rPr>
          <w:b/>
        </w:rPr>
      </w:pPr>
    </w:p>
    <w:p w14:paraId="66A5FA93">
      <w:pPr>
        <w:pStyle w:val="7"/>
        <w:rPr>
          <w:rFonts w:hint="default" w:eastAsia="宋体"/>
          <w:lang w:val="en-US" w:eastAsia="zh-CN"/>
        </w:rPr>
      </w:pPr>
      <w:r>
        <w:rPr>
          <w:b/>
          <w:bCs w:val="0"/>
        </w:rPr>
        <w:t xml:space="preserve">Supplementary Table </w:t>
      </w:r>
      <w:r>
        <w:rPr>
          <w:rFonts w:hint="eastAsia"/>
          <w:b/>
          <w:bCs w:val="0"/>
          <w:lang w:val="en-US" w:eastAsia="zh-CN"/>
        </w:rPr>
        <w:t>20</w:t>
      </w:r>
      <w:r>
        <w:t xml:space="preserve"> | </w:t>
      </w:r>
      <w:r>
        <w:rPr>
          <w:rFonts w:hint="eastAsia"/>
          <w:lang w:val="en-US" w:eastAsia="zh-CN"/>
        </w:rPr>
        <w:t>Comparisons of key</w:t>
      </w:r>
      <w:r>
        <w:rPr>
          <w:rFonts w:hint="eastAsia"/>
        </w:rPr>
        <w:t xml:space="preserve"> </w:t>
      </w:r>
      <w:r>
        <w:rPr>
          <w:rFonts w:hint="eastAsia"/>
          <w:lang w:val="en-US" w:eastAsia="zh-CN"/>
        </w:rPr>
        <w:t xml:space="preserve">technological </w:t>
      </w:r>
      <w:r>
        <w:rPr>
          <w:rFonts w:hint="eastAsia"/>
        </w:rPr>
        <w:t>attributes</w:t>
      </w:r>
      <w:r>
        <w:rPr>
          <w:rFonts w:hint="eastAsia"/>
          <w:lang w:val="en-US" w:eastAsia="zh-CN"/>
        </w:rPr>
        <w:t xml:space="preserve"> of formally retouched tools (scraper, notch, and denticulate).</w:t>
      </w:r>
    </w:p>
    <w:tbl>
      <w:tblPr>
        <w:tblStyle w:val="24"/>
        <w:tblW w:w="1293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64"/>
        <w:gridCol w:w="2191"/>
        <w:gridCol w:w="1296"/>
        <w:gridCol w:w="1296"/>
        <w:gridCol w:w="1"/>
        <w:gridCol w:w="1295"/>
        <w:gridCol w:w="1296"/>
        <w:gridCol w:w="2"/>
        <w:gridCol w:w="1294"/>
        <w:gridCol w:w="1299"/>
      </w:tblGrid>
      <w:tr w14:paraId="1EF1B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155" w:type="dxa"/>
            <w:gridSpan w:val="2"/>
            <w:vMerge w:val="restart"/>
            <w:tcBorders>
              <w:top w:val="single" w:color="auto" w:sz="4" w:space="0"/>
              <w:tl2br w:val="nil"/>
            </w:tcBorders>
            <w:shd w:val="clear" w:color="auto" w:fill="FFFFFF"/>
            <w:noWrap/>
            <w:vAlign w:val="top"/>
          </w:tcPr>
          <w:p w14:paraId="055303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lang w:val="en-US" w:eastAsia="zh-CN"/>
              </w:rPr>
            </w:pPr>
            <w:r>
              <w:rPr>
                <w:rFonts w:hint="eastAsia" w:eastAsia="宋体" w:cs="Times New Roman"/>
                <w:b w:val="0"/>
                <w:bCs/>
                <w:i w:val="0"/>
                <w:iCs w:val="0"/>
                <w:color w:val="000000"/>
                <w:sz w:val="20"/>
                <w:szCs w:val="20"/>
                <w:u w:val="none"/>
                <w:lang w:val="en-US" w:eastAsia="zh-CN"/>
              </w:rPr>
              <w:t>Technological attribute</w:t>
            </w:r>
          </w:p>
        </w:tc>
        <w:tc>
          <w:tcPr>
            <w:tcW w:w="2593" w:type="dxa"/>
            <w:gridSpan w:val="3"/>
            <w:tcBorders>
              <w:top w:val="single" w:color="auto" w:sz="4" w:space="0"/>
              <w:bottom w:val="single" w:color="auto" w:sz="4" w:space="0"/>
              <w:tl2br w:val="nil"/>
            </w:tcBorders>
            <w:shd w:val="clear" w:color="auto" w:fill="FFFFFF"/>
            <w:noWrap/>
            <w:vAlign w:val="center"/>
          </w:tcPr>
          <w:p w14:paraId="322592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 xml:space="preserve">Layer </w:t>
            </w:r>
            <w:r>
              <w:rPr>
                <w:rFonts w:hint="default" w:ascii="Times New Roman" w:hAnsi="Times New Roman" w:eastAsia="宋体" w:cs="Times New Roman"/>
                <w:b w:val="0"/>
                <w:bCs/>
                <w:i w:val="0"/>
                <w:iCs w:val="0"/>
                <w:color w:val="000000"/>
                <w:kern w:val="0"/>
                <w:sz w:val="20"/>
                <w:szCs w:val="20"/>
                <w:u w:val="none"/>
                <w:lang w:val="en-US" w:eastAsia="zh-CN" w:bidi="ar"/>
              </w:rPr>
              <w:t>3</w:t>
            </w:r>
          </w:p>
        </w:tc>
        <w:tc>
          <w:tcPr>
            <w:tcW w:w="2593" w:type="dxa"/>
            <w:gridSpan w:val="3"/>
            <w:tcBorders>
              <w:top w:val="single" w:color="auto" w:sz="4" w:space="0"/>
              <w:bottom w:val="single" w:color="auto" w:sz="4" w:space="0"/>
            </w:tcBorders>
            <w:shd w:val="clear" w:color="auto" w:fill="FFFFFF"/>
            <w:noWrap/>
            <w:vAlign w:val="center"/>
          </w:tcPr>
          <w:p w14:paraId="683ACD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 xml:space="preserve">Layer </w:t>
            </w:r>
            <w:r>
              <w:rPr>
                <w:rFonts w:hint="default" w:ascii="Times New Roman" w:hAnsi="Times New Roman" w:eastAsia="宋体" w:cs="Times New Roman"/>
                <w:b w:val="0"/>
                <w:bCs/>
                <w:i w:val="0"/>
                <w:iCs w:val="0"/>
                <w:color w:val="000000"/>
                <w:kern w:val="0"/>
                <w:sz w:val="20"/>
                <w:szCs w:val="20"/>
                <w:u w:val="none"/>
                <w:lang w:val="en-US" w:eastAsia="zh-CN" w:bidi="ar"/>
              </w:rPr>
              <w:t>7</w:t>
            </w:r>
          </w:p>
        </w:tc>
        <w:tc>
          <w:tcPr>
            <w:tcW w:w="2593" w:type="dxa"/>
            <w:gridSpan w:val="2"/>
            <w:tcBorders>
              <w:top w:val="single" w:color="auto" w:sz="4" w:space="0"/>
              <w:bottom w:val="single" w:color="auto" w:sz="4" w:space="0"/>
            </w:tcBorders>
            <w:shd w:val="clear" w:color="auto" w:fill="FFFFFF"/>
            <w:noWrap/>
            <w:vAlign w:val="center"/>
          </w:tcPr>
          <w:p w14:paraId="1D1BFB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 xml:space="preserve">Layer </w:t>
            </w:r>
            <w:r>
              <w:rPr>
                <w:rFonts w:hint="default" w:ascii="Times New Roman" w:hAnsi="Times New Roman" w:eastAsia="宋体" w:cs="Times New Roman"/>
                <w:b w:val="0"/>
                <w:bCs/>
                <w:i w:val="0"/>
                <w:iCs w:val="0"/>
                <w:color w:val="000000"/>
                <w:kern w:val="0"/>
                <w:sz w:val="20"/>
                <w:szCs w:val="20"/>
                <w:u w:val="none"/>
                <w:lang w:val="en-US" w:eastAsia="zh-CN" w:bidi="ar"/>
              </w:rPr>
              <w:t>9</w:t>
            </w:r>
          </w:p>
        </w:tc>
      </w:tr>
      <w:tr w14:paraId="5759A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155" w:type="dxa"/>
            <w:gridSpan w:val="2"/>
            <w:vMerge w:val="continue"/>
            <w:tcBorders>
              <w:bottom w:val="single" w:color="auto" w:sz="4" w:space="0"/>
              <w:tl2br w:val="nil"/>
            </w:tcBorders>
            <w:shd w:val="clear" w:color="auto" w:fill="FFFFFF"/>
            <w:noWrap/>
            <w:vAlign w:val="top"/>
          </w:tcPr>
          <w:p w14:paraId="42B088FE">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1296" w:type="dxa"/>
            <w:tcBorders>
              <w:top w:val="single" w:color="auto" w:sz="4" w:space="0"/>
              <w:bottom w:val="single" w:color="auto" w:sz="4" w:space="0"/>
            </w:tcBorders>
            <w:shd w:val="clear" w:color="auto" w:fill="FFFFFF"/>
            <w:noWrap/>
            <w:vAlign w:val="center"/>
          </w:tcPr>
          <w:p w14:paraId="6C1713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iCs/>
                <w:color w:val="000000"/>
                <w:kern w:val="0"/>
                <w:sz w:val="20"/>
                <w:szCs w:val="20"/>
                <w:u w:val="none"/>
                <w:lang w:val="en-US" w:eastAsia="zh-CN" w:bidi="ar"/>
              </w:rPr>
            </w:pPr>
            <w:r>
              <w:rPr>
                <w:rFonts w:hint="eastAsia" w:eastAsia="宋体" w:cs="Times New Roman"/>
                <w:b w:val="0"/>
                <w:bCs/>
                <w:i/>
                <w:iCs/>
                <w:color w:val="000000"/>
                <w:kern w:val="0"/>
                <w:sz w:val="20"/>
                <w:szCs w:val="20"/>
                <w:u w:val="none"/>
                <w:lang w:val="en-US" w:eastAsia="zh-CN" w:bidi="ar"/>
              </w:rPr>
              <w:t>n</w:t>
            </w:r>
          </w:p>
        </w:tc>
        <w:tc>
          <w:tcPr>
            <w:tcW w:w="1296" w:type="dxa"/>
            <w:tcBorders>
              <w:top w:val="single" w:color="auto" w:sz="4" w:space="0"/>
              <w:bottom w:val="single" w:color="auto" w:sz="4" w:space="0"/>
            </w:tcBorders>
            <w:shd w:val="clear" w:color="auto" w:fill="FFFFFF"/>
            <w:noWrap/>
            <w:vAlign w:val="center"/>
          </w:tcPr>
          <w:p w14:paraId="132EC1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iCs/>
                <w:color w:val="000000"/>
                <w:kern w:val="0"/>
                <w:sz w:val="20"/>
                <w:szCs w:val="20"/>
                <w:u w:val="none"/>
                <w:lang w:val="en-US" w:eastAsia="zh-CN" w:bidi="ar"/>
              </w:rPr>
            </w:pPr>
            <w:r>
              <w:rPr>
                <w:rFonts w:hint="eastAsia" w:eastAsia="宋体" w:cs="Times New Roman"/>
                <w:b w:val="0"/>
                <w:bCs/>
                <w:i/>
                <w:iCs/>
                <w:color w:val="000000"/>
                <w:kern w:val="0"/>
                <w:sz w:val="20"/>
                <w:szCs w:val="20"/>
                <w:u w:val="none"/>
                <w:lang w:val="en-US" w:eastAsia="zh-CN" w:bidi="ar"/>
              </w:rPr>
              <w:t>%</w:t>
            </w:r>
          </w:p>
        </w:tc>
        <w:tc>
          <w:tcPr>
            <w:tcW w:w="1296" w:type="dxa"/>
            <w:gridSpan w:val="2"/>
            <w:tcBorders>
              <w:top w:val="single" w:color="auto" w:sz="4" w:space="0"/>
              <w:bottom w:val="single" w:color="auto" w:sz="4" w:space="0"/>
            </w:tcBorders>
            <w:shd w:val="clear" w:color="auto" w:fill="FFFFFF"/>
            <w:noWrap/>
            <w:vAlign w:val="center"/>
          </w:tcPr>
          <w:p w14:paraId="2E679D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iCs/>
                <w:color w:val="000000"/>
                <w:kern w:val="0"/>
                <w:sz w:val="20"/>
                <w:szCs w:val="20"/>
                <w:u w:val="none"/>
                <w:lang w:val="en-US" w:eastAsia="zh-CN" w:bidi="ar"/>
              </w:rPr>
            </w:pPr>
            <w:r>
              <w:rPr>
                <w:rFonts w:hint="eastAsia" w:eastAsia="宋体" w:cs="Times New Roman"/>
                <w:b w:val="0"/>
                <w:bCs/>
                <w:i/>
                <w:iCs/>
                <w:color w:val="000000"/>
                <w:kern w:val="0"/>
                <w:sz w:val="20"/>
                <w:szCs w:val="20"/>
                <w:u w:val="none"/>
                <w:lang w:val="en-US" w:eastAsia="zh-CN" w:bidi="ar"/>
              </w:rPr>
              <w:t>n</w:t>
            </w:r>
          </w:p>
        </w:tc>
        <w:tc>
          <w:tcPr>
            <w:tcW w:w="1296" w:type="dxa"/>
            <w:tcBorders>
              <w:top w:val="single" w:color="auto" w:sz="4" w:space="0"/>
              <w:bottom w:val="single" w:color="auto" w:sz="4" w:space="0"/>
            </w:tcBorders>
            <w:shd w:val="clear" w:color="auto" w:fill="FFFFFF"/>
            <w:noWrap/>
            <w:vAlign w:val="center"/>
          </w:tcPr>
          <w:p w14:paraId="63D6CD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iCs/>
                <w:color w:val="000000"/>
                <w:kern w:val="0"/>
                <w:sz w:val="20"/>
                <w:szCs w:val="20"/>
                <w:u w:val="none"/>
                <w:lang w:val="en-US" w:eastAsia="zh-CN" w:bidi="ar"/>
              </w:rPr>
            </w:pPr>
            <w:r>
              <w:rPr>
                <w:rFonts w:hint="eastAsia" w:eastAsia="宋体" w:cs="Times New Roman"/>
                <w:b w:val="0"/>
                <w:bCs/>
                <w:i/>
                <w:iCs/>
                <w:color w:val="000000"/>
                <w:kern w:val="0"/>
                <w:sz w:val="20"/>
                <w:szCs w:val="20"/>
                <w:u w:val="none"/>
                <w:lang w:val="en-US" w:eastAsia="zh-CN" w:bidi="ar"/>
              </w:rPr>
              <w:t>%</w:t>
            </w:r>
          </w:p>
        </w:tc>
        <w:tc>
          <w:tcPr>
            <w:tcW w:w="1296" w:type="dxa"/>
            <w:gridSpan w:val="2"/>
            <w:tcBorders>
              <w:top w:val="single" w:color="auto" w:sz="4" w:space="0"/>
              <w:bottom w:val="single" w:color="auto" w:sz="4" w:space="0"/>
            </w:tcBorders>
            <w:shd w:val="clear" w:color="auto" w:fill="FFFFFF"/>
            <w:noWrap/>
            <w:vAlign w:val="center"/>
          </w:tcPr>
          <w:p w14:paraId="6EAD2F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iCs/>
                <w:color w:val="000000"/>
                <w:kern w:val="0"/>
                <w:sz w:val="20"/>
                <w:szCs w:val="20"/>
                <w:u w:val="none"/>
                <w:lang w:val="en-US" w:eastAsia="zh-CN" w:bidi="ar"/>
              </w:rPr>
            </w:pPr>
            <w:r>
              <w:rPr>
                <w:rFonts w:hint="eastAsia" w:eastAsia="宋体" w:cs="Times New Roman"/>
                <w:b w:val="0"/>
                <w:bCs/>
                <w:i/>
                <w:iCs/>
                <w:color w:val="000000"/>
                <w:kern w:val="0"/>
                <w:sz w:val="20"/>
                <w:szCs w:val="20"/>
                <w:u w:val="none"/>
                <w:lang w:val="en-US" w:eastAsia="zh-CN" w:bidi="ar"/>
              </w:rPr>
              <w:t>n</w:t>
            </w:r>
          </w:p>
        </w:tc>
        <w:tc>
          <w:tcPr>
            <w:tcW w:w="1299" w:type="dxa"/>
            <w:tcBorders>
              <w:top w:val="single" w:color="auto" w:sz="4" w:space="0"/>
              <w:bottom w:val="single" w:color="auto" w:sz="4" w:space="0"/>
            </w:tcBorders>
            <w:shd w:val="clear" w:color="auto" w:fill="FFFFFF"/>
            <w:noWrap/>
            <w:vAlign w:val="center"/>
          </w:tcPr>
          <w:p w14:paraId="1A21A9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iCs/>
                <w:color w:val="000000"/>
                <w:kern w:val="0"/>
                <w:sz w:val="20"/>
                <w:szCs w:val="20"/>
                <w:u w:val="none"/>
                <w:lang w:val="en-US" w:eastAsia="zh-CN" w:bidi="ar"/>
              </w:rPr>
            </w:pPr>
            <w:r>
              <w:rPr>
                <w:rFonts w:hint="eastAsia" w:eastAsia="宋体" w:cs="Times New Roman"/>
                <w:b w:val="0"/>
                <w:bCs/>
                <w:i/>
                <w:iCs/>
                <w:color w:val="000000"/>
                <w:kern w:val="0"/>
                <w:sz w:val="20"/>
                <w:szCs w:val="20"/>
                <w:u w:val="none"/>
                <w:lang w:val="en-US" w:eastAsia="zh-CN" w:bidi="ar"/>
              </w:rPr>
              <w:t>%</w:t>
            </w:r>
          </w:p>
        </w:tc>
      </w:tr>
      <w:tr w14:paraId="70F27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964" w:type="dxa"/>
            <w:vMerge w:val="restart"/>
            <w:tcBorders>
              <w:top w:val="single" w:color="auto" w:sz="4" w:space="0"/>
            </w:tcBorders>
            <w:shd w:val="clear" w:color="auto" w:fill="FFFFFF"/>
            <w:noWrap/>
            <w:vAlign w:val="top"/>
          </w:tcPr>
          <w:p w14:paraId="762B06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Blank</w:t>
            </w:r>
          </w:p>
        </w:tc>
        <w:tc>
          <w:tcPr>
            <w:tcW w:w="2191" w:type="dxa"/>
            <w:tcBorders>
              <w:top w:val="single" w:color="auto" w:sz="4" w:space="0"/>
            </w:tcBorders>
            <w:shd w:val="clear" w:color="auto" w:fill="FFFFFF"/>
            <w:noWrap/>
            <w:vAlign w:val="top"/>
          </w:tcPr>
          <w:p w14:paraId="6465AF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eastAsia" w:eastAsia="宋体" w:cs="Times New Roman"/>
                <w:b w:val="0"/>
                <w:bCs/>
                <w:i w:val="0"/>
                <w:iCs w:val="0"/>
                <w:color w:val="000000"/>
                <w:kern w:val="0"/>
                <w:sz w:val="20"/>
                <w:szCs w:val="20"/>
                <w:u w:val="none"/>
                <w:lang w:val="en-US" w:eastAsia="zh-CN" w:bidi="ar"/>
              </w:rPr>
              <w:t>f</w:t>
            </w:r>
            <w:r>
              <w:rPr>
                <w:rFonts w:hint="default" w:ascii="Times New Roman" w:hAnsi="Times New Roman" w:eastAsia="宋体" w:cs="Times New Roman"/>
                <w:b w:val="0"/>
                <w:bCs/>
                <w:i w:val="0"/>
                <w:iCs w:val="0"/>
                <w:color w:val="000000"/>
                <w:kern w:val="0"/>
                <w:sz w:val="20"/>
                <w:szCs w:val="20"/>
                <w:u w:val="none"/>
                <w:lang w:val="en-US" w:eastAsia="zh-CN" w:bidi="ar"/>
              </w:rPr>
              <w:t>lake</w:t>
            </w:r>
          </w:p>
        </w:tc>
        <w:tc>
          <w:tcPr>
            <w:tcW w:w="1296" w:type="dxa"/>
            <w:tcBorders>
              <w:top w:val="single" w:color="auto" w:sz="4" w:space="0"/>
            </w:tcBorders>
            <w:shd w:val="clear" w:color="auto" w:fill="FFFFFF"/>
            <w:noWrap/>
            <w:vAlign w:val="center"/>
          </w:tcPr>
          <w:p w14:paraId="1CF4D9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1296" w:type="dxa"/>
            <w:tcBorders>
              <w:top w:val="single" w:color="auto" w:sz="4" w:space="0"/>
            </w:tcBorders>
            <w:shd w:val="clear" w:color="auto" w:fill="FFFFFF"/>
            <w:noWrap/>
            <w:vAlign w:val="center"/>
          </w:tcPr>
          <w:p w14:paraId="67B7A4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100</w:t>
            </w:r>
          </w:p>
        </w:tc>
        <w:tc>
          <w:tcPr>
            <w:tcW w:w="1296" w:type="dxa"/>
            <w:gridSpan w:val="2"/>
            <w:tcBorders>
              <w:top w:val="single" w:color="auto" w:sz="4" w:space="0"/>
            </w:tcBorders>
            <w:shd w:val="clear" w:color="auto" w:fill="FFFFFF"/>
            <w:noWrap/>
            <w:vAlign w:val="center"/>
          </w:tcPr>
          <w:p w14:paraId="35A1F7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1296" w:type="dxa"/>
            <w:tcBorders>
              <w:top w:val="single" w:color="auto" w:sz="4" w:space="0"/>
            </w:tcBorders>
            <w:shd w:val="clear" w:color="auto" w:fill="FFFFFF"/>
            <w:noWrap/>
            <w:vAlign w:val="center"/>
          </w:tcPr>
          <w:p w14:paraId="14901E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83.3</w:t>
            </w:r>
          </w:p>
        </w:tc>
        <w:tc>
          <w:tcPr>
            <w:tcW w:w="1296" w:type="dxa"/>
            <w:gridSpan w:val="2"/>
            <w:tcBorders>
              <w:top w:val="single" w:color="auto" w:sz="4" w:space="0"/>
            </w:tcBorders>
            <w:shd w:val="clear" w:color="auto" w:fill="FFFFFF"/>
            <w:noWrap/>
            <w:vAlign w:val="center"/>
          </w:tcPr>
          <w:p w14:paraId="6794A6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1299" w:type="dxa"/>
            <w:tcBorders>
              <w:top w:val="single" w:color="auto" w:sz="4" w:space="0"/>
            </w:tcBorders>
            <w:shd w:val="clear" w:color="auto" w:fill="FFFFFF"/>
            <w:noWrap/>
            <w:vAlign w:val="center"/>
          </w:tcPr>
          <w:p w14:paraId="2748EE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50</w:t>
            </w:r>
          </w:p>
        </w:tc>
      </w:tr>
      <w:tr w14:paraId="7FF6B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964" w:type="dxa"/>
            <w:vMerge w:val="continue"/>
            <w:shd w:val="clear" w:color="auto" w:fill="FFFFFF"/>
            <w:noWrap/>
            <w:vAlign w:val="top"/>
          </w:tcPr>
          <w:p w14:paraId="4851BF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rPr>
                <w:rFonts w:hint="default" w:ascii="Times New Roman" w:hAnsi="Times New Roman" w:eastAsia="宋体" w:cs="Times New Roman"/>
                <w:b w:val="0"/>
                <w:bCs/>
                <w:i w:val="0"/>
                <w:iCs w:val="0"/>
                <w:color w:val="000000"/>
                <w:sz w:val="20"/>
                <w:szCs w:val="20"/>
                <w:u w:val="none"/>
              </w:rPr>
            </w:pPr>
          </w:p>
        </w:tc>
        <w:tc>
          <w:tcPr>
            <w:tcW w:w="2191" w:type="dxa"/>
            <w:shd w:val="clear" w:color="auto" w:fill="FFFFFF"/>
            <w:noWrap/>
            <w:vAlign w:val="top"/>
          </w:tcPr>
          <w:p w14:paraId="5331E3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eastAsia" w:eastAsia="宋体" w:cs="Times New Roman"/>
                <w:b w:val="0"/>
                <w:bCs/>
                <w:i w:val="0"/>
                <w:iCs w:val="0"/>
                <w:color w:val="000000"/>
                <w:kern w:val="0"/>
                <w:sz w:val="20"/>
                <w:szCs w:val="20"/>
                <w:u w:val="none"/>
                <w:lang w:val="en-US" w:eastAsia="zh-CN" w:bidi="ar"/>
              </w:rPr>
              <w:t>c</w:t>
            </w:r>
            <w:r>
              <w:rPr>
                <w:rFonts w:hint="default" w:ascii="Times New Roman" w:hAnsi="Times New Roman" w:eastAsia="宋体" w:cs="Times New Roman"/>
                <w:b w:val="0"/>
                <w:bCs/>
                <w:i w:val="0"/>
                <w:iCs w:val="0"/>
                <w:color w:val="000000"/>
                <w:kern w:val="0"/>
                <w:sz w:val="20"/>
                <w:szCs w:val="20"/>
                <w:u w:val="none"/>
                <w:lang w:val="en-US" w:eastAsia="zh-CN" w:bidi="ar"/>
              </w:rPr>
              <w:t>hunk</w:t>
            </w:r>
          </w:p>
        </w:tc>
        <w:tc>
          <w:tcPr>
            <w:tcW w:w="1296" w:type="dxa"/>
            <w:shd w:val="clear" w:color="auto" w:fill="FFFFFF"/>
            <w:noWrap/>
            <w:vAlign w:val="center"/>
          </w:tcPr>
          <w:p w14:paraId="61993D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0</w:t>
            </w:r>
          </w:p>
        </w:tc>
        <w:tc>
          <w:tcPr>
            <w:tcW w:w="1296" w:type="dxa"/>
            <w:shd w:val="clear" w:color="auto" w:fill="FFFFFF"/>
            <w:noWrap/>
            <w:vAlign w:val="center"/>
          </w:tcPr>
          <w:p w14:paraId="4F8C9F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0</w:t>
            </w:r>
          </w:p>
        </w:tc>
        <w:tc>
          <w:tcPr>
            <w:tcW w:w="1296" w:type="dxa"/>
            <w:gridSpan w:val="2"/>
            <w:shd w:val="clear" w:color="auto" w:fill="FFFFFF"/>
            <w:noWrap/>
            <w:vAlign w:val="center"/>
          </w:tcPr>
          <w:p w14:paraId="4B29C9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1296" w:type="dxa"/>
            <w:shd w:val="clear" w:color="auto" w:fill="FFFFFF"/>
            <w:noWrap/>
            <w:vAlign w:val="center"/>
          </w:tcPr>
          <w:p w14:paraId="1BB8F0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16.7</w:t>
            </w:r>
          </w:p>
        </w:tc>
        <w:tc>
          <w:tcPr>
            <w:tcW w:w="1296" w:type="dxa"/>
            <w:gridSpan w:val="2"/>
            <w:shd w:val="clear" w:color="auto" w:fill="FFFFFF"/>
            <w:noWrap/>
            <w:vAlign w:val="center"/>
          </w:tcPr>
          <w:p w14:paraId="11EED4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1299" w:type="dxa"/>
            <w:shd w:val="clear" w:color="auto" w:fill="FFFFFF"/>
            <w:noWrap/>
            <w:vAlign w:val="center"/>
          </w:tcPr>
          <w:p w14:paraId="41F4D7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50</w:t>
            </w:r>
          </w:p>
        </w:tc>
      </w:tr>
      <w:tr w14:paraId="76007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964" w:type="dxa"/>
            <w:vMerge w:val="restart"/>
            <w:shd w:val="clear" w:color="auto" w:fill="FFFFFF"/>
            <w:noWrap/>
            <w:vAlign w:val="top"/>
          </w:tcPr>
          <w:p w14:paraId="247C66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Retouch</w:t>
            </w:r>
            <w:r>
              <w:rPr>
                <w:rFonts w:hint="eastAsia" w:eastAsia="宋体" w:cs="Times New Roman"/>
                <w:b w:val="0"/>
                <w:bCs/>
                <w:i w:val="0"/>
                <w:iCs w:val="0"/>
                <w:color w:val="000000"/>
                <w:kern w:val="0"/>
                <w:sz w:val="20"/>
                <w:szCs w:val="20"/>
                <w:u w:val="none"/>
                <w:lang w:val="en-US" w:eastAsia="zh-CN" w:bidi="ar"/>
              </w:rPr>
              <w:t xml:space="preserve">ing </w:t>
            </w:r>
            <w:r>
              <w:rPr>
                <w:rFonts w:hint="default" w:ascii="Times New Roman" w:hAnsi="Times New Roman" w:eastAsia="宋体" w:cs="Times New Roman"/>
                <w:b w:val="0"/>
                <w:bCs/>
                <w:i w:val="0"/>
                <w:iCs w:val="0"/>
                <w:color w:val="000000"/>
                <w:kern w:val="0"/>
                <w:sz w:val="20"/>
                <w:szCs w:val="20"/>
                <w:u w:val="none"/>
                <w:lang w:val="en-US" w:eastAsia="zh-CN" w:bidi="ar"/>
              </w:rPr>
              <w:t>direction</w:t>
            </w:r>
          </w:p>
        </w:tc>
        <w:tc>
          <w:tcPr>
            <w:tcW w:w="2191" w:type="dxa"/>
            <w:shd w:val="clear" w:color="auto" w:fill="FFFFFF"/>
            <w:noWrap/>
            <w:vAlign w:val="top"/>
          </w:tcPr>
          <w:p w14:paraId="1E743B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lang w:val="en-US" w:eastAsia="zh-CN"/>
              </w:rPr>
            </w:pPr>
            <w:r>
              <w:rPr>
                <w:rFonts w:hint="eastAsia" w:eastAsia="宋体" w:cs="Times New Roman"/>
                <w:b w:val="0"/>
                <w:bCs/>
                <w:i w:val="0"/>
                <w:iCs w:val="0"/>
                <w:color w:val="000000"/>
                <w:sz w:val="20"/>
                <w:szCs w:val="20"/>
                <w:u w:val="none"/>
                <w:lang w:val="en-US" w:eastAsia="zh-CN"/>
              </w:rPr>
              <w:t>unifacial</w:t>
            </w:r>
          </w:p>
        </w:tc>
        <w:tc>
          <w:tcPr>
            <w:tcW w:w="1296" w:type="dxa"/>
            <w:shd w:val="clear" w:color="auto" w:fill="FFFFFF"/>
            <w:noWrap/>
            <w:vAlign w:val="center"/>
          </w:tcPr>
          <w:p w14:paraId="0A4C34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lang w:val="en-US" w:eastAsia="zh-CN"/>
              </w:rPr>
            </w:pPr>
            <w:r>
              <w:rPr>
                <w:rFonts w:hint="eastAsia" w:eastAsia="宋体" w:cs="Times New Roman"/>
                <w:b w:val="0"/>
                <w:bCs/>
                <w:i w:val="0"/>
                <w:iCs w:val="0"/>
                <w:color w:val="000000"/>
                <w:sz w:val="20"/>
                <w:szCs w:val="20"/>
                <w:u w:val="none"/>
                <w:lang w:val="en-US" w:eastAsia="zh-CN"/>
              </w:rPr>
              <w:t>10</w:t>
            </w:r>
          </w:p>
        </w:tc>
        <w:tc>
          <w:tcPr>
            <w:tcW w:w="1296" w:type="dxa"/>
            <w:shd w:val="clear" w:color="auto" w:fill="FFFFFF"/>
            <w:noWrap/>
            <w:vAlign w:val="center"/>
          </w:tcPr>
          <w:p w14:paraId="532FB4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eastAsia="宋体" w:cs="Times New Roman"/>
                <w:b w:val="0"/>
                <w:bCs/>
                <w:i w:val="0"/>
                <w:iCs w:val="0"/>
                <w:color w:val="000000"/>
                <w:sz w:val="20"/>
                <w:szCs w:val="20"/>
                <w:u w:val="none"/>
                <w:lang w:val="en-US" w:eastAsia="zh-CN"/>
              </w:rPr>
            </w:pPr>
            <w:r>
              <w:rPr>
                <w:rFonts w:hint="eastAsia" w:eastAsia="宋体" w:cs="Times New Roman"/>
                <w:b w:val="0"/>
                <w:bCs/>
                <w:i w:val="0"/>
                <w:iCs w:val="0"/>
                <w:color w:val="000000"/>
                <w:sz w:val="20"/>
                <w:szCs w:val="20"/>
                <w:u w:val="none"/>
                <w:lang w:val="en-US" w:eastAsia="zh-CN"/>
              </w:rPr>
              <w:t>100</w:t>
            </w:r>
          </w:p>
        </w:tc>
        <w:tc>
          <w:tcPr>
            <w:tcW w:w="1296" w:type="dxa"/>
            <w:gridSpan w:val="2"/>
            <w:shd w:val="clear" w:color="auto" w:fill="FFFFFF"/>
            <w:noWrap/>
            <w:vAlign w:val="center"/>
          </w:tcPr>
          <w:p w14:paraId="0D7D91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eastAsia" w:ascii="Times New Roman" w:hAnsi="Times New Roman" w:eastAsia="宋体" w:cs="Times New Roman"/>
                <w:b w:val="0"/>
                <w:bCs/>
                <w:i w:val="0"/>
                <w:iCs w:val="0"/>
                <w:color w:val="000000"/>
                <w:sz w:val="20"/>
                <w:szCs w:val="20"/>
                <w:u w:val="none"/>
                <w:lang w:val="en-US" w:eastAsia="zh-CN"/>
              </w:rPr>
            </w:pPr>
            <w:r>
              <w:rPr>
                <w:rFonts w:hint="eastAsia" w:eastAsia="宋体" w:cs="Times New Roman"/>
                <w:b w:val="0"/>
                <w:bCs/>
                <w:i w:val="0"/>
                <w:iCs w:val="0"/>
                <w:color w:val="000000"/>
                <w:sz w:val="20"/>
                <w:szCs w:val="20"/>
                <w:u w:val="none"/>
                <w:lang w:val="en-US" w:eastAsia="zh-CN"/>
              </w:rPr>
              <w:t>5</w:t>
            </w:r>
          </w:p>
        </w:tc>
        <w:tc>
          <w:tcPr>
            <w:tcW w:w="1296" w:type="dxa"/>
            <w:shd w:val="clear" w:color="auto" w:fill="FFFFFF"/>
            <w:noWrap/>
            <w:vAlign w:val="center"/>
          </w:tcPr>
          <w:p w14:paraId="0E1C17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eastAsia"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83.3</w:t>
            </w:r>
          </w:p>
        </w:tc>
        <w:tc>
          <w:tcPr>
            <w:tcW w:w="1296" w:type="dxa"/>
            <w:gridSpan w:val="2"/>
            <w:shd w:val="clear" w:color="auto" w:fill="FFFFFF"/>
            <w:noWrap/>
            <w:vAlign w:val="center"/>
          </w:tcPr>
          <w:p w14:paraId="74EDEE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eastAsia" w:ascii="Times New Roman" w:hAnsi="Times New Roman" w:eastAsia="宋体" w:cs="Times New Roman"/>
                <w:b w:val="0"/>
                <w:bCs/>
                <w:i w:val="0"/>
                <w:iCs w:val="0"/>
                <w:color w:val="000000"/>
                <w:sz w:val="20"/>
                <w:szCs w:val="20"/>
                <w:u w:val="none"/>
                <w:lang w:val="en-US" w:eastAsia="zh-CN"/>
              </w:rPr>
            </w:pPr>
            <w:r>
              <w:rPr>
                <w:rFonts w:hint="eastAsia" w:eastAsia="宋体" w:cs="Times New Roman"/>
                <w:b w:val="0"/>
                <w:bCs/>
                <w:i w:val="0"/>
                <w:iCs w:val="0"/>
                <w:color w:val="000000"/>
                <w:sz w:val="20"/>
                <w:szCs w:val="20"/>
                <w:u w:val="none"/>
                <w:lang w:val="en-US" w:eastAsia="zh-CN"/>
              </w:rPr>
              <w:t>1</w:t>
            </w:r>
          </w:p>
        </w:tc>
        <w:tc>
          <w:tcPr>
            <w:tcW w:w="1299" w:type="dxa"/>
            <w:shd w:val="clear" w:color="auto" w:fill="FFFFFF"/>
            <w:noWrap/>
            <w:vAlign w:val="center"/>
          </w:tcPr>
          <w:p w14:paraId="32075E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eastAsia="宋体" w:cs="Times New Roman"/>
                <w:b w:val="0"/>
                <w:bCs/>
                <w:i w:val="0"/>
                <w:iCs w:val="0"/>
                <w:color w:val="000000"/>
                <w:sz w:val="20"/>
                <w:szCs w:val="20"/>
                <w:u w:val="none"/>
                <w:lang w:val="en-US" w:eastAsia="zh-CN"/>
              </w:rPr>
            </w:pPr>
            <w:r>
              <w:rPr>
                <w:rFonts w:hint="eastAsia" w:eastAsia="宋体" w:cs="Times New Roman"/>
                <w:b w:val="0"/>
                <w:bCs/>
                <w:i w:val="0"/>
                <w:iCs w:val="0"/>
                <w:color w:val="000000"/>
                <w:sz w:val="20"/>
                <w:szCs w:val="20"/>
                <w:u w:val="none"/>
                <w:lang w:val="en-US" w:eastAsia="zh-CN"/>
              </w:rPr>
              <w:t>50</w:t>
            </w:r>
          </w:p>
        </w:tc>
      </w:tr>
      <w:tr w14:paraId="527EE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964" w:type="dxa"/>
            <w:vMerge w:val="continue"/>
            <w:shd w:val="clear" w:color="auto" w:fill="FFFFFF"/>
            <w:noWrap/>
            <w:vAlign w:val="top"/>
          </w:tcPr>
          <w:p w14:paraId="5DEEF9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rPr>
                <w:rFonts w:hint="default" w:ascii="Times New Roman" w:hAnsi="Times New Roman" w:eastAsia="宋体" w:cs="Times New Roman"/>
                <w:b w:val="0"/>
                <w:bCs/>
                <w:i w:val="0"/>
                <w:iCs w:val="0"/>
                <w:color w:val="000000"/>
                <w:sz w:val="20"/>
                <w:szCs w:val="20"/>
                <w:u w:val="none"/>
              </w:rPr>
            </w:pPr>
          </w:p>
        </w:tc>
        <w:tc>
          <w:tcPr>
            <w:tcW w:w="2191" w:type="dxa"/>
            <w:shd w:val="clear" w:color="auto" w:fill="FFFFFF"/>
            <w:noWrap/>
            <w:vAlign w:val="top"/>
          </w:tcPr>
          <w:p w14:paraId="4F2181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eastAsia" w:eastAsia="宋体" w:cs="Times New Roman"/>
                <w:b w:val="0"/>
                <w:bCs/>
                <w:i w:val="0"/>
                <w:iCs w:val="0"/>
                <w:color w:val="000000"/>
                <w:kern w:val="0"/>
                <w:sz w:val="20"/>
                <w:szCs w:val="20"/>
                <w:u w:val="none"/>
                <w:lang w:val="en-US" w:eastAsia="zh-CN" w:bidi="ar"/>
              </w:rPr>
              <w:t>b</w:t>
            </w:r>
            <w:r>
              <w:rPr>
                <w:rFonts w:hint="default" w:ascii="Times New Roman" w:hAnsi="Times New Roman" w:eastAsia="宋体" w:cs="Times New Roman"/>
                <w:b w:val="0"/>
                <w:bCs/>
                <w:i w:val="0"/>
                <w:iCs w:val="0"/>
                <w:color w:val="000000"/>
                <w:kern w:val="0"/>
                <w:sz w:val="20"/>
                <w:szCs w:val="20"/>
                <w:u w:val="none"/>
                <w:lang w:val="en-US" w:eastAsia="zh-CN" w:bidi="ar"/>
              </w:rPr>
              <w:t>ifacial</w:t>
            </w:r>
          </w:p>
        </w:tc>
        <w:tc>
          <w:tcPr>
            <w:tcW w:w="1296" w:type="dxa"/>
            <w:shd w:val="clear" w:color="auto" w:fill="FFFFFF"/>
            <w:noWrap/>
            <w:vAlign w:val="center"/>
          </w:tcPr>
          <w:p w14:paraId="392057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0</w:t>
            </w:r>
          </w:p>
        </w:tc>
        <w:tc>
          <w:tcPr>
            <w:tcW w:w="1296" w:type="dxa"/>
            <w:shd w:val="clear" w:color="auto" w:fill="FFFFFF"/>
            <w:noWrap/>
            <w:vAlign w:val="center"/>
          </w:tcPr>
          <w:p w14:paraId="64C394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0</w:t>
            </w:r>
          </w:p>
        </w:tc>
        <w:tc>
          <w:tcPr>
            <w:tcW w:w="1296" w:type="dxa"/>
            <w:gridSpan w:val="2"/>
            <w:shd w:val="clear" w:color="auto" w:fill="FFFFFF"/>
            <w:noWrap/>
            <w:vAlign w:val="center"/>
          </w:tcPr>
          <w:p w14:paraId="11E4AB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1296" w:type="dxa"/>
            <w:shd w:val="clear" w:color="auto" w:fill="FFFFFF"/>
            <w:noWrap/>
            <w:vAlign w:val="center"/>
          </w:tcPr>
          <w:p w14:paraId="01CC74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16.7</w:t>
            </w:r>
          </w:p>
        </w:tc>
        <w:tc>
          <w:tcPr>
            <w:tcW w:w="1296" w:type="dxa"/>
            <w:gridSpan w:val="2"/>
            <w:shd w:val="clear" w:color="auto" w:fill="FFFFFF"/>
            <w:noWrap/>
            <w:vAlign w:val="center"/>
          </w:tcPr>
          <w:p w14:paraId="2F0C96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0</w:t>
            </w:r>
          </w:p>
        </w:tc>
        <w:tc>
          <w:tcPr>
            <w:tcW w:w="1299" w:type="dxa"/>
            <w:shd w:val="clear" w:color="auto" w:fill="FFFFFF"/>
            <w:noWrap/>
            <w:vAlign w:val="center"/>
          </w:tcPr>
          <w:p w14:paraId="1ABFCB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0</w:t>
            </w:r>
          </w:p>
        </w:tc>
      </w:tr>
      <w:tr w14:paraId="50214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964" w:type="dxa"/>
            <w:vMerge w:val="continue"/>
            <w:shd w:val="clear" w:color="auto" w:fill="FFFFFF"/>
            <w:noWrap/>
            <w:vAlign w:val="top"/>
          </w:tcPr>
          <w:p w14:paraId="0B7518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rPr>
                <w:rFonts w:hint="default" w:ascii="Times New Roman" w:hAnsi="Times New Roman" w:eastAsia="宋体" w:cs="Times New Roman"/>
                <w:b w:val="0"/>
                <w:bCs/>
                <w:i w:val="0"/>
                <w:iCs w:val="0"/>
                <w:color w:val="000000"/>
                <w:sz w:val="20"/>
                <w:szCs w:val="20"/>
                <w:u w:val="none"/>
              </w:rPr>
            </w:pPr>
          </w:p>
        </w:tc>
        <w:tc>
          <w:tcPr>
            <w:tcW w:w="2191" w:type="dxa"/>
            <w:shd w:val="clear" w:color="auto" w:fill="FFFFFF"/>
            <w:noWrap/>
            <w:vAlign w:val="top"/>
          </w:tcPr>
          <w:p w14:paraId="0EAC6B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lang w:val="en-US"/>
              </w:rPr>
            </w:pPr>
            <w:r>
              <w:rPr>
                <w:rFonts w:hint="eastAsia" w:eastAsia="宋体" w:cs="Times New Roman"/>
                <w:b w:val="0"/>
                <w:bCs/>
                <w:i w:val="0"/>
                <w:iCs w:val="0"/>
                <w:color w:val="000000"/>
                <w:kern w:val="0"/>
                <w:sz w:val="20"/>
                <w:szCs w:val="20"/>
                <w:u w:val="none"/>
                <w:lang w:val="en-US" w:eastAsia="zh-CN" w:bidi="ar"/>
              </w:rPr>
              <w:t>i</w:t>
            </w:r>
            <w:r>
              <w:rPr>
                <w:rFonts w:hint="default" w:ascii="Times New Roman" w:hAnsi="Times New Roman" w:eastAsia="宋体" w:cs="Times New Roman"/>
                <w:b w:val="0"/>
                <w:bCs/>
                <w:i w:val="0"/>
                <w:iCs w:val="0"/>
                <w:color w:val="000000"/>
                <w:kern w:val="0"/>
                <w:sz w:val="20"/>
                <w:szCs w:val="20"/>
                <w:u w:val="none"/>
                <w:lang w:val="en-US" w:eastAsia="zh-CN" w:bidi="ar"/>
              </w:rPr>
              <w:t>ndeterminat</w:t>
            </w:r>
            <w:r>
              <w:rPr>
                <w:rFonts w:hint="eastAsia" w:eastAsia="宋体" w:cs="Times New Roman"/>
                <w:b w:val="0"/>
                <w:bCs/>
                <w:i w:val="0"/>
                <w:iCs w:val="0"/>
                <w:color w:val="000000"/>
                <w:kern w:val="0"/>
                <w:sz w:val="20"/>
                <w:szCs w:val="20"/>
                <w:u w:val="none"/>
                <w:lang w:val="en-US" w:eastAsia="zh-CN" w:bidi="ar"/>
              </w:rPr>
              <w:t>e</w:t>
            </w:r>
          </w:p>
        </w:tc>
        <w:tc>
          <w:tcPr>
            <w:tcW w:w="1296" w:type="dxa"/>
            <w:shd w:val="clear" w:color="auto" w:fill="FFFFFF"/>
            <w:noWrap/>
            <w:vAlign w:val="center"/>
          </w:tcPr>
          <w:p w14:paraId="7C2468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0</w:t>
            </w:r>
          </w:p>
        </w:tc>
        <w:tc>
          <w:tcPr>
            <w:tcW w:w="1296" w:type="dxa"/>
            <w:shd w:val="clear" w:color="auto" w:fill="FFFFFF"/>
            <w:noWrap/>
            <w:vAlign w:val="center"/>
          </w:tcPr>
          <w:p w14:paraId="55E780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0</w:t>
            </w:r>
          </w:p>
        </w:tc>
        <w:tc>
          <w:tcPr>
            <w:tcW w:w="1296" w:type="dxa"/>
            <w:gridSpan w:val="2"/>
            <w:shd w:val="clear" w:color="auto" w:fill="FFFFFF"/>
            <w:noWrap/>
            <w:vAlign w:val="center"/>
          </w:tcPr>
          <w:p w14:paraId="047A3B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0</w:t>
            </w:r>
          </w:p>
        </w:tc>
        <w:tc>
          <w:tcPr>
            <w:tcW w:w="1296" w:type="dxa"/>
            <w:shd w:val="clear" w:color="auto" w:fill="FFFFFF"/>
            <w:noWrap/>
            <w:vAlign w:val="center"/>
          </w:tcPr>
          <w:p w14:paraId="4A6F52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0</w:t>
            </w:r>
          </w:p>
        </w:tc>
        <w:tc>
          <w:tcPr>
            <w:tcW w:w="1296" w:type="dxa"/>
            <w:gridSpan w:val="2"/>
            <w:shd w:val="clear" w:color="auto" w:fill="FFFFFF"/>
            <w:noWrap/>
            <w:vAlign w:val="center"/>
          </w:tcPr>
          <w:p w14:paraId="25637D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1299" w:type="dxa"/>
            <w:shd w:val="clear" w:color="auto" w:fill="FFFFFF"/>
            <w:noWrap/>
            <w:vAlign w:val="center"/>
          </w:tcPr>
          <w:p w14:paraId="037EF7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50</w:t>
            </w:r>
          </w:p>
        </w:tc>
      </w:tr>
      <w:tr w14:paraId="5B650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964" w:type="dxa"/>
            <w:vMerge w:val="restart"/>
            <w:shd w:val="clear" w:color="auto" w:fill="FFFFFF"/>
            <w:noWrap/>
            <w:vAlign w:val="top"/>
          </w:tcPr>
          <w:p w14:paraId="61E428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Edge n</w:t>
            </w:r>
            <w:r>
              <w:rPr>
                <w:rFonts w:hint="eastAsia" w:eastAsia="宋体" w:cs="Times New Roman"/>
                <w:b w:val="0"/>
                <w:bCs/>
                <w:i w:val="0"/>
                <w:iCs w:val="0"/>
                <w:color w:val="000000"/>
                <w:kern w:val="0"/>
                <w:sz w:val="20"/>
                <w:szCs w:val="20"/>
                <w:u w:val="none"/>
                <w:lang w:val="en-US" w:eastAsia="zh-CN" w:bidi="ar"/>
              </w:rPr>
              <w:t>u</w:t>
            </w:r>
            <w:r>
              <w:rPr>
                <w:rFonts w:hint="default" w:ascii="Times New Roman" w:hAnsi="Times New Roman" w:eastAsia="宋体" w:cs="Times New Roman"/>
                <w:b w:val="0"/>
                <w:bCs/>
                <w:i w:val="0"/>
                <w:iCs w:val="0"/>
                <w:color w:val="000000"/>
                <w:kern w:val="0"/>
                <w:sz w:val="20"/>
                <w:szCs w:val="20"/>
                <w:u w:val="none"/>
                <w:lang w:val="en-US" w:eastAsia="zh-CN" w:bidi="ar"/>
              </w:rPr>
              <w:t>mber</w:t>
            </w:r>
          </w:p>
        </w:tc>
        <w:tc>
          <w:tcPr>
            <w:tcW w:w="2191" w:type="dxa"/>
            <w:shd w:val="clear" w:color="auto" w:fill="FFFFFF"/>
            <w:noWrap/>
            <w:vAlign w:val="top"/>
          </w:tcPr>
          <w:p w14:paraId="1FCB2D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top"/>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1296" w:type="dxa"/>
            <w:shd w:val="clear" w:color="auto" w:fill="FFFFFF"/>
            <w:noWrap/>
            <w:vAlign w:val="center"/>
          </w:tcPr>
          <w:p w14:paraId="5D60FC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9</w:t>
            </w:r>
          </w:p>
        </w:tc>
        <w:tc>
          <w:tcPr>
            <w:tcW w:w="1296" w:type="dxa"/>
            <w:shd w:val="clear" w:color="auto" w:fill="FFFFFF"/>
            <w:noWrap/>
            <w:vAlign w:val="center"/>
          </w:tcPr>
          <w:p w14:paraId="0D1A31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90</w:t>
            </w:r>
          </w:p>
        </w:tc>
        <w:tc>
          <w:tcPr>
            <w:tcW w:w="1296" w:type="dxa"/>
            <w:gridSpan w:val="2"/>
            <w:shd w:val="clear" w:color="auto" w:fill="FFFFFF"/>
            <w:noWrap/>
            <w:vAlign w:val="center"/>
          </w:tcPr>
          <w:p w14:paraId="42C916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6</w:t>
            </w:r>
          </w:p>
        </w:tc>
        <w:tc>
          <w:tcPr>
            <w:tcW w:w="1296" w:type="dxa"/>
            <w:shd w:val="clear" w:color="auto" w:fill="FFFFFF"/>
            <w:noWrap/>
            <w:vAlign w:val="center"/>
          </w:tcPr>
          <w:p w14:paraId="6B7405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100</w:t>
            </w:r>
          </w:p>
        </w:tc>
        <w:tc>
          <w:tcPr>
            <w:tcW w:w="1296" w:type="dxa"/>
            <w:gridSpan w:val="2"/>
            <w:shd w:val="clear" w:color="auto" w:fill="FFFFFF"/>
            <w:noWrap/>
            <w:vAlign w:val="center"/>
          </w:tcPr>
          <w:p w14:paraId="73A47E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1299" w:type="dxa"/>
            <w:shd w:val="clear" w:color="auto" w:fill="FFFFFF"/>
            <w:noWrap/>
            <w:vAlign w:val="center"/>
          </w:tcPr>
          <w:p w14:paraId="51F8F1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100</w:t>
            </w:r>
          </w:p>
        </w:tc>
      </w:tr>
      <w:tr w14:paraId="3460E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964" w:type="dxa"/>
            <w:vMerge w:val="continue"/>
            <w:shd w:val="clear" w:color="auto" w:fill="FFFFFF"/>
            <w:noWrap/>
            <w:vAlign w:val="top"/>
          </w:tcPr>
          <w:p w14:paraId="283EB5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rPr>
                <w:rFonts w:hint="default" w:ascii="Times New Roman" w:hAnsi="Times New Roman" w:eastAsia="宋体" w:cs="Times New Roman"/>
                <w:b w:val="0"/>
                <w:bCs/>
                <w:i w:val="0"/>
                <w:iCs w:val="0"/>
                <w:color w:val="000000"/>
                <w:sz w:val="20"/>
                <w:szCs w:val="20"/>
                <w:u w:val="none"/>
              </w:rPr>
            </w:pPr>
          </w:p>
        </w:tc>
        <w:tc>
          <w:tcPr>
            <w:tcW w:w="2191" w:type="dxa"/>
            <w:shd w:val="clear" w:color="auto" w:fill="FFFFFF"/>
            <w:noWrap/>
            <w:vAlign w:val="top"/>
          </w:tcPr>
          <w:p w14:paraId="00522E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top"/>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1296" w:type="dxa"/>
            <w:shd w:val="clear" w:color="auto" w:fill="FFFFFF"/>
            <w:noWrap/>
            <w:vAlign w:val="center"/>
          </w:tcPr>
          <w:p w14:paraId="49BB16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1296" w:type="dxa"/>
            <w:shd w:val="clear" w:color="auto" w:fill="FFFFFF"/>
            <w:noWrap/>
            <w:vAlign w:val="center"/>
          </w:tcPr>
          <w:p w14:paraId="7B14AD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10</w:t>
            </w:r>
          </w:p>
        </w:tc>
        <w:tc>
          <w:tcPr>
            <w:tcW w:w="1296" w:type="dxa"/>
            <w:gridSpan w:val="2"/>
            <w:shd w:val="clear" w:color="auto" w:fill="FFFFFF"/>
            <w:noWrap/>
            <w:vAlign w:val="center"/>
          </w:tcPr>
          <w:p w14:paraId="25A21B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0</w:t>
            </w:r>
          </w:p>
        </w:tc>
        <w:tc>
          <w:tcPr>
            <w:tcW w:w="1296" w:type="dxa"/>
            <w:shd w:val="clear" w:color="auto" w:fill="FFFFFF"/>
            <w:noWrap/>
            <w:vAlign w:val="center"/>
          </w:tcPr>
          <w:p w14:paraId="12C9C2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0</w:t>
            </w:r>
          </w:p>
        </w:tc>
        <w:tc>
          <w:tcPr>
            <w:tcW w:w="1296" w:type="dxa"/>
            <w:gridSpan w:val="2"/>
            <w:shd w:val="clear" w:color="auto" w:fill="FFFFFF"/>
            <w:noWrap/>
            <w:vAlign w:val="center"/>
          </w:tcPr>
          <w:p w14:paraId="62CBF8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0</w:t>
            </w:r>
          </w:p>
        </w:tc>
        <w:tc>
          <w:tcPr>
            <w:tcW w:w="1299" w:type="dxa"/>
            <w:shd w:val="clear" w:color="auto" w:fill="FFFFFF"/>
            <w:noWrap/>
            <w:vAlign w:val="center"/>
          </w:tcPr>
          <w:p w14:paraId="5B5FBF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0</w:t>
            </w:r>
          </w:p>
        </w:tc>
      </w:tr>
      <w:tr w14:paraId="0FF13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964" w:type="dxa"/>
            <w:vMerge w:val="restart"/>
            <w:shd w:val="clear" w:color="auto" w:fill="FFFFFF"/>
            <w:noWrap/>
            <w:vAlign w:val="top"/>
          </w:tcPr>
          <w:p w14:paraId="4F4916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Scar</w:t>
            </w:r>
            <w:r>
              <w:rPr>
                <w:rFonts w:hint="eastAsia" w:eastAsia="宋体" w:cs="Times New Roman"/>
                <w:b w:val="0"/>
                <w:bCs/>
                <w:i w:val="0"/>
                <w:iCs w:val="0"/>
                <w:color w:val="000000"/>
                <w:kern w:val="0"/>
                <w:sz w:val="20"/>
                <w:szCs w:val="20"/>
                <w:u w:val="none"/>
                <w:lang w:val="en-US" w:eastAsia="zh-CN" w:bidi="ar"/>
              </w:rPr>
              <w:t xml:space="preserve"> </w:t>
            </w:r>
            <w:r>
              <w:rPr>
                <w:rFonts w:hint="default" w:ascii="Times New Roman" w:hAnsi="Times New Roman" w:eastAsia="宋体" w:cs="Times New Roman"/>
                <w:b w:val="0"/>
                <w:bCs/>
                <w:i w:val="0"/>
                <w:iCs w:val="0"/>
                <w:color w:val="000000"/>
                <w:kern w:val="0"/>
                <w:sz w:val="20"/>
                <w:szCs w:val="20"/>
                <w:u w:val="none"/>
                <w:lang w:val="en-US" w:eastAsia="zh-CN" w:bidi="ar"/>
              </w:rPr>
              <w:t>layer</w:t>
            </w:r>
          </w:p>
        </w:tc>
        <w:tc>
          <w:tcPr>
            <w:tcW w:w="2191" w:type="dxa"/>
            <w:shd w:val="clear" w:color="auto" w:fill="FFFFFF"/>
            <w:noWrap/>
            <w:vAlign w:val="top"/>
          </w:tcPr>
          <w:p w14:paraId="32308C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lang w:val="en-US"/>
              </w:rPr>
            </w:pPr>
            <w:r>
              <w:rPr>
                <w:rFonts w:hint="default" w:ascii="Times New Roman" w:hAnsi="Times New Roman" w:eastAsia="宋体" w:cs="Times New Roman"/>
                <w:b w:val="0"/>
                <w:bCs/>
                <w:i w:val="0"/>
                <w:iCs w:val="0"/>
                <w:color w:val="000000"/>
                <w:kern w:val="0"/>
                <w:sz w:val="20"/>
                <w:szCs w:val="20"/>
                <w:u w:val="none"/>
                <w:lang w:val="en-US" w:eastAsia="zh-CN" w:bidi="ar"/>
              </w:rPr>
              <w:t>1</w:t>
            </w:r>
            <w:r>
              <w:rPr>
                <w:rFonts w:hint="eastAsia" w:eastAsia="宋体" w:cs="Times New Roman"/>
                <w:b w:val="0"/>
                <w:bCs/>
                <w:i w:val="0"/>
                <w:iCs w:val="0"/>
                <w:color w:val="000000"/>
                <w:kern w:val="0"/>
                <w:sz w:val="20"/>
                <w:szCs w:val="20"/>
                <w:u w:val="none"/>
                <w:lang w:val="en-US" w:eastAsia="zh-CN" w:bidi="ar"/>
              </w:rPr>
              <w:t>-2</w:t>
            </w:r>
          </w:p>
        </w:tc>
        <w:tc>
          <w:tcPr>
            <w:tcW w:w="1296" w:type="dxa"/>
            <w:shd w:val="clear" w:color="auto" w:fill="FFFFFF"/>
            <w:noWrap/>
            <w:vAlign w:val="center"/>
          </w:tcPr>
          <w:p w14:paraId="3CB156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eastAsia" w:ascii="Times New Roman" w:hAnsi="Times New Roman" w:eastAsia="宋体" w:cs="Times New Roman"/>
                <w:b w:val="0"/>
                <w:bCs/>
                <w:i w:val="0"/>
                <w:iCs w:val="0"/>
                <w:color w:val="000000"/>
                <w:sz w:val="20"/>
                <w:szCs w:val="20"/>
                <w:u w:val="none"/>
                <w:lang w:val="en-US" w:eastAsia="zh-CN"/>
              </w:rPr>
            </w:pPr>
            <w:r>
              <w:rPr>
                <w:rFonts w:hint="eastAsia" w:eastAsia="宋体" w:cs="Times New Roman"/>
                <w:b w:val="0"/>
                <w:bCs/>
                <w:i w:val="0"/>
                <w:iCs w:val="0"/>
                <w:color w:val="000000"/>
                <w:sz w:val="20"/>
                <w:szCs w:val="20"/>
                <w:u w:val="none"/>
                <w:lang w:val="en-US" w:eastAsia="zh-CN"/>
              </w:rPr>
              <w:t>9</w:t>
            </w:r>
          </w:p>
        </w:tc>
        <w:tc>
          <w:tcPr>
            <w:tcW w:w="1296" w:type="dxa"/>
            <w:shd w:val="clear" w:color="auto" w:fill="FFFFFF"/>
            <w:noWrap/>
            <w:vAlign w:val="center"/>
          </w:tcPr>
          <w:p w14:paraId="396B0C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90</w:t>
            </w:r>
          </w:p>
        </w:tc>
        <w:tc>
          <w:tcPr>
            <w:tcW w:w="1296" w:type="dxa"/>
            <w:gridSpan w:val="2"/>
            <w:shd w:val="clear" w:color="auto" w:fill="FFFFFF"/>
            <w:noWrap/>
            <w:vAlign w:val="center"/>
          </w:tcPr>
          <w:p w14:paraId="048A32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eastAsia" w:ascii="Times New Roman" w:hAnsi="Times New Roman" w:eastAsia="宋体" w:cs="Times New Roman"/>
                <w:b w:val="0"/>
                <w:bCs/>
                <w:i w:val="0"/>
                <w:iCs w:val="0"/>
                <w:color w:val="000000"/>
                <w:sz w:val="20"/>
                <w:szCs w:val="20"/>
                <w:u w:val="none"/>
                <w:lang w:val="en-US" w:eastAsia="zh-CN"/>
              </w:rPr>
            </w:pPr>
            <w:r>
              <w:rPr>
                <w:rFonts w:hint="eastAsia" w:eastAsia="宋体" w:cs="Times New Roman"/>
                <w:b w:val="0"/>
                <w:bCs/>
                <w:i w:val="0"/>
                <w:iCs w:val="0"/>
                <w:color w:val="000000"/>
                <w:sz w:val="20"/>
                <w:szCs w:val="20"/>
                <w:u w:val="none"/>
                <w:lang w:val="en-US" w:eastAsia="zh-CN"/>
              </w:rPr>
              <w:t>6</w:t>
            </w:r>
          </w:p>
        </w:tc>
        <w:tc>
          <w:tcPr>
            <w:tcW w:w="1296" w:type="dxa"/>
            <w:shd w:val="clear" w:color="auto" w:fill="FFFFFF"/>
            <w:noWrap/>
            <w:vAlign w:val="center"/>
          </w:tcPr>
          <w:p w14:paraId="749009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100</w:t>
            </w:r>
          </w:p>
        </w:tc>
        <w:tc>
          <w:tcPr>
            <w:tcW w:w="1296" w:type="dxa"/>
            <w:gridSpan w:val="2"/>
            <w:shd w:val="clear" w:color="auto" w:fill="FFFFFF"/>
            <w:noWrap/>
            <w:vAlign w:val="center"/>
          </w:tcPr>
          <w:p w14:paraId="34A25A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eastAsia" w:ascii="Times New Roman" w:hAnsi="Times New Roman" w:eastAsia="宋体" w:cs="Times New Roman"/>
                <w:b w:val="0"/>
                <w:bCs/>
                <w:i w:val="0"/>
                <w:iCs w:val="0"/>
                <w:color w:val="000000"/>
                <w:sz w:val="20"/>
                <w:szCs w:val="20"/>
                <w:u w:val="none"/>
                <w:lang w:val="en-US" w:eastAsia="zh-CN"/>
              </w:rPr>
            </w:pPr>
            <w:r>
              <w:rPr>
                <w:rFonts w:hint="eastAsia" w:eastAsia="宋体" w:cs="Times New Roman"/>
                <w:b w:val="0"/>
                <w:bCs/>
                <w:i w:val="0"/>
                <w:iCs w:val="0"/>
                <w:color w:val="000000"/>
                <w:sz w:val="20"/>
                <w:szCs w:val="20"/>
                <w:u w:val="none"/>
                <w:lang w:val="en-US" w:eastAsia="zh-CN"/>
              </w:rPr>
              <w:t>2</w:t>
            </w:r>
          </w:p>
        </w:tc>
        <w:tc>
          <w:tcPr>
            <w:tcW w:w="1299" w:type="dxa"/>
            <w:shd w:val="clear" w:color="auto" w:fill="FFFFFF"/>
            <w:noWrap/>
            <w:vAlign w:val="center"/>
          </w:tcPr>
          <w:p w14:paraId="3E47BC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100</w:t>
            </w:r>
          </w:p>
        </w:tc>
      </w:tr>
      <w:tr w14:paraId="27D66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964" w:type="dxa"/>
            <w:vMerge w:val="continue"/>
            <w:shd w:val="clear" w:color="auto" w:fill="FFFFFF"/>
            <w:noWrap/>
            <w:vAlign w:val="top"/>
          </w:tcPr>
          <w:p w14:paraId="530464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rPr>
                <w:rFonts w:hint="default" w:ascii="Times New Roman" w:hAnsi="Times New Roman" w:eastAsia="宋体" w:cs="Times New Roman"/>
                <w:b w:val="0"/>
                <w:bCs/>
                <w:i w:val="0"/>
                <w:iCs w:val="0"/>
                <w:color w:val="000000"/>
                <w:sz w:val="20"/>
                <w:szCs w:val="20"/>
                <w:u w:val="none"/>
              </w:rPr>
            </w:pPr>
          </w:p>
        </w:tc>
        <w:tc>
          <w:tcPr>
            <w:tcW w:w="2191" w:type="dxa"/>
            <w:shd w:val="clear" w:color="auto" w:fill="FFFFFF"/>
            <w:noWrap/>
            <w:vAlign w:val="top"/>
          </w:tcPr>
          <w:p w14:paraId="18CA5D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lang w:val="en-US"/>
              </w:rPr>
            </w:pPr>
            <w:r>
              <w:rPr>
                <w:rFonts w:hint="default" w:ascii="Times New Roman" w:hAnsi="Times New Roman" w:eastAsia="宋体" w:cs="Times New Roman"/>
                <w:b w:val="0"/>
                <w:bCs/>
                <w:i w:val="0"/>
                <w:iCs w:val="0"/>
                <w:color w:val="000000"/>
                <w:kern w:val="0"/>
                <w:sz w:val="20"/>
                <w:szCs w:val="20"/>
                <w:u w:val="none"/>
                <w:lang w:val="en-US" w:eastAsia="zh-CN" w:bidi="ar"/>
              </w:rPr>
              <w:t>3</w:t>
            </w:r>
            <w:r>
              <w:rPr>
                <w:rFonts w:hint="eastAsia" w:eastAsia="宋体" w:cs="Times New Roman"/>
                <w:b w:val="0"/>
                <w:bCs/>
                <w:i w:val="0"/>
                <w:iCs w:val="0"/>
                <w:color w:val="000000"/>
                <w:kern w:val="0"/>
                <w:sz w:val="20"/>
                <w:szCs w:val="20"/>
                <w:u w:val="none"/>
                <w:lang w:val="en-US" w:eastAsia="zh-CN" w:bidi="ar"/>
              </w:rPr>
              <w:t>-4</w:t>
            </w:r>
          </w:p>
        </w:tc>
        <w:tc>
          <w:tcPr>
            <w:tcW w:w="1296" w:type="dxa"/>
            <w:shd w:val="clear" w:color="auto" w:fill="FFFFFF"/>
            <w:noWrap/>
            <w:vAlign w:val="center"/>
          </w:tcPr>
          <w:p w14:paraId="1FF82F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1296" w:type="dxa"/>
            <w:shd w:val="clear" w:color="auto" w:fill="FFFFFF"/>
            <w:noWrap/>
            <w:vAlign w:val="center"/>
          </w:tcPr>
          <w:p w14:paraId="7A749F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10</w:t>
            </w:r>
          </w:p>
        </w:tc>
        <w:tc>
          <w:tcPr>
            <w:tcW w:w="1296" w:type="dxa"/>
            <w:gridSpan w:val="2"/>
            <w:shd w:val="clear" w:color="auto" w:fill="FFFFFF"/>
            <w:noWrap/>
            <w:vAlign w:val="center"/>
          </w:tcPr>
          <w:p w14:paraId="77A089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0</w:t>
            </w:r>
          </w:p>
        </w:tc>
        <w:tc>
          <w:tcPr>
            <w:tcW w:w="1296" w:type="dxa"/>
            <w:shd w:val="clear" w:color="auto" w:fill="FFFFFF"/>
            <w:noWrap/>
            <w:vAlign w:val="center"/>
          </w:tcPr>
          <w:p w14:paraId="79C6C8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0</w:t>
            </w:r>
          </w:p>
        </w:tc>
        <w:tc>
          <w:tcPr>
            <w:tcW w:w="1296" w:type="dxa"/>
            <w:gridSpan w:val="2"/>
            <w:shd w:val="clear" w:color="auto" w:fill="FFFFFF"/>
            <w:noWrap/>
            <w:vAlign w:val="center"/>
          </w:tcPr>
          <w:p w14:paraId="73F820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0</w:t>
            </w:r>
          </w:p>
        </w:tc>
        <w:tc>
          <w:tcPr>
            <w:tcW w:w="1299" w:type="dxa"/>
            <w:shd w:val="clear" w:color="auto" w:fill="FFFFFF"/>
            <w:noWrap/>
            <w:vAlign w:val="center"/>
          </w:tcPr>
          <w:p w14:paraId="0A2529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0</w:t>
            </w:r>
          </w:p>
        </w:tc>
      </w:tr>
      <w:tr w14:paraId="5F5EB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964" w:type="dxa"/>
            <w:vMerge w:val="restart"/>
            <w:shd w:val="clear" w:color="auto" w:fill="FFFFFF"/>
            <w:noWrap/>
            <w:vAlign w:val="top"/>
          </w:tcPr>
          <w:p w14:paraId="54C638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Scar</w:t>
            </w:r>
            <w:r>
              <w:rPr>
                <w:rFonts w:hint="eastAsia" w:eastAsia="宋体" w:cs="Times New Roman"/>
                <w:b w:val="0"/>
                <w:bCs/>
                <w:i w:val="0"/>
                <w:iCs w:val="0"/>
                <w:color w:val="000000"/>
                <w:kern w:val="0"/>
                <w:sz w:val="20"/>
                <w:szCs w:val="20"/>
                <w:u w:val="none"/>
                <w:lang w:val="en-US" w:eastAsia="zh-CN" w:bidi="ar"/>
              </w:rPr>
              <w:t xml:space="preserve"> </w:t>
            </w:r>
            <w:r>
              <w:rPr>
                <w:rFonts w:hint="default" w:ascii="Times New Roman" w:hAnsi="Times New Roman" w:eastAsia="宋体" w:cs="Times New Roman"/>
                <w:b w:val="0"/>
                <w:bCs/>
                <w:i w:val="0"/>
                <w:iCs w:val="0"/>
                <w:color w:val="000000"/>
                <w:kern w:val="0"/>
                <w:sz w:val="20"/>
                <w:szCs w:val="20"/>
                <w:u w:val="none"/>
                <w:lang w:val="en-US" w:eastAsia="zh-CN" w:bidi="ar"/>
              </w:rPr>
              <w:t>n</w:t>
            </w:r>
            <w:r>
              <w:rPr>
                <w:rFonts w:hint="eastAsia" w:eastAsia="宋体" w:cs="Times New Roman"/>
                <w:b w:val="0"/>
                <w:bCs/>
                <w:i w:val="0"/>
                <w:iCs w:val="0"/>
                <w:color w:val="000000"/>
                <w:kern w:val="0"/>
                <w:sz w:val="20"/>
                <w:szCs w:val="20"/>
                <w:u w:val="none"/>
                <w:lang w:val="en-US" w:eastAsia="zh-CN" w:bidi="ar"/>
              </w:rPr>
              <w:t>u</w:t>
            </w:r>
            <w:r>
              <w:rPr>
                <w:rFonts w:hint="default" w:ascii="Times New Roman" w:hAnsi="Times New Roman" w:eastAsia="宋体" w:cs="Times New Roman"/>
                <w:b w:val="0"/>
                <w:bCs/>
                <w:i w:val="0"/>
                <w:iCs w:val="0"/>
                <w:color w:val="000000"/>
                <w:kern w:val="0"/>
                <w:sz w:val="20"/>
                <w:szCs w:val="20"/>
                <w:u w:val="none"/>
                <w:lang w:val="en-US" w:eastAsia="zh-CN" w:bidi="ar"/>
              </w:rPr>
              <w:t>mber</w:t>
            </w:r>
          </w:p>
        </w:tc>
        <w:tc>
          <w:tcPr>
            <w:tcW w:w="2191" w:type="dxa"/>
            <w:shd w:val="clear" w:color="auto" w:fill="FFFFFF"/>
            <w:noWrap/>
            <w:vAlign w:val="top"/>
          </w:tcPr>
          <w:p w14:paraId="6E9A3A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1-3</w:t>
            </w:r>
          </w:p>
        </w:tc>
        <w:tc>
          <w:tcPr>
            <w:tcW w:w="1296" w:type="dxa"/>
            <w:shd w:val="clear" w:color="auto" w:fill="FFFFFF"/>
            <w:noWrap/>
            <w:vAlign w:val="center"/>
          </w:tcPr>
          <w:p w14:paraId="2724E7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1296" w:type="dxa"/>
            <w:shd w:val="clear" w:color="auto" w:fill="FFFFFF"/>
            <w:noWrap/>
            <w:vAlign w:val="center"/>
          </w:tcPr>
          <w:p w14:paraId="7555CC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10</w:t>
            </w:r>
          </w:p>
        </w:tc>
        <w:tc>
          <w:tcPr>
            <w:tcW w:w="1296" w:type="dxa"/>
            <w:gridSpan w:val="2"/>
            <w:shd w:val="clear" w:color="auto" w:fill="FFFFFF"/>
            <w:noWrap/>
            <w:vAlign w:val="center"/>
          </w:tcPr>
          <w:p w14:paraId="1A7708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1296" w:type="dxa"/>
            <w:shd w:val="clear" w:color="auto" w:fill="FFFFFF"/>
            <w:noWrap/>
            <w:vAlign w:val="center"/>
          </w:tcPr>
          <w:p w14:paraId="017288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16.7</w:t>
            </w:r>
          </w:p>
        </w:tc>
        <w:tc>
          <w:tcPr>
            <w:tcW w:w="1296" w:type="dxa"/>
            <w:gridSpan w:val="2"/>
            <w:shd w:val="clear" w:color="auto" w:fill="FFFFFF"/>
            <w:noWrap/>
            <w:vAlign w:val="center"/>
          </w:tcPr>
          <w:p w14:paraId="54ADB6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0</w:t>
            </w:r>
          </w:p>
        </w:tc>
        <w:tc>
          <w:tcPr>
            <w:tcW w:w="1299" w:type="dxa"/>
            <w:shd w:val="clear" w:color="auto" w:fill="FFFFFF"/>
            <w:noWrap/>
            <w:vAlign w:val="center"/>
          </w:tcPr>
          <w:p w14:paraId="23CCB3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0</w:t>
            </w:r>
          </w:p>
        </w:tc>
      </w:tr>
      <w:tr w14:paraId="18268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964" w:type="dxa"/>
            <w:vMerge w:val="continue"/>
            <w:shd w:val="clear" w:color="auto" w:fill="FFFFFF"/>
            <w:noWrap/>
            <w:vAlign w:val="top"/>
          </w:tcPr>
          <w:p w14:paraId="457D46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rPr>
                <w:rFonts w:hint="default" w:ascii="Times New Roman" w:hAnsi="Times New Roman" w:eastAsia="宋体" w:cs="Times New Roman"/>
                <w:b w:val="0"/>
                <w:bCs/>
                <w:i w:val="0"/>
                <w:iCs w:val="0"/>
                <w:color w:val="000000"/>
                <w:sz w:val="20"/>
                <w:szCs w:val="20"/>
                <w:u w:val="none"/>
              </w:rPr>
            </w:pPr>
          </w:p>
        </w:tc>
        <w:tc>
          <w:tcPr>
            <w:tcW w:w="2191" w:type="dxa"/>
            <w:shd w:val="clear" w:color="auto" w:fill="FFFFFF"/>
            <w:noWrap/>
            <w:vAlign w:val="top"/>
          </w:tcPr>
          <w:p w14:paraId="3CD926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4-6</w:t>
            </w:r>
          </w:p>
        </w:tc>
        <w:tc>
          <w:tcPr>
            <w:tcW w:w="1296" w:type="dxa"/>
            <w:shd w:val="clear" w:color="auto" w:fill="FFFFFF"/>
            <w:noWrap/>
            <w:vAlign w:val="center"/>
          </w:tcPr>
          <w:p w14:paraId="4A0A60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6</w:t>
            </w:r>
          </w:p>
        </w:tc>
        <w:tc>
          <w:tcPr>
            <w:tcW w:w="1296" w:type="dxa"/>
            <w:shd w:val="clear" w:color="auto" w:fill="FFFFFF"/>
            <w:noWrap/>
            <w:vAlign w:val="center"/>
          </w:tcPr>
          <w:p w14:paraId="3C71F9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60</w:t>
            </w:r>
          </w:p>
        </w:tc>
        <w:tc>
          <w:tcPr>
            <w:tcW w:w="1296" w:type="dxa"/>
            <w:gridSpan w:val="2"/>
            <w:shd w:val="clear" w:color="auto" w:fill="FFFFFF"/>
            <w:noWrap/>
            <w:vAlign w:val="center"/>
          </w:tcPr>
          <w:p w14:paraId="39DC0B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3</w:t>
            </w:r>
          </w:p>
        </w:tc>
        <w:tc>
          <w:tcPr>
            <w:tcW w:w="1296" w:type="dxa"/>
            <w:shd w:val="clear" w:color="auto" w:fill="FFFFFF"/>
            <w:noWrap/>
            <w:vAlign w:val="center"/>
          </w:tcPr>
          <w:p w14:paraId="43B1D6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50</w:t>
            </w:r>
          </w:p>
        </w:tc>
        <w:tc>
          <w:tcPr>
            <w:tcW w:w="1296" w:type="dxa"/>
            <w:gridSpan w:val="2"/>
            <w:shd w:val="clear" w:color="auto" w:fill="FFFFFF"/>
            <w:noWrap/>
            <w:vAlign w:val="center"/>
          </w:tcPr>
          <w:p w14:paraId="727D7E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1299" w:type="dxa"/>
            <w:shd w:val="clear" w:color="auto" w:fill="FFFFFF"/>
            <w:noWrap/>
            <w:vAlign w:val="center"/>
          </w:tcPr>
          <w:p w14:paraId="13B748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50</w:t>
            </w:r>
          </w:p>
        </w:tc>
      </w:tr>
      <w:tr w14:paraId="29527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964" w:type="dxa"/>
            <w:vMerge w:val="continue"/>
            <w:tcBorders>
              <w:bottom w:val="single" w:color="auto" w:sz="4" w:space="0"/>
            </w:tcBorders>
            <w:shd w:val="clear" w:color="auto" w:fill="FFFFFF"/>
            <w:noWrap/>
            <w:vAlign w:val="top"/>
          </w:tcPr>
          <w:p w14:paraId="65C010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rPr>
                <w:rFonts w:hint="default" w:ascii="Times New Roman" w:hAnsi="Times New Roman" w:eastAsia="宋体" w:cs="Times New Roman"/>
                <w:b w:val="0"/>
                <w:bCs/>
                <w:i w:val="0"/>
                <w:iCs w:val="0"/>
                <w:color w:val="000000"/>
                <w:sz w:val="20"/>
                <w:szCs w:val="20"/>
                <w:u w:val="none"/>
              </w:rPr>
            </w:pPr>
          </w:p>
        </w:tc>
        <w:tc>
          <w:tcPr>
            <w:tcW w:w="2191" w:type="dxa"/>
            <w:tcBorders>
              <w:bottom w:val="single" w:color="auto" w:sz="4" w:space="0"/>
            </w:tcBorders>
            <w:shd w:val="clear" w:color="auto" w:fill="FFFFFF"/>
            <w:noWrap/>
            <w:vAlign w:val="top"/>
          </w:tcPr>
          <w:p w14:paraId="77F34B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≥7</w:t>
            </w:r>
          </w:p>
        </w:tc>
        <w:tc>
          <w:tcPr>
            <w:tcW w:w="1296" w:type="dxa"/>
            <w:tcBorders>
              <w:bottom w:val="single" w:color="auto" w:sz="4" w:space="0"/>
            </w:tcBorders>
            <w:shd w:val="clear" w:color="auto" w:fill="FFFFFF"/>
            <w:noWrap/>
            <w:vAlign w:val="center"/>
          </w:tcPr>
          <w:p w14:paraId="543D82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3</w:t>
            </w:r>
          </w:p>
        </w:tc>
        <w:tc>
          <w:tcPr>
            <w:tcW w:w="1296" w:type="dxa"/>
            <w:tcBorders>
              <w:bottom w:val="single" w:color="auto" w:sz="4" w:space="0"/>
            </w:tcBorders>
            <w:shd w:val="clear" w:color="auto" w:fill="FFFFFF"/>
            <w:noWrap/>
            <w:vAlign w:val="center"/>
          </w:tcPr>
          <w:p w14:paraId="18199A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30</w:t>
            </w:r>
          </w:p>
        </w:tc>
        <w:tc>
          <w:tcPr>
            <w:tcW w:w="1296" w:type="dxa"/>
            <w:gridSpan w:val="2"/>
            <w:tcBorders>
              <w:bottom w:val="single" w:color="auto" w:sz="4" w:space="0"/>
            </w:tcBorders>
            <w:shd w:val="clear" w:color="auto" w:fill="FFFFFF"/>
            <w:noWrap/>
            <w:vAlign w:val="center"/>
          </w:tcPr>
          <w:p w14:paraId="18FEC3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1296" w:type="dxa"/>
            <w:tcBorders>
              <w:bottom w:val="single" w:color="auto" w:sz="4" w:space="0"/>
            </w:tcBorders>
            <w:shd w:val="clear" w:color="auto" w:fill="FFFFFF"/>
            <w:noWrap/>
            <w:vAlign w:val="center"/>
          </w:tcPr>
          <w:p w14:paraId="1ED18A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33.3</w:t>
            </w:r>
          </w:p>
        </w:tc>
        <w:tc>
          <w:tcPr>
            <w:tcW w:w="1296" w:type="dxa"/>
            <w:gridSpan w:val="2"/>
            <w:tcBorders>
              <w:bottom w:val="single" w:color="auto" w:sz="4" w:space="0"/>
            </w:tcBorders>
            <w:shd w:val="clear" w:color="auto" w:fill="FFFFFF"/>
            <w:noWrap/>
            <w:vAlign w:val="center"/>
          </w:tcPr>
          <w:p w14:paraId="2F23E5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1299" w:type="dxa"/>
            <w:tcBorders>
              <w:bottom w:val="single" w:color="auto" w:sz="4" w:space="0"/>
            </w:tcBorders>
            <w:shd w:val="clear" w:color="auto" w:fill="FFFFFF"/>
            <w:noWrap/>
            <w:vAlign w:val="center"/>
          </w:tcPr>
          <w:p w14:paraId="3EAB17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r>
              <w:rPr>
                <w:rFonts w:hint="eastAsia" w:eastAsia="宋体" w:cs="Times New Roman"/>
                <w:b w:val="0"/>
                <w:bCs/>
                <w:i w:val="0"/>
                <w:iCs w:val="0"/>
                <w:color w:val="000000"/>
                <w:kern w:val="0"/>
                <w:sz w:val="20"/>
                <w:szCs w:val="20"/>
                <w:u w:val="none"/>
                <w:lang w:val="en-US" w:eastAsia="zh-CN" w:bidi="ar"/>
              </w:rPr>
              <w:t>50</w:t>
            </w:r>
          </w:p>
        </w:tc>
      </w:tr>
    </w:tbl>
    <w:p w14:paraId="05195106">
      <w:pPr>
        <w:pStyle w:val="7"/>
        <w:rPr>
          <w:b/>
          <w:bCs w:val="0"/>
        </w:rPr>
      </w:pPr>
    </w:p>
    <w:p w14:paraId="5637C03A">
      <w:pPr>
        <w:pStyle w:val="7"/>
        <w:rPr>
          <w:b/>
          <w:bCs w:val="0"/>
        </w:rPr>
      </w:pPr>
    </w:p>
    <w:p w14:paraId="114BEDE0">
      <w:pPr>
        <w:pStyle w:val="7"/>
        <w:rPr>
          <w:b/>
          <w:bCs w:val="0"/>
        </w:rPr>
      </w:pPr>
    </w:p>
    <w:p w14:paraId="74A093B7">
      <w:pPr>
        <w:pStyle w:val="7"/>
        <w:rPr>
          <w:b/>
          <w:bCs w:val="0"/>
        </w:rPr>
      </w:pPr>
    </w:p>
    <w:p w14:paraId="24F15491">
      <w:pPr>
        <w:pStyle w:val="7"/>
        <w:rPr>
          <w:b/>
          <w:bCs w:val="0"/>
        </w:rPr>
      </w:pPr>
    </w:p>
    <w:p w14:paraId="49AE626D">
      <w:pPr>
        <w:pStyle w:val="7"/>
        <w:rPr>
          <w:b/>
          <w:bCs w:val="0"/>
        </w:rPr>
      </w:pPr>
    </w:p>
    <w:p w14:paraId="44C5ABC3">
      <w:pPr>
        <w:pStyle w:val="7"/>
        <w:rPr>
          <w:b/>
          <w:bCs w:val="0"/>
        </w:rPr>
      </w:pPr>
    </w:p>
    <w:p w14:paraId="35633C01">
      <w:pPr>
        <w:pStyle w:val="7"/>
        <w:rPr>
          <w:b/>
          <w:bCs w:val="0"/>
        </w:rPr>
      </w:pPr>
    </w:p>
    <w:p w14:paraId="19813BB6">
      <w:pPr>
        <w:pStyle w:val="7"/>
        <w:rPr>
          <w:b/>
          <w:bCs w:val="0"/>
        </w:rPr>
      </w:pPr>
    </w:p>
    <w:p w14:paraId="630A711C">
      <w:pPr>
        <w:pStyle w:val="7"/>
        <w:rPr>
          <w:b/>
          <w:bCs w:val="0"/>
        </w:rPr>
      </w:pPr>
    </w:p>
    <w:p w14:paraId="64A13C54">
      <w:pPr>
        <w:pStyle w:val="7"/>
        <w:rPr>
          <w:b/>
          <w:bCs w:val="0"/>
        </w:rPr>
      </w:pPr>
    </w:p>
    <w:p w14:paraId="637C8FE3">
      <w:pPr>
        <w:pStyle w:val="7"/>
        <w:keepNext w:val="0"/>
        <w:keepLines w:val="0"/>
        <w:pageBreakBefore w:val="0"/>
        <w:widowControl/>
        <w:kinsoku/>
        <w:wordWrap/>
        <w:overflowPunct/>
        <w:topLinePunct w:val="0"/>
        <w:autoSpaceDE/>
        <w:autoSpaceDN/>
        <w:bidi w:val="0"/>
        <w:adjustRightInd/>
        <w:snapToGrid/>
        <w:textAlignment w:val="auto"/>
      </w:pPr>
      <w:r>
        <w:rPr>
          <w:b/>
          <w:bCs w:val="0"/>
        </w:rPr>
        <w:t xml:space="preserve">Supplementary Table </w:t>
      </w:r>
      <w:r>
        <w:rPr>
          <w:rFonts w:hint="eastAsia"/>
          <w:b/>
          <w:bCs w:val="0"/>
          <w:lang w:val="en-US" w:eastAsia="zh-CN"/>
        </w:rPr>
        <w:t>21</w:t>
      </w:r>
      <w:r>
        <w:t xml:space="preserve"> | </w:t>
      </w:r>
      <w:r>
        <w:rPr>
          <w:rFonts w:hint="eastAsia"/>
        </w:rPr>
        <w:t>Statistics of core attributes</w:t>
      </w:r>
      <w:r>
        <w:t>.</w:t>
      </w:r>
    </w:p>
    <w:tbl>
      <w:tblPr>
        <w:tblStyle w:val="24"/>
        <w:tblW w:w="13971" w:type="dxa"/>
        <w:tblInd w:w="0" w:type="dxa"/>
        <w:tblLayout w:type="autofit"/>
        <w:tblCellMar>
          <w:top w:w="0" w:type="dxa"/>
          <w:left w:w="108" w:type="dxa"/>
          <w:bottom w:w="0" w:type="dxa"/>
          <w:right w:w="108" w:type="dxa"/>
        </w:tblCellMar>
      </w:tblPr>
      <w:tblGrid>
        <w:gridCol w:w="2625"/>
        <w:gridCol w:w="945"/>
        <w:gridCol w:w="946"/>
        <w:gridCol w:w="945"/>
        <w:gridCol w:w="946"/>
        <w:gridCol w:w="945"/>
        <w:gridCol w:w="946"/>
        <w:gridCol w:w="945"/>
        <w:gridCol w:w="946"/>
        <w:gridCol w:w="836"/>
        <w:gridCol w:w="1055"/>
        <w:gridCol w:w="945"/>
        <w:gridCol w:w="946"/>
      </w:tblGrid>
      <w:tr w14:paraId="4321D058">
        <w:tblPrEx>
          <w:tblCellMar>
            <w:top w:w="0" w:type="dxa"/>
            <w:left w:w="108" w:type="dxa"/>
            <w:bottom w:w="0" w:type="dxa"/>
            <w:right w:w="108" w:type="dxa"/>
          </w:tblCellMar>
        </w:tblPrEx>
        <w:trPr>
          <w:trHeight w:val="289" w:hRule="atLeast"/>
        </w:trPr>
        <w:tc>
          <w:tcPr>
            <w:tcW w:w="2625" w:type="dxa"/>
            <w:tcBorders>
              <w:top w:val="single" w:color="auto" w:sz="4" w:space="0"/>
              <w:left w:val="nil"/>
              <w:bottom w:val="single" w:color="auto" w:sz="4" w:space="0"/>
              <w:right w:val="nil"/>
            </w:tcBorders>
            <w:noWrap/>
            <w:vAlign w:val="center"/>
          </w:tcPr>
          <w:p w14:paraId="3CA8D4AD">
            <w:pPr>
              <w:keepNext w:val="0"/>
              <w:keepLines w:val="0"/>
              <w:widowControl/>
              <w:suppressLineNumbers w:val="0"/>
              <w:spacing w:before="0" w:beforeAutospacing="0" w:after="0" w:afterAutospacing="0" w:line="240" w:lineRule="auto"/>
              <w:ind w:left="0" w:right="0" w:firstLine="0"/>
              <w:rPr>
                <w:rFonts w:hint="default" w:eastAsia="等线"/>
                <w:b/>
                <w:bCs/>
                <w:sz w:val="20"/>
                <w:szCs w:val="20"/>
              </w:rPr>
            </w:pPr>
            <w:r>
              <w:rPr>
                <w:rFonts w:hint="default" w:eastAsia="等线"/>
                <w:b/>
                <w:bCs/>
                <w:sz w:val="20"/>
                <w:szCs w:val="20"/>
              </w:rPr>
              <w:t>　</w:t>
            </w:r>
          </w:p>
        </w:tc>
        <w:tc>
          <w:tcPr>
            <w:tcW w:w="1891" w:type="dxa"/>
            <w:gridSpan w:val="2"/>
            <w:tcBorders>
              <w:top w:val="single" w:color="auto" w:sz="4" w:space="0"/>
              <w:left w:val="nil"/>
              <w:bottom w:val="single" w:color="auto" w:sz="4" w:space="0"/>
              <w:right w:val="nil"/>
            </w:tcBorders>
            <w:noWrap/>
            <w:vAlign w:val="center"/>
          </w:tcPr>
          <w:p w14:paraId="33F3C930">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Length (mm)</w:t>
            </w:r>
          </w:p>
        </w:tc>
        <w:tc>
          <w:tcPr>
            <w:tcW w:w="1891" w:type="dxa"/>
            <w:gridSpan w:val="2"/>
            <w:tcBorders>
              <w:top w:val="single" w:color="auto" w:sz="4" w:space="0"/>
              <w:left w:val="nil"/>
              <w:bottom w:val="single" w:color="auto" w:sz="4" w:space="0"/>
              <w:right w:val="nil"/>
            </w:tcBorders>
            <w:noWrap/>
            <w:vAlign w:val="center"/>
          </w:tcPr>
          <w:p w14:paraId="2A7A1633">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Width (mm)</w:t>
            </w:r>
          </w:p>
        </w:tc>
        <w:tc>
          <w:tcPr>
            <w:tcW w:w="1891" w:type="dxa"/>
            <w:gridSpan w:val="2"/>
            <w:tcBorders>
              <w:top w:val="single" w:color="auto" w:sz="4" w:space="0"/>
              <w:left w:val="nil"/>
              <w:bottom w:val="single" w:color="auto" w:sz="4" w:space="0"/>
              <w:right w:val="nil"/>
            </w:tcBorders>
            <w:noWrap/>
            <w:vAlign w:val="center"/>
          </w:tcPr>
          <w:p w14:paraId="28B25B40">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Thickness (mm)</w:t>
            </w:r>
          </w:p>
        </w:tc>
        <w:tc>
          <w:tcPr>
            <w:tcW w:w="1891" w:type="dxa"/>
            <w:gridSpan w:val="2"/>
            <w:tcBorders>
              <w:top w:val="single" w:color="auto" w:sz="4" w:space="0"/>
              <w:left w:val="nil"/>
              <w:bottom w:val="single" w:color="auto" w:sz="4" w:space="0"/>
              <w:right w:val="nil"/>
            </w:tcBorders>
            <w:noWrap/>
            <w:vAlign w:val="center"/>
          </w:tcPr>
          <w:p w14:paraId="5D636CFB">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Mass (g)</w:t>
            </w:r>
          </w:p>
        </w:tc>
        <w:tc>
          <w:tcPr>
            <w:tcW w:w="1891" w:type="dxa"/>
            <w:gridSpan w:val="2"/>
            <w:tcBorders>
              <w:top w:val="single" w:color="auto" w:sz="4" w:space="0"/>
              <w:left w:val="nil"/>
              <w:bottom w:val="single" w:color="auto" w:sz="4" w:space="0"/>
              <w:right w:val="nil"/>
            </w:tcBorders>
            <w:noWrap/>
            <w:vAlign w:val="center"/>
          </w:tcPr>
          <w:p w14:paraId="4A58C501">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Flaking angle (°)</w:t>
            </w:r>
          </w:p>
        </w:tc>
        <w:tc>
          <w:tcPr>
            <w:tcW w:w="1891" w:type="dxa"/>
            <w:gridSpan w:val="2"/>
            <w:tcBorders>
              <w:top w:val="single" w:color="auto" w:sz="4" w:space="0"/>
              <w:left w:val="nil"/>
              <w:bottom w:val="single" w:color="auto" w:sz="4" w:space="0"/>
              <w:right w:val="nil"/>
            </w:tcBorders>
            <w:noWrap/>
            <w:vAlign w:val="center"/>
          </w:tcPr>
          <w:p w14:paraId="4A8A9FD0">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Flaking scar</w:t>
            </w:r>
          </w:p>
        </w:tc>
      </w:tr>
      <w:tr w14:paraId="6D35E780">
        <w:tblPrEx>
          <w:tblCellMar>
            <w:top w:w="0" w:type="dxa"/>
            <w:left w:w="108" w:type="dxa"/>
            <w:bottom w:w="0" w:type="dxa"/>
            <w:right w:w="108" w:type="dxa"/>
          </w:tblCellMar>
        </w:tblPrEx>
        <w:trPr>
          <w:trHeight w:val="289" w:hRule="atLeast"/>
        </w:trPr>
        <w:tc>
          <w:tcPr>
            <w:tcW w:w="2625" w:type="dxa"/>
            <w:tcBorders>
              <w:top w:val="nil"/>
              <w:left w:val="nil"/>
              <w:bottom w:val="single" w:color="auto" w:sz="4" w:space="0"/>
              <w:right w:val="nil"/>
            </w:tcBorders>
            <w:noWrap/>
            <w:vAlign w:val="center"/>
          </w:tcPr>
          <w:p w14:paraId="03429B63">
            <w:pPr>
              <w:keepNext w:val="0"/>
              <w:keepLines w:val="0"/>
              <w:widowControl/>
              <w:suppressLineNumbers w:val="0"/>
              <w:spacing w:before="0" w:beforeAutospacing="0" w:after="0" w:afterAutospacing="0" w:line="240" w:lineRule="auto"/>
              <w:ind w:left="0" w:right="0" w:firstLine="0"/>
              <w:rPr>
                <w:rFonts w:hint="default" w:eastAsia="等线"/>
                <w:b/>
                <w:bCs/>
                <w:sz w:val="20"/>
                <w:szCs w:val="20"/>
              </w:rPr>
            </w:pPr>
            <w:r>
              <w:rPr>
                <w:rFonts w:hint="default" w:eastAsia="等线"/>
                <w:b/>
                <w:bCs/>
                <w:sz w:val="20"/>
                <w:szCs w:val="20"/>
              </w:rPr>
              <w:t>　</w:t>
            </w:r>
          </w:p>
        </w:tc>
        <w:tc>
          <w:tcPr>
            <w:tcW w:w="945" w:type="dxa"/>
            <w:tcBorders>
              <w:top w:val="nil"/>
              <w:left w:val="nil"/>
              <w:bottom w:val="single" w:color="auto" w:sz="4" w:space="0"/>
              <w:right w:val="nil"/>
            </w:tcBorders>
            <w:noWrap/>
            <w:vAlign w:val="center"/>
          </w:tcPr>
          <w:p w14:paraId="2D4FC928">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x̅</w:t>
            </w:r>
          </w:p>
        </w:tc>
        <w:tc>
          <w:tcPr>
            <w:tcW w:w="945" w:type="dxa"/>
            <w:tcBorders>
              <w:top w:val="nil"/>
              <w:left w:val="nil"/>
              <w:bottom w:val="single" w:color="auto" w:sz="4" w:space="0"/>
              <w:right w:val="nil"/>
            </w:tcBorders>
            <w:noWrap/>
            <w:vAlign w:val="center"/>
          </w:tcPr>
          <w:p w14:paraId="68E4D31B">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σ</w:t>
            </w:r>
          </w:p>
        </w:tc>
        <w:tc>
          <w:tcPr>
            <w:tcW w:w="945" w:type="dxa"/>
            <w:tcBorders>
              <w:top w:val="nil"/>
              <w:left w:val="nil"/>
              <w:bottom w:val="single" w:color="auto" w:sz="4" w:space="0"/>
              <w:right w:val="nil"/>
            </w:tcBorders>
            <w:noWrap/>
            <w:vAlign w:val="center"/>
          </w:tcPr>
          <w:p w14:paraId="2D839FE8">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x̅</w:t>
            </w:r>
          </w:p>
        </w:tc>
        <w:tc>
          <w:tcPr>
            <w:tcW w:w="945" w:type="dxa"/>
            <w:tcBorders>
              <w:top w:val="nil"/>
              <w:left w:val="nil"/>
              <w:bottom w:val="single" w:color="auto" w:sz="4" w:space="0"/>
              <w:right w:val="nil"/>
            </w:tcBorders>
            <w:noWrap/>
            <w:vAlign w:val="center"/>
          </w:tcPr>
          <w:p w14:paraId="2D9A4CBE">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σ</w:t>
            </w:r>
          </w:p>
        </w:tc>
        <w:tc>
          <w:tcPr>
            <w:tcW w:w="945" w:type="dxa"/>
            <w:tcBorders>
              <w:top w:val="nil"/>
              <w:left w:val="nil"/>
              <w:bottom w:val="single" w:color="auto" w:sz="4" w:space="0"/>
              <w:right w:val="nil"/>
            </w:tcBorders>
            <w:noWrap/>
            <w:vAlign w:val="center"/>
          </w:tcPr>
          <w:p w14:paraId="137ED71D">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x̅</w:t>
            </w:r>
          </w:p>
        </w:tc>
        <w:tc>
          <w:tcPr>
            <w:tcW w:w="945" w:type="dxa"/>
            <w:tcBorders>
              <w:top w:val="nil"/>
              <w:left w:val="nil"/>
              <w:bottom w:val="single" w:color="auto" w:sz="4" w:space="0"/>
              <w:right w:val="nil"/>
            </w:tcBorders>
            <w:noWrap/>
            <w:vAlign w:val="center"/>
          </w:tcPr>
          <w:p w14:paraId="040F2EF5">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σ</w:t>
            </w:r>
          </w:p>
        </w:tc>
        <w:tc>
          <w:tcPr>
            <w:tcW w:w="945" w:type="dxa"/>
            <w:tcBorders>
              <w:top w:val="nil"/>
              <w:left w:val="nil"/>
              <w:bottom w:val="single" w:color="auto" w:sz="4" w:space="0"/>
              <w:right w:val="nil"/>
            </w:tcBorders>
            <w:noWrap/>
            <w:vAlign w:val="center"/>
          </w:tcPr>
          <w:p w14:paraId="5589220D">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x̅</w:t>
            </w:r>
          </w:p>
        </w:tc>
        <w:tc>
          <w:tcPr>
            <w:tcW w:w="945" w:type="dxa"/>
            <w:tcBorders>
              <w:top w:val="nil"/>
              <w:left w:val="nil"/>
              <w:bottom w:val="single" w:color="auto" w:sz="4" w:space="0"/>
              <w:right w:val="nil"/>
            </w:tcBorders>
            <w:noWrap/>
            <w:vAlign w:val="center"/>
          </w:tcPr>
          <w:p w14:paraId="08EC3DA5">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σ</w:t>
            </w:r>
          </w:p>
        </w:tc>
        <w:tc>
          <w:tcPr>
            <w:tcW w:w="836" w:type="dxa"/>
            <w:tcBorders>
              <w:top w:val="nil"/>
              <w:left w:val="nil"/>
              <w:bottom w:val="single" w:color="auto" w:sz="4" w:space="0"/>
              <w:right w:val="nil"/>
            </w:tcBorders>
            <w:noWrap/>
            <w:vAlign w:val="center"/>
          </w:tcPr>
          <w:p w14:paraId="6A058C26">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x̅</w:t>
            </w:r>
          </w:p>
        </w:tc>
        <w:tc>
          <w:tcPr>
            <w:tcW w:w="1055" w:type="dxa"/>
            <w:tcBorders>
              <w:top w:val="nil"/>
              <w:left w:val="nil"/>
              <w:bottom w:val="single" w:color="auto" w:sz="4" w:space="0"/>
              <w:right w:val="nil"/>
            </w:tcBorders>
            <w:noWrap/>
            <w:vAlign w:val="center"/>
          </w:tcPr>
          <w:p w14:paraId="71DE8A42">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σ</w:t>
            </w:r>
          </w:p>
        </w:tc>
        <w:tc>
          <w:tcPr>
            <w:tcW w:w="945" w:type="dxa"/>
            <w:tcBorders>
              <w:top w:val="nil"/>
              <w:left w:val="nil"/>
              <w:bottom w:val="single" w:color="auto" w:sz="4" w:space="0"/>
              <w:right w:val="nil"/>
            </w:tcBorders>
            <w:noWrap/>
            <w:vAlign w:val="center"/>
          </w:tcPr>
          <w:p w14:paraId="016AFADE">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x̅</w:t>
            </w:r>
          </w:p>
        </w:tc>
        <w:tc>
          <w:tcPr>
            <w:tcW w:w="945" w:type="dxa"/>
            <w:tcBorders>
              <w:top w:val="nil"/>
              <w:left w:val="nil"/>
              <w:bottom w:val="single" w:color="auto" w:sz="4" w:space="0"/>
              <w:right w:val="nil"/>
            </w:tcBorders>
            <w:noWrap/>
            <w:vAlign w:val="center"/>
          </w:tcPr>
          <w:p w14:paraId="0026D7EA">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σ</w:t>
            </w:r>
          </w:p>
        </w:tc>
      </w:tr>
      <w:tr w14:paraId="4337A16E">
        <w:tblPrEx>
          <w:tblCellMar>
            <w:top w:w="0" w:type="dxa"/>
            <w:left w:w="108" w:type="dxa"/>
            <w:bottom w:w="0" w:type="dxa"/>
            <w:right w:w="108" w:type="dxa"/>
          </w:tblCellMar>
        </w:tblPrEx>
        <w:trPr>
          <w:trHeight w:val="289" w:hRule="atLeast"/>
        </w:trPr>
        <w:tc>
          <w:tcPr>
            <w:tcW w:w="2625" w:type="dxa"/>
            <w:tcBorders>
              <w:top w:val="nil"/>
              <w:left w:val="nil"/>
              <w:bottom w:val="nil"/>
              <w:right w:val="nil"/>
            </w:tcBorders>
            <w:noWrap/>
            <w:vAlign w:val="center"/>
          </w:tcPr>
          <w:p w14:paraId="47FF0761">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Initial core</w:t>
            </w:r>
          </w:p>
        </w:tc>
        <w:tc>
          <w:tcPr>
            <w:tcW w:w="945" w:type="dxa"/>
            <w:tcBorders>
              <w:top w:val="nil"/>
              <w:left w:val="nil"/>
              <w:bottom w:val="nil"/>
              <w:right w:val="nil"/>
            </w:tcBorders>
            <w:noWrap/>
            <w:vAlign w:val="center"/>
          </w:tcPr>
          <w:p w14:paraId="1DCAFB91">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69.3 </w:t>
            </w:r>
          </w:p>
        </w:tc>
        <w:tc>
          <w:tcPr>
            <w:tcW w:w="945" w:type="dxa"/>
            <w:tcBorders>
              <w:top w:val="nil"/>
              <w:left w:val="nil"/>
              <w:bottom w:val="nil"/>
              <w:right w:val="nil"/>
            </w:tcBorders>
            <w:noWrap/>
            <w:vAlign w:val="center"/>
          </w:tcPr>
          <w:p w14:paraId="0F21AFAA">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16.3 </w:t>
            </w:r>
          </w:p>
        </w:tc>
        <w:tc>
          <w:tcPr>
            <w:tcW w:w="945" w:type="dxa"/>
            <w:tcBorders>
              <w:top w:val="nil"/>
              <w:left w:val="nil"/>
              <w:bottom w:val="nil"/>
              <w:right w:val="nil"/>
            </w:tcBorders>
            <w:noWrap/>
            <w:vAlign w:val="center"/>
          </w:tcPr>
          <w:p w14:paraId="1A5CB2E6">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55.4 </w:t>
            </w:r>
          </w:p>
        </w:tc>
        <w:tc>
          <w:tcPr>
            <w:tcW w:w="945" w:type="dxa"/>
            <w:tcBorders>
              <w:top w:val="nil"/>
              <w:left w:val="nil"/>
              <w:bottom w:val="nil"/>
              <w:right w:val="nil"/>
            </w:tcBorders>
            <w:noWrap/>
            <w:vAlign w:val="center"/>
          </w:tcPr>
          <w:p w14:paraId="7147E67C">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14.2 </w:t>
            </w:r>
          </w:p>
        </w:tc>
        <w:tc>
          <w:tcPr>
            <w:tcW w:w="945" w:type="dxa"/>
            <w:tcBorders>
              <w:top w:val="nil"/>
              <w:left w:val="nil"/>
              <w:bottom w:val="nil"/>
              <w:right w:val="nil"/>
            </w:tcBorders>
            <w:noWrap/>
            <w:vAlign w:val="center"/>
          </w:tcPr>
          <w:p w14:paraId="6E622771">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38.9 </w:t>
            </w:r>
          </w:p>
        </w:tc>
        <w:tc>
          <w:tcPr>
            <w:tcW w:w="945" w:type="dxa"/>
            <w:tcBorders>
              <w:top w:val="nil"/>
              <w:left w:val="nil"/>
              <w:bottom w:val="nil"/>
              <w:right w:val="nil"/>
            </w:tcBorders>
            <w:noWrap/>
            <w:vAlign w:val="center"/>
          </w:tcPr>
          <w:p w14:paraId="469018C1">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11.3 </w:t>
            </w:r>
          </w:p>
        </w:tc>
        <w:tc>
          <w:tcPr>
            <w:tcW w:w="945" w:type="dxa"/>
            <w:tcBorders>
              <w:top w:val="nil"/>
              <w:left w:val="nil"/>
              <w:bottom w:val="nil"/>
              <w:right w:val="nil"/>
            </w:tcBorders>
            <w:noWrap/>
            <w:vAlign w:val="center"/>
          </w:tcPr>
          <w:p w14:paraId="211283F3">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210.4 </w:t>
            </w:r>
          </w:p>
        </w:tc>
        <w:tc>
          <w:tcPr>
            <w:tcW w:w="945" w:type="dxa"/>
            <w:tcBorders>
              <w:top w:val="nil"/>
              <w:left w:val="nil"/>
              <w:bottom w:val="nil"/>
              <w:right w:val="nil"/>
            </w:tcBorders>
            <w:noWrap/>
            <w:vAlign w:val="center"/>
          </w:tcPr>
          <w:p w14:paraId="5E5CC0F7">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152.2 </w:t>
            </w:r>
          </w:p>
        </w:tc>
        <w:tc>
          <w:tcPr>
            <w:tcW w:w="836" w:type="dxa"/>
            <w:tcBorders>
              <w:top w:val="nil"/>
              <w:left w:val="nil"/>
              <w:bottom w:val="nil"/>
              <w:right w:val="nil"/>
            </w:tcBorders>
            <w:noWrap/>
            <w:vAlign w:val="center"/>
          </w:tcPr>
          <w:p w14:paraId="2763ACB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74.2 </w:t>
            </w:r>
          </w:p>
        </w:tc>
        <w:tc>
          <w:tcPr>
            <w:tcW w:w="1055" w:type="dxa"/>
            <w:tcBorders>
              <w:top w:val="nil"/>
              <w:left w:val="nil"/>
              <w:bottom w:val="nil"/>
              <w:right w:val="nil"/>
            </w:tcBorders>
            <w:noWrap/>
            <w:vAlign w:val="center"/>
          </w:tcPr>
          <w:p w14:paraId="35E56197">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12.5 </w:t>
            </w:r>
          </w:p>
        </w:tc>
        <w:tc>
          <w:tcPr>
            <w:tcW w:w="945" w:type="dxa"/>
            <w:tcBorders>
              <w:top w:val="nil"/>
              <w:left w:val="nil"/>
              <w:bottom w:val="nil"/>
              <w:right w:val="nil"/>
            </w:tcBorders>
            <w:noWrap/>
            <w:vAlign w:val="center"/>
          </w:tcPr>
          <w:p w14:paraId="3BDD9C6C">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1.0 </w:t>
            </w:r>
          </w:p>
        </w:tc>
        <w:tc>
          <w:tcPr>
            <w:tcW w:w="945" w:type="dxa"/>
            <w:tcBorders>
              <w:top w:val="nil"/>
              <w:left w:val="nil"/>
              <w:bottom w:val="nil"/>
              <w:right w:val="nil"/>
            </w:tcBorders>
            <w:noWrap/>
            <w:vAlign w:val="center"/>
          </w:tcPr>
          <w:p w14:paraId="3FC6A869">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0.0 </w:t>
            </w:r>
          </w:p>
        </w:tc>
      </w:tr>
      <w:tr w14:paraId="686CD7B8">
        <w:tblPrEx>
          <w:tblCellMar>
            <w:top w:w="0" w:type="dxa"/>
            <w:left w:w="108" w:type="dxa"/>
            <w:bottom w:w="0" w:type="dxa"/>
            <w:right w:w="108" w:type="dxa"/>
          </w:tblCellMar>
        </w:tblPrEx>
        <w:trPr>
          <w:trHeight w:val="289" w:hRule="atLeast"/>
        </w:trPr>
        <w:tc>
          <w:tcPr>
            <w:tcW w:w="2625" w:type="dxa"/>
            <w:tcBorders>
              <w:top w:val="nil"/>
              <w:left w:val="nil"/>
              <w:bottom w:val="nil"/>
              <w:right w:val="nil"/>
            </w:tcBorders>
            <w:noWrap/>
            <w:vAlign w:val="center"/>
          </w:tcPr>
          <w:p w14:paraId="4838D84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Unifacial core</w:t>
            </w:r>
          </w:p>
        </w:tc>
        <w:tc>
          <w:tcPr>
            <w:tcW w:w="945" w:type="dxa"/>
            <w:tcBorders>
              <w:top w:val="nil"/>
              <w:left w:val="nil"/>
              <w:bottom w:val="nil"/>
              <w:right w:val="nil"/>
            </w:tcBorders>
            <w:noWrap/>
            <w:vAlign w:val="center"/>
          </w:tcPr>
          <w:p w14:paraId="47CDAAB4">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71.8 </w:t>
            </w:r>
          </w:p>
        </w:tc>
        <w:tc>
          <w:tcPr>
            <w:tcW w:w="945" w:type="dxa"/>
            <w:tcBorders>
              <w:top w:val="nil"/>
              <w:left w:val="nil"/>
              <w:bottom w:val="nil"/>
              <w:right w:val="nil"/>
            </w:tcBorders>
            <w:noWrap/>
            <w:vAlign w:val="center"/>
          </w:tcPr>
          <w:p w14:paraId="381A9ADA">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13.7 </w:t>
            </w:r>
          </w:p>
        </w:tc>
        <w:tc>
          <w:tcPr>
            <w:tcW w:w="945" w:type="dxa"/>
            <w:tcBorders>
              <w:top w:val="nil"/>
              <w:left w:val="nil"/>
              <w:bottom w:val="nil"/>
              <w:right w:val="nil"/>
            </w:tcBorders>
            <w:noWrap/>
            <w:vAlign w:val="center"/>
          </w:tcPr>
          <w:p w14:paraId="6FB36067">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57.3 </w:t>
            </w:r>
          </w:p>
        </w:tc>
        <w:tc>
          <w:tcPr>
            <w:tcW w:w="945" w:type="dxa"/>
            <w:tcBorders>
              <w:top w:val="nil"/>
              <w:left w:val="nil"/>
              <w:bottom w:val="nil"/>
              <w:right w:val="nil"/>
            </w:tcBorders>
            <w:noWrap/>
            <w:vAlign w:val="center"/>
          </w:tcPr>
          <w:p w14:paraId="4F864CFF">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14.3 </w:t>
            </w:r>
          </w:p>
        </w:tc>
        <w:tc>
          <w:tcPr>
            <w:tcW w:w="945" w:type="dxa"/>
            <w:tcBorders>
              <w:top w:val="nil"/>
              <w:left w:val="nil"/>
              <w:bottom w:val="nil"/>
              <w:right w:val="nil"/>
            </w:tcBorders>
            <w:noWrap/>
            <w:vAlign w:val="center"/>
          </w:tcPr>
          <w:p w14:paraId="6E44BCF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39.7 </w:t>
            </w:r>
          </w:p>
        </w:tc>
        <w:tc>
          <w:tcPr>
            <w:tcW w:w="945" w:type="dxa"/>
            <w:tcBorders>
              <w:top w:val="nil"/>
              <w:left w:val="nil"/>
              <w:bottom w:val="nil"/>
              <w:right w:val="nil"/>
            </w:tcBorders>
            <w:noWrap/>
            <w:vAlign w:val="center"/>
          </w:tcPr>
          <w:p w14:paraId="5E11F98A">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11.3 </w:t>
            </w:r>
          </w:p>
        </w:tc>
        <w:tc>
          <w:tcPr>
            <w:tcW w:w="945" w:type="dxa"/>
            <w:tcBorders>
              <w:top w:val="nil"/>
              <w:left w:val="nil"/>
              <w:bottom w:val="nil"/>
              <w:right w:val="nil"/>
            </w:tcBorders>
            <w:noWrap/>
            <w:vAlign w:val="center"/>
          </w:tcPr>
          <w:p w14:paraId="729F0AC2">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230.4 </w:t>
            </w:r>
          </w:p>
        </w:tc>
        <w:tc>
          <w:tcPr>
            <w:tcW w:w="945" w:type="dxa"/>
            <w:tcBorders>
              <w:top w:val="nil"/>
              <w:left w:val="nil"/>
              <w:bottom w:val="nil"/>
              <w:right w:val="nil"/>
            </w:tcBorders>
            <w:noWrap/>
            <w:vAlign w:val="center"/>
          </w:tcPr>
          <w:p w14:paraId="5A6C965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190.1 </w:t>
            </w:r>
          </w:p>
        </w:tc>
        <w:tc>
          <w:tcPr>
            <w:tcW w:w="836" w:type="dxa"/>
            <w:tcBorders>
              <w:top w:val="nil"/>
              <w:left w:val="nil"/>
              <w:bottom w:val="nil"/>
              <w:right w:val="nil"/>
            </w:tcBorders>
            <w:noWrap/>
            <w:vAlign w:val="center"/>
          </w:tcPr>
          <w:p w14:paraId="12D01D6A">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75.6 </w:t>
            </w:r>
          </w:p>
        </w:tc>
        <w:tc>
          <w:tcPr>
            <w:tcW w:w="1055" w:type="dxa"/>
            <w:tcBorders>
              <w:top w:val="nil"/>
              <w:left w:val="nil"/>
              <w:bottom w:val="nil"/>
              <w:right w:val="nil"/>
            </w:tcBorders>
            <w:noWrap/>
            <w:vAlign w:val="center"/>
          </w:tcPr>
          <w:p w14:paraId="55051983">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10.4 </w:t>
            </w:r>
          </w:p>
        </w:tc>
        <w:tc>
          <w:tcPr>
            <w:tcW w:w="945" w:type="dxa"/>
            <w:tcBorders>
              <w:top w:val="nil"/>
              <w:left w:val="nil"/>
              <w:bottom w:val="nil"/>
              <w:right w:val="nil"/>
            </w:tcBorders>
            <w:noWrap/>
            <w:vAlign w:val="center"/>
          </w:tcPr>
          <w:p w14:paraId="3FB0A4A9">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4.9 </w:t>
            </w:r>
          </w:p>
        </w:tc>
        <w:tc>
          <w:tcPr>
            <w:tcW w:w="945" w:type="dxa"/>
            <w:tcBorders>
              <w:top w:val="nil"/>
              <w:left w:val="nil"/>
              <w:bottom w:val="nil"/>
              <w:right w:val="nil"/>
            </w:tcBorders>
            <w:noWrap/>
            <w:vAlign w:val="center"/>
          </w:tcPr>
          <w:p w14:paraId="76A9BAB6">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2.4 </w:t>
            </w:r>
          </w:p>
        </w:tc>
      </w:tr>
      <w:tr w14:paraId="4214109C">
        <w:tblPrEx>
          <w:tblCellMar>
            <w:top w:w="0" w:type="dxa"/>
            <w:left w:w="108" w:type="dxa"/>
            <w:bottom w:w="0" w:type="dxa"/>
            <w:right w:w="108" w:type="dxa"/>
          </w:tblCellMar>
        </w:tblPrEx>
        <w:trPr>
          <w:trHeight w:val="289" w:hRule="atLeast"/>
        </w:trPr>
        <w:tc>
          <w:tcPr>
            <w:tcW w:w="2625" w:type="dxa"/>
            <w:tcBorders>
              <w:top w:val="nil"/>
              <w:left w:val="nil"/>
              <w:bottom w:val="nil"/>
              <w:right w:val="nil"/>
            </w:tcBorders>
            <w:noWrap/>
            <w:vAlign w:val="center"/>
          </w:tcPr>
          <w:p w14:paraId="329C9492">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Bifacial core</w:t>
            </w:r>
          </w:p>
        </w:tc>
        <w:tc>
          <w:tcPr>
            <w:tcW w:w="945" w:type="dxa"/>
            <w:tcBorders>
              <w:top w:val="nil"/>
              <w:left w:val="nil"/>
              <w:bottom w:val="nil"/>
              <w:right w:val="nil"/>
            </w:tcBorders>
            <w:noWrap/>
            <w:vAlign w:val="center"/>
          </w:tcPr>
          <w:p w14:paraId="3BFC8001">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74.3 </w:t>
            </w:r>
          </w:p>
        </w:tc>
        <w:tc>
          <w:tcPr>
            <w:tcW w:w="945" w:type="dxa"/>
            <w:tcBorders>
              <w:top w:val="nil"/>
              <w:left w:val="nil"/>
              <w:bottom w:val="nil"/>
              <w:right w:val="nil"/>
            </w:tcBorders>
            <w:noWrap/>
            <w:vAlign w:val="center"/>
          </w:tcPr>
          <w:p w14:paraId="60C76D78">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14.0 </w:t>
            </w:r>
          </w:p>
        </w:tc>
        <w:tc>
          <w:tcPr>
            <w:tcW w:w="945" w:type="dxa"/>
            <w:tcBorders>
              <w:top w:val="nil"/>
              <w:left w:val="nil"/>
              <w:bottom w:val="nil"/>
              <w:right w:val="nil"/>
            </w:tcBorders>
            <w:noWrap/>
            <w:vAlign w:val="center"/>
          </w:tcPr>
          <w:p w14:paraId="5DBF7CE4">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60.6 </w:t>
            </w:r>
          </w:p>
        </w:tc>
        <w:tc>
          <w:tcPr>
            <w:tcW w:w="945" w:type="dxa"/>
            <w:tcBorders>
              <w:top w:val="nil"/>
              <w:left w:val="nil"/>
              <w:bottom w:val="nil"/>
              <w:right w:val="nil"/>
            </w:tcBorders>
            <w:noWrap/>
            <w:vAlign w:val="center"/>
          </w:tcPr>
          <w:p w14:paraId="1627310A">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13.6 </w:t>
            </w:r>
          </w:p>
        </w:tc>
        <w:tc>
          <w:tcPr>
            <w:tcW w:w="945" w:type="dxa"/>
            <w:tcBorders>
              <w:top w:val="nil"/>
              <w:left w:val="nil"/>
              <w:bottom w:val="nil"/>
              <w:right w:val="nil"/>
            </w:tcBorders>
            <w:noWrap/>
            <w:vAlign w:val="center"/>
          </w:tcPr>
          <w:p w14:paraId="789109EC">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40.6 </w:t>
            </w:r>
          </w:p>
        </w:tc>
        <w:tc>
          <w:tcPr>
            <w:tcW w:w="945" w:type="dxa"/>
            <w:tcBorders>
              <w:top w:val="nil"/>
              <w:left w:val="nil"/>
              <w:bottom w:val="nil"/>
              <w:right w:val="nil"/>
            </w:tcBorders>
            <w:noWrap/>
            <w:vAlign w:val="center"/>
          </w:tcPr>
          <w:p w14:paraId="6F3692E6">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11.5 </w:t>
            </w:r>
          </w:p>
        </w:tc>
        <w:tc>
          <w:tcPr>
            <w:tcW w:w="945" w:type="dxa"/>
            <w:tcBorders>
              <w:top w:val="nil"/>
              <w:left w:val="nil"/>
              <w:bottom w:val="nil"/>
              <w:right w:val="nil"/>
            </w:tcBorders>
            <w:noWrap/>
            <w:vAlign w:val="center"/>
          </w:tcPr>
          <w:p w14:paraId="1BAE7E9D">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235.9 </w:t>
            </w:r>
          </w:p>
        </w:tc>
        <w:tc>
          <w:tcPr>
            <w:tcW w:w="945" w:type="dxa"/>
            <w:tcBorders>
              <w:top w:val="nil"/>
              <w:left w:val="nil"/>
              <w:bottom w:val="nil"/>
              <w:right w:val="nil"/>
            </w:tcBorders>
            <w:noWrap/>
            <w:vAlign w:val="center"/>
          </w:tcPr>
          <w:p w14:paraId="103C06A9">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161.7 </w:t>
            </w:r>
          </w:p>
        </w:tc>
        <w:tc>
          <w:tcPr>
            <w:tcW w:w="836" w:type="dxa"/>
            <w:tcBorders>
              <w:top w:val="nil"/>
              <w:left w:val="nil"/>
              <w:bottom w:val="nil"/>
              <w:right w:val="nil"/>
            </w:tcBorders>
            <w:noWrap/>
            <w:vAlign w:val="center"/>
          </w:tcPr>
          <w:p w14:paraId="69D828A8">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78.3 </w:t>
            </w:r>
          </w:p>
        </w:tc>
        <w:tc>
          <w:tcPr>
            <w:tcW w:w="1055" w:type="dxa"/>
            <w:tcBorders>
              <w:top w:val="nil"/>
              <w:left w:val="nil"/>
              <w:bottom w:val="nil"/>
              <w:right w:val="nil"/>
            </w:tcBorders>
            <w:noWrap/>
            <w:vAlign w:val="center"/>
          </w:tcPr>
          <w:p w14:paraId="249C95C4">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10.9 </w:t>
            </w:r>
          </w:p>
        </w:tc>
        <w:tc>
          <w:tcPr>
            <w:tcW w:w="945" w:type="dxa"/>
            <w:tcBorders>
              <w:top w:val="nil"/>
              <w:left w:val="nil"/>
              <w:bottom w:val="nil"/>
              <w:right w:val="nil"/>
            </w:tcBorders>
            <w:noWrap/>
            <w:vAlign w:val="center"/>
          </w:tcPr>
          <w:p w14:paraId="262A46CA">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5.5 </w:t>
            </w:r>
          </w:p>
        </w:tc>
        <w:tc>
          <w:tcPr>
            <w:tcW w:w="945" w:type="dxa"/>
            <w:tcBorders>
              <w:top w:val="nil"/>
              <w:left w:val="nil"/>
              <w:bottom w:val="nil"/>
              <w:right w:val="nil"/>
            </w:tcBorders>
            <w:noWrap/>
            <w:vAlign w:val="center"/>
          </w:tcPr>
          <w:p w14:paraId="3EEA6AE8">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2.3 </w:t>
            </w:r>
          </w:p>
        </w:tc>
      </w:tr>
      <w:tr w14:paraId="0B51D97A">
        <w:tblPrEx>
          <w:tblCellMar>
            <w:top w:w="0" w:type="dxa"/>
            <w:left w:w="108" w:type="dxa"/>
            <w:bottom w:w="0" w:type="dxa"/>
            <w:right w:w="108" w:type="dxa"/>
          </w:tblCellMar>
        </w:tblPrEx>
        <w:trPr>
          <w:trHeight w:val="289" w:hRule="atLeast"/>
        </w:trPr>
        <w:tc>
          <w:tcPr>
            <w:tcW w:w="2625" w:type="dxa"/>
            <w:tcBorders>
              <w:top w:val="nil"/>
              <w:left w:val="nil"/>
              <w:bottom w:val="nil"/>
              <w:right w:val="nil"/>
            </w:tcBorders>
            <w:noWrap/>
            <w:vAlign w:val="center"/>
          </w:tcPr>
          <w:p w14:paraId="16CE11B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Multifacial core</w:t>
            </w:r>
          </w:p>
        </w:tc>
        <w:tc>
          <w:tcPr>
            <w:tcW w:w="945" w:type="dxa"/>
            <w:tcBorders>
              <w:top w:val="nil"/>
              <w:left w:val="nil"/>
              <w:bottom w:val="nil"/>
              <w:right w:val="nil"/>
            </w:tcBorders>
            <w:noWrap/>
            <w:vAlign w:val="center"/>
          </w:tcPr>
          <w:p w14:paraId="7A8A08D8">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72.6 </w:t>
            </w:r>
          </w:p>
        </w:tc>
        <w:tc>
          <w:tcPr>
            <w:tcW w:w="945" w:type="dxa"/>
            <w:tcBorders>
              <w:top w:val="nil"/>
              <w:left w:val="nil"/>
              <w:bottom w:val="nil"/>
              <w:right w:val="nil"/>
            </w:tcBorders>
            <w:noWrap/>
            <w:vAlign w:val="center"/>
          </w:tcPr>
          <w:p w14:paraId="1C823A3C">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19.2 </w:t>
            </w:r>
          </w:p>
        </w:tc>
        <w:tc>
          <w:tcPr>
            <w:tcW w:w="945" w:type="dxa"/>
            <w:tcBorders>
              <w:top w:val="nil"/>
              <w:left w:val="nil"/>
              <w:bottom w:val="nil"/>
              <w:right w:val="nil"/>
            </w:tcBorders>
            <w:noWrap/>
            <w:vAlign w:val="center"/>
          </w:tcPr>
          <w:p w14:paraId="4B00DBB3">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59.9 </w:t>
            </w:r>
          </w:p>
        </w:tc>
        <w:tc>
          <w:tcPr>
            <w:tcW w:w="945" w:type="dxa"/>
            <w:tcBorders>
              <w:top w:val="nil"/>
              <w:left w:val="nil"/>
              <w:bottom w:val="nil"/>
              <w:right w:val="nil"/>
            </w:tcBorders>
            <w:noWrap/>
            <w:vAlign w:val="center"/>
          </w:tcPr>
          <w:p w14:paraId="7AF93BF0">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16.2 </w:t>
            </w:r>
          </w:p>
        </w:tc>
        <w:tc>
          <w:tcPr>
            <w:tcW w:w="945" w:type="dxa"/>
            <w:tcBorders>
              <w:top w:val="nil"/>
              <w:left w:val="nil"/>
              <w:bottom w:val="nil"/>
              <w:right w:val="nil"/>
            </w:tcBorders>
            <w:noWrap/>
            <w:vAlign w:val="center"/>
          </w:tcPr>
          <w:p w14:paraId="467D6531">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48.3 </w:t>
            </w:r>
          </w:p>
        </w:tc>
        <w:tc>
          <w:tcPr>
            <w:tcW w:w="945" w:type="dxa"/>
            <w:tcBorders>
              <w:top w:val="nil"/>
              <w:left w:val="nil"/>
              <w:bottom w:val="nil"/>
              <w:right w:val="nil"/>
            </w:tcBorders>
            <w:noWrap/>
            <w:vAlign w:val="center"/>
          </w:tcPr>
          <w:p w14:paraId="539FDE2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14.7 </w:t>
            </w:r>
          </w:p>
        </w:tc>
        <w:tc>
          <w:tcPr>
            <w:tcW w:w="945" w:type="dxa"/>
            <w:tcBorders>
              <w:top w:val="nil"/>
              <w:left w:val="nil"/>
              <w:bottom w:val="nil"/>
              <w:right w:val="nil"/>
            </w:tcBorders>
            <w:noWrap/>
            <w:vAlign w:val="center"/>
          </w:tcPr>
          <w:p w14:paraId="371A0703">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298.3 </w:t>
            </w:r>
          </w:p>
        </w:tc>
        <w:tc>
          <w:tcPr>
            <w:tcW w:w="945" w:type="dxa"/>
            <w:tcBorders>
              <w:top w:val="nil"/>
              <w:left w:val="nil"/>
              <w:bottom w:val="nil"/>
              <w:right w:val="nil"/>
            </w:tcBorders>
            <w:noWrap/>
            <w:vAlign w:val="center"/>
          </w:tcPr>
          <w:p w14:paraId="7C8BC232">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259.7 </w:t>
            </w:r>
          </w:p>
        </w:tc>
        <w:tc>
          <w:tcPr>
            <w:tcW w:w="836" w:type="dxa"/>
            <w:tcBorders>
              <w:top w:val="nil"/>
              <w:left w:val="nil"/>
              <w:bottom w:val="nil"/>
              <w:right w:val="nil"/>
            </w:tcBorders>
            <w:noWrap/>
            <w:vAlign w:val="center"/>
          </w:tcPr>
          <w:p w14:paraId="18A5FCA4">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81.0 </w:t>
            </w:r>
          </w:p>
        </w:tc>
        <w:tc>
          <w:tcPr>
            <w:tcW w:w="1055" w:type="dxa"/>
            <w:tcBorders>
              <w:top w:val="nil"/>
              <w:left w:val="nil"/>
              <w:bottom w:val="nil"/>
              <w:right w:val="nil"/>
            </w:tcBorders>
            <w:noWrap/>
            <w:vAlign w:val="center"/>
          </w:tcPr>
          <w:p w14:paraId="32D9D873">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110.4 </w:t>
            </w:r>
          </w:p>
        </w:tc>
        <w:tc>
          <w:tcPr>
            <w:tcW w:w="945" w:type="dxa"/>
            <w:tcBorders>
              <w:top w:val="nil"/>
              <w:left w:val="nil"/>
              <w:bottom w:val="nil"/>
              <w:right w:val="nil"/>
            </w:tcBorders>
            <w:noWrap/>
            <w:vAlign w:val="center"/>
          </w:tcPr>
          <w:p w14:paraId="6A518872">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7.7 </w:t>
            </w:r>
          </w:p>
        </w:tc>
        <w:tc>
          <w:tcPr>
            <w:tcW w:w="945" w:type="dxa"/>
            <w:tcBorders>
              <w:top w:val="nil"/>
              <w:left w:val="nil"/>
              <w:bottom w:val="nil"/>
              <w:right w:val="nil"/>
            </w:tcBorders>
            <w:noWrap/>
            <w:vAlign w:val="center"/>
          </w:tcPr>
          <w:p w14:paraId="54EC60FE">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2.6 </w:t>
            </w:r>
          </w:p>
        </w:tc>
      </w:tr>
      <w:tr w14:paraId="18A32B9C">
        <w:tblPrEx>
          <w:tblCellMar>
            <w:top w:w="0" w:type="dxa"/>
            <w:left w:w="108" w:type="dxa"/>
            <w:bottom w:w="0" w:type="dxa"/>
            <w:right w:w="108" w:type="dxa"/>
          </w:tblCellMar>
        </w:tblPrEx>
        <w:trPr>
          <w:trHeight w:val="289" w:hRule="atLeast"/>
        </w:trPr>
        <w:tc>
          <w:tcPr>
            <w:tcW w:w="2625" w:type="dxa"/>
            <w:tcBorders>
              <w:top w:val="nil"/>
              <w:left w:val="nil"/>
              <w:bottom w:val="nil"/>
              <w:right w:val="nil"/>
            </w:tcBorders>
            <w:noWrap/>
            <w:vAlign w:val="center"/>
          </w:tcPr>
          <w:p w14:paraId="5E10D1B2">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Centripetal core</w:t>
            </w:r>
          </w:p>
        </w:tc>
        <w:tc>
          <w:tcPr>
            <w:tcW w:w="945" w:type="dxa"/>
            <w:tcBorders>
              <w:top w:val="nil"/>
              <w:left w:val="nil"/>
              <w:bottom w:val="nil"/>
              <w:right w:val="nil"/>
            </w:tcBorders>
            <w:noWrap/>
            <w:vAlign w:val="center"/>
          </w:tcPr>
          <w:p w14:paraId="4649723B">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64.9 </w:t>
            </w:r>
          </w:p>
        </w:tc>
        <w:tc>
          <w:tcPr>
            <w:tcW w:w="945" w:type="dxa"/>
            <w:tcBorders>
              <w:top w:val="nil"/>
              <w:left w:val="nil"/>
              <w:bottom w:val="nil"/>
              <w:right w:val="nil"/>
            </w:tcBorders>
            <w:noWrap/>
            <w:vAlign w:val="center"/>
          </w:tcPr>
          <w:p w14:paraId="0AB00FBD">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9.7 </w:t>
            </w:r>
          </w:p>
        </w:tc>
        <w:tc>
          <w:tcPr>
            <w:tcW w:w="945" w:type="dxa"/>
            <w:tcBorders>
              <w:top w:val="nil"/>
              <w:left w:val="nil"/>
              <w:bottom w:val="nil"/>
              <w:right w:val="nil"/>
            </w:tcBorders>
            <w:noWrap/>
            <w:vAlign w:val="center"/>
          </w:tcPr>
          <w:p w14:paraId="1F58720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58.9 </w:t>
            </w:r>
          </w:p>
        </w:tc>
        <w:tc>
          <w:tcPr>
            <w:tcW w:w="945" w:type="dxa"/>
            <w:tcBorders>
              <w:top w:val="nil"/>
              <w:left w:val="nil"/>
              <w:bottom w:val="nil"/>
              <w:right w:val="nil"/>
            </w:tcBorders>
            <w:noWrap/>
            <w:vAlign w:val="center"/>
          </w:tcPr>
          <w:p w14:paraId="1F1AF1AD">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11.0 </w:t>
            </w:r>
          </w:p>
        </w:tc>
        <w:tc>
          <w:tcPr>
            <w:tcW w:w="945" w:type="dxa"/>
            <w:tcBorders>
              <w:top w:val="nil"/>
              <w:left w:val="nil"/>
              <w:bottom w:val="nil"/>
              <w:right w:val="nil"/>
            </w:tcBorders>
            <w:noWrap/>
            <w:vAlign w:val="center"/>
          </w:tcPr>
          <w:p w14:paraId="67B634BD">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34.8 </w:t>
            </w:r>
          </w:p>
        </w:tc>
        <w:tc>
          <w:tcPr>
            <w:tcW w:w="945" w:type="dxa"/>
            <w:tcBorders>
              <w:top w:val="nil"/>
              <w:left w:val="nil"/>
              <w:bottom w:val="nil"/>
              <w:right w:val="nil"/>
            </w:tcBorders>
            <w:noWrap/>
            <w:vAlign w:val="center"/>
          </w:tcPr>
          <w:p w14:paraId="54122E0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8.9 </w:t>
            </w:r>
          </w:p>
        </w:tc>
        <w:tc>
          <w:tcPr>
            <w:tcW w:w="945" w:type="dxa"/>
            <w:tcBorders>
              <w:top w:val="nil"/>
              <w:left w:val="nil"/>
              <w:bottom w:val="nil"/>
              <w:right w:val="nil"/>
            </w:tcBorders>
            <w:noWrap/>
            <w:vAlign w:val="center"/>
          </w:tcPr>
          <w:p w14:paraId="587C5D37">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147.4 </w:t>
            </w:r>
          </w:p>
        </w:tc>
        <w:tc>
          <w:tcPr>
            <w:tcW w:w="945" w:type="dxa"/>
            <w:tcBorders>
              <w:top w:val="nil"/>
              <w:left w:val="nil"/>
              <w:bottom w:val="nil"/>
              <w:right w:val="nil"/>
            </w:tcBorders>
            <w:noWrap/>
            <w:vAlign w:val="center"/>
          </w:tcPr>
          <w:p w14:paraId="3610FA4C">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62.1 </w:t>
            </w:r>
          </w:p>
        </w:tc>
        <w:tc>
          <w:tcPr>
            <w:tcW w:w="836" w:type="dxa"/>
            <w:tcBorders>
              <w:top w:val="nil"/>
              <w:left w:val="nil"/>
              <w:bottom w:val="nil"/>
              <w:right w:val="nil"/>
            </w:tcBorders>
            <w:noWrap/>
            <w:vAlign w:val="center"/>
          </w:tcPr>
          <w:p w14:paraId="445EFDFD">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72.7 </w:t>
            </w:r>
          </w:p>
        </w:tc>
        <w:tc>
          <w:tcPr>
            <w:tcW w:w="1055" w:type="dxa"/>
            <w:tcBorders>
              <w:top w:val="nil"/>
              <w:left w:val="nil"/>
              <w:bottom w:val="nil"/>
              <w:right w:val="nil"/>
            </w:tcBorders>
            <w:noWrap/>
            <w:vAlign w:val="center"/>
          </w:tcPr>
          <w:p w14:paraId="0B42BE96">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16.3 </w:t>
            </w:r>
          </w:p>
        </w:tc>
        <w:tc>
          <w:tcPr>
            <w:tcW w:w="945" w:type="dxa"/>
            <w:tcBorders>
              <w:top w:val="nil"/>
              <w:left w:val="nil"/>
              <w:bottom w:val="nil"/>
              <w:right w:val="nil"/>
            </w:tcBorders>
            <w:noWrap/>
            <w:vAlign w:val="center"/>
          </w:tcPr>
          <w:p w14:paraId="1A9634A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5.2 </w:t>
            </w:r>
          </w:p>
        </w:tc>
        <w:tc>
          <w:tcPr>
            <w:tcW w:w="945" w:type="dxa"/>
            <w:tcBorders>
              <w:top w:val="nil"/>
              <w:left w:val="nil"/>
              <w:bottom w:val="nil"/>
              <w:right w:val="nil"/>
            </w:tcBorders>
            <w:noWrap/>
            <w:vAlign w:val="center"/>
          </w:tcPr>
          <w:p w14:paraId="0F6E619B">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1.2 </w:t>
            </w:r>
          </w:p>
        </w:tc>
      </w:tr>
      <w:tr w14:paraId="426917E0">
        <w:tblPrEx>
          <w:tblCellMar>
            <w:top w:w="0" w:type="dxa"/>
            <w:left w:w="108" w:type="dxa"/>
            <w:bottom w:w="0" w:type="dxa"/>
            <w:right w:w="108" w:type="dxa"/>
          </w:tblCellMar>
        </w:tblPrEx>
        <w:trPr>
          <w:trHeight w:val="289" w:hRule="atLeast"/>
        </w:trPr>
        <w:tc>
          <w:tcPr>
            <w:tcW w:w="2625" w:type="dxa"/>
            <w:tcBorders>
              <w:top w:val="nil"/>
              <w:left w:val="nil"/>
              <w:bottom w:val="nil"/>
              <w:right w:val="nil"/>
            </w:tcBorders>
            <w:noWrap/>
            <w:vAlign w:val="center"/>
          </w:tcPr>
          <w:p w14:paraId="46CCD14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Discoid core</w:t>
            </w:r>
          </w:p>
        </w:tc>
        <w:tc>
          <w:tcPr>
            <w:tcW w:w="945" w:type="dxa"/>
            <w:tcBorders>
              <w:top w:val="nil"/>
              <w:left w:val="nil"/>
              <w:bottom w:val="nil"/>
              <w:right w:val="nil"/>
            </w:tcBorders>
            <w:noWrap/>
            <w:vAlign w:val="center"/>
          </w:tcPr>
          <w:p w14:paraId="3A85167D">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60.8 </w:t>
            </w:r>
          </w:p>
        </w:tc>
        <w:tc>
          <w:tcPr>
            <w:tcW w:w="945" w:type="dxa"/>
            <w:tcBorders>
              <w:top w:val="nil"/>
              <w:left w:val="nil"/>
              <w:bottom w:val="nil"/>
              <w:right w:val="nil"/>
            </w:tcBorders>
            <w:noWrap/>
            <w:vAlign w:val="center"/>
          </w:tcPr>
          <w:p w14:paraId="1EBC8BC2">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4.6 </w:t>
            </w:r>
          </w:p>
        </w:tc>
        <w:tc>
          <w:tcPr>
            <w:tcW w:w="945" w:type="dxa"/>
            <w:tcBorders>
              <w:top w:val="nil"/>
              <w:left w:val="nil"/>
              <w:bottom w:val="nil"/>
              <w:right w:val="nil"/>
            </w:tcBorders>
            <w:noWrap/>
            <w:vAlign w:val="center"/>
          </w:tcPr>
          <w:p w14:paraId="424A5CDB">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52.0 </w:t>
            </w:r>
          </w:p>
        </w:tc>
        <w:tc>
          <w:tcPr>
            <w:tcW w:w="945" w:type="dxa"/>
            <w:tcBorders>
              <w:top w:val="nil"/>
              <w:left w:val="nil"/>
              <w:bottom w:val="nil"/>
              <w:right w:val="nil"/>
            </w:tcBorders>
            <w:noWrap/>
            <w:vAlign w:val="center"/>
          </w:tcPr>
          <w:p w14:paraId="39D90D0F">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4.2 </w:t>
            </w:r>
          </w:p>
        </w:tc>
        <w:tc>
          <w:tcPr>
            <w:tcW w:w="945" w:type="dxa"/>
            <w:tcBorders>
              <w:top w:val="nil"/>
              <w:left w:val="nil"/>
              <w:bottom w:val="nil"/>
              <w:right w:val="nil"/>
            </w:tcBorders>
            <w:noWrap/>
            <w:vAlign w:val="center"/>
          </w:tcPr>
          <w:p w14:paraId="56D6C793">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33.8 </w:t>
            </w:r>
          </w:p>
        </w:tc>
        <w:tc>
          <w:tcPr>
            <w:tcW w:w="945" w:type="dxa"/>
            <w:tcBorders>
              <w:top w:val="nil"/>
              <w:left w:val="nil"/>
              <w:bottom w:val="nil"/>
              <w:right w:val="nil"/>
            </w:tcBorders>
            <w:noWrap/>
            <w:vAlign w:val="center"/>
          </w:tcPr>
          <w:p w14:paraId="08B3250D">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6.1 </w:t>
            </w:r>
          </w:p>
        </w:tc>
        <w:tc>
          <w:tcPr>
            <w:tcW w:w="945" w:type="dxa"/>
            <w:tcBorders>
              <w:top w:val="nil"/>
              <w:left w:val="nil"/>
              <w:bottom w:val="nil"/>
              <w:right w:val="nil"/>
            </w:tcBorders>
            <w:noWrap/>
            <w:vAlign w:val="center"/>
          </w:tcPr>
          <w:p w14:paraId="5BA1249C">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120.9 </w:t>
            </w:r>
          </w:p>
        </w:tc>
        <w:tc>
          <w:tcPr>
            <w:tcW w:w="945" w:type="dxa"/>
            <w:tcBorders>
              <w:top w:val="nil"/>
              <w:left w:val="nil"/>
              <w:bottom w:val="nil"/>
              <w:right w:val="nil"/>
            </w:tcBorders>
            <w:noWrap/>
            <w:vAlign w:val="center"/>
          </w:tcPr>
          <w:p w14:paraId="50065A0D">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53.1 </w:t>
            </w:r>
          </w:p>
        </w:tc>
        <w:tc>
          <w:tcPr>
            <w:tcW w:w="836" w:type="dxa"/>
            <w:tcBorders>
              <w:top w:val="nil"/>
              <w:left w:val="nil"/>
              <w:bottom w:val="nil"/>
              <w:right w:val="nil"/>
            </w:tcBorders>
            <w:noWrap/>
            <w:vAlign w:val="center"/>
          </w:tcPr>
          <w:p w14:paraId="1EB97559">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67.5 </w:t>
            </w:r>
          </w:p>
        </w:tc>
        <w:tc>
          <w:tcPr>
            <w:tcW w:w="1055" w:type="dxa"/>
            <w:tcBorders>
              <w:top w:val="nil"/>
              <w:left w:val="nil"/>
              <w:bottom w:val="nil"/>
              <w:right w:val="nil"/>
            </w:tcBorders>
            <w:noWrap/>
            <w:vAlign w:val="center"/>
          </w:tcPr>
          <w:p w14:paraId="4BD79BE4">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10.3 </w:t>
            </w:r>
          </w:p>
        </w:tc>
        <w:tc>
          <w:tcPr>
            <w:tcW w:w="945" w:type="dxa"/>
            <w:tcBorders>
              <w:top w:val="nil"/>
              <w:left w:val="nil"/>
              <w:bottom w:val="nil"/>
              <w:right w:val="nil"/>
            </w:tcBorders>
            <w:noWrap/>
            <w:vAlign w:val="center"/>
          </w:tcPr>
          <w:p w14:paraId="29845B63">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7.5 </w:t>
            </w:r>
          </w:p>
        </w:tc>
        <w:tc>
          <w:tcPr>
            <w:tcW w:w="945" w:type="dxa"/>
            <w:tcBorders>
              <w:top w:val="nil"/>
              <w:left w:val="nil"/>
              <w:bottom w:val="nil"/>
              <w:right w:val="nil"/>
            </w:tcBorders>
            <w:noWrap/>
            <w:vAlign w:val="center"/>
          </w:tcPr>
          <w:p w14:paraId="55B2AB79">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1.7 </w:t>
            </w:r>
          </w:p>
        </w:tc>
      </w:tr>
      <w:tr w14:paraId="78BB517D">
        <w:tblPrEx>
          <w:tblCellMar>
            <w:top w:w="0" w:type="dxa"/>
            <w:left w:w="108" w:type="dxa"/>
            <w:bottom w:w="0" w:type="dxa"/>
            <w:right w:w="108" w:type="dxa"/>
          </w:tblCellMar>
        </w:tblPrEx>
        <w:trPr>
          <w:trHeight w:val="289" w:hRule="atLeast"/>
        </w:trPr>
        <w:tc>
          <w:tcPr>
            <w:tcW w:w="2625" w:type="dxa"/>
            <w:tcBorders>
              <w:top w:val="nil"/>
              <w:left w:val="nil"/>
              <w:bottom w:val="nil"/>
              <w:right w:val="nil"/>
            </w:tcBorders>
            <w:noWrap/>
            <w:vAlign w:val="center"/>
          </w:tcPr>
          <w:p w14:paraId="54C5BAD3">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Bipolar-on-anvil core</w:t>
            </w:r>
          </w:p>
        </w:tc>
        <w:tc>
          <w:tcPr>
            <w:tcW w:w="945" w:type="dxa"/>
            <w:tcBorders>
              <w:top w:val="nil"/>
              <w:left w:val="nil"/>
              <w:bottom w:val="nil"/>
              <w:right w:val="nil"/>
            </w:tcBorders>
            <w:noWrap/>
            <w:vAlign w:val="center"/>
          </w:tcPr>
          <w:p w14:paraId="409D114F">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75.0 </w:t>
            </w:r>
          </w:p>
        </w:tc>
        <w:tc>
          <w:tcPr>
            <w:tcW w:w="945" w:type="dxa"/>
            <w:tcBorders>
              <w:top w:val="nil"/>
              <w:left w:val="nil"/>
              <w:bottom w:val="nil"/>
              <w:right w:val="nil"/>
            </w:tcBorders>
            <w:noWrap/>
            <w:vAlign w:val="center"/>
          </w:tcPr>
          <w:p w14:paraId="64ADE9AD">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25.2 </w:t>
            </w:r>
          </w:p>
        </w:tc>
        <w:tc>
          <w:tcPr>
            <w:tcW w:w="945" w:type="dxa"/>
            <w:tcBorders>
              <w:top w:val="nil"/>
              <w:left w:val="nil"/>
              <w:bottom w:val="nil"/>
              <w:right w:val="nil"/>
            </w:tcBorders>
            <w:noWrap/>
            <w:vAlign w:val="center"/>
          </w:tcPr>
          <w:p w14:paraId="7EEA73DA">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48.7 </w:t>
            </w:r>
          </w:p>
        </w:tc>
        <w:tc>
          <w:tcPr>
            <w:tcW w:w="945" w:type="dxa"/>
            <w:tcBorders>
              <w:top w:val="nil"/>
              <w:left w:val="nil"/>
              <w:bottom w:val="nil"/>
              <w:right w:val="nil"/>
            </w:tcBorders>
            <w:noWrap/>
            <w:vAlign w:val="center"/>
          </w:tcPr>
          <w:p w14:paraId="036B6284">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18.6 </w:t>
            </w:r>
          </w:p>
        </w:tc>
        <w:tc>
          <w:tcPr>
            <w:tcW w:w="945" w:type="dxa"/>
            <w:tcBorders>
              <w:top w:val="nil"/>
              <w:left w:val="nil"/>
              <w:bottom w:val="nil"/>
              <w:right w:val="nil"/>
            </w:tcBorders>
            <w:noWrap/>
            <w:vAlign w:val="center"/>
          </w:tcPr>
          <w:p w14:paraId="49AF2038">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30.3 </w:t>
            </w:r>
          </w:p>
        </w:tc>
        <w:tc>
          <w:tcPr>
            <w:tcW w:w="945" w:type="dxa"/>
            <w:tcBorders>
              <w:top w:val="nil"/>
              <w:left w:val="nil"/>
              <w:bottom w:val="nil"/>
              <w:right w:val="nil"/>
            </w:tcBorders>
            <w:noWrap/>
            <w:vAlign w:val="center"/>
          </w:tcPr>
          <w:p w14:paraId="5E73DC02">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6.8 </w:t>
            </w:r>
          </w:p>
        </w:tc>
        <w:tc>
          <w:tcPr>
            <w:tcW w:w="945" w:type="dxa"/>
            <w:tcBorders>
              <w:top w:val="nil"/>
              <w:left w:val="nil"/>
              <w:bottom w:val="nil"/>
              <w:right w:val="nil"/>
            </w:tcBorders>
            <w:noWrap/>
            <w:vAlign w:val="center"/>
          </w:tcPr>
          <w:p w14:paraId="1DCC2680">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121.1 </w:t>
            </w:r>
          </w:p>
        </w:tc>
        <w:tc>
          <w:tcPr>
            <w:tcW w:w="945" w:type="dxa"/>
            <w:tcBorders>
              <w:top w:val="nil"/>
              <w:left w:val="nil"/>
              <w:bottom w:val="nil"/>
              <w:right w:val="nil"/>
            </w:tcBorders>
            <w:noWrap/>
            <w:vAlign w:val="center"/>
          </w:tcPr>
          <w:p w14:paraId="3BEDB3F3">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55.2 </w:t>
            </w:r>
          </w:p>
        </w:tc>
        <w:tc>
          <w:tcPr>
            <w:tcW w:w="836" w:type="dxa"/>
            <w:tcBorders>
              <w:top w:val="nil"/>
              <w:left w:val="nil"/>
              <w:bottom w:val="nil"/>
              <w:right w:val="nil"/>
            </w:tcBorders>
            <w:noWrap/>
            <w:vAlign w:val="center"/>
          </w:tcPr>
          <w:p w14:paraId="291D34A4">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72.3 </w:t>
            </w:r>
          </w:p>
        </w:tc>
        <w:tc>
          <w:tcPr>
            <w:tcW w:w="1055" w:type="dxa"/>
            <w:tcBorders>
              <w:top w:val="nil"/>
              <w:left w:val="nil"/>
              <w:bottom w:val="nil"/>
              <w:right w:val="nil"/>
            </w:tcBorders>
            <w:noWrap/>
            <w:vAlign w:val="center"/>
          </w:tcPr>
          <w:p w14:paraId="6079365E">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13.2 </w:t>
            </w:r>
          </w:p>
        </w:tc>
        <w:tc>
          <w:tcPr>
            <w:tcW w:w="945" w:type="dxa"/>
            <w:tcBorders>
              <w:top w:val="nil"/>
              <w:left w:val="nil"/>
              <w:bottom w:val="nil"/>
              <w:right w:val="nil"/>
            </w:tcBorders>
            <w:noWrap/>
            <w:vAlign w:val="center"/>
          </w:tcPr>
          <w:p w14:paraId="2527963B">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4.3 </w:t>
            </w:r>
          </w:p>
        </w:tc>
        <w:tc>
          <w:tcPr>
            <w:tcW w:w="945" w:type="dxa"/>
            <w:tcBorders>
              <w:top w:val="nil"/>
              <w:left w:val="nil"/>
              <w:bottom w:val="nil"/>
              <w:right w:val="nil"/>
            </w:tcBorders>
            <w:noWrap/>
            <w:vAlign w:val="center"/>
          </w:tcPr>
          <w:p w14:paraId="7ABB265A">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2.5 </w:t>
            </w:r>
          </w:p>
        </w:tc>
      </w:tr>
      <w:tr w14:paraId="3368443B">
        <w:tblPrEx>
          <w:tblCellMar>
            <w:top w:w="0" w:type="dxa"/>
            <w:left w:w="108" w:type="dxa"/>
            <w:bottom w:w="0" w:type="dxa"/>
            <w:right w:w="108" w:type="dxa"/>
          </w:tblCellMar>
        </w:tblPrEx>
        <w:trPr>
          <w:trHeight w:val="289" w:hRule="atLeast"/>
        </w:trPr>
        <w:tc>
          <w:tcPr>
            <w:tcW w:w="2625" w:type="dxa"/>
            <w:tcBorders>
              <w:top w:val="nil"/>
              <w:left w:val="nil"/>
              <w:bottom w:val="single" w:color="auto" w:sz="4" w:space="0"/>
              <w:right w:val="nil"/>
            </w:tcBorders>
            <w:noWrap/>
            <w:vAlign w:val="center"/>
          </w:tcPr>
          <w:p w14:paraId="45321FEC">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Core-on-flake</w:t>
            </w:r>
          </w:p>
        </w:tc>
        <w:tc>
          <w:tcPr>
            <w:tcW w:w="945" w:type="dxa"/>
            <w:tcBorders>
              <w:top w:val="nil"/>
              <w:left w:val="nil"/>
              <w:bottom w:val="single" w:color="auto" w:sz="4" w:space="0"/>
              <w:right w:val="nil"/>
            </w:tcBorders>
            <w:noWrap/>
            <w:vAlign w:val="center"/>
          </w:tcPr>
          <w:p w14:paraId="2EFF6FC9">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76.1 </w:t>
            </w:r>
          </w:p>
        </w:tc>
        <w:tc>
          <w:tcPr>
            <w:tcW w:w="945" w:type="dxa"/>
            <w:tcBorders>
              <w:top w:val="nil"/>
              <w:left w:val="nil"/>
              <w:bottom w:val="single" w:color="auto" w:sz="4" w:space="0"/>
              <w:right w:val="nil"/>
            </w:tcBorders>
            <w:noWrap/>
            <w:vAlign w:val="center"/>
          </w:tcPr>
          <w:p w14:paraId="18703DB3">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15.1 </w:t>
            </w:r>
          </w:p>
        </w:tc>
        <w:tc>
          <w:tcPr>
            <w:tcW w:w="945" w:type="dxa"/>
            <w:tcBorders>
              <w:top w:val="nil"/>
              <w:left w:val="nil"/>
              <w:bottom w:val="single" w:color="auto" w:sz="4" w:space="0"/>
              <w:right w:val="nil"/>
            </w:tcBorders>
            <w:noWrap/>
            <w:vAlign w:val="center"/>
          </w:tcPr>
          <w:p w14:paraId="24FBC10A">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67.4 </w:t>
            </w:r>
          </w:p>
        </w:tc>
        <w:tc>
          <w:tcPr>
            <w:tcW w:w="945" w:type="dxa"/>
            <w:tcBorders>
              <w:top w:val="nil"/>
              <w:left w:val="nil"/>
              <w:bottom w:val="single" w:color="auto" w:sz="4" w:space="0"/>
              <w:right w:val="nil"/>
            </w:tcBorders>
            <w:noWrap/>
            <w:vAlign w:val="center"/>
          </w:tcPr>
          <w:p w14:paraId="69295B4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10.1 </w:t>
            </w:r>
          </w:p>
        </w:tc>
        <w:tc>
          <w:tcPr>
            <w:tcW w:w="945" w:type="dxa"/>
            <w:tcBorders>
              <w:top w:val="nil"/>
              <w:left w:val="nil"/>
              <w:bottom w:val="single" w:color="auto" w:sz="4" w:space="0"/>
              <w:right w:val="nil"/>
            </w:tcBorders>
            <w:noWrap/>
            <w:vAlign w:val="center"/>
          </w:tcPr>
          <w:p w14:paraId="729F6092">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32.1 </w:t>
            </w:r>
          </w:p>
        </w:tc>
        <w:tc>
          <w:tcPr>
            <w:tcW w:w="945" w:type="dxa"/>
            <w:tcBorders>
              <w:top w:val="nil"/>
              <w:left w:val="nil"/>
              <w:bottom w:val="single" w:color="auto" w:sz="4" w:space="0"/>
              <w:right w:val="nil"/>
            </w:tcBorders>
            <w:noWrap/>
            <w:vAlign w:val="center"/>
          </w:tcPr>
          <w:p w14:paraId="6748C091">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10.5 </w:t>
            </w:r>
          </w:p>
        </w:tc>
        <w:tc>
          <w:tcPr>
            <w:tcW w:w="945" w:type="dxa"/>
            <w:tcBorders>
              <w:top w:val="nil"/>
              <w:left w:val="nil"/>
              <w:bottom w:val="single" w:color="auto" w:sz="4" w:space="0"/>
              <w:right w:val="nil"/>
            </w:tcBorders>
            <w:noWrap/>
            <w:vAlign w:val="center"/>
          </w:tcPr>
          <w:p w14:paraId="6D105A82">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197.0 </w:t>
            </w:r>
          </w:p>
        </w:tc>
        <w:tc>
          <w:tcPr>
            <w:tcW w:w="945" w:type="dxa"/>
            <w:tcBorders>
              <w:top w:val="nil"/>
              <w:left w:val="nil"/>
              <w:bottom w:val="single" w:color="auto" w:sz="4" w:space="0"/>
              <w:right w:val="nil"/>
            </w:tcBorders>
            <w:noWrap/>
            <w:vAlign w:val="center"/>
          </w:tcPr>
          <w:p w14:paraId="276D1348">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104.7 </w:t>
            </w:r>
          </w:p>
        </w:tc>
        <w:tc>
          <w:tcPr>
            <w:tcW w:w="836" w:type="dxa"/>
            <w:tcBorders>
              <w:top w:val="nil"/>
              <w:left w:val="nil"/>
              <w:bottom w:val="single" w:color="auto" w:sz="4" w:space="0"/>
              <w:right w:val="nil"/>
            </w:tcBorders>
            <w:noWrap/>
            <w:vAlign w:val="center"/>
          </w:tcPr>
          <w:p w14:paraId="1E8973EB">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74.1 </w:t>
            </w:r>
          </w:p>
        </w:tc>
        <w:tc>
          <w:tcPr>
            <w:tcW w:w="1055" w:type="dxa"/>
            <w:tcBorders>
              <w:top w:val="nil"/>
              <w:left w:val="nil"/>
              <w:bottom w:val="single" w:color="auto" w:sz="4" w:space="0"/>
              <w:right w:val="nil"/>
            </w:tcBorders>
            <w:noWrap/>
            <w:vAlign w:val="center"/>
          </w:tcPr>
          <w:p w14:paraId="1A30D22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9.5 </w:t>
            </w:r>
          </w:p>
        </w:tc>
        <w:tc>
          <w:tcPr>
            <w:tcW w:w="945" w:type="dxa"/>
            <w:tcBorders>
              <w:top w:val="nil"/>
              <w:left w:val="nil"/>
              <w:bottom w:val="single" w:color="auto" w:sz="4" w:space="0"/>
              <w:right w:val="nil"/>
            </w:tcBorders>
            <w:noWrap/>
            <w:vAlign w:val="center"/>
          </w:tcPr>
          <w:p w14:paraId="5DFA8BC3">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4.5 </w:t>
            </w:r>
          </w:p>
        </w:tc>
        <w:tc>
          <w:tcPr>
            <w:tcW w:w="945" w:type="dxa"/>
            <w:tcBorders>
              <w:top w:val="nil"/>
              <w:left w:val="nil"/>
              <w:bottom w:val="single" w:color="auto" w:sz="4" w:space="0"/>
              <w:right w:val="nil"/>
            </w:tcBorders>
            <w:noWrap/>
            <w:vAlign w:val="center"/>
          </w:tcPr>
          <w:p w14:paraId="6FD0AC20">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1.9 </w:t>
            </w:r>
          </w:p>
        </w:tc>
      </w:tr>
    </w:tbl>
    <w:p w14:paraId="420E67F8"/>
    <w:p w14:paraId="3DB77B72">
      <w:pPr>
        <w:pStyle w:val="7"/>
      </w:pPr>
      <w:r>
        <w:br w:type="column"/>
      </w:r>
      <w:r>
        <w:rPr>
          <w:b/>
          <w:bCs w:val="0"/>
        </w:rPr>
        <w:t xml:space="preserve">Supplementary Table </w:t>
      </w:r>
      <w:r>
        <w:rPr>
          <w:rFonts w:hint="eastAsia"/>
          <w:b/>
          <w:bCs w:val="0"/>
          <w:lang w:val="en-US" w:eastAsia="zh-CN"/>
        </w:rPr>
        <w:t>22</w:t>
      </w:r>
      <w:r>
        <w:t xml:space="preserve"> | </w:t>
      </w:r>
      <w:r>
        <w:rPr>
          <w:rFonts w:hint="eastAsia"/>
        </w:rPr>
        <w:t>Statistics of flake attributes.</w:t>
      </w:r>
    </w:p>
    <w:tbl>
      <w:tblPr>
        <w:tblStyle w:val="24"/>
        <w:tblW w:w="12337" w:type="dxa"/>
        <w:tblInd w:w="0" w:type="dxa"/>
        <w:tblLayout w:type="fixed"/>
        <w:tblCellMar>
          <w:top w:w="0" w:type="dxa"/>
          <w:left w:w="108" w:type="dxa"/>
          <w:bottom w:w="0" w:type="dxa"/>
          <w:right w:w="108" w:type="dxa"/>
        </w:tblCellMar>
      </w:tblPr>
      <w:tblGrid>
        <w:gridCol w:w="1715"/>
        <w:gridCol w:w="684"/>
        <w:gridCol w:w="647"/>
        <w:gridCol w:w="600"/>
        <w:gridCol w:w="610"/>
        <w:gridCol w:w="684"/>
        <w:gridCol w:w="553"/>
        <w:gridCol w:w="750"/>
        <w:gridCol w:w="722"/>
        <w:gridCol w:w="666"/>
        <w:gridCol w:w="646"/>
        <w:gridCol w:w="619"/>
        <w:gridCol w:w="600"/>
        <w:gridCol w:w="835"/>
        <w:gridCol w:w="740"/>
        <w:gridCol w:w="619"/>
        <w:gridCol w:w="647"/>
      </w:tblGrid>
      <w:tr w14:paraId="1493B7E4">
        <w:tblPrEx>
          <w:tblCellMar>
            <w:top w:w="0" w:type="dxa"/>
            <w:left w:w="108" w:type="dxa"/>
            <w:bottom w:w="0" w:type="dxa"/>
            <w:right w:w="108" w:type="dxa"/>
          </w:tblCellMar>
        </w:tblPrEx>
        <w:trPr>
          <w:trHeight w:val="281" w:hRule="atLeast"/>
        </w:trPr>
        <w:tc>
          <w:tcPr>
            <w:tcW w:w="1715" w:type="dxa"/>
            <w:tcBorders>
              <w:top w:val="single" w:color="auto" w:sz="4" w:space="0"/>
              <w:left w:val="nil"/>
              <w:bottom w:val="single" w:color="auto" w:sz="4" w:space="0"/>
              <w:right w:val="nil"/>
            </w:tcBorders>
            <w:noWrap/>
          </w:tcPr>
          <w:p w14:paraId="4307A2E6">
            <w:pPr>
              <w:keepNext w:val="0"/>
              <w:keepLines w:val="0"/>
              <w:widowControl/>
              <w:suppressLineNumbers w:val="0"/>
              <w:spacing w:before="0" w:beforeAutospacing="0" w:after="0" w:afterAutospacing="0" w:line="240" w:lineRule="auto"/>
              <w:ind w:left="0" w:right="0" w:firstLine="0"/>
              <w:rPr>
                <w:rFonts w:hint="default" w:eastAsia="等线"/>
                <w:b/>
                <w:bCs/>
                <w:sz w:val="20"/>
                <w:szCs w:val="20"/>
              </w:rPr>
            </w:pPr>
            <w:r>
              <w:rPr>
                <w:rFonts w:hint="default" w:eastAsia="等线"/>
                <w:b/>
                <w:bCs/>
                <w:sz w:val="20"/>
                <w:szCs w:val="20"/>
              </w:rPr>
              <w:t>　</w:t>
            </w:r>
          </w:p>
        </w:tc>
        <w:tc>
          <w:tcPr>
            <w:tcW w:w="1331" w:type="dxa"/>
            <w:gridSpan w:val="2"/>
            <w:tcBorders>
              <w:top w:val="single" w:color="auto" w:sz="4" w:space="0"/>
              <w:left w:val="nil"/>
              <w:bottom w:val="single" w:color="auto" w:sz="4" w:space="0"/>
              <w:right w:val="nil"/>
            </w:tcBorders>
            <w:noWrap/>
          </w:tcPr>
          <w:p w14:paraId="17012D4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Length (mm)</w:t>
            </w:r>
          </w:p>
        </w:tc>
        <w:tc>
          <w:tcPr>
            <w:tcW w:w="1210" w:type="dxa"/>
            <w:gridSpan w:val="2"/>
            <w:tcBorders>
              <w:top w:val="single" w:color="auto" w:sz="4" w:space="0"/>
              <w:left w:val="nil"/>
              <w:bottom w:val="single" w:color="auto" w:sz="4" w:space="0"/>
              <w:right w:val="nil"/>
            </w:tcBorders>
            <w:noWrap/>
          </w:tcPr>
          <w:p w14:paraId="23327022">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Width (mm)</w:t>
            </w:r>
          </w:p>
        </w:tc>
        <w:tc>
          <w:tcPr>
            <w:tcW w:w="1237" w:type="dxa"/>
            <w:gridSpan w:val="2"/>
            <w:tcBorders>
              <w:top w:val="single" w:color="auto" w:sz="4" w:space="0"/>
              <w:left w:val="nil"/>
              <w:bottom w:val="single" w:color="auto" w:sz="4" w:space="0"/>
              <w:right w:val="nil"/>
            </w:tcBorders>
            <w:noWrap/>
          </w:tcPr>
          <w:p w14:paraId="61048771">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Thickness (mm)</w:t>
            </w:r>
          </w:p>
        </w:tc>
        <w:tc>
          <w:tcPr>
            <w:tcW w:w="1472" w:type="dxa"/>
            <w:gridSpan w:val="2"/>
            <w:tcBorders>
              <w:top w:val="single" w:color="auto" w:sz="4" w:space="0"/>
              <w:left w:val="nil"/>
              <w:bottom w:val="single" w:color="auto" w:sz="4" w:space="0"/>
              <w:right w:val="nil"/>
            </w:tcBorders>
            <w:noWrap/>
          </w:tcPr>
          <w:p w14:paraId="05CCD1A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Mass (g)</w:t>
            </w:r>
          </w:p>
        </w:tc>
        <w:tc>
          <w:tcPr>
            <w:tcW w:w="1312" w:type="dxa"/>
            <w:gridSpan w:val="2"/>
            <w:tcBorders>
              <w:top w:val="single" w:color="auto" w:sz="4" w:space="0"/>
              <w:left w:val="nil"/>
              <w:bottom w:val="single" w:color="auto" w:sz="4" w:space="0"/>
              <w:right w:val="nil"/>
            </w:tcBorders>
            <w:noWrap/>
          </w:tcPr>
          <w:p w14:paraId="1D936762">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Platform width (mm)</w:t>
            </w:r>
          </w:p>
        </w:tc>
        <w:tc>
          <w:tcPr>
            <w:tcW w:w="1219" w:type="dxa"/>
            <w:gridSpan w:val="2"/>
            <w:tcBorders>
              <w:top w:val="single" w:color="auto" w:sz="4" w:space="0"/>
              <w:left w:val="nil"/>
              <w:bottom w:val="single" w:color="auto" w:sz="4" w:space="0"/>
              <w:right w:val="nil"/>
            </w:tcBorders>
            <w:noWrap/>
          </w:tcPr>
          <w:p w14:paraId="3AF1D62C">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Platform depth (mm)</w:t>
            </w:r>
          </w:p>
        </w:tc>
        <w:tc>
          <w:tcPr>
            <w:tcW w:w="1575" w:type="dxa"/>
            <w:gridSpan w:val="2"/>
            <w:tcBorders>
              <w:top w:val="single" w:color="auto" w:sz="4" w:space="0"/>
              <w:left w:val="nil"/>
              <w:bottom w:val="single" w:color="auto" w:sz="4" w:space="0"/>
              <w:right w:val="nil"/>
            </w:tcBorders>
            <w:noWrap/>
          </w:tcPr>
          <w:p w14:paraId="6AB218F8">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IPA (°)</w:t>
            </w:r>
          </w:p>
        </w:tc>
        <w:tc>
          <w:tcPr>
            <w:tcW w:w="1266" w:type="dxa"/>
            <w:gridSpan w:val="2"/>
            <w:tcBorders>
              <w:top w:val="single" w:color="auto" w:sz="4" w:space="0"/>
              <w:left w:val="nil"/>
              <w:bottom w:val="single" w:color="auto" w:sz="4" w:space="0"/>
              <w:right w:val="nil"/>
            </w:tcBorders>
            <w:noWrap/>
          </w:tcPr>
          <w:p w14:paraId="4D74CAC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Dorsal scar</w:t>
            </w:r>
          </w:p>
        </w:tc>
      </w:tr>
      <w:tr w14:paraId="191055FF">
        <w:tblPrEx>
          <w:tblCellMar>
            <w:top w:w="0" w:type="dxa"/>
            <w:left w:w="108" w:type="dxa"/>
            <w:bottom w:w="0" w:type="dxa"/>
            <w:right w:w="108" w:type="dxa"/>
          </w:tblCellMar>
        </w:tblPrEx>
        <w:trPr>
          <w:trHeight w:val="281" w:hRule="atLeast"/>
        </w:trPr>
        <w:tc>
          <w:tcPr>
            <w:tcW w:w="1715" w:type="dxa"/>
            <w:tcBorders>
              <w:top w:val="nil"/>
              <w:left w:val="nil"/>
              <w:bottom w:val="single" w:color="auto" w:sz="4" w:space="0"/>
              <w:right w:val="nil"/>
            </w:tcBorders>
            <w:noWrap/>
          </w:tcPr>
          <w:p w14:paraId="020274E2">
            <w:pPr>
              <w:keepNext w:val="0"/>
              <w:keepLines w:val="0"/>
              <w:widowControl/>
              <w:suppressLineNumbers w:val="0"/>
              <w:spacing w:before="0" w:beforeAutospacing="0" w:after="0" w:afterAutospacing="0" w:line="240" w:lineRule="auto"/>
              <w:ind w:left="0" w:right="0" w:firstLine="0"/>
              <w:rPr>
                <w:rFonts w:hint="default" w:eastAsia="等线"/>
                <w:b/>
                <w:bCs/>
                <w:sz w:val="20"/>
                <w:szCs w:val="20"/>
              </w:rPr>
            </w:pPr>
            <w:r>
              <w:rPr>
                <w:rFonts w:hint="default" w:eastAsia="等线"/>
                <w:b/>
                <w:bCs/>
                <w:sz w:val="20"/>
                <w:szCs w:val="20"/>
              </w:rPr>
              <w:t>　</w:t>
            </w:r>
          </w:p>
        </w:tc>
        <w:tc>
          <w:tcPr>
            <w:tcW w:w="684" w:type="dxa"/>
            <w:tcBorders>
              <w:top w:val="nil"/>
              <w:left w:val="nil"/>
              <w:bottom w:val="single" w:color="auto" w:sz="4" w:space="0"/>
              <w:right w:val="nil"/>
            </w:tcBorders>
            <w:noWrap/>
          </w:tcPr>
          <w:p w14:paraId="334AA76B">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x̅</w:t>
            </w:r>
          </w:p>
        </w:tc>
        <w:tc>
          <w:tcPr>
            <w:tcW w:w="647" w:type="dxa"/>
            <w:tcBorders>
              <w:top w:val="nil"/>
              <w:left w:val="nil"/>
              <w:bottom w:val="single" w:color="auto" w:sz="4" w:space="0"/>
              <w:right w:val="nil"/>
            </w:tcBorders>
            <w:noWrap/>
          </w:tcPr>
          <w:p w14:paraId="520578E2">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σ</w:t>
            </w:r>
          </w:p>
        </w:tc>
        <w:tc>
          <w:tcPr>
            <w:tcW w:w="600" w:type="dxa"/>
            <w:tcBorders>
              <w:top w:val="nil"/>
              <w:left w:val="nil"/>
              <w:bottom w:val="single" w:color="auto" w:sz="4" w:space="0"/>
              <w:right w:val="nil"/>
            </w:tcBorders>
            <w:noWrap/>
          </w:tcPr>
          <w:p w14:paraId="36FB4BBF">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x̅</w:t>
            </w:r>
          </w:p>
        </w:tc>
        <w:tc>
          <w:tcPr>
            <w:tcW w:w="610" w:type="dxa"/>
            <w:tcBorders>
              <w:top w:val="nil"/>
              <w:left w:val="nil"/>
              <w:bottom w:val="single" w:color="auto" w:sz="4" w:space="0"/>
              <w:right w:val="nil"/>
            </w:tcBorders>
            <w:noWrap/>
          </w:tcPr>
          <w:p w14:paraId="6195A977">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σ</w:t>
            </w:r>
          </w:p>
        </w:tc>
        <w:tc>
          <w:tcPr>
            <w:tcW w:w="684" w:type="dxa"/>
            <w:tcBorders>
              <w:top w:val="nil"/>
              <w:left w:val="nil"/>
              <w:bottom w:val="single" w:color="auto" w:sz="4" w:space="0"/>
              <w:right w:val="nil"/>
            </w:tcBorders>
            <w:noWrap/>
          </w:tcPr>
          <w:p w14:paraId="45931438">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x̅</w:t>
            </w:r>
          </w:p>
        </w:tc>
        <w:tc>
          <w:tcPr>
            <w:tcW w:w="553" w:type="dxa"/>
            <w:tcBorders>
              <w:top w:val="nil"/>
              <w:left w:val="nil"/>
              <w:bottom w:val="single" w:color="auto" w:sz="4" w:space="0"/>
              <w:right w:val="nil"/>
            </w:tcBorders>
            <w:noWrap/>
          </w:tcPr>
          <w:p w14:paraId="367B87F4">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σ</w:t>
            </w:r>
          </w:p>
        </w:tc>
        <w:tc>
          <w:tcPr>
            <w:tcW w:w="750" w:type="dxa"/>
            <w:tcBorders>
              <w:top w:val="nil"/>
              <w:left w:val="nil"/>
              <w:bottom w:val="single" w:color="auto" w:sz="4" w:space="0"/>
              <w:right w:val="nil"/>
            </w:tcBorders>
            <w:noWrap/>
          </w:tcPr>
          <w:p w14:paraId="3C1B6CCA">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x̅</w:t>
            </w:r>
          </w:p>
        </w:tc>
        <w:tc>
          <w:tcPr>
            <w:tcW w:w="722" w:type="dxa"/>
            <w:tcBorders>
              <w:top w:val="nil"/>
              <w:left w:val="nil"/>
              <w:bottom w:val="single" w:color="auto" w:sz="4" w:space="0"/>
              <w:right w:val="nil"/>
            </w:tcBorders>
            <w:noWrap/>
          </w:tcPr>
          <w:p w14:paraId="0329505C">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σ</w:t>
            </w:r>
          </w:p>
        </w:tc>
        <w:tc>
          <w:tcPr>
            <w:tcW w:w="666" w:type="dxa"/>
            <w:tcBorders>
              <w:top w:val="nil"/>
              <w:left w:val="nil"/>
              <w:bottom w:val="single" w:color="auto" w:sz="4" w:space="0"/>
              <w:right w:val="nil"/>
            </w:tcBorders>
            <w:noWrap/>
          </w:tcPr>
          <w:p w14:paraId="62FC9E21">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x̅</w:t>
            </w:r>
          </w:p>
        </w:tc>
        <w:tc>
          <w:tcPr>
            <w:tcW w:w="646" w:type="dxa"/>
            <w:tcBorders>
              <w:top w:val="nil"/>
              <w:left w:val="nil"/>
              <w:bottom w:val="single" w:color="auto" w:sz="4" w:space="0"/>
              <w:right w:val="nil"/>
            </w:tcBorders>
            <w:noWrap/>
          </w:tcPr>
          <w:p w14:paraId="104B477D">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σ</w:t>
            </w:r>
          </w:p>
        </w:tc>
        <w:tc>
          <w:tcPr>
            <w:tcW w:w="619" w:type="dxa"/>
            <w:tcBorders>
              <w:top w:val="nil"/>
              <w:left w:val="nil"/>
              <w:bottom w:val="single" w:color="auto" w:sz="4" w:space="0"/>
              <w:right w:val="nil"/>
            </w:tcBorders>
            <w:noWrap/>
          </w:tcPr>
          <w:p w14:paraId="33023551">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x̅</w:t>
            </w:r>
          </w:p>
        </w:tc>
        <w:tc>
          <w:tcPr>
            <w:tcW w:w="600" w:type="dxa"/>
            <w:tcBorders>
              <w:top w:val="nil"/>
              <w:left w:val="nil"/>
              <w:bottom w:val="single" w:color="auto" w:sz="4" w:space="0"/>
              <w:right w:val="nil"/>
            </w:tcBorders>
            <w:noWrap/>
          </w:tcPr>
          <w:p w14:paraId="76C43306">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σ</w:t>
            </w:r>
          </w:p>
        </w:tc>
        <w:tc>
          <w:tcPr>
            <w:tcW w:w="835" w:type="dxa"/>
            <w:tcBorders>
              <w:top w:val="nil"/>
              <w:left w:val="nil"/>
              <w:bottom w:val="single" w:color="auto" w:sz="4" w:space="0"/>
              <w:right w:val="nil"/>
            </w:tcBorders>
            <w:noWrap/>
          </w:tcPr>
          <w:p w14:paraId="5FE65BC6">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x̅</w:t>
            </w:r>
          </w:p>
        </w:tc>
        <w:tc>
          <w:tcPr>
            <w:tcW w:w="740" w:type="dxa"/>
            <w:tcBorders>
              <w:top w:val="nil"/>
              <w:left w:val="nil"/>
              <w:bottom w:val="single" w:color="auto" w:sz="4" w:space="0"/>
              <w:right w:val="nil"/>
            </w:tcBorders>
            <w:noWrap/>
          </w:tcPr>
          <w:p w14:paraId="235B98AB">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σ</w:t>
            </w:r>
          </w:p>
        </w:tc>
        <w:tc>
          <w:tcPr>
            <w:tcW w:w="619" w:type="dxa"/>
            <w:tcBorders>
              <w:top w:val="nil"/>
              <w:left w:val="nil"/>
              <w:bottom w:val="single" w:color="auto" w:sz="4" w:space="0"/>
              <w:right w:val="nil"/>
            </w:tcBorders>
            <w:noWrap/>
          </w:tcPr>
          <w:p w14:paraId="0BFC9484">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x̅</w:t>
            </w:r>
          </w:p>
        </w:tc>
        <w:tc>
          <w:tcPr>
            <w:tcW w:w="647" w:type="dxa"/>
            <w:tcBorders>
              <w:top w:val="nil"/>
              <w:left w:val="nil"/>
              <w:bottom w:val="single" w:color="auto" w:sz="4" w:space="0"/>
              <w:right w:val="nil"/>
            </w:tcBorders>
            <w:noWrap/>
          </w:tcPr>
          <w:p w14:paraId="73DA4EDC">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σ</w:t>
            </w:r>
          </w:p>
        </w:tc>
      </w:tr>
      <w:tr w14:paraId="14C0A92A">
        <w:tblPrEx>
          <w:tblCellMar>
            <w:top w:w="0" w:type="dxa"/>
            <w:left w:w="108" w:type="dxa"/>
            <w:bottom w:w="0" w:type="dxa"/>
            <w:right w:w="108" w:type="dxa"/>
          </w:tblCellMar>
        </w:tblPrEx>
        <w:trPr>
          <w:trHeight w:val="281" w:hRule="atLeast"/>
        </w:trPr>
        <w:tc>
          <w:tcPr>
            <w:tcW w:w="1715" w:type="dxa"/>
            <w:tcBorders>
              <w:top w:val="nil"/>
              <w:left w:val="nil"/>
              <w:bottom w:val="nil"/>
              <w:right w:val="nil"/>
            </w:tcBorders>
            <w:noWrap/>
          </w:tcPr>
          <w:p w14:paraId="22BFC5B8">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Cortical flake</w:t>
            </w:r>
          </w:p>
        </w:tc>
        <w:tc>
          <w:tcPr>
            <w:tcW w:w="684" w:type="dxa"/>
            <w:tcBorders>
              <w:top w:val="nil"/>
              <w:left w:val="nil"/>
              <w:bottom w:val="nil"/>
              <w:right w:val="nil"/>
            </w:tcBorders>
            <w:noWrap/>
          </w:tcPr>
          <w:p w14:paraId="3210F28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67.2 </w:t>
            </w:r>
          </w:p>
        </w:tc>
        <w:tc>
          <w:tcPr>
            <w:tcW w:w="647" w:type="dxa"/>
            <w:tcBorders>
              <w:top w:val="nil"/>
              <w:left w:val="nil"/>
              <w:bottom w:val="nil"/>
              <w:right w:val="nil"/>
            </w:tcBorders>
            <w:noWrap/>
          </w:tcPr>
          <w:p w14:paraId="4F34A784">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16.2 </w:t>
            </w:r>
          </w:p>
        </w:tc>
        <w:tc>
          <w:tcPr>
            <w:tcW w:w="600" w:type="dxa"/>
            <w:tcBorders>
              <w:top w:val="nil"/>
              <w:left w:val="nil"/>
              <w:bottom w:val="nil"/>
              <w:right w:val="nil"/>
            </w:tcBorders>
            <w:noWrap/>
          </w:tcPr>
          <w:p w14:paraId="320B4C92">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54.0 </w:t>
            </w:r>
          </w:p>
        </w:tc>
        <w:tc>
          <w:tcPr>
            <w:tcW w:w="610" w:type="dxa"/>
            <w:tcBorders>
              <w:top w:val="nil"/>
              <w:left w:val="nil"/>
              <w:bottom w:val="nil"/>
              <w:right w:val="nil"/>
            </w:tcBorders>
            <w:noWrap/>
          </w:tcPr>
          <w:p w14:paraId="768539CE">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12.1 </w:t>
            </w:r>
          </w:p>
        </w:tc>
        <w:tc>
          <w:tcPr>
            <w:tcW w:w="684" w:type="dxa"/>
            <w:tcBorders>
              <w:top w:val="nil"/>
              <w:left w:val="nil"/>
              <w:bottom w:val="nil"/>
              <w:right w:val="nil"/>
            </w:tcBorders>
            <w:noWrap/>
          </w:tcPr>
          <w:p w14:paraId="70077996">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23.8 </w:t>
            </w:r>
          </w:p>
        </w:tc>
        <w:tc>
          <w:tcPr>
            <w:tcW w:w="553" w:type="dxa"/>
            <w:tcBorders>
              <w:top w:val="nil"/>
              <w:left w:val="nil"/>
              <w:bottom w:val="nil"/>
              <w:right w:val="nil"/>
            </w:tcBorders>
            <w:noWrap/>
          </w:tcPr>
          <w:p w14:paraId="69D0631B">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8.6 </w:t>
            </w:r>
          </w:p>
        </w:tc>
        <w:tc>
          <w:tcPr>
            <w:tcW w:w="750" w:type="dxa"/>
            <w:tcBorders>
              <w:top w:val="nil"/>
              <w:left w:val="nil"/>
              <w:bottom w:val="nil"/>
              <w:right w:val="nil"/>
            </w:tcBorders>
            <w:noWrap/>
          </w:tcPr>
          <w:p w14:paraId="7A76E722">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107.9 </w:t>
            </w:r>
          </w:p>
        </w:tc>
        <w:tc>
          <w:tcPr>
            <w:tcW w:w="722" w:type="dxa"/>
            <w:tcBorders>
              <w:top w:val="nil"/>
              <w:left w:val="nil"/>
              <w:bottom w:val="nil"/>
              <w:right w:val="nil"/>
            </w:tcBorders>
            <w:noWrap/>
          </w:tcPr>
          <w:p w14:paraId="3E8E0BDF">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85.5 </w:t>
            </w:r>
          </w:p>
        </w:tc>
        <w:tc>
          <w:tcPr>
            <w:tcW w:w="666" w:type="dxa"/>
            <w:tcBorders>
              <w:top w:val="nil"/>
              <w:left w:val="nil"/>
              <w:bottom w:val="nil"/>
              <w:right w:val="nil"/>
            </w:tcBorders>
            <w:noWrap/>
          </w:tcPr>
          <w:p w14:paraId="6A6A420D">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40.5 </w:t>
            </w:r>
          </w:p>
        </w:tc>
        <w:tc>
          <w:tcPr>
            <w:tcW w:w="646" w:type="dxa"/>
            <w:tcBorders>
              <w:top w:val="nil"/>
              <w:left w:val="nil"/>
              <w:bottom w:val="nil"/>
              <w:right w:val="nil"/>
            </w:tcBorders>
            <w:noWrap/>
          </w:tcPr>
          <w:p w14:paraId="0974D6FA">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14.3 </w:t>
            </w:r>
          </w:p>
        </w:tc>
        <w:tc>
          <w:tcPr>
            <w:tcW w:w="619" w:type="dxa"/>
            <w:tcBorders>
              <w:top w:val="nil"/>
              <w:left w:val="nil"/>
              <w:bottom w:val="nil"/>
              <w:right w:val="nil"/>
            </w:tcBorders>
            <w:noWrap/>
          </w:tcPr>
          <w:p w14:paraId="6267D7A9">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17.8 </w:t>
            </w:r>
          </w:p>
        </w:tc>
        <w:tc>
          <w:tcPr>
            <w:tcW w:w="600" w:type="dxa"/>
            <w:tcBorders>
              <w:top w:val="nil"/>
              <w:left w:val="nil"/>
              <w:bottom w:val="nil"/>
              <w:right w:val="nil"/>
            </w:tcBorders>
            <w:noWrap/>
          </w:tcPr>
          <w:p w14:paraId="44C959FE">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8.7 </w:t>
            </w:r>
          </w:p>
        </w:tc>
        <w:tc>
          <w:tcPr>
            <w:tcW w:w="835" w:type="dxa"/>
            <w:tcBorders>
              <w:top w:val="nil"/>
              <w:left w:val="nil"/>
              <w:bottom w:val="nil"/>
              <w:right w:val="nil"/>
            </w:tcBorders>
            <w:noWrap/>
          </w:tcPr>
          <w:p w14:paraId="7B8E38D1">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113.5 </w:t>
            </w:r>
          </w:p>
        </w:tc>
        <w:tc>
          <w:tcPr>
            <w:tcW w:w="740" w:type="dxa"/>
            <w:tcBorders>
              <w:top w:val="nil"/>
              <w:left w:val="nil"/>
              <w:bottom w:val="nil"/>
              <w:right w:val="nil"/>
            </w:tcBorders>
            <w:noWrap/>
          </w:tcPr>
          <w:p w14:paraId="1A269813">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12.5 </w:t>
            </w:r>
          </w:p>
        </w:tc>
        <w:tc>
          <w:tcPr>
            <w:tcW w:w="619" w:type="dxa"/>
            <w:tcBorders>
              <w:top w:val="nil"/>
              <w:left w:val="nil"/>
              <w:bottom w:val="nil"/>
              <w:right w:val="nil"/>
            </w:tcBorders>
            <w:noWrap/>
          </w:tcPr>
          <w:p w14:paraId="55A4C4FA">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0.7 </w:t>
            </w:r>
          </w:p>
        </w:tc>
        <w:tc>
          <w:tcPr>
            <w:tcW w:w="647" w:type="dxa"/>
            <w:tcBorders>
              <w:top w:val="nil"/>
              <w:left w:val="nil"/>
              <w:bottom w:val="nil"/>
              <w:right w:val="nil"/>
            </w:tcBorders>
            <w:noWrap/>
          </w:tcPr>
          <w:p w14:paraId="2D258DE1">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0.9 </w:t>
            </w:r>
          </w:p>
        </w:tc>
      </w:tr>
      <w:tr w14:paraId="451557FE">
        <w:tblPrEx>
          <w:tblCellMar>
            <w:top w:w="0" w:type="dxa"/>
            <w:left w:w="108" w:type="dxa"/>
            <w:bottom w:w="0" w:type="dxa"/>
            <w:right w:w="108" w:type="dxa"/>
          </w:tblCellMar>
        </w:tblPrEx>
        <w:trPr>
          <w:trHeight w:val="281" w:hRule="atLeast"/>
        </w:trPr>
        <w:tc>
          <w:tcPr>
            <w:tcW w:w="1715" w:type="dxa"/>
            <w:tcBorders>
              <w:top w:val="nil"/>
              <w:left w:val="nil"/>
              <w:bottom w:val="nil"/>
              <w:right w:val="nil"/>
            </w:tcBorders>
            <w:noWrap/>
          </w:tcPr>
          <w:p w14:paraId="3E265B1E">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Unipolar flake</w:t>
            </w:r>
          </w:p>
        </w:tc>
        <w:tc>
          <w:tcPr>
            <w:tcW w:w="684" w:type="dxa"/>
            <w:tcBorders>
              <w:top w:val="nil"/>
              <w:left w:val="nil"/>
              <w:bottom w:val="nil"/>
              <w:right w:val="nil"/>
            </w:tcBorders>
            <w:noWrap/>
          </w:tcPr>
          <w:p w14:paraId="608263D7">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65.3 </w:t>
            </w:r>
          </w:p>
        </w:tc>
        <w:tc>
          <w:tcPr>
            <w:tcW w:w="647" w:type="dxa"/>
            <w:tcBorders>
              <w:top w:val="nil"/>
              <w:left w:val="nil"/>
              <w:bottom w:val="nil"/>
              <w:right w:val="nil"/>
            </w:tcBorders>
            <w:noWrap/>
          </w:tcPr>
          <w:p w14:paraId="053D1610">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11.8 </w:t>
            </w:r>
          </w:p>
        </w:tc>
        <w:tc>
          <w:tcPr>
            <w:tcW w:w="600" w:type="dxa"/>
            <w:tcBorders>
              <w:top w:val="nil"/>
              <w:left w:val="nil"/>
              <w:bottom w:val="nil"/>
              <w:right w:val="nil"/>
            </w:tcBorders>
            <w:noWrap/>
          </w:tcPr>
          <w:p w14:paraId="138406F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53.6 </w:t>
            </w:r>
          </w:p>
        </w:tc>
        <w:tc>
          <w:tcPr>
            <w:tcW w:w="610" w:type="dxa"/>
            <w:tcBorders>
              <w:top w:val="nil"/>
              <w:left w:val="nil"/>
              <w:bottom w:val="nil"/>
              <w:right w:val="nil"/>
            </w:tcBorders>
            <w:noWrap/>
          </w:tcPr>
          <w:p w14:paraId="4B0B9FBF">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12.1 </w:t>
            </w:r>
          </w:p>
        </w:tc>
        <w:tc>
          <w:tcPr>
            <w:tcW w:w="684" w:type="dxa"/>
            <w:tcBorders>
              <w:top w:val="nil"/>
              <w:left w:val="nil"/>
              <w:bottom w:val="nil"/>
              <w:right w:val="nil"/>
            </w:tcBorders>
            <w:noWrap/>
          </w:tcPr>
          <w:p w14:paraId="17FC4BD0">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22.6 </w:t>
            </w:r>
          </w:p>
        </w:tc>
        <w:tc>
          <w:tcPr>
            <w:tcW w:w="553" w:type="dxa"/>
            <w:tcBorders>
              <w:top w:val="nil"/>
              <w:left w:val="nil"/>
              <w:bottom w:val="nil"/>
              <w:right w:val="nil"/>
            </w:tcBorders>
            <w:noWrap/>
          </w:tcPr>
          <w:p w14:paraId="44F533D8">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5.3 </w:t>
            </w:r>
          </w:p>
        </w:tc>
        <w:tc>
          <w:tcPr>
            <w:tcW w:w="750" w:type="dxa"/>
            <w:tcBorders>
              <w:top w:val="nil"/>
              <w:left w:val="nil"/>
              <w:bottom w:val="nil"/>
              <w:right w:val="nil"/>
            </w:tcBorders>
            <w:noWrap/>
          </w:tcPr>
          <w:p w14:paraId="0DD2B1AD">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84.7 </w:t>
            </w:r>
          </w:p>
        </w:tc>
        <w:tc>
          <w:tcPr>
            <w:tcW w:w="722" w:type="dxa"/>
            <w:tcBorders>
              <w:top w:val="nil"/>
              <w:left w:val="nil"/>
              <w:bottom w:val="nil"/>
              <w:right w:val="nil"/>
            </w:tcBorders>
            <w:noWrap/>
          </w:tcPr>
          <w:p w14:paraId="66F6E2E8">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52.6 </w:t>
            </w:r>
          </w:p>
        </w:tc>
        <w:tc>
          <w:tcPr>
            <w:tcW w:w="666" w:type="dxa"/>
            <w:tcBorders>
              <w:top w:val="nil"/>
              <w:left w:val="nil"/>
              <w:bottom w:val="nil"/>
              <w:right w:val="nil"/>
            </w:tcBorders>
            <w:noWrap/>
          </w:tcPr>
          <w:p w14:paraId="286BCCCD">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39.4 </w:t>
            </w:r>
          </w:p>
        </w:tc>
        <w:tc>
          <w:tcPr>
            <w:tcW w:w="646" w:type="dxa"/>
            <w:tcBorders>
              <w:top w:val="nil"/>
              <w:left w:val="nil"/>
              <w:bottom w:val="nil"/>
              <w:right w:val="nil"/>
            </w:tcBorders>
            <w:noWrap/>
          </w:tcPr>
          <w:p w14:paraId="4A9CAB3D">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15.8 </w:t>
            </w:r>
          </w:p>
        </w:tc>
        <w:tc>
          <w:tcPr>
            <w:tcW w:w="619" w:type="dxa"/>
            <w:tcBorders>
              <w:top w:val="nil"/>
              <w:left w:val="nil"/>
              <w:bottom w:val="nil"/>
              <w:right w:val="nil"/>
            </w:tcBorders>
            <w:noWrap/>
          </w:tcPr>
          <w:p w14:paraId="77622A09">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16.3 </w:t>
            </w:r>
          </w:p>
        </w:tc>
        <w:tc>
          <w:tcPr>
            <w:tcW w:w="600" w:type="dxa"/>
            <w:tcBorders>
              <w:top w:val="nil"/>
              <w:left w:val="nil"/>
              <w:bottom w:val="nil"/>
              <w:right w:val="nil"/>
            </w:tcBorders>
            <w:noWrap/>
          </w:tcPr>
          <w:p w14:paraId="0BF3842C">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5.6 </w:t>
            </w:r>
          </w:p>
        </w:tc>
        <w:tc>
          <w:tcPr>
            <w:tcW w:w="835" w:type="dxa"/>
            <w:tcBorders>
              <w:top w:val="nil"/>
              <w:left w:val="nil"/>
              <w:bottom w:val="nil"/>
              <w:right w:val="nil"/>
            </w:tcBorders>
            <w:noWrap/>
          </w:tcPr>
          <w:p w14:paraId="18224ADA">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108.8 </w:t>
            </w:r>
          </w:p>
        </w:tc>
        <w:tc>
          <w:tcPr>
            <w:tcW w:w="740" w:type="dxa"/>
            <w:tcBorders>
              <w:top w:val="nil"/>
              <w:left w:val="nil"/>
              <w:bottom w:val="nil"/>
              <w:right w:val="nil"/>
            </w:tcBorders>
            <w:noWrap/>
          </w:tcPr>
          <w:p w14:paraId="769E4FE1">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13.8 </w:t>
            </w:r>
          </w:p>
        </w:tc>
        <w:tc>
          <w:tcPr>
            <w:tcW w:w="619" w:type="dxa"/>
            <w:tcBorders>
              <w:top w:val="nil"/>
              <w:left w:val="nil"/>
              <w:bottom w:val="nil"/>
              <w:right w:val="nil"/>
            </w:tcBorders>
            <w:noWrap/>
          </w:tcPr>
          <w:p w14:paraId="326B5DE7">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2.4 </w:t>
            </w:r>
          </w:p>
        </w:tc>
        <w:tc>
          <w:tcPr>
            <w:tcW w:w="647" w:type="dxa"/>
            <w:tcBorders>
              <w:top w:val="nil"/>
              <w:left w:val="nil"/>
              <w:bottom w:val="nil"/>
              <w:right w:val="nil"/>
            </w:tcBorders>
            <w:noWrap/>
          </w:tcPr>
          <w:p w14:paraId="5BFE47CD">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1.0 </w:t>
            </w:r>
          </w:p>
        </w:tc>
      </w:tr>
      <w:tr w14:paraId="64108A12">
        <w:tblPrEx>
          <w:tblCellMar>
            <w:top w:w="0" w:type="dxa"/>
            <w:left w:w="108" w:type="dxa"/>
            <w:bottom w:w="0" w:type="dxa"/>
            <w:right w:w="108" w:type="dxa"/>
          </w:tblCellMar>
        </w:tblPrEx>
        <w:trPr>
          <w:trHeight w:val="281" w:hRule="atLeast"/>
        </w:trPr>
        <w:tc>
          <w:tcPr>
            <w:tcW w:w="1715" w:type="dxa"/>
            <w:tcBorders>
              <w:top w:val="nil"/>
              <w:left w:val="nil"/>
              <w:bottom w:val="nil"/>
              <w:right w:val="nil"/>
            </w:tcBorders>
            <w:noWrap/>
          </w:tcPr>
          <w:p w14:paraId="5EDD80EA">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Bipolar flake</w:t>
            </w:r>
          </w:p>
        </w:tc>
        <w:tc>
          <w:tcPr>
            <w:tcW w:w="684" w:type="dxa"/>
            <w:tcBorders>
              <w:top w:val="nil"/>
              <w:left w:val="nil"/>
              <w:bottom w:val="nil"/>
              <w:right w:val="nil"/>
            </w:tcBorders>
            <w:noWrap/>
          </w:tcPr>
          <w:p w14:paraId="72A78272">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58.0 </w:t>
            </w:r>
          </w:p>
        </w:tc>
        <w:tc>
          <w:tcPr>
            <w:tcW w:w="647" w:type="dxa"/>
            <w:tcBorders>
              <w:top w:val="nil"/>
              <w:left w:val="nil"/>
              <w:bottom w:val="nil"/>
              <w:right w:val="nil"/>
            </w:tcBorders>
            <w:noWrap/>
          </w:tcPr>
          <w:p w14:paraId="1F444FC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9.9 </w:t>
            </w:r>
          </w:p>
        </w:tc>
        <w:tc>
          <w:tcPr>
            <w:tcW w:w="600" w:type="dxa"/>
            <w:tcBorders>
              <w:top w:val="nil"/>
              <w:left w:val="nil"/>
              <w:bottom w:val="nil"/>
              <w:right w:val="nil"/>
            </w:tcBorders>
            <w:noWrap/>
          </w:tcPr>
          <w:p w14:paraId="1AB4F1E4">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45.3 </w:t>
            </w:r>
          </w:p>
        </w:tc>
        <w:tc>
          <w:tcPr>
            <w:tcW w:w="610" w:type="dxa"/>
            <w:tcBorders>
              <w:top w:val="nil"/>
              <w:left w:val="nil"/>
              <w:bottom w:val="nil"/>
              <w:right w:val="nil"/>
            </w:tcBorders>
            <w:noWrap/>
          </w:tcPr>
          <w:p w14:paraId="2AB0699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8.9 </w:t>
            </w:r>
          </w:p>
        </w:tc>
        <w:tc>
          <w:tcPr>
            <w:tcW w:w="684" w:type="dxa"/>
            <w:tcBorders>
              <w:top w:val="nil"/>
              <w:left w:val="nil"/>
              <w:bottom w:val="nil"/>
              <w:right w:val="nil"/>
            </w:tcBorders>
            <w:noWrap/>
          </w:tcPr>
          <w:p w14:paraId="4CCF43FB">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18.0 </w:t>
            </w:r>
          </w:p>
        </w:tc>
        <w:tc>
          <w:tcPr>
            <w:tcW w:w="553" w:type="dxa"/>
            <w:tcBorders>
              <w:top w:val="nil"/>
              <w:left w:val="nil"/>
              <w:bottom w:val="nil"/>
              <w:right w:val="nil"/>
            </w:tcBorders>
            <w:noWrap/>
          </w:tcPr>
          <w:p w14:paraId="466FDFA1">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4.2 </w:t>
            </w:r>
          </w:p>
        </w:tc>
        <w:tc>
          <w:tcPr>
            <w:tcW w:w="750" w:type="dxa"/>
            <w:tcBorders>
              <w:top w:val="nil"/>
              <w:left w:val="nil"/>
              <w:bottom w:val="nil"/>
              <w:right w:val="nil"/>
            </w:tcBorders>
            <w:noWrap/>
          </w:tcPr>
          <w:p w14:paraId="4CE30F76">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39.9 </w:t>
            </w:r>
          </w:p>
        </w:tc>
        <w:tc>
          <w:tcPr>
            <w:tcW w:w="722" w:type="dxa"/>
            <w:tcBorders>
              <w:top w:val="nil"/>
              <w:left w:val="nil"/>
              <w:bottom w:val="nil"/>
              <w:right w:val="nil"/>
            </w:tcBorders>
            <w:noWrap/>
          </w:tcPr>
          <w:p w14:paraId="3DD4F1E4">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16.0 </w:t>
            </w:r>
          </w:p>
        </w:tc>
        <w:tc>
          <w:tcPr>
            <w:tcW w:w="666" w:type="dxa"/>
            <w:tcBorders>
              <w:top w:val="nil"/>
              <w:left w:val="nil"/>
              <w:bottom w:val="nil"/>
              <w:right w:val="nil"/>
            </w:tcBorders>
            <w:noWrap/>
          </w:tcPr>
          <w:p w14:paraId="2D50915E">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32.8.</w:t>
            </w:r>
          </w:p>
        </w:tc>
        <w:tc>
          <w:tcPr>
            <w:tcW w:w="646" w:type="dxa"/>
            <w:tcBorders>
              <w:top w:val="nil"/>
              <w:left w:val="nil"/>
              <w:bottom w:val="nil"/>
              <w:right w:val="nil"/>
            </w:tcBorders>
            <w:noWrap/>
          </w:tcPr>
          <w:p w14:paraId="06E59F50">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7.2 </w:t>
            </w:r>
          </w:p>
        </w:tc>
        <w:tc>
          <w:tcPr>
            <w:tcW w:w="619" w:type="dxa"/>
            <w:tcBorders>
              <w:top w:val="nil"/>
              <w:left w:val="nil"/>
              <w:bottom w:val="nil"/>
              <w:right w:val="nil"/>
            </w:tcBorders>
            <w:noWrap/>
          </w:tcPr>
          <w:p w14:paraId="321D8393">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8.5 </w:t>
            </w:r>
          </w:p>
        </w:tc>
        <w:tc>
          <w:tcPr>
            <w:tcW w:w="600" w:type="dxa"/>
            <w:tcBorders>
              <w:top w:val="nil"/>
              <w:left w:val="nil"/>
              <w:bottom w:val="nil"/>
              <w:right w:val="nil"/>
            </w:tcBorders>
            <w:noWrap/>
          </w:tcPr>
          <w:p w14:paraId="314D6B21">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2.7 </w:t>
            </w:r>
          </w:p>
        </w:tc>
        <w:tc>
          <w:tcPr>
            <w:tcW w:w="835" w:type="dxa"/>
            <w:tcBorders>
              <w:top w:val="nil"/>
              <w:left w:val="nil"/>
              <w:bottom w:val="nil"/>
              <w:right w:val="nil"/>
            </w:tcBorders>
            <w:noWrap/>
          </w:tcPr>
          <w:p w14:paraId="0213AAD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122.5 </w:t>
            </w:r>
          </w:p>
        </w:tc>
        <w:tc>
          <w:tcPr>
            <w:tcW w:w="740" w:type="dxa"/>
            <w:tcBorders>
              <w:top w:val="nil"/>
              <w:left w:val="nil"/>
              <w:bottom w:val="nil"/>
              <w:right w:val="nil"/>
            </w:tcBorders>
            <w:noWrap/>
          </w:tcPr>
          <w:p w14:paraId="478D58B0">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3.9 </w:t>
            </w:r>
          </w:p>
        </w:tc>
        <w:tc>
          <w:tcPr>
            <w:tcW w:w="619" w:type="dxa"/>
            <w:tcBorders>
              <w:top w:val="nil"/>
              <w:left w:val="nil"/>
              <w:bottom w:val="nil"/>
              <w:right w:val="nil"/>
            </w:tcBorders>
            <w:noWrap/>
          </w:tcPr>
          <w:p w14:paraId="1490315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2.8 </w:t>
            </w:r>
          </w:p>
        </w:tc>
        <w:tc>
          <w:tcPr>
            <w:tcW w:w="647" w:type="dxa"/>
            <w:tcBorders>
              <w:top w:val="nil"/>
              <w:left w:val="nil"/>
              <w:bottom w:val="nil"/>
              <w:right w:val="nil"/>
            </w:tcBorders>
            <w:noWrap/>
          </w:tcPr>
          <w:p w14:paraId="7AC148BE">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1.0 </w:t>
            </w:r>
          </w:p>
        </w:tc>
      </w:tr>
      <w:tr w14:paraId="00FE96CA">
        <w:tblPrEx>
          <w:tblCellMar>
            <w:top w:w="0" w:type="dxa"/>
            <w:left w:w="108" w:type="dxa"/>
            <w:bottom w:w="0" w:type="dxa"/>
            <w:right w:w="108" w:type="dxa"/>
          </w:tblCellMar>
        </w:tblPrEx>
        <w:trPr>
          <w:trHeight w:val="281" w:hRule="atLeast"/>
        </w:trPr>
        <w:tc>
          <w:tcPr>
            <w:tcW w:w="1715" w:type="dxa"/>
            <w:tcBorders>
              <w:top w:val="nil"/>
              <w:left w:val="nil"/>
              <w:bottom w:val="nil"/>
              <w:right w:val="nil"/>
            </w:tcBorders>
            <w:noWrap/>
          </w:tcPr>
          <w:p w14:paraId="698DC7DA">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Orthogonal flake</w:t>
            </w:r>
          </w:p>
        </w:tc>
        <w:tc>
          <w:tcPr>
            <w:tcW w:w="684" w:type="dxa"/>
            <w:tcBorders>
              <w:top w:val="nil"/>
              <w:left w:val="nil"/>
              <w:bottom w:val="nil"/>
              <w:right w:val="nil"/>
            </w:tcBorders>
            <w:noWrap/>
          </w:tcPr>
          <w:p w14:paraId="7F38E4F0">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69.9 </w:t>
            </w:r>
          </w:p>
        </w:tc>
        <w:tc>
          <w:tcPr>
            <w:tcW w:w="647" w:type="dxa"/>
            <w:tcBorders>
              <w:top w:val="nil"/>
              <w:left w:val="nil"/>
              <w:bottom w:val="nil"/>
              <w:right w:val="nil"/>
            </w:tcBorders>
            <w:noWrap/>
          </w:tcPr>
          <w:p w14:paraId="44B3B6DC">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20.1 </w:t>
            </w:r>
          </w:p>
        </w:tc>
        <w:tc>
          <w:tcPr>
            <w:tcW w:w="600" w:type="dxa"/>
            <w:tcBorders>
              <w:top w:val="nil"/>
              <w:left w:val="nil"/>
              <w:bottom w:val="nil"/>
              <w:right w:val="nil"/>
            </w:tcBorders>
            <w:noWrap/>
          </w:tcPr>
          <w:p w14:paraId="3D7AF083">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55.6 </w:t>
            </w:r>
          </w:p>
        </w:tc>
        <w:tc>
          <w:tcPr>
            <w:tcW w:w="610" w:type="dxa"/>
            <w:tcBorders>
              <w:top w:val="nil"/>
              <w:left w:val="nil"/>
              <w:bottom w:val="nil"/>
              <w:right w:val="nil"/>
            </w:tcBorders>
            <w:noWrap/>
          </w:tcPr>
          <w:p w14:paraId="30699C38">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14.1 </w:t>
            </w:r>
          </w:p>
        </w:tc>
        <w:tc>
          <w:tcPr>
            <w:tcW w:w="684" w:type="dxa"/>
            <w:tcBorders>
              <w:top w:val="nil"/>
              <w:left w:val="nil"/>
              <w:bottom w:val="nil"/>
              <w:right w:val="nil"/>
            </w:tcBorders>
            <w:noWrap/>
          </w:tcPr>
          <w:p w14:paraId="5E9AE6E2">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25.5 </w:t>
            </w:r>
          </w:p>
        </w:tc>
        <w:tc>
          <w:tcPr>
            <w:tcW w:w="553" w:type="dxa"/>
            <w:tcBorders>
              <w:top w:val="nil"/>
              <w:left w:val="nil"/>
              <w:bottom w:val="nil"/>
              <w:right w:val="nil"/>
            </w:tcBorders>
            <w:noWrap/>
          </w:tcPr>
          <w:p w14:paraId="7798646F">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7.8 </w:t>
            </w:r>
          </w:p>
        </w:tc>
        <w:tc>
          <w:tcPr>
            <w:tcW w:w="750" w:type="dxa"/>
            <w:tcBorders>
              <w:top w:val="nil"/>
              <w:left w:val="nil"/>
              <w:bottom w:val="nil"/>
              <w:right w:val="nil"/>
            </w:tcBorders>
            <w:noWrap/>
          </w:tcPr>
          <w:p w14:paraId="2C51EB97">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118.8 </w:t>
            </w:r>
          </w:p>
        </w:tc>
        <w:tc>
          <w:tcPr>
            <w:tcW w:w="722" w:type="dxa"/>
            <w:tcBorders>
              <w:top w:val="nil"/>
              <w:left w:val="nil"/>
              <w:bottom w:val="nil"/>
              <w:right w:val="nil"/>
            </w:tcBorders>
            <w:noWrap/>
          </w:tcPr>
          <w:p w14:paraId="5DC7BDAB">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106.7 </w:t>
            </w:r>
          </w:p>
        </w:tc>
        <w:tc>
          <w:tcPr>
            <w:tcW w:w="666" w:type="dxa"/>
            <w:tcBorders>
              <w:top w:val="nil"/>
              <w:left w:val="nil"/>
              <w:bottom w:val="nil"/>
              <w:right w:val="nil"/>
            </w:tcBorders>
            <w:noWrap/>
          </w:tcPr>
          <w:p w14:paraId="52C443B4">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32.0 </w:t>
            </w:r>
          </w:p>
        </w:tc>
        <w:tc>
          <w:tcPr>
            <w:tcW w:w="646" w:type="dxa"/>
            <w:tcBorders>
              <w:top w:val="nil"/>
              <w:left w:val="nil"/>
              <w:bottom w:val="nil"/>
              <w:right w:val="nil"/>
            </w:tcBorders>
            <w:noWrap/>
          </w:tcPr>
          <w:p w14:paraId="4E663086">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12.5 </w:t>
            </w:r>
          </w:p>
        </w:tc>
        <w:tc>
          <w:tcPr>
            <w:tcW w:w="619" w:type="dxa"/>
            <w:tcBorders>
              <w:top w:val="nil"/>
              <w:left w:val="nil"/>
              <w:bottom w:val="nil"/>
              <w:right w:val="nil"/>
            </w:tcBorders>
            <w:noWrap/>
          </w:tcPr>
          <w:p w14:paraId="4160603E">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14.7 </w:t>
            </w:r>
          </w:p>
        </w:tc>
        <w:tc>
          <w:tcPr>
            <w:tcW w:w="600" w:type="dxa"/>
            <w:tcBorders>
              <w:top w:val="nil"/>
              <w:left w:val="nil"/>
              <w:bottom w:val="nil"/>
              <w:right w:val="nil"/>
            </w:tcBorders>
            <w:noWrap/>
          </w:tcPr>
          <w:p w14:paraId="29590304">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9.1 </w:t>
            </w:r>
          </w:p>
        </w:tc>
        <w:tc>
          <w:tcPr>
            <w:tcW w:w="835" w:type="dxa"/>
            <w:tcBorders>
              <w:top w:val="nil"/>
              <w:left w:val="nil"/>
              <w:bottom w:val="nil"/>
              <w:right w:val="nil"/>
            </w:tcBorders>
            <w:noWrap/>
          </w:tcPr>
          <w:p w14:paraId="56D577C9">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119.6 </w:t>
            </w:r>
          </w:p>
        </w:tc>
        <w:tc>
          <w:tcPr>
            <w:tcW w:w="740" w:type="dxa"/>
            <w:tcBorders>
              <w:top w:val="nil"/>
              <w:left w:val="nil"/>
              <w:bottom w:val="nil"/>
              <w:right w:val="nil"/>
            </w:tcBorders>
            <w:noWrap/>
          </w:tcPr>
          <w:p w14:paraId="566130DC">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7.5 </w:t>
            </w:r>
          </w:p>
        </w:tc>
        <w:tc>
          <w:tcPr>
            <w:tcW w:w="619" w:type="dxa"/>
            <w:tcBorders>
              <w:top w:val="nil"/>
              <w:left w:val="nil"/>
              <w:bottom w:val="nil"/>
              <w:right w:val="nil"/>
            </w:tcBorders>
            <w:noWrap/>
          </w:tcPr>
          <w:p w14:paraId="699C55C4">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2.9 </w:t>
            </w:r>
          </w:p>
        </w:tc>
        <w:tc>
          <w:tcPr>
            <w:tcW w:w="647" w:type="dxa"/>
            <w:tcBorders>
              <w:top w:val="nil"/>
              <w:left w:val="nil"/>
              <w:bottom w:val="nil"/>
              <w:right w:val="nil"/>
            </w:tcBorders>
            <w:noWrap/>
          </w:tcPr>
          <w:p w14:paraId="2D9324FC">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1.1 </w:t>
            </w:r>
          </w:p>
        </w:tc>
      </w:tr>
      <w:tr w14:paraId="7AE25139">
        <w:tblPrEx>
          <w:tblCellMar>
            <w:top w:w="0" w:type="dxa"/>
            <w:left w:w="108" w:type="dxa"/>
            <w:bottom w:w="0" w:type="dxa"/>
            <w:right w:w="108" w:type="dxa"/>
          </w:tblCellMar>
        </w:tblPrEx>
        <w:trPr>
          <w:trHeight w:val="281" w:hRule="atLeast"/>
        </w:trPr>
        <w:tc>
          <w:tcPr>
            <w:tcW w:w="1715" w:type="dxa"/>
            <w:tcBorders>
              <w:top w:val="nil"/>
              <w:left w:val="nil"/>
              <w:bottom w:val="nil"/>
              <w:right w:val="nil"/>
            </w:tcBorders>
            <w:noWrap/>
          </w:tcPr>
          <w:p w14:paraId="41EB828C">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Naturally backed flake</w:t>
            </w:r>
          </w:p>
        </w:tc>
        <w:tc>
          <w:tcPr>
            <w:tcW w:w="684" w:type="dxa"/>
            <w:tcBorders>
              <w:top w:val="nil"/>
              <w:left w:val="nil"/>
              <w:bottom w:val="nil"/>
              <w:right w:val="nil"/>
            </w:tcBorders>
            <w:noWrap/>
          </w:tcPr>
          <w:p w14:paraId="02FC136D">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65.7 </w:t>
            </w:r>
          </w:p>
        </w:tc>
        <w:tc>
          <w:tcPr>
            <w:tcW w:w="647" w:type="dxa"/>
            <w:tcBorders>
              <w:top w:val="nil"/>
              <w:left w:val="nil"/>
              <w:bottom w:val="nil"/>
              <w:right w:val="nil"/>
            </w:tcBorders>
            <w:noWrap/>
          </w:tcPr>
          <w:p w14:paraId="1B81DE0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11.8 </w:t>
            </w:r>
          </w:p>
        </w:tc>
        <w:tc>
          <w:tcPr>
            <w:tcW w:w="600" w:type="dxa"/>
            <w:tcBorders>
              <w:top w:val="nil"/>
              <w:left w:val="nil"/>
              <w:bottom w:val="nil"/>
              <w:right w:val="nil"/>
            </w:tcBorders>
            <w:noWrap/>
          </w:tcPr>
          <w:p w14:paraId="602F19BE">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46.0 </w:t>
            </w:r>
          </w:p>
        </w:tc>
        <w:tc>
          <w:tcPr>
            <w:tcW w:w="610" w:type="dxa"/>
            <w:tcBorders>
              <w:top w:val="nil"/>
              <w:left w:val="nil"/>
              <w:bottom w:val="nil"/>
              <w:right w:val="nil"/>
            </w:tcBorders>
            <w:noWrap/>
          </w:tcPr>
          <w:p w14:paraId="09FB7A26">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8.9 </w:t>
            </w:r>
          </w:p>
        </w:tc>
        <w:tc>
          <w:tcPr>
            <w:tcW w:w="684" w:type="dxa"/>
            <w:tcBorders>
              <w:top w:val="nil"/>
              <w:left w:val="nil"/>
              <w:bottom w:val="nil"/>
              <w:right w:val="nil"/>
            </w:tcBorders>
            <w:noWrap/>
          </w:tcPr>
          <w:p w14:paraId="0F89BB68">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27.0 </w:t>
            </w:r>
          </w:p>
        </w:tc>
        <w:tc>
          <w:tcPr>
            <w:tcW w:w="553" w:type="dxa"/>
            <w:tcBorders>
              <w:top w:val="nil"/>
              <w:left w:val="nil"/>
              <w:bottom w:val="nil"/>
              <w:right w:val="nil"/>
            </w:tcBorders>
            <w:noWrap/>
          </w:tcPr>
          <w:p w14:paraId="31E72FB7">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7.7 </w:t>
            </w:r>
          </w:p>
        </w:tc>
        <w:tc>
          <w:tcPr>
            <w:tcW w:w="750" w:type="dxa"/>
            <w:tcBorders>
              <w:top w:val="nil"/>
              <w:left w:val="nil"/>
              <w:bottom w:val="nil"/>
              <w:right w:val="nil"/>
            </w:tcBorders>
            <w:noWrap/>
          </w:tcPr>
          <w:p w14:paraId="0D1E5C6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93.2 </w:t>
            </w:r>
          </w:p>
        </w:tc>
        <w:tc>
          <w:tcPr>
            <w:tcW w:w="722" w:type="dxa"/>
            <w:tcBorders>
              <w:top w:val="nil"/>
              <w:left w:val="nil"/>
              <w:bottom w:val="nil"/>
              <w:right w:val="nil"/>
            </w:tcBorders>
            <w:noWrap/>
          </w:tcPr>
          <w:p w14:paraId="60CB4B28">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38.0 </w:t>
            </w:r>
          </w:p>
        </w:tc>
        <w:tc>
          <w:tcPr>
            <w:tcW w:w="666" w:type="dxa"/>
            <w:tcBorders>
              <w:top w:val="nil"/>
              <w:left w:val="nil"/>
              <w:bottom w:val="nil"/>
              <w:right w:val="nil"/>
            </w:tcBorders>
            <w:noWrap/>
          </w:tcPr>
          <w:p w14:paraId="720F2DC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31.0 </w:t>
            </w:r>
          </w:p>
        </w:tc>
        <w:tc>
          <w:tcPr>
            <w:tcW w:w="646" w:type="dxa"/>
            <w:tcBorders>
              <w:top w:val="nil"/>
              <w:left w:val="nil"/>
              <w:bottom w:val="nil"/>
              <w:right w:val="nil"/>
            </w:tcBorders>
            <w:noWrap/>
          </w:tcPr>
          <w:p w14:paraId="4B5BE284">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17.2 </w:t>
            </w:r>
          </w:p>
        </w:tc>
        <w:tc>
          <w:tcPr>
            <w:tcW w:w="619" w:type="dxa"/>
            <w:tcBorders>
              <w:top w:val="nil"/>
              <w:left w:val="nil"/>
              <w:bottom w:val="nil"/>
              <w:right w:val="nil"/>
            </w:tcBorders>
            <w:noWrap/>
          </w:tcPr>
          <w:p w14:paraId="1F0DB6D9">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18.4 </w:t>
            </w:r>
          </w:p>
        </w:tc>
        <w:tc>
          <w:tcPr>
            <w:tcW w:w="600" w:type="dxa"/>
            <w:tcBorders>
              <w:top w:val="nil"/>
              <w:left w:val="nil"/>
              <w:bottom w:val="nil"/>
              <w:right w:val="nil"/>
            </w:tcBorders>
            <w:noWrap/>
          </w:tcPr>
          <w:p w14:paraId="6C2C74F3">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11.1 </w:t>
            </w:r>
          </w:p>
        </w:tc>
        <w:tc>
          <w:tcPr>
            <w:tcW w:w="835" w:type="dxa"/>
            <w:tcBorders>
              <w:top w:val="nil"/>
              <w:left w:val="nil"/>
              <w:bottom w:val="nil"/>
              <w:right w:val="nil"/>
            </w:tcBorders>
            <w:noWrap/>
          </w:tcPr>
          <w:p w14:paraId="008F917B">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112.7 </w:t>
            </w:r>
          </w:p>
        </w:tc>
        <w:tc>
          <w:tcPr>
            <w:tcW w:w="740" w:type="dxa"/>
            <w:tcBorders>
              <w:top w:val="nil"/>
              <w:left w:val="nil"/>
              <w:bottom w:val="nil"/>
              <w:right w:val="nil"/>
            </w:tcBorders>
            <w:noWrap/>
          </w:tcPr>
          <w:p w14:paraId="1ECCD142">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11.1 </w:t>
            </w:r>
          </w:p>
        </w:tc>
        <w:tc>
          <w:tcPr>
            <w:tcW w:w="619" w:type="dxa"/>
            <w:tcBorders>
              <w:top w:val="nil"/>
              <w:left w:val="nil"/>
              <w:bottom w:val="nil"/>
              <w:right w:val="nil"/>
            </w:tcBorders>
            <w:noWrap/>
          </w:tcPr>
          <w:p w14:paraId="3284A5F3">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2.5 </w:t>
            </w:r>
          </w:p>
        </w:tc>
        <w:tc>
          <w:tcPr>
            <w:tcW w:w="647" w:type="dxa"/>
            <w:tcBorders>
              <w:top w:val="nil"/>
              <w:left w:val="nil"/>
              <w:bottom w:val="nil"/>
              <w:right w:val="nil"/>
            </w:tcBorders>
            <w:noWrap/>
          </w:tcPr>
          <w:p w14:paraId="25DF1982">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0.8 </w:t>
            </w:r>
          </w:p>
        </w:tc>
      </w:tr>
      <w:tr w14:paraId="0005AD8A">
        <w:tblPrEx>
          <w:tblCellMar>
            <w:top w:w="0" w:type="dxa"/>
            <w:left w:w="108" w:type="dxa"/>
            <w:bottom w:w="0" w:type="dxa"/>
            <w:right w:w="108" w:type="dxa"/>
          </w:tblCellMar>
        </w:tblPrEx>
        <w:trPr>
          <w:trHeight w:val="281" w:hRule="atLeast"/>
        </w:trPr>
        <w:tc>
          <w:tcPr>
            <w:tcW w:w="1715" w:type="dxa"/>
            <w:tcBorders>
              <w:top w:val="nil"/>
              <w:left w:val="nil"/>
              <w:bottom w:val="nil"/>
              <w:right w:val="nil"/>
            </w:tcBorders>
            <w:noWrap/>
          </w:tcPr>
          <w:p w14:paraId="5752FAB8">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Core-edge-removal flake</w:t>
            </w:r>
          </w:p>
        </w:tc>
        <w:tc>
          <w:tcPr>
            <w:tcW w:w="684" w:type="dxa"/>
            <w:tcBorders>
              <w:top w:val="nil"/>
              <w:left w:val="nil"/>
              <w:bottom w:val="nil"/>
              <w:right w:val="nil"/>
            </w:tcBorders>
            <w:noWrap/>
          </w:tcPr>
          <w:p w14:paraId="2569429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60.0 </w:t>
            </w:r>
          </w:p>
        </w:tc>
        <w:tc>
          <w:tcPr>
            <w:tcW w:w="647" w:type="dxa"/>
            <w:tcBorders>
              <w:top w:val="nil"/>
              <w:left w:val="nil"/>
              <w:bottom w:val="nil"/>
              <w:right w:val="nil"/>
            </w:tcBorders>
            <w:noWrap/>
          </w:tcPr>
          <w:p w14:paraId="522C0A8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22.6 </w:t>
            </w:r>
          </w:p>
        </w:tc>
        <w:tc>
          <w:tcPr>
            <w:tcW w:w="600" w:type="dxa"/>
            <w:tcBorders>
              <w:top w:val="nil"/>
              <w:left w:val="nil"/>
              <w:bottom w:val="nil"/>
              <w:right w:val="nil"/>
            </w:tcBorders>
            <w:noWrap/>
          </w:tcPr>
          <w:p w14:paraId="7E9C7996">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39.0 </w:t>
            </w:r>
          </w:p>
        </w:tc>
        <w:tc>
          <w:tcPr>
            <w:tcW w:w="610" w:type="dxa"/>
            <w:tcBorders>
              <w:top w:val="nil"/>
              <w:left w:val="nil"/>
              <w:bottom w:val="nil"/>
              <w:right w:val="nil"/>
            </w:tcBorders>
            <w:noWrap/>
          </w:tcPr>
          <w:p w14:paraId="53F17790">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12.7 </w:t>
            </w:r>
          </w:p>
        </w:tc>
        <w:tc>
          <w:tcPr>
            <w:tcW w:w="684" w:type="dxa"/>
            <w:tcBorders>
              <w:top w:val="nil"/>
              <w:left w:val="nil"/>
              <w:bottom w:val="nil"/>
              <w:right w:val="nil"/>
            </w:tcBorders>
            <w:noWrap/>
          </w:tcPr>
          <w:p w14:paraId="7184A3C1">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23.0 </w:t>
            </w:r>
          </w:p>
        </w:tc>
        <w:tc>
          <w:tcPr>
            <w:tcW w:w="553" w:type="dxa"/>
            <w:tcBorders>
              <w:top w:val="nil"/>
              <w:left w:val="nil"/>
              <w:bottom w:val="nil"/>
              <w:right w:val="nil"/>
            </w:tcBorders>
            <w:noWrap/>
          </w:tcPr>
          <w:p w14:paraId="088B1828">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4.2 </w:t>
            </w:r>
          </w:p>
        </w:tc>
        <w:tc>
          <w:tcPr>
            <w:tcW w:w="750" w:type="dxa"/>
            <w:tcBorders>
              <w:top w:val="nil"/>
              <w:left w:val="nil"/>
              <w:bottom w:val="nil"/>
              <w:right w:val="nil"/>
            </w:tcBorders>
            <w:noWrap/>
          </w:tcPr>
          <w:p w14:paraId="5B2A5F84">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50.5 </w:t>
            </w:r>
          </w:p>
        </w:tc>
        <w:tc>
          <w:tcPr>
            <w:tcW w:w="722" w:type="dxa"/>
            <w:tcBorders>
              <w:top w:val="nil"/>
              <w:left w:val="nil"/>
              <w:bottom w:val="nil"/>
              <w:right w:val="nil"/>
            </w:tcBorders>
            <w:noWrap/>
          </w:tcPr>
          <w:p w14:paraId="039F3282">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30.4 </w:t>
            </w:r>
          </w:p>
        </w:tc>
        <w:tc>
          <w:tcPr>
            <w:tcW w:w="666" w:type="dxa"/>
            <w:tcBorders>
              <w:top w:val="nil"/>
              <w:left w:val="nil"/>
              <w:bottom w:val="nil"/>
              <w:right w:val="nil"/>
            </w:tcBorders>
            <w:noWrap/>
          </w:tcPr>
          <w:p w14:paraId="0D6159C1">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41.1 </w:t>
            </w:r>
          </w:p>
        </w:tc>
        <w:tc>
          <w:tcPr>
            <w:tcW w:w="646" w:type="dxa"/>
            <w:tcBorders>
              <w:top w:val="nil"/>
              <w:left w:val="nil"/>
              <w:bottom w:val="nil"/>
              <w:right w:val="nil"/>
            </w:tcBorders>
            <w:noWrap/>
          </w:tcPr>
          <w:p w14:paraId="6ABD0140">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18.4 </w:t>
            </w:r>
          </w:p>
        </w:tc>
        <w:tc>
          <w:tcPr>
            <w:tcW w:w="619" w:type="dxa"/>
            <w:tcBorders>
              <w:top w:val="nil"/>
              <w:left w:val="nil"/>
              <w:bottom w:val="nil"/>
              <w:right w:val="nil"/>
            </w:tcBorders>
            <w:noWrap/>
          </w:tcPr>
          <w:p w14:paraId="6FE5E0AB">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21.2 </w:t>
            </w:r>
          </w:p>
        </w:tc>
        <w:tc>
          <w:tcPr>
            <w:tcW w:w="600" w:type="dxa"/>
            <w:tcBorders>
              <w:top w:val="nil"/>
              <w:left w:val="nil"/>
              <w:bottom w:val="nil"/>
              <w:right w:val="nil"/>
            </w:tcBorders>
            <w:noWrap/>
          </w:tcPr>
          <w:p w14:paraId="60E8F9F4">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1.9 </w:t>
            </w:r>
          </w:p>
        </w:tc>
        <w:tc>
          <w:tcPr>
            <w:tcW w:w="835" w:type="dxa"/>
            <w:tcBorders>
              <w:top w:val="nil"/>
              <w:left w:val="nil"/>
              <w:bottom w:val="nil"/>
              <w:right w:val="nil"/>
            </w:tcBorders>
            <w:noWrap/>
          </w:tcPr>
          <w:p w14:paraId="64C9ECF7">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109.5 </w:t>
            </w:r>
          </w:p>
        </w:tc>
        <w:tc>
          <w:tcPr>
            <w:tcW w:w="740" w:type="dxa"/>
            <w:tcBorders>
              <w:top w:val="nil"/>
              <w:left w:val="nil"/>
              <w:bottom w:val="nil"/>
              <w:right w:val="nil"/>
            </w:tcBorders>
            <w:noWrap/>
          </w:tcPr>
          <w:p w14:paraId="3194AC14">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16.3 </w:t>
            </w:r>
          </w:p>
        </w:tc>
        <w:tc>
          <w:tcPr>
            <w:tcW w:w="619" w:type="dxa"/>
            <w:tcBorders>
              <w:top w:val="nil"/>
              <w:left w:val="nil"/>
              <w:bottom w:val="nil"/>
              <w:right w:val="nil"/>
            </w:tcBorders>
            <w:noWrap/>
          </w:tcPr>
          <w:p w14:paraId="2F9A47C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3.0 </w:t>
            </w:r>
          </w:p>
        </w:tc>
        <w:tc>
          <w:tcPr>
            <w:tcW w:w="647" w:type="dxa"/>
            <w:tcBorders>
              <w:top w:val="nil"/>
              <w:left w:val="nil"/>
              <w:bottom w:val="nil"/>
              <w:right w:val="nil"/>
            </w:tcBorders>
            <w:noWrap/>
          </w:tcPr>
          <w:p w14:paraId="4CC01580">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4.2 </w:t>
            </w:r>
          </w:p>
        </w:tc>
      </w:tr>
      <w:tr w14:paraId="64DAA7CA">
        <w:tblPrEx>
          <w:tblCellMar>
            <w:top w:w="0" w:type="dxa"/>
            <w:left w:w="108" w:type="dxa"/>
            <w:bottom w:w="0" w:type="dxa"/>
            <w:right w:w="108" w:type="dxa"/>
          </w:tblCellMar>
        </w:tblPrEx>
        <w:trPr>
          <w:trHeight w:val="281" w:hRule="atLeast"/>
        </w:trPr>
        <w:tc>
          <w:tcPr>
            <w:tcW w:w="1715" w:type="dxa"/>
            <w:tcBorders>
              <w:top w:val="nil"/>
              <w:left w:val="nil"/>
              <w:bottom w:val="nil"/>
              <w:right w:val="nil"/>
            </w:tcBorders>
            <w:noWrap/>
          </w:tcPr>
          <w:p w14:paraId="74DF3908">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Kombewa flake</w:t>
            </w:r>
          </w:p>
        </w:tc>
        <w:tc>
          <w:tcPr>
            <w:tcW w:w="684" w:type="dxa"/>
            <w:tcBorders>
              <w:top w:val="nil"/>
              <w:left w:val="nil"/>
              <w:bottom w:val="nil"/>
              <w:right w:val="nil"/>
            </w:tcBorders>
            <w:noWrap/>
          </w:tcPr>
          <w:p w14:paraId="329BE710">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59.0 </w:t>
            </w:r>
          </w:p>
        </w:tc>
        <w:tc>
          <w:tcPr>
            <w:tcW w:w="647" w:type="dxa"/>
            <w:tcBorders>
              <w:top w:val="nil"/>
              <w:left w:val="nil"/>
              <w:bottom w:val="nil"/>
              <w:right w:val="nil"/>
            </w:tcBorders>
            <w:noWrap/>
          </w:tcPr>
          <w:p w14:paraId="21FC1B8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w:t>
            </w:r>
          </w:p>
        </w:tc>
        <w:tc>
          <w:tcPr>
            <w:tcW w:w="600" w:type="dxa"/>
            <w:tcBorders>
              <w:top w:val="nil"/>
              <w:left w:val="nil"/>
              <w:bottom w:val="nil"/>
              <w:right w:val="nil"/>
            </w:tcBorders>
            <w:noWrap/>
          </w:tcPr>
          <w:p w14:paraId="5FB87476">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47.0 </w:t>
            </w:r>
          </w:p>
        </w:tc>
        <w:tc>
          <w:tcPr>
            <w:tcW w:w="610" w:type="dxa"/>
            <w:tcBorders>
              <w:top w:val="nil"/>
              <w:left w:val="nil"/>
              <w:bottom w:val="nil"/>
              <w:right w:val="nil"/>
            </w:tcBorders>
            <w:noWrap/>
          </w:tcPr>
          <w:p w14:paraId="4258C71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w:t>
            </w:r>
          </w:p>
        </w:tc>
        <w:tc>
          <w:tcPr>
            <w:tcW w:w="684" w:type="dxa"/>
            <w:tcBorders>
              <w:top w:val="nil"/>
              <w:left w:val="nil"/>
              <w:bottom w:val="nil"/>
              <w:right w:val="nil"/>
            </w:tcBorders>
            <w:noWrap/>
          </w:tcPr>
          <w:p w14:paraId="62DA3FE7">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20.0 </w:t>
            </w:r>
          </w:p>
        </w:tc>
        <w:tc>
          <w:tcPr>
            <w:tcW w:w="553" w:type="dxa"/>
            <w:tcBorders>
              <w:top w:val="nil"/>
              <w:left w:val="nil"/>
              <w:bottom w:val="nil"/>
              <w:right w:val="nil"/>
            </w:tcBorders>
            <w:noWrap/>
          </w:tcPr>
          <w:p w14:paraId="69D26180">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w:t>
            </w:r>
          </w:p>
        </w:tc>
        <w:tc>
          <w:tcPr>
            <w:tcW w:w="750" w:type="dxa"/>
            <w:tcBorders>
              <w:top w:val="nil"/>
              <w:left w:val="nil"/>
              <w:bottom w:val="nil"/>
              <w:right w:val="nil"/>
            </w:tcBorders>
            <w:noWrap/>
          </w:tcPr>
          <w:p w14:paraId="46F34A82">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46.2 </w:t>
            </w:r>
          </w:p>
        </w:tc>
        <w:tc>
          <w:tcPr>
            <w:tcW w:w="722" w:type="dxa"/>
            <w:tcBorders>
              <w:top w:val="nil"/>
              <w:left w:val="nil"/>
              <w:bottom w:val="nil"/>
              <w:right w:val="nil"/>
            </w:tcBorders>
            <w:noWrap/>
          </w:tcPr>
          <w:p w14:paraId="7E7E435A">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w:t>
            </w:r>
          </w:p>
        </w:tc>
        <w:tc>
          <w:tcPr>
            <w:tcW w:w="666" w:type="dxa"/>
            <w:tcBorders>
              <w:top w:val="nil"/>
              <w:left w:val="nil"/>
              <w:bottom w:val="nil"/>
              <w:right w:val="nil"/>
            </w:tcBorders>
            <w:noWrap/>
          </w:tcPr>
          <w:p w14:paraId="4CEAC3A3">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11.9 </w:t>
            </w:r>
          </w:p>
        </w:tc>
        <w:tc>
          <w:tcPr>
            <w:tcW w:w="646" w:type="dxa"/>
            <w:tcBorders>
              <w:top w:val="nil"/>
              <w:left w:val="nil"/>
              <w:bottom w:val="nil"/>
              <w:right w:val="nil"/>
            </w:tcBorders>
            <w:noWrap/>
          </w:tcPr>
          <w:p w14:paraId="65602C70">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w:t>
            </w:r>
          </w:p>
        </w:tc>
        <w:tc>
          <w:tcPr>
            <w:tcW w:w="619" w:type="dxa"/>
            <w:tcBorders>
              <w:top w:val="nil"/>
              <w:left w:val="nil"/>
              <w:bottom w:val="nil"/>
              <w:right w:val="nil"/>
            </w:tcBorders>
            <w:noWrap/>
          </w:tcPr>
          <w:p w14:paraId="3595B7EE">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5.3 </w:t>
            </w:r>
          </w:p>
        </w:tc>
        <w:tc>
          <w:tcPr>
            <w:tcW w:w="600" w:type="dxa"/>
            <w:tcBorders>
              <w:top w:val="nil"/>
              <w:left w:val="nil"/>
              <w:bottom w:val="nil"/>
              <w:right w:val="nil"/>
            </w:tcBorders>
            <w:noWrap/>
          </w:tcPr>
          <w:p w14:paraId="4BBDE6DF">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w:t>
            </w:r>
          </w:p>
        </w:tc>
        <w:tc>
          <w:tcPr>
            <w:tcW w:w="835" w:type="dxa"/>
            <w:tcBorders>
              <w:top w:val="nil"/>
              <w:left w:val="nil"/>
              <w:bottom w:val="nil"/>
              <w:right w:val="nil"/>
            </w:tcBorders>
            <w:noWrap/>
          </w:tcPr>
          <w:p w14:paraId="4F4EE8CE">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131.0 </w:t>
            </w:r>
          </w:p>
        </w:tc>
        <w:tc>
          <w:tcPr>
            <w:tcW w:w="740" w:type="dxa"/>
            <w:tcBorders>
              <w:top w:val="nil"/>
              <w:left w:val="nil"/>
              <w:bottom w:val="nil"/>
              <w:right w:val="nil"/>
            </w:tcBorders>
            <w:noWrap/>
          </w:tcPr>
          <w:p w14:paraId="214600FA">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w:t>
            </w:r>
          </w:p>
        </w:tc>
        <w:tc>
          <w:tcPr>
            <w:tcW w:w="619" w:type="dxa"/>
            <w:tcBorders>
              <w:top w:val="nil"/>
              <w:left w:val="nil"/>
              <w:bottom w:val="nil"/>
              <w:right w:val="nil"/>
            </w:tcBorders>
            <w:noWrap/>
          </w:tcPr>
          <w:p w14:paraId="15A03E01">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4.0 </w:t>
            </w:r>
          </w:p>
        </w:tc>
        <w:tc>
          <w:tcPr>
            <w:tcW w:w="647" w:type="dxa"/>
            <w:tcBorders>
              <w:top w:val="nil"/>
              <w:left w:val="nil"/>
              <w:bottom w:val="nil"/>
              <w:right w:val="nil"/>
            </w:tcBorders>
            <w:noWrap/>
          </w:tcPr>
          <w:p w14:paraId="3F77754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w:t>
            </w:r>
          </w:p>
        </w:tc>
      </w:tr>
      <w:tr w14:paraId="5C6E95F7">
        <w:tblPrEx>
          <w:tblCellMar>
            <w:top w:w="0" w:type="dxa"/>
            <w:left w:w="108" w:type="dxa"/>
            <w:bottom w:w="0" w:type="dxa"/>
            <w:right w:w="108" w:type="dxa"/>
          </w:tblCellMar>
        </w:tblPrEx>
        <w:trPr>
          <w:trHeight w:val="281" w:hRule="atLeast"/>
        </w:trPr>
        <w:tc>
          <w:tcPr>
            <w:tcW w:w="1715" w:type="dxa"/>
            <w:tcBorders>
              <w:top w:val="nil"/>
              <w:left w:val="nil"/>
              <w:bottom w:val="nil"/>
              <w:right w:val="nil"/>
            </w:tcBorders>
            <w:noWrap/>
          </w:tcPr>
          <w:p w14:paraId="3363D46A">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Ordinary flake</w:t>
            </w:r>
          </w:p>
        </w:tc>
        <w:tc>
          <w:tcPr>
            <w:tcW w:w="684" w:type="dxa"/>
            <w:tcBorders>
              <w:top w:val="nil"/>
              <w:left w:val="nil"/>
              <w:bottom w:val="nil"/>
              <w:right w:val="nil"/>
            </w:tcBorders>
            <w:noWrap/>
          </w:tcPr>
          <w:p w14:paraId="17D8ACCB">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56.0 </w:t>
            </w:r>
          </w:p>
        </w:tc>
        <w:tc>
          <w:tcPr>
            <w:tcW w:w="647" w:type="dxa"/>
            <w:tcBorders>
              <w:top w:val="nil"/>
              <w:left w:val="nil"/>
              <w:bottom w:val="nil"/>
              <w:right w:val="nil"/>
            </w:tcBorders>
            <w:noWrap/>
          </w:tcPr>
          <w:p w14:paraId="6E69A9C1">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0.0 </w:t>
            </w:r>
          </w:p>
        </w:tc>
        <w:tc>
          <w:tcPr>
            <w:tcW w:w="600" w:type="dxa"/>
            <w:tcBorders>
              <w:top w:val="nil"/>
              <w:left w:val="nil"/>
              <w:bottom w:val="nil"/>
              <w:right w:val="nil"/>
            </w:tcBorders>
            <w:noWrap/>
          </w:tcPr>
          <w:p w14:paraId="66A2524A">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49.5 </w:t>
            </w:r>
          </w:p>
        </w:tc>
        <w:tc>
          <w:tcPr>
            <w:tcW w:w="610" w:type="dxa"/>
            <w:tcBorders>
              <w:top w:val="nil"/>
              <w:left w:val="nil"/>
              <w:bottom w:val="nil"/>
              <w:right w:val="nil"/>
            </w:tcBorders>
            <w:noWrap/>
          </w:tcPr>
          <w:p w14:paraId="7C3BC06A">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5.0 </w:t>
            </w:r>
          </w:p>
        </w:tc>
        <w:tc>
          <w:tcPr>
            <w:tcW w:w="684" w:type="dxa"/>
            <w:tcBorders>
              <w:top w:val="nil"/>
              <w:left w:val="nil"/>
              <w:bottom w:val="nil"/>
              <w:right w:val="nil"/>
            </w:tcBorders>
            <w:noWrap/>
          </w:tcPr>
          <w:p w14:paraId="1B51930D">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21.5 </w:t>
            </w:r>
          </w:p>
        </w:tc>
        <w:tc>
          <w:tcPr>
            <w:tcW w:w="553" w:type="dxa"/>
            <w:tcBorders>
              <w:top w:val="nil"/>
              <w:left w:val="nil"/>
              <w:bottom w:val="nil"/>
              <w:right w:val="nil"/>
            </w:tcBorders>
            <w:noWrap/>
          </w:tcPr>
          <w:p w14:paraId="23832CF8">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3.5 </w:t>
            </w:r>
          </w:p>
        </w:tc>
        <w:tc>
          <w:tcPr>
            <w:tcW w:w="750" w:type="dxa"/>
            <w:tcBorders>
              <w:top w:val="nil"/>
              <w:left w:val="nil"/>
              <w:bottom w:val="nil"/>
              <w:right w:val="nil"/>
            </w:tcBorders>
            <w:noWrap/>
          </w:tcPr>
          <w:p w14:paraId="7A60F85D">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64.3 </w:t>
            </w:r>
          </w:p>
        </w:tc>
        <w:tc>
          <w:tcPr>
            <w:tcW w:w="722" w:type="dxa"/>
            <w:tcBorders>
              <w:top w:val="nil"/>
              <w:left w:val="nil"/>
              <w:bottom w:val="nil"/>
              <w:right w:val="nil"/>
            </w:tcBorders>
            <w:noWrap/>
          </w:tcPr>
          <w:p w14:paraId="7524F28E">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11.0 </w:t>
            </w:r>
          </w:p>
        </w:tc>
        <w:tc>
          <w:tcPr>
            <w:tcW w:w="666" w:type="dxa"/>
            <w:tcBorders>
              <w:top w:val="nil"/>
              <w:left w:val="nil"/>
              <w:bottom w:val="nil"/>
              <w:right w:val="nil"/>
            </w:tcBorders>
            <w:noWrap/>
          </w:tcPr>
          <w:p w14:paraId="257A2BA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24.7 </w:t>
            </w:r>
          </w:p>
        </w:tc>
        <w:tc>
          <w:tcPr>
            <w:tcW w:w="646" w:type="dxa"/>
            <w:tcBorders>
              <w:top w:val="nil"/>
              <w:left w:val="nil"/>
              <w:bottom w:val="nil"/>
              <w:right w:val="nil"/>
            </w:tcBorders>
            <w:noWrap/>
          </w:tcPr>
          <w:p w14:paraId="5AE92EBC">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9.5 </w:t>
            </w:r>
          </w:p>
        </w:tc>
        <w:tc>
          <w:tcPr>
            <w:tcW w:w="619" w:type="dxa"/>
            <w:tcBorders>
              <w:top w:val="nil"/>
              <w:left w:val="nil"/>
              <w:bottom w:val="nil"/>
              <w:right w:val="nil"/>
            </w:tcBorders>
            <w:noWrap/>
          </w:tcPr>
          <w:p w14:paraId="3EB2BB50">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7.3 </w:t>
            </w:r>
          </w:p>
        </w:tc>
        <w:tc>
          <w:tcPr>
            <w:tcW w:w="600" w:type="dxa"/>
            <w:tcBorders>
              <w:top w:val="nil"/>
              <w:left w:val="nil"/>
              <w:bottom w:val="nil"/>
              <w:right w:val="nil"/>
            </w:tcBorders>
            <w:noWrap/>
          </w:tcPr>
          <w:p w14:paraId="69C8BDCF">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4.7 </w:t>
            </w:r>
          </w:p>
        </w:tc>
        <w:tc>
          <w:tcPr>
            <w:tcW w:w="835" w:type="dxa"/>
            <w:tcBorders>
              <w:top w:val="nil"/>
              <w:left w:val="nil"/>
              <w:bottom w:val="nil"/>
              <w:right w:val="nil"/>
            </w:tcBorders>
            <w:noWrap/>
          </w:tcPr>
          <w:p w14:paraId="55268E8E">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124.0 </w:t>
            </w:r>
          </w:p>
        </w:tc>
        <w:tc>
          <w:tcPr>
            <w:tcW w:w="740" w:type="dxa"/>
            <w:tcBorders>
              <w:top w:val="nil"/>
              <w:left w:val="nil"/>
              <w:bottom w:val="nil"/>
              <w:right w:val="nil"/>
            </w:tcBorders>
            <w:noWrap/>
          </w:tcPr>
          <w:p w14:paraId="4337CE0E">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4.2 </w:t>
            </w:r>
          </w:p>
        </w:tc>
        <w:tc>
          <w:tcPr>
            <w:tcW w:w="619" w:type="dxa"/>
            <w:tcBorders>
              <w:top w:val="nil"/>
              <w:left w:val="nil"/>
              <w:bottom w:val="nil"/>
              <w:right w:val="nil"/>
            </w:tcBorders>
            <w:noWrap/>
          </w:tcPr>
          <w:p w14:paraId="4EE8BB36">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2.0 </w:t>
            </w:r>
          </w:p>
        </w:tc>
        <w:tc>
          <w:tcPr>
            <w:tcW w:w="647" w:type="dxa"/>
            <w:tcBorders>
              <w:top w:val="nil"/>
              <w:left w:val="nil"/>
              <w:bottom w:val="nil"/>
              <w:right w:val="nil"/>
            </w:tcBorders>
            <w:noWrap/>
          </w:tcPr>
          <w:p w14:paraId="5162F56F">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2.8 </w:t>
            </w:r>
          </w:p>
        </w:tc>
      </w:tr>
      <w:tr w14:paraId="37858B7F">
        <w:tblPrEx>
          <w:tblCellMar>
            <w:top w:w="0" w:type="dxa"/>
            <w:left w:w="108" w:type="dxa"/>
            <w:bottom w:w="0" w:type="dxa"/>
            <w:right w:w="108" w:type="dxa"/>
          </w:tblCellMar>
        </w:tblPrEx>
        <w:trPr>
          <w:trHeight w:val="281" w:hRule="atLeast"/>
        </w:trPr>
        <w:tc>
          <w:tcPr>
            <w:tcW w:w="1715" w:type="dxa"/>
            <w:tcBorders>
              <w:top w:val="nil"/>
              <w:left w:val="nil"/>
              <w:bottom w:val="single" w:color="auto" w:sz="4" w:space="0"/>
              <w:right w:val="nil"/>
            </w:tcBorders>
            <w:noWrap/>
          </w:tcPr>
          <w:p w14:paraId="197BFB20">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Bipolar-on-anvil flake</w:t>
            </w:r>
          </w:p>
        </w:tc>
        <w:tc>
          <w:tcPr>
            <w:tcW w:w="684" w:type="dxa"/>
            <w:tcBorders>
              <w:top w:val="nil"/>
              <w:left w:val="nil"/>
              <w:bottom w:val="single" w:color="auto" w:sz="4" w:space="0"/>
              <w:right w:val="nil"/>
            </w:tcBorders>
            <w:noWrap/>
          </w:tcPr>
          <w:p w14:paraId="445DBEA9">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77.3 </w:t>
            </w:r>
          </w:p>
        </w:tc>
        <w:tc>
          <w:tcPr>
            <w:tcW w:w="647" w:type="dxa"/>
            <w:tcBorders>
              <w:top w:val="nil"/>
              <w:left w:val="nil"/>
              <w:bottom w:val="single" w:color="auto" w:sz="4" w:space="0"/>
              <w:right w:val="nil"/>
            </w:tcBorders>
            <w:noWrap/>
          </w:tcPr>
          <w:p w14:paraId="5B683089">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14.1 </w:t>
            </w:r>
          </w:p>
        </w:tc>
        <w:tc>
          <w:tcPr>
            <w:tcW w:w="600" w:type="dxa"/>
            <w:tcBorders>
              <w:top w:val="nil"/>
              <w:left w:val="nil"/>
              <w:bottom w:val="single" w:color="auto" w:sz="4" w:space="0"/>
              <w:right w:val="nil"/>
            </w:tcBorders>
            <w:noWrap/>
          </w:tcPr>
          <w:p w14:paraId="471ADB20">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55.1 </w:t>
            </w:r>
          </w:p>
        </w:tc>
        <w:tc>
          <w:tcPr>
            <w:tcW w:w="610" w:type="dxa"/>
            <w:tcBorders>
              <w:top w:val="nil"/>
              <w:left w:val="nil"/>
              <w:bottom w:val="single" w:color="auto" w:sz="4" w:space="0"/>
              <w:right w:val="nil"/>
            </w:tcBorders>
            <w:noWrap/>
          </w:tcPr>
          <w:p w14:paraId="6C552EEB">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10.5 </w:t>
            </w:r>
          </w:p>
        </w:tc>
        <w:tc>
          <w:tcPr>
            <w:tcW w:w="684" w:type="dxa"/>
            <w:tcBorders>
              <w:top w:val="nil"/>
              <w:left w:val="nil"/>
              <w:bottom w:val="single" w:color="auto" w:sz="4" w:space="0"/>
              <w:right w:val="nil"/>
            </w:tcBorders>
            <w:noWrap/>
          </w:tcPr>
          <w:p w14:paraId="1AF5D47A">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22.2 </w:t>
            </w:r>
          </w:p>
        </w:tc>
        <w:tc>
          <w:tcPr>
            <w:tcW w:w="553" w:type="dxa"/>
            <w:tcBorders>
              <w:top w:val="nil"/>
              <w:left w:val="nil"/>
              <w:bottom w:val="single" w:color="auto" w:sz="4" w:space="0"/>
              <w:right w:val="nil"/>
            </w:tcBorders>
            <w:noWrap/>
          </w:tcPr>
          <w:p w14:paraId="63E4FD6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6.0 </w:t>
            </w:r>
          </w:p>
        </w:tc>
        <w:tc>
          <w:tcPr>
            <w:tcW w:w="750" w:type="dxa"/>
            <w:tcBorders>
              <w:top w:val="nil"/>
              <w:left w:val="nil"/>
              <w:bottom w:val="single" w:color="auto" w:sz="4" w:space="0"/>
              <w:right w:val="nil"/>
            </w:tcBorders>
            <w:noWrap/>
          </w:tcPr>
          <w:p w14:paraId="62DA0AEB">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111.9 </w:t>
            </w:r>
          </w:p>
        </w:tc>
        <w:tc>
          <w:tcPr>
            <w:tcW w:w="722" w:type="dxa"/>
            <w:tcBorders>
              <w:top w:val="nil"/>
              <w:left w:val="nil"/>
              <w:bottom w:val="single" w:color="auto" w:sz="4" w:space="0"/>
              <w:right w:val="nil"/>
            </w:tcBorders>
            <w:noWrap/>
          </w:tcPr>
          <w:p w14:paraId="61E1C38B">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w:t>
            </w:r>
          </w:p>
        </w:tc>
        <w:tc>
          <w:tcPr>
            <w:tcW w:w="666" w:type="dxa"/>
            <w:tcBorders>
              <w:top w:val="nil"/>
              <w:left w:val="nil"/>
              <w:bottom w:val="single" w:color="auto" w:sz="4" w:space="0"/>
              <w:right w:val="nil"/>
            </w:tcBorders>
            <w:noWrap/>
          </w:tcPr>
          <w:p w14:paraId="2D179419">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w:t>
            </w:r>
          </w:p>
        </w:tc>
        <w:tc>
          <w:tcPr>
            <w:tcW w:w="646" w:type="dxa"/>
            <w:tcBorders>
              <w:top w:val="nil"/>
              <w:left w:val="nil"/>
              <w:bottom w:val="single" w:color="auto" w:sz="4" w:space="0"/>
              <w:right w:val="nil"/>
            </w:tcBorders>
            <w:noWrap/>
          </w:tcPr>
          <w:p w14:paraId="7C994C6F">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w:t>
            </w:r>
          </w:p>
        </w:tc>
        <w:tc>
          <w:tcPr>
            <w:tcW w:w="619" w:type="dxa"/>
            <w:tcBorders>
              <w:top w:val="nil"/>
              <w:left w:val="nil"/>
              <w:bottom w:val="single" w:color="auto" w:sz="4" w:space="0"/>
              <w:right w:val="nil"/>
            </w:tcBorders>
            <w:noWrap/>
          </w:tcPr>
          <w:p w14:paraId="201637DC">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w:t>
            </w:r>
          </w:p>
        </w:tc>
        <w:tc>
          <w:tcPr>
            <w:tcW w:w="600" w:type="dxa"/>
            <w:tcBorders>
              <w:top w:val="nil"/>
              <w:left w:val="nil"/>
              <w:bottom w:val="single" w:color="auto" w:sz="4" w:space="0"/>
              <w:right w:val="nil"/>
            </w:tcBorders>
            <w:noWrap/>
          </w:tcPr>
          <w:p w14:paraId="0F69BE61">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w:t>
            </w:r>
          </w:p>
        </w:tc>
        <w:tc>
          <w:tcPr>
            <w:tcW w:w="835" w:type="dxa"/>
            <w:tcBorders>
              <w:top w:val="nil"/>
              <w:left w:val="nil"/>
              <w:bottom w:val="single" w:color="auto" w:sz="4" w:space="0"/>
              <w:right w:val="nil"/>
            </w:tcBorders>
            <w:noWrap/>
          </w:tcPr>
          <w:p w14:paraId="66B93F57">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w:t>
            </w:r>
          </w:p>
        </w:tc>
        <w:tc>
          <w:tcPr>
            <w:tcW w:w="740" w:type="dxa"/>
            <w:tcBorders>
              <w:top w:val="nil"/>
              <w:left w:val="nil"/>
              <w:bottom w:val="single" w:color="auto" w:sz="4" w:space="0"/>
              <w:right w:val="nil"/>
            </w:tcBorders>
            <w:noWrap/>
          </w:tcPr>
          <w:p w14:paraId="6BBFDDF8">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w:t>
            </w:r>
          </w:p>
        </w:tc>
        <w:tc>
          <w:tcPr>
            <w:tcW w:w="619" w:type="dxa"/>
            <w:tcBorders>
              <w:top w:val="nil"/>
              <w:left w:val="nil"/>
              <w:bottom w:val="single" w:color="auto" w:sz="4" w:space="0"/>
              <w:right w:val="nil"/>
            </w:tcBorders>
            <w:noWrap/>
          </w:tcPr>
          <w:p w14:paraId="3AB36C7A">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0.5 </w:t>
            </w:r>
          </w:p>
        </w:tc>
        <w:tc>
          <w:tcPr>
            <w:tcW w:w="647" w:type="dxa"/>
            <w:tcBorders>
              <w:top w:val="nil"/>
              <w:left w:val="nil"/>
              <w:bottom w:val="single" w:color="auto" w:sz="4" w:space="0"/>
              <w:right w:val="nil"/>
            </w:tcBorders>
            <w:noWrap/>
          </w:tcPr>
          <w:p w14:paraId="1055680E">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0.8 </w:t>
            </w:r>
          </w:p>
        </w:tc>
      </w:tr>
    </w:tbl>
    <w:p w14:paraId="194559A3"/>
    <w:p w14:paraId="148C752B"/>
    <w:p w14:paraId="6B77B9E0"/>
    <w:p w14:paraId="6B22BC9C"/>
    <w:p w14:paraId="2EAA9ECA"/>
    <w:p w14:paraId="629A776F"/>
    <w:p w14:paraId="5AE4C52C"/>
    <w:p w14:paraId="156D1FC0"/>
    <w:p w14:paraId="1667B868">
      <w:pPr>
        <w:ind w:firstLine="0"/>
      </w:pPr>
    </w:p>
    <w:p w14:paraId="241A3557">
      <w:pPr>
        <w:pStyle w:val="7"/>
        <w:rPr>
          <w:b/>
          <w:bCs w:val="0"/>
        </w:rPr>
      </w:pPr>
    </w:p>
    <w:p w14:paraId="1C7D0FFE"/>
    <w:p w14:paraId="04DB3E65">
      <w:pPr>
        <w:pStyle w:val="7"/>
        <w:keepNext w:val="0"/>
        <w:keepLines w:val="0"/>
        <w:pageBreakBefore w:val="0"/>
        <w:widowControl/>
        <w:kinsoku/>
        <w:wordWrap/>
        <w:overflowPunct/>
        <w:topLinePunct w:val="0"/>
        <w:autoSpaceDE/>
        <w:autoSpaceDN/>
        <w:bidi w:val="0"/>
        <w:adjustRightInd/>
        <w:snapToGrid/>
        <w:textAlignment w:val="auto"/>
      </w:pPr>
      <w:r>
        <w:rPr>
          <w:b/>
          <w:bCs w:val="0"/>
        </w:rPr>
        <w:t xml:space="preserve">Supplementary Table </w:t>
      </w:r>
      <w:r>
        <w:rPr>
          <w:rFonts w:hint="eastAsia"/>
          <w:b/>
          <w:bCs w:val="0"/>
          <w:lang w:val="en-US" w:eastAsia="zh-CN"/>
        </w:rPr>
        <w:t>23</w:t>
      </w:r>
      <w:r>
        <w:t xml:space="preserve"> | </w:t>
      </w:r>
      <w:r>
        <w:rPr>
          <w:rFonts w:hint="eastAsia"/>
        </w:rPr>
        <w:t>Statistics of tool attributes</w:t>
      </w:r>
      <w:r>
        <w:t>.</w:t>
      </w:r>
    </w:p>
    <w:tbl>
      <w:tblPr>
        <w:tblStyle w:val="24"/>
        <w:tblW w:w="13016" w:type="dxa"/>
        <w:tblInd w:w="0" w:type="dxa"/>
        <w:tblLayout w:type="autofit"/>
        <w:tblCellMar>
          <w:top w:w="0" w:type="dxa"/>
          <w:left w:w="108" w:type="dxa"/>
          <w:bottom w:w="0" w:type="dxa"/>
          <w:right w:w="108" w:type="dxa"/>
        </w:tblCellMar>
      </w:tblPr>
      <w:tblGrid>
        <w:gridCol w:w="1354"/>
        <w:gridCol w:w="833"/>
        <w:gridCol w:w="833"/>
        <w:gridCol w:w="833"/>
        <w:gridCol w:w="833"/>
        <w:gridCol w:w="833"/>
        <w:gridCol w:w="833"/>
        <w:gridCol w:w="833"/>
        <w:gridCol w:w="833"/>
        <w:gridCol w:w="833"/>
        <w:gridCol w:w="833"/>
        <w:gridCol w:w="833"/>
        <w:gridCol w:w="833"/>
        <w:gridCol w:w="833"/>
        <w:gridCol w:w="833"/>
      </w:tblGrid>
      <w:tr w14:paraId="297D88FF">
        <w:tblPrEx>
          <w:tblCellMar>
            <w:top w:w="0" w:type="dxa"/>
            <w:left w:w="108" w:type="dxa"/>
            <w:bottom w:w="0" w:type="dxa"/>
            <w:right w:w="108" w:type="dxa"/>
          </w:tblCellMar>
        </w:tblPrEx>
        <w:trPr>
          <w:trHeight w:val="300" w:hRule="atLeast"/>
        </w:trPr>
        <w:tc>
          <w:tcPr>
            <w:tcW w:w="1354" w:type="dxa"/>
            <w:tcBorders>
              <w:top w:val="single" w:color="auto" w:sz="4" w:space="0"/>
              <w:left w:val="nil"/>
              <w:bottom w:val="single" w:color="auto" w:sz="4" w:space="0"/>
              <w:right w:val="nil"/>
            </w:tcBorders>
            <w:noWrap/>
          </w:tcPr>
          <w:p w14:paraId="69F5683A">
            <w:pPr>
              <w:keepNext w:val="0"/>
              <w:keepLines w:val="0"/>
              <w:widowControl/>
              <w:suppressLineNumbers w:val="0"/>
              <w:spacing w:before="0" w:beforeAutospacing="0" w:after="0" w:afterAutospacing="0" w:line="240" w:lineRule="auto"/>
              <w:ind w:left="0" w:right="0" w:firstLine="0"/>
              <w:rPr>
                <w:rFonts w:hint="default" w:eastAsia="等线"/>
                <w:b/>
                <w:bCs/>
                <w:sz w:val="20"/>
                <w:szCs w:val="20"/>
              </w:rPr>
            </w:pPr>
            <w:r>
              <w:rPr>
                <w:rFonts w:hint="default" w:eastAsia="等线"/>
                <w:b/>
                <w:bCs/>
                <w:sz w:val="20"/>
                <w:szCs w:val="20"/>
              </w:rPr>
              <w:t>　</w:t>
            </w:r>
          </w:p>
        </w:tc>
        <w:tc>
          <w:tcPr>
            <w:tcW w:w="1666" w:type="dxa"/>
            <w:gridSpan w:val="2"/>
            <w:tcBorders>
              <w:top w:val="single" w:color="auto" w:sz="4" w:space="0"/>
              <w:left w:val="nil"/>
              <w:bottom w:val="single" w:color="auto" w:sz="4" w:space="0"/>
              <w:right w:val="nil"/>
            </w:tcBorders>
            <w:noWrap/>
          </w:tcPr>
          <w:p w14:paraId="06AC7A7A">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Length (mm)</w:t>
            </w:r>
          </w:p>
        </w:tc>
        <w:tc>
          <w:tcPr>
            <w:tcW w:w="1666" w:type="dxa"/>
            <w:gridSpan w:val="2"/>
            <w:tcBorders>
              <w:top w:val="single" w:color="auto" w:sz="4" w:space="0"/>
              <w:left w:val="nil"/>
              <w:bottom w:val="single" w:color="auto" w:sz="4" w:space="0"/>
              <w:right w:val="nil"/>
            </w:tcBorders>
            <w:noWrap/>
          </w:tcPr>
          <w:p w14:paraId="21E34209">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Width (mm)</w:t>
            </w:r>
          </w:p>
        </w:tc>
        <w:tc>
          <w:tcPr>
            <w:tcW w:w="1666" w:type="dxa"/>
            <w:gridSpan w:val="2"/>
            <w:tcBorders>
              <w:top w:val="single" w:color="auto" w:sz="4" w:space="0"/>
              <w:left w:val="nil"/>
              <w:bottom w:val="single" w:color="auto" w:sz="4" w:space="0"/>
              <w:right w:val="nil"/>
            </w:tcBorders>
            <w:noWrap/>
          </w:tcPr>
          <w:p w14:paraId="26691116">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Thickness (mm)</w:t>
            </w:r>
          </w:p>
        </w:tc>
        <w:tc>
          <w:tcPr>
            <w:tcW w:w="1666" w:type="dxa"/>
            <w:gridSpan w:val="2"/>
            <w:tcBorders>
              <w:top w:val="single" w:color="auto" w:sz="4" w:space="0"/>
              <w:left w:val="nil"/>
              <w:bottom w:val="single" w:color="auto" w:sz="4" w:space="0"/>
              <w:right w:val="nil"/>
            </w:tcBorders>
            <w:noWrap/>
          </w:tcPr>
          <w:p w14:paraId="27C14D37">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Mass (g)</w:t>
            </w:r>
          </w:p>
        </w:tc>
        <w:tc>
          <w:tcPr>
            <w:tcW w:w="1666" w:type="dxa"/>
            <w:gridSpan w:val="2"/>
            <w:tcBorders>
              <w:top w:val="single" w:color="auto" w:sz="4" w:space="0"/>
              <w:left w:val="nil"/>
              <w:bottom w:val="single" w:color="auto" w:sz="4" w:space="0"/>
              <w:right w:val="nil"/>
            </w:tcBorders>
            <w:noWrap/>
          </w:tcPr>
          <w:p w14:paraId="3DBBF0C0">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Scar layer</w:t>
            </w:r>
          </w:p>
        </w:tc>
        <w:tc>
          <w:tcPr>
            <w:tcW w:w="1666" w:type="dxa"/>
            <w:gridSpan w:val="2"/>
            <w:tcBorders>
              <w:top w:val="single" w:color="auto" w:sz="4" w:space="0"/>
              <w:left w:val="nil"/>
              <w:bottom w:val="single" w:color="auto" w:sz="4" w:space="0"/>
              <w:right w:val="nil"/>
            </w:tcBorders>
            <w:noWrap/>
          </w:tcPr>
          <w:p w14:paraId="6E0FD14F">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Edge angle (°)</w:t>
            </w:r>
          </w:p>
        </w:tc>
        <w:tc>
          <w:tcPr>
            <w:tcW w:w="1666" w:type="dxa"/>
            <w:gridSpan w:val="2"/>
            <w:tcBorders>
              <w:top w:val="single" w:color="auto" w:sz="4" w:space="0"/>
              <w:left w:val="nil"/>
              <w:bottom w:val="single" w:color="auto" w:sz="4" w:space="0"/>
              <w:right w:val="nil"/>
            </w:tcBorders>
            <w:noWrap/>
          </w:tcPr>
          <w:p w14:paraId="6FDDC28D">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GIUR</w:t>
            </w:r>
          </w:p>
        </w:tc>
      </w:tr>
      <w:tr w14:paraId="704AFBFF">
        <w:tblPrEx>
          <w:tblCellMar>
            <w:top w:w="0" w:type="dxa"/>
            <w:left w:w="108" w:type="dxa"/>
            <w:bottom w:w="0" w:type="dxa"/>
            <w:right w:w="108" w:type="dxa"/>
          </w:tblCellMar>
        </w:tblPrEx>
        <w:trPr>
          <w:trHeight w:val="300" w:hRule="atLeast"/>
        </w:trPr>
        <w:tc>
          <w:tcPr>
            <w:tcW w:w="1354" w:type="dxa"/>
            <w:tcBorders>
              <w:top w:val="nil"/>
              <w:left w:val="nil"/>
              <w:bottom w:val="single" w:color="auto" w:sz="4" w:space="0"/>
              <w:right w:val="nil"/>
            </w:tcBorders>
            <w:noWrap/>
          </w:tcPr>
          <w:p w14:paraId="4FFD5628">
            <w:pPr>
              <w:keepNext w:val="0"/>
              <w:keepLines w:val="0"/>
              <w:widowControl/>
              <w:suppressLineNumbers w:val="0"/>
              <w:spacing w:before="0" w:beforeAutospacing="0" w:after="0" w:afterAutospacing="0" w:line="240" w:lineRule="auto"/>
              <w:ind w:left="0" w:right="0" w:firstLine="0"/>
              <w:rPr>
                <w:rFonts w:hint="default" w:eastAsia="等线"/>
                <w:b/>
                <w:bCs/>
                <w:sz w:val="20"/>
                <w:szCs w:val="20"/>
              </w:rPr>
            </w:pPr>
            <w:r>
              <w:rPr>
                <w:rFonts w:hint="default" w:eastAsia="等线"/>
                <w:b/>
                <w:bCs/>
                <w:sz w:val="20"/>
                <w:szCs w:val="20"/>
              </w:rPr>
              <w:t>　</w:t>
            </w:r>
          </w:p>
        </w:tc>
        <w:tc>
          <w:tcPr>
            <w:tcW w:w="833" w:type="dxa"/>
            <w:tcBorders>
              <w:top w:val="nil"/>
              <w:left w:val="nil"/>
              <w:bottom w:val="single" w:color="auto" w:sz="4" w:space="0"/>
              <w:right w:val="nil"/>
            </w:tcBorders>
            <w:noWrap/>
          </w:tcPr>
          <w:p w14:paraId="44DF2D39">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x̅</w:t>
            </w:r>
          </w:p>
        </w:tc>
        <w:tc>
          <w:tcPr>
            <w:tcW w:w="833" w:type="dxa"/>
            <w:tcBorders>
              <w:top w:val="nil"/>
              <w:left w:val="nil"/>
              <w:bottom w:val="single" w:color="auto" w:sz="4" w:space="0"/>
              <w:right w:val="nil"/>
            </w:tcBorders>
            <w:noWrap/>
          </w:tcPr>
          <w:p w14:paraId="40D6C4BD">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σ</w:t>
            </w:r>
          </w:p>
        </w:tc>
        <w:tc>
          <w:tcPr>
            <w:tcW w:w="833" w:type="dxa"/>
            <w:tcBorders>
              <w:top w:val="nil"/>
              <w:left w:val="nil"/>
              <w:bottom w:val="single" w:color="auto" w:sz="4" w:space="0"/>
              <w:right w:val="nil"/>
            </w:tcBorders>
            <w:noWrap/>
          </w:tcPr>
          <w:p w14:paraId="0A46691F">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x̅</w:t>
            </w:r>
          </w:p>
        </w:tc>
        <w:tc>
          <w:tcPr>
            <w:tcW w:w="833" w:type="dxa"/>
            <w:tcBorders>
              <w:top w:val="nil"/>
              <w:left w:val="nil"/>
              <w:bottom w:val="single" w:color="auto" w:sz="4" w:space="0"/>
              <w:right w:val="nil"/>
            </w:tcBorders>
            <w:noWrap/>
          </w:tcPr>
          <w:p w14:paraId="4A3B714D">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σ</w:t>
            </w:r>
          </w:p>
        </w:tc>
        <w:tc>
          <w:tcPr>
            <w:tcW w:w="833" w:type="dxa"/>
            <w:tcBorders>
              <w:top w:val="nil"/>
              <w:left w:val="nil"/>
              <w:bottom w:val="single" w:color="auto" w:sz="4" w:space="0"/>
              <w:right w:val="nil"/>
            </w:tcBorders>
            <w:noWrap/>
          </w:tcPr>
          <w:p w14:paraId="657662CC">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x̅</w:t>
            </w:r>
          </w:p>
        </w:tc>
        <w:tc>
          <w:tcPr>
            <w:tcW w:w="833" w:type="dxa"/>
            <w:tcBorders>
              <w:top w:val="nil"/>
              <w:left w:val="nil"/>
              <w:bottom w:val="single" w:color="auto" w:sz="4" w:space="0"/>
              <w:right w:val="nil"/>
            </w:tcBorders>
            <w:noWrap/>
          </w:tcPr>
          <w:p w14:paraId="09B9256C">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σ</w:t>
            </w:r>
          </w:p>
        </w:tc>
        <w:tc>
          <w:tcPr>
            <w:tcW w:w="833" w:type="dxa"/>
            <w:tcBorders>
              <w:top w:val="nil"/>
              <w:left w:val="nil"/>
              <w:bottom w:val="single" w:color="auto" w:sz="4" w:space="0"/>
              <w:right w:val="nil"/>
            </w:tcBorders>
            <w:noWrap/>
          </w:tcPr>
          <w:p w14:paraId="1EDD56A2">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x̅</w:t>
            </w:r>
          </w:p>
        </w:tc>
        <w:tc>
          <w:tcPr>
            <w:tcW w:w="833" w:type="dxa"/>
            <w:tcBorders>
              <w:top w:val="nil"/>
              <w:left w:val="nil"/>
              <w:bottom w:val="single" w:color="auto" w:sz="4" w:space="0"/>
              <w:right w:val="nil"/>
            </w:tcBorders>
            <w:noWrap/>
          </w:tcPr>
          <w:p w14:paraId="2C5159BF">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σ</w:t>
            </w:r>
          </w:p>
        </w:tc>
        <w:tc>
          <w:tcPr>
            <w:tcW w:w="833" w:type="dxa"/>
            <w:tcBorders>
              <w:top w:val="nil"/>
              <w:left w:val="nil"/>
              <w:bottom w:val="single" w:color="auto" w:sz="4" w:space="0"/>
              <w:right w:val="nil"/>
            </w:tcBorders>
            <w:noWrap/>
          </w:tcPr>
          <w:p w14:paraId="47ECC682">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x̅</w:t>
            </w:r>
          </w:p>
        </w:tc>
        <w:tc>
          <w:tcPr>
            <w:tcW w:w="833" w:type="dxa"/>
            <w:tcBorders>
              <w:top w:val="nil"/>
              <w:left w:val="nil"/>
              <w:bottom w:val="single" w:color="auto" w:sz="4" w:space="0"/>
              <w:right w:val="nil"/>
            </w:tcBorders>
            <w:noWrap/>
          </w:tcPr>
          <w:p w14:paraId="61884610">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σ</w:t>
            </w:r>
          </w:p>
        </w:tc>
        <w:tc>
          <w:tcPr>
            <w:tcW w:w="833" w:type="dxa"/>
            <w:tcBorders>
              <w:top w:val="nil"/>
              <w:left w:val="nil"/>
              <w:bottom w:val="single" w:color="auto" w:sz="4" w:space="0"/>
              <w:right w:val="nil"/>
            </w:tcBorders>
            <w:noWrap/>
          </w:tcPr>
          <w:p w14:paraId="43F4AFAD">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x̅</w:t>
            </w:r>
          </w:p>
        </w:tc>
        <w:tc>
          <w:tcPr>
            <w:tcW w:w="833" w:type="dxa"/>
            <w:tcBorders>
              <w:top w:val="nil"/>
              <w:left w:val="nil"/>
              <w:bottom w:val="single" w:color="auto" w:sz="4" w:space="0"/>
              <w:right w:val="nil"/>
            </w:tcBorders>
            <w:noWrap/>
          </w:tcPr>
          <w:p w14:paraId="1D044DDA">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σ</w:t>
            </w:r>
          </w:p>
        </w:tc>
        <w:tc>
          <w:tcPr>
            <w:tcW w:w="833" w:type="dxa"/>
            <w:tcBorders>
              <w:top w:val="nil"/>
              <w:left w:val="nil"/>
              <w:bottom w:val="single" w:color="auto" w:sz="4" w:space="0"/>
              <w:right w:val="nil"/>
            </w:tcBorders>
            <w:noWrap/>
          </w:tcPr>
          <w:p w14:paraId="492B5B0B">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x̅</w:t>
            </w:r>
          </w:p>
        </w:tc>
        <w:tc>
          <w:tcPr>
            <w:tcW w:w="833" w:type="dxa"/>
            <w:tcBorders>
              <w:top w:val="nil"/>
              <w:left w:val="nil"/>
              <w:bottom w:val="single" w:color="auto" w:sz="4" w:space="0"/>
              <w:right w:val="nil"/>
            </w:tcBorders>
            <w:noWrap/>
          </w:tcPr>
          <w:p w14:paraId="1F508D57">
            <w:pPr>
              <w:keepNext w:val="0"/>
              <w:keepLines w:val="0"/>
              <w:widowControl/>
              <w:suppressLineNumbers w:val="0"/>
              <w:spacing w:before="0" w:beforeAutospacing="0" w:after="0" w:afterAutospacing="0" w:line="240" w:lineRule="auto"/>
              <w:ind w:left="0" w:right="0" w:firstLine="0"/>
              <w:rPr>
                <w:rFonts w:hint="default" w:eastAsia="等线"/>
                <w:i/>
                <w:iCs/>
                <w:sz w:val="20"/>
                <w:szCs w:val="20"/>
              </w:rPr>
            </w:pPr>
            <w:r>
              <w:rPr>
                <w:rFonts w:hint="default" w:eastAsia="等线"/>
                <w:i/>
                <w:iCs/>
                <w:sz w:val="20"/>
                <w:szCs w:val="20"/>
              </w:rPr>
              <w:t>σ</w:t>
            </w:r>
          </w:p>
        </w:tc>
      </w:tr>
      <w:tr w14:paraId="75A2D7B7">
        <w:tblPrEx>
          <w:tblCellMar>
            <w:top w:w="0" w:type="dxa"/>
            <w:left w:w="108" w:type="dxa"/>
            <w:bottom w:w="0" w:type="dxa"/>
            <w:right w:w="108" w:type="dxa"/>
          </w:tblCellMar>
        </w:tblPrEx>
        <w:trPr>
          <w:trHeight w:val="300" w:hRule="atLeast"/>
        </w:trPr>
        <w:tc>
          <w:tcPr>
            <w:tcW w:w="1354" w:type="dxa"/>
            <w:tcBorders>
              <w:top w:val="nil"/>
              <w:left w:val="nil"/>
              <w:bottom w:val="nil"/>
              <w:right w:val="nil"/>
            </w:tcBorders>
            <w:noWrap/>
          </w:tcPr>
          <w:p w14:paraId="07B26B16">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Scraper</w:t>
            </w:r>
          </w:p>
        </w:tc>
        <w:tc>
          <w:tcPr>
            <w:tcW w:w="833" w:type="dxa"/>
            <w:tcBorders>
              <w:top w:val="nil"/>
              <w:left w:val="nil"/>
              <w:bottom w:val="nil"/>
              <w:right w:val="nil"/>
            </w:tcBorders>
            <w:noWrap/>
          </w:tcPr>
          <w:p w14:paraId="62C2F1CC">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70.0 </w:t>
            </w:r>
          </w:p>
        </w:tc>
        <w:tc>
          <w:tcPr>
            <w:tcW w:w="833" w:type="dxa"/>
            <w:tcBorders>
              <w:top w:val="nil"/>
              <w:left w:val="nil"/>
              <w:bottom w:val="nil"/>
              <w:right w:val="nil"/>
            </w:tcBorders>
            <w:noWrap/>
          </w:tcPr>
          <w:p w14:paraId="6BC311E6">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18.6 </w:t>
            </w:r>
          </w:p>
        </w:tc>
        <w:tc>
          <w:tcPr>
            <w:tcW w:w="833" w:type="dxa"/>
            <w:tcBorders>
              <w:top w:val="nil"/>
              <w:left w:val="nil"/>
              <w:bottom w:val="nil"/>
              <w:right w:val="nil"/>
            </w:tcBorders>
            <w:noWrap/>
          </w:tcPr>
          <w:p w14:paraId="359288E2">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56.5 </w:t>
            </w:r>
          </w:p>
        </w:tc>
        <w:tc>
          <w:tcPr>
            <w:tcW w:w="833" w:type="dxa"/>
            <w:tcBorders>
              <w:top w:val="nil"/>
              <w:left w:val="nil"/>
              <w:bottom w:val="nil"/>
              <w:right w:val="nil"/>
            </w:tcBorders>
            <w:noWrap/>
          </w:tcPr>
          <w:p w14:paraId="519A285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18.6 </w:t>
            </w:r>
          </w:p>
        </w:tc>
        <w:tc>
          <w:tcPr>
            <w:tcW w:w="833" w:type="dxa"/>
            <w:tcBorders>
              <w:top w:val="nil"/>
              <w:left w:val="nil"/>
              <w:bottom w:val="nil"/>
              <w:right w:val="nil"/>
            </w:tcBorders>
            <w:noWrap/>
          </w:tcPr>
          <w:p w14:paraId="220A23BE">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24.8 </w:t>
            </w:r>
          </w:p>
        </w:tc>
        <w:tc>
          <w:tcPr>
            <w:tcW w:w="833" w:type="dxa"/>
            <w:tcBorders>
              <w:top w:val="nil"/>
              <w:left w:val="nil"/>
              <w:bottom w:val="nil"/>
              <w:right w:val="nil"/>
            </w:tcBorders>
            <w:noWrap/>
          </w:tcPr>
          <w:p w14:paraId="7A09E1D9">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10.4 </w:t>
            </w:r>
          </w:p>
        </w:tc>
        <w:tc>
          <w:tcPr>
            <w:tcW w:w="833" w:type="dxa"/>
            <w:tcBorders>
              <w:top w:val="nil"/>
              <w:left w:val="nil"/>
              <w:bottom w:val="nil"/>
              <w:right w:val="nil"/>
            </w:tcBorders>
            <w:noWrap/>
          </w:tcPr>
          <w:p w14:paraId="682A3A04">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132.8 </w:t>
            </w:r>
          </w:p>
        </w:tc>
        <w:tc>
          <w:tcPr>
            <w:tcW w:w="833" w:type="dxa"/>
            <w:tcBorders>
              <w:top w:val="nil"/>
              <w:left w:val="nil"/>
              <w:bottom w:val="nil"/>
              <w:right w:val="nil"/>
            </w:tcBorders>
            <w:noWrap/>
          </w:tcPr>
          <w:p w14:paraId="370092C8">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165.4 </w:t>
            </w:r>
          </w:p>
        </w:tc>
        <w:tc>
          <w:tcPr>
            <w:tcW w:w="833" w:type="dxa"/>
            <w:tcBorders>
              <w:top w:val="nil"/>
              <w:left w:val="nil"/>
              <w:bottom w:val="nil"/>
              <w:right w:val="nil"/>
            </w:tcBorders>
            <w:noWrap/>
          </w:tcPr>
          <w:p w14:paraId="2C0BC8A4">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1.7 </w:t>
            </w:r>
          </w:p>
        </w:tc>
        <w:tc>
          <w:tcPr>
            <w:tcW w:w="833" w:type="dxa"/>
            <w:tcBorders>
              <w:top w:val="nil"/>
              <w:left w:val="nil"/>
              <w:bottom w:val="nil"/>
              <w:right w:val="nil"/>
            </w:tcBorders>
            <w:noWrap/>
          </w:tcPr>
          <w:p w14:paraId="5B1D0814">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0.7 </w:t>
            </w:r>
          </w:p>
        </w:tc>
        <w:tc>
          <w:tcPr>
            <w:tcW w:w="833" w:type="dxa"/>
            <w:tcBorders>
              <w:top w:val="nil"/>
              <w:left w:val="nil"/>
              <w:bottom w:val="nil"/>
              <w:right w:val="nil"/>
            </w:tcBorders>
            <w:noWrap/>
          </w:tcPr>
          <w:p w14:paraId="03CBD291">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67.0 </w:t>
            </w:r>
          </w:p>
        </w:tc>
        <w:tc>
          <w:tcPr>
            <w:tcW w:w="833" w:type="dxa"/>
            <w:tcBorders>
              <w:top w:val="nil"/>
              <w:left w:val="nil"/>
              <w:bottom w:val="nil"/>
              <w:right w:val="nil"/>
            </w:tcBorders>
            <w:noWrap/>
          </w:tcPr>
          <w:p w14:paraId="3D59BC59">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7.5 </w:t>
            </w:r>
          </w:p>
        </w:tc>
        <w:tc>
          <w:tcPr>
            <w:tcW w:w="833" w:type="dxa"/>
            <w:tcBorders>
              <w:top w:val="nil"/>
              <w:left w:val="nil"/>
              <w:bottom w:val="nil"/>
              <w:right w:val="nil"/>
            </w:tcBorders>
            <w:noWrap/>
          </w:tcPr>
          <w:p w14:paraId="369B7A99">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0.5 </w:t>
            </w:r>
          </w:p>
        </w:tc>
        <w:tc>
          <w:tcPr>
            <w:tcW w:w="833" w:type="dxa"/>
            <w:tcBorders>
              <w:top w:val="nil"/>
              <w:left w:val="nil"/>
              <w:bottom w:val="nil"/>
              <w:right w:val="nil"/>
            </w:tcBorders>
            <w:noWrap/>
          </w:tcPr>
          <w:p w14:paraId="05BB1860">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0.3 </w:t>
            </w:r>
          </w:p>
        </w:tc>
      </w:tr>
      <w:tr w14:paraId="0BA7835F">
        <w:tblPrEx>
          <w:tblCellMar>
            <w:top w:w="0" w:type="dxa"/>
            <w:left w:w="108" w:type="dxa"/>
            <w:bottom w:w="0" w:type="dxa"/>
            <w:right w:w="108" w:type="dxa"/>
          </w:tblCellMar>
        </w:tblPrEx>
        <w:trPr>
          <w:trHeight w:val="300" w:hRule="atLeast"/>
        </w:trPr>
        <w:tc>
          <w:tcPr>
            <w:tcW w:w="1354" w:type="dxa"/>
            <w:tcBorders>
              <w:top w:val="nil"/>
              <w:left w:val="nil"/>
              <w:bottom w:val="nil"/>
              <w:right w:val="nil"/>
            </w:tcBorders>
            <w:noWrap/>
          </w:tcPr>
          <w:p w14:paraId="033A743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Notch</w:t>
            </w:r>
          </w:p>
        </w:tc>
        <w:tc>
          <w:tcPr>
            <w:tcW w:w="833" w:type="dxa"/>
            <w:tcBorders>
              <w:top w:val="nil"/>
              <w:left w:val="nil"/>
              <w:bottom w:val="nil"/>
              <w:right w:val="nil"/>
            </w:tcBorders>
            <w:noWrap/>
          </w:tcPr>
          <w:p w14:paraId="7488B7F1">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62.4 </w:t>
            </w:r>
          </w:p>
        </w:tc>
        <w:tc>
          <w:tcPr>
            <w:tcW w:w="833" w:type="dxa"/>
            <w:tcBorders>
              <w:top w:val="nil"/>
              <w:left w:val="nil"/>
              <w:bottom w:val="nil"/>
              <w:right w:val="nil"/>
            </w:tcBorders>
            <w:noWrap/>
          </w:tcPr>
          <w:p w14:paraId="3C059C94">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19.6 </w:t>
            </w:r>
          </w:p>
        </w:tc>
        <w:tc>
          <w:tcPr>
            <w:tcW w:w="833" w:type="dxa"/>
            <w:tcBorders>
              <w:top w:val="nil"/>
              <w:left w:val="nil"/>
              <w:bottom w:val="nil"/>
              <w:right w:val="nil"/>
            </w:tcBorders>
            <w:noWrap/>
          </w:tcPr>
          <w:p w14:paraId="3E54A64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48.6 </w:t>
            </w:r>
          </w:p>
        </w:tc>
        <w:tc>
          <w:tcPr>
            <w:tcW w:w="833" w:type="dxa"/>
            <w:tcBorders>
              <w:top w:val="nil"/>
              <w:left w:val="nil"/>
              <w:bottom w:val="nil"/>
              <w:right w:val="nil"/>
            </w:tcBorders>
            <w:noWrap/>
          </w:tcPr>
          <w:p w14:paraId="507B6A00">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11.4 </w:t>
            </w:r>
          </w:p>
        </w:tc>
        <w:tc>
          <w:tcPr>
            <w:tcW w:w="833" w:type="dxa"/>
            <w:tcBorders>
              <w:top w:val="nil"/>
              <w:left w:val="nil"/>
              <w:bottom w:val="nil"/>
              <w:right w:val="nil"/>
            </w:tcBorders>
            <w:noWrap/>
          </w:tcPr>
          <w:p w14:paraId="299E6009">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24.8 </w:t>
            </w:r>
          </w:p>
        </w:tc>
        <w:tc>
          <w:tcPr>
            <w:tcW w:w="833" w:type="dxa"/>
            <w:tcBorders>
              <w:top w:val="nil"/>
              <w:left w:val="nil"/>
              <w:bottom w:val="nil"/>
              <w:right w:val="nil"/>
            </w:tcBorders>
            <w:noWrap/>
          </w:tcPr>
          <w:p w14:paraId="3BD71189">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7.5 </w:t>
            </w:r>
          </w:p>
        </w:tc>
        <w:tc>
          <w:tcPr>
            <w:tcW w:w="833" w:type="dxa"/>
            <w:tcBorders>
              <w:top w:val="nil"/>
              <w:left w:val="nil"/>
              <w:bottom w:val="nil"/>
              <w:right w:val="nil"/>
            </w:tcBorders>
            <w:noWrap/>
          </w:tcPr>
          <w:p w14:paraId="44C88D8F">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70.1 </w:t>
            </w:r>
          </w:p>
        </w:tc>
        <w:tc>
          <w:tcPr>
            <w:tcW w:w="833" w:type="dxa"/>
            <w:tcBorders>
              <w:top w:val="nil"/>
              <w:left w:val="nil"/>
              <w:bottom w:val="nil"/>
              <w:right w:val="nil"/>
            </w:tcBorders>
            <w:noWrap/>
          </w:tcPr>
          <w:p w14:paraId="5CEB8A27">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45.1 </w:t>
            </w:r>
          </w:p>
        </w:tc>
        <w:tc>
          <w:tcPr>
            <w:tcW w:w="833" w:type="dxa"/>
            <w:tcBorders>
              <w:top w:val="nil"/>
              <w:left w:val="nil"/>
              <w:bottom w:val="nil"/>
              <w:right w:val="nil"/>
            </w:tcBorders>
            <w:noWrap/>
          </w:tcPr>
          <w:p w14:paraId="531FE6E3">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1.6 </w:t>
            </w:r>
          </w:p>
        </w:tc>
        <w:tc>
          <w:tcPr>
            <w:tcW w:w="833" w:type="dxa"/>
            <w:tcBorders>
              <w:top w:val="nil"/>
              <w:left w:val="nil"/>
              <w:bottom w:val="nil"/>
              <w:right w:val="nil"/>
            </w:tcBorders>
            <w:noWrap/>
          </w:tcPr>
          <w:p w14:paraId="09E981D0">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0.9 </w:t>
            </w:r>
          </w:p>
        </w:tc>
        <w:tc>
          <w:tcPr>
            <w:tcW w:w="833" w:type="dxa"/>
            <w:tcBorders>
              <w:top w:val="nil"/>
              <w:left w:val="nil"/>
              <w:bottom w:val="nil"/>
              <w:right w:val="nil"/>
            </w:tcBorders>
            <w:noWrap/>
          </w:tcPr>
          <w:p w14:paraId="5E25B8E4">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67.4 </w:t>
            </w:r>
          </w:p>
        </w:tc>
        <w:tc>
          <w:tcPr>
            <w:tcW w:w="833" w:type="dxa"/>
            <w:tcBorders>
              <w:top w:val="nil"/>
              <w:left w:val="nil"/>
              <w:bottom w:val="nil"/>
              <w:right w:val="nil"/>
            </w:tcBorders>
            <w:noWrap/>
          </w:tcPr>
          <w:p w14:paraId="6832E2BC">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6.4 </w:t>
            </w:r>
          </w:p>
        </w:tc>
        <w:tc>
          <w:tcPr>
            <w:tcW w:w="833" w:type="dxa"/>
            <w:tcBorders>
              <w:top w:val="nil"/>
              <w:left w:val="nil"/>
              <w:bottom w:val="nil"/>
              <w:right w:val="nil"/>
            </w:tcBorders>
            <w:noWrap/>
          </w:tcPr>
          <w:p w14:paraId="03313352">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0.4 </w:t>
            </w:r>
          </w:p>
        </w:tc>
        <w:tc>
          <w:tcPr>
            <w:tcW w:w="833" w:type="dxa"/>
            <w:tcBorders>
              <w:top w:val="nil"/>
              <w:left w:val="nil"/>
              <w:bottom w:val="nil"/>
              <w:right w:val="nil"/>
            </w:tcBorders>
            <w:noWrap/>
          </w:tcPr>
          <w:p w14:paraId="118A8F48">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0.2 </w:t>
            </w:r>
          </w:p>
        </w:tc>
      </w:tr>
      <w:tr w14:paraId="189295A2">
        <w:tblPrEx>
          <w:tblCellMar>
            <w:top w:w="0" w:type="dxa"/>
            <w:left w:w="108" w:type="dxa"/>
            <w:bottom w:w="0" w:type="dxa"/>
            <w:right w:w="108" w:type="dxa"/>
          </w:tblCellMar>
        </w:tblPrEx>
        <w:trPr>
          <w:trHeight w:val="300" w:hRule="atLeast"/>
        </w:trPr>
        <w:tc>
          <w:tcPr>
            <w:tcW w:w="1354" w:type="dxa"/>
            <w:tcBorders>
              <w:top w:val="nil"/>
              <w:left w:val="nil"/>
              <w:bottom w:val="nil"/>
              <w:right w:val="nil"/>
            </w:tcBorders>
            <w:noWrap/>
          </w:tcPr>
          <w:p w14:paraId="34677F32">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Denticulate</w:t>
            </w:r>
          </w:p>
        </w:tc>
        <w:tc>
          <w:tcPr>
            <w:tcW w:w="833" w:type="dxa"/>
            <w:tcBorders>
              <w:top w:val="nil"/>
              <w:left w:val="nil"/>
              <w:bottom w:val="nil"/>
              <w:right w:val="nil"/>
            </w:tcBorders>
            <w:noWrap/>
          </w:tcPr>
          <w:p w14:paraId="01877709">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68.5 </w:t>
            </w:r>
          </w:p>
        </w:tc>
        <w:tc>
          <w:tcPr>
            <w:tcW w:w="833" w:type="dxa"/>
            <w:tcBorders>
              <w:top w:val="nil"/>
              <w:left w:val="nil"/>
              <w:bottom w:val="nil"/>
              <w:right w:val="nil"/>
            </w:tcBorders>
            <w:noWrap/>
          </w:tcPr>
          <w:p w14:paraId="44EE4DE4">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16.2 </w:t>
            </w:r>
          </w:p>
        </w:tc>
        <w:tc>
          <w:tcPr>
            <w:tcW w:w="833" w:type="dxa"/>
            <w:tcBorders>
              <w:top w:val="nil"/>
              <w:left w:val="nil"/>
              <w:bottom w:val="nil"/>
              <w:right w:val="nil"/>
            </w:tcBorders>
            <w:noWrap/>
          </w:tcPr>
          <w:p w14:paraId="052EF17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46.2 </w:t>
            </w:r>
          </w:p>
        </w:tc>
        <w:tc>
          <w:tcPr>
            <w:tcW w:w="833" w:type="dxa"/>
            <w:tcBorders>
              <w:top w:val="nil"/>
              <w:left w:val="nil"/>
              <w:bottom w:val="nil"/>
              <w:right w:val="nil"/>
            </w:tcBorders>
            <w:noWrap/>
          </w:tcPr>
          <w:p w14:paraId="74F1DB56">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10.0 </w:t>
            </w:r>
          </w:p>
        </w:tc>
        <w:tc>
          <w:tcPr>
            <w:tcW w:w="833" w:type="dxa"/>
            <w:tcBorders>
              <w:top w:val="nil"/>
              <w:left w:val="nil"/>
              <w:bottom w:val="nil"/>
              <w:right w:val="nil"/>
            </w:tcBorders>
            <w:noWrap/>
          </w:tcPr>
          <w:p w14:paraId="7D78572B">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21.5 </w:t>
            </w:r>
          </w:p>
        </w:tc>
        <w:tc>
          <w:tcPr>
            <w:tcW w:w="833" w:type="dxa"/>
            <w:tcBorders>
              <w:top w:val="nil"/>
              <w:left w:val="nil"/>
              <w:bottom w:val="nil"/>
              <w:right w:val="nil"/>
            </w:tcBorders>
            <w:noWrap/>
          </w:tcPr>
          <w:p w14:paraId="0CB5003D">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8.9 </w:t>
            </w:r>
          </w:p>
        </w:tc>
        <w:tc>
          <w:tcPr>
            <w:tcW w:w="833" w:type="dxa"/>
            <w:tcBorders>
              <w:top w:val="nil"/>
              <w:left w:val="nil"/>
              <w:bottom w:val="nil"/>
              <w:right w:val="nil"/>
            </w:tcBorders>
            <w:noWrap/>
          </w:tcPr>
          <w:p w14:paraId="16D6E221">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79.0 </w:t>
            </w:r>
          </w:p>
        </w:tc>
        <w:tc>
          <w:tcPr>
            <w:tcW w:w="833" w:type="dxa"/>
            <w:tcBorders>
              <w:top w:val="nil"/>
              <w:left w:val="nil"/>
              <w:bottom w:val="nil"/>
              <w:right w:val="nil"/>
            </w:tcBorders>
            <w:noWrap/>
          </w:tcPr>
          <w:p w14:paraId="4CADC7C8">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70.3 </w:t>
            </w:r>
          </w:p>
        </w:tc>
        <w:tc>
          <w:tcPr>
            <w:tcW w:w="833" w:type="dxa"/>
            <w:tcBorders>
              <w:top w:val="nil"/>
              <w:left w:val="nil"/>
              <w:bottom w:val="nil"/>
              <w:right w:val="nil"/>
            </w:tcBorders>
            <w:noWrap/>
          </w:tcPr>
          <w:p w14:paraId="41D61B8C">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1.0 </w:t>
            </w:r>
          </w:p>
        </w:tc>
        <w:tc>
          <w:tcPr>
            <w:tcW w:w="833" w:type="dxa"/>
            <w:tcBorders>
              <w:top w:val="nil"/>
              <w:left w:val="nil"/>
              <w:bottom w:val="nil"/>
              <w:right w:val="nil"/>
            </w:tcBorders>
            <w:noWrap/>
          </w:tcPr>
          <w:p w14:paraId="4DEBA62C">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0.0 </w:t>
            </w:r>
          </w:p>
        </w:tc>
        <w:tc>
          <w:tcPr>
            <w:tcW w:w="833" w:type="dxa"/>
            <w:tcBorders>
              <w:top w:val="nil"/>
              <w:left w:val="nil"/>
              <w:bottom w:val="nil"/>
              <w:right w:val="nil"/>
            </w:tcBorders>
            <w:noWrap/>
          </w:tcPr>
          <w:p w14:paraId="6452B76E">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53.6 </w:t>
            </w:r>
          </w:p>
        </w:tc>
        <w:tc>
          <w:tcPr>
            <w:tcW w:w="833" w:type="dxa"/>
            <w:tcBorders>
              <w:top w:val="nil"/>
              <w:left w:val="nil"/>
              <w:bottom w:val="nil"/>
              <w:right w:val="nil"/>
            </w:tcBorders>
            <w:noWrap/>
          </w:tcPr>
          <w:p w14:paraId="5453E1CF">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7.5 </w:t>
            </w:r>
          </w:p>
        </w:tc>
        <w:tc>
          <w:tcPr>
            <w:tcW w:w="833" w:type="dxa"/>
            <w:tcBorders>
              <w:top w:val="nil"/>
              <w:left w:val="nil"/>
              <w:bottom w:val="nil"/>
              <w:right w:val="nil"/>
            </w:tcBorders>
            <w:noWrap/>
          </w:tcPr>
          <w:p w14:paraId="310A9CCA">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0.4 </w:t>
            </w:r>
          </w:p>
        </w:tc>
        <w:tc>
          <w:tcPr>
            <w:tcW w:w="833" w:type="dxa"/>
            <w:tcBorders>
              <w:top w:val="nil"/>
              <w:left w:val="nil"/>
              <w:bottom w:val="nil"/>
              <w:right w:val="nil"/>
            </w:tcBorders>
            <w:noWrap/>
          </w:tcPr>
          <w:p w14:paraId="7F2DBC02">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0.2 </w:t>
            </w:r>
          </w:p>
        </w:tc>
      </w:tr>
      <w:tr w14:paraId="55F8A897">
        <w:tblPrEx>
          <w:tblCellMar>
            <w:top w:w="0" w:type="dxa"/>
            <w:left w:w="108" w:type="dxa"/>
            <w:bottom w:w="0" w:type="dxa"/>
            <w:right w:w="108" w:type="dxa"/>
          </w:tblCellMar>
        </w:tblPrEx>
        <w:trPr>
          <w:trHeight w:val="300" w:hRule="atLeast"/>
        </w:trPr>
        <w:tc>
          <w:tcPr>
            <w:tcW w:w="1354" w:type="dxa"/>
            <w:tcBorders>
              <w:top w:val="nil"/>
              <w:left w:val="nil"/>
              <w:bottom w:val="nil"/>
              <w:right w:val="nil"/>
            </w:tcBorders>
            <w:noWrap/>
          </w:tcPr>
          <w:p w14:paraId="4A8339E6">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Chopper</w:t>
            </w:r>
          </w:p>
        </w:tc>
        <w:tc>
          <w:tcPr>
            <w:tcW w:w="833" w:type="dxa"/>
            <w:tcBorders>
              <w:top w:val="nil"/>
              <w:left w:val="nil"/>
              <w:bottom w:val="nil"/>
              <w:right w:val="nil"/>
            </w:tcBorders>
            <w:noWrap/>
          </w:tcPr>
          <w:p w14:paraId="2751026D">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68.0 </w:t>
            </w:r>
          </w:p>
        </w:tc>
        <w:tc>
          <w:tcPr>
            <w:tcW w:w="833" w:type="dxa"/>
            <w:tcBorders>
              <w:top w:val="nil"/>
              <w:left w:val="nil"/>
              <w:bottom w:val="nil"/>
              <w:right w:val="nil"/>
            </w:tcBorders>
            <w:noWrap/>
          </w:tcPr>
          <w:p w14:paraId="69D6C937">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11.3 </w:t>
            </w:r>
          </w:p>
        </w:tc>
        <w:tc>
          <w:tcPr>
            <w:tcW w:w="833" w:type="dxa"/>
            <w:tcBorders>
              <w:top w:val="nil"/>
              <w:left w:val="nil"/>
              <w:bottom w:val="nil"/>
              <w:right w:val="nil"/>
            </w:tcBorders>
            <w:noWrap/>
          </w:tcPr>
          <w:p w14:paraId="6FF236F8">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50.5 </w:t>
            </w:r>
          </w:p>
        </w:tc>
        <w:tc>
          <w:tcPr>
            <w:tcW w:w="833" w:type="dxa"/>
            <w:tcBorders>
              <w:top w:val="nil"/>
              <w:left w:val="nil"/>
              <w:bottom w:val="nil"/>
              <w:right w:val="nil"/>
            </w:tcBorders>
            <w:noWrap/>
          </w:tcPr>
          <w:p w14:paraId="3A33A8D4">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7.8 </w:t>
            </w:r>
          </w:p>
        </w:tc>
        <w:tc>
          <w:tcPr>
            <w:tcW w:w="833" w:type="dxa"/>
            <w:tcBorders>
              <w:top w:val="nil"/>
              <w:left w:val="nil"/>
              <w:bottom w:val="nil"/>
              <w:right w:val="nil"/>
            </w:tcBorders>
            <w:noWrap/>
          </w:tcPr>
          <w:p w14:paraId="6AE093AC">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29.5 </w:t>
            </w:r>
          </w:p>
        </w:tc>
        <w:tc>
          <w:tcPr>
            <w:tcW w:w="833" w:type="dxa"/>
            <w:tcBorders>
              <w:top w:val="nil"/>
              <w:left w:val="nil"/>
              <w:bottom w:val="nil"/>
              <w:right w:val="nil"/>
            </w:tcBorders>
            <w:noWrap/>
          </w:tcPr>
          <w:p w14:paraId="448E1257">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13.4 </w:t>
            </w:r>
          </w:p>
        </w:tc>
        <w:tc>
          <w:tcPr>
            <w:tcW w:w="833" w:type="dxa"/>
            <w:tcBorders>
              <w:top w:val="nil"/>
              <w:left w:val="nil"/>
              <w:bottom w:val="nil"/>
              <w:right w:val="nil"/>
            </w:tcBorders>
            <w:noWrap/>
          </w:tcPr>
          <w:p w14:paraId="196259F7">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133.9 </w:t>
            </w:r>
          </w:p>
        </w:tc>
        <w:tc>
          <w:tcPr>
            <w:tcW w:w="833" w:type="dxa"/>
            <w:tcBorders>
              <w:top w:val="nil"/>
              <w:left w:val="nil"/>
              <w:bottom w:val="nil"/>
              <w:right w:val="nil"/>
            </w:tcBorders>
            <w:noWrap/>
          </w:tcPr>
          <w:p w14:paraId="6D2221B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12.9 </w:t>
            </w:r>
          </w:p>
        </w:tc>
        <w:tc>
          <w:tcPr>
            <w:tcW w:w="833" w:type="dxa"/>
            <w:tcBorders>
              <w:top w:val="nil"/>
              <w:left w:val="nil"/>
              <w:bottom w:val="nil"/>
              <w:right w:val="nil"/>
            </w:tcBorders>
            <w:noWrap/>
          </w:tcPr>
          <w:p w14:paraId="517419CF">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2.0 </w:t>
            </w:r>
          </w:p>
        </w:tc>
        <w:tc>
          <w:tcPr>
            <w:tcW w:w="833" w:type="dxa"/>
            <w:tcBorders>
              <w:top w:val="nil"/>
              <w:left w:val="nil"/>
              <w:bottom w:val="nil"/>
              <w:right w:val="nil"/>
            </w:tcBorders>
            <w:noWrap/>
          </w:tcPr>
          <w:p w14:paraId="6E0EFA2E">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0.0 </w:t>
            </w:r>
          </w:p>
        </w:tc>
        <w:tc>
          <w:tcPr>
            <w:tcW w:w="833" w:type="dxa"/>
            <w:tcBorders>
              <w:top w:val="nil"/>
              <w:left w:val="nil"/>
              <w:bottom w:val="nil"/>
              <w:right w:val="nil"/>
            </w:tcBorders>
            <w:noWrap/>
          </w:tcPr>
          <w:p w14:paraId="4FA0AAB3">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68.0 </w:t>
            </w:r>
          </w:p>
        </w:tc>
        <w:tc>
          <w:tcPr>
            <w:tcW w:w="833" w:type="dxa"/>
            <w:tcBorders>
              <w:top w:val="nil"/>
              <w:left w:val="nil"/>
              <w:bottom w:val="nil"/>
              <w:right w:val="nil"/>
            </w:tcBorders>
            <w:noWrap/>
          </w:tcPr>
          <w:p w14:paraId="61C175C2">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2.8 </w:t>
            </w:r>
          </w:p>
        </w:tc>
        <w:tc>
          <w:tcPr>
            <w:tcW w:w="833" w:type="dxa"/>
            <w:tcBorders>
              <w:top w:val="nil"/>
              <w:left w:val="nil"/>
              <w:bottom w:val="nil"/>
              <w:right w:val="nil"/>
            </w:tcBorders>
            <w:noWrap/>
          </w:tcPr>
          <w:p w14:paraId="55CF806C">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w:t>
            </w:r>
          </w:p>
        </w:tc>
        <w:tc>
          <w:tcPr>
            <w:tcW w:w="833" w:type="dxa"/>
            <w:tcBorders>
              <w:top w:val="nil"/>
              <w:left w:val="nil"/>
              <w:bottom w:val="nil"/>
              <w:right w:val="nil"/>
            </w:tcBorders>
            <w:noWrap/>
          </w:tcPr>
          <w:p w14:paraId="147E8D1F">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w:t>
            </w:r>
          </w:p>
        </w:tc>
      </w:tr>
      <w:tr w14:paraId="6DF5C042">
        <w:tblPrEx>
          <w:tblCellMar>
            <w:top w:w="0" w:type="dxa"/>
            <w:left w:w="108" w:type="dxa"/>
            <w:bottom w:w="0" w:type="dxa"/>
            <w:right w:w="108" w:type="dxa"/>
          </w:tblCellMar>
        </w:tblPrEx>
        <w:trPr>
          <w:trHeight w:val="300" w:hRule="atLeast"/>
        </w:trPr>
        <w:tc>
          <w:tcPr>
            <w:tcW w:w="1354" w:type="dxa"/>
            <w:tcBorders>
              <w:top w:val="nil"/>
              <w:left w:val="nil"/>
              <w:bottom w:val="nil"/>
              <w:right w:val="nil"/>
            </w:tcBorders>
            <w:noWrap/>
          </w:tcPr>
          <w:p w14:paraId="3F6889E3">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Informal tool</w:t>
            </w:r>
          </w:p>
        </w:tc>
        <w:tc>
          <w:tcPr>
            <w:tcW w:w="833" w:type="dxa"/>
            <w:tcBorders>
              <w:top w:val="nil"/>
              <w:left w:val="nil"/>
              <w:bottom w:val="nil"/>
              <w:right w:val="nil"/>
            </w:tcBorders>
            <w:noWrap/>
          </w:tcPr>
          <w:p w14:paraId="287EABEC">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82.8 </w:t>
            </w:r>
          </w:p>
        </w:tc>
        <w:tc>
          <w:tcPr>
            <w:tcW w:w="833" w:type="dxa"/>
            <w:tcBorders>
              <w:top w:val="nil"/>
              <w:left w:val="nil"/>
              <w:bottom w:val="nil"/>
              <w:right w:val="nil"/>
            </w:tcBorders>
            <w:noWrap/>
          </w:tcPr>
          <w:p w14:paraId="1E964A23">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21.7 </w:t>
            </w:r>
          </w:p>
        </w:tc>
        <w:tc>
          <w:tcPr>
            <w:tcW w:w="833" w:type="dxa"/>
            <w:tcBorders>
              <w:top w:val="nil"/>
              <w:left w:val="nil"/>
              <w:bottom w:val="nil"/>
              <w:right w:val="nil"/>
            </w:tcBorders>
            <w:noWrap/>
          </w:tcPr>
          <w:p w14:paraId="06A6EC8C">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55.4 </w:t>
            </w:r>
          </w:p>
        </w:tc>
        <w:tc>
          <w:tcPr>
            <w:tcW w:w="833" w:type="dxa"/>
            <w:tcBorders>
              <w:top w:val="nil"/>
              <w:left w:val="nil"/>
              <w:bottom w:val="nil"/>
              <w:right w:val="nil"/>
            </w:tcBorders>
            <w:noWrap/>
          </w:tcPr>
          <w:p w14:paraId="4CCD6371">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17.6 </w:t>
            </w:r>
          </w:p>
        </w:tc>
        <w:tc>
          <w:tcPr>
            <w:tcW w:w="833" w:type="dxa"/>
            <w:tcBorders>
              <w:top w:val="nil"/>
              <w:left w:val="nil"/>
              <w:bottom w:val="nil"/>
              <w:right w:val="nil"/>
            </w:tcBorders>
            <w:noWrap/>
          </w:tcPr>
          <w:p w14:paraId="7E6CC2CF">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24.4 </w:t>
            </w:r>
          </w:p>
        </w:tc>
        <w:tc>
          <w:tcPr>
            <w:tcW w:w="833" w:type="dxa"/>
            <w:tcBorders>
              <w:top w:val="nil"/>
              <w:left w:val="nil"/>
              <w:bottom w:val="nil"/>
              <w:right w:val="nil"/>
            </w:tcBorders>
            <w:noWrap/>
          </w:tcPr>
          <w:p w14:paraId="2D7A7A7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2.1 </w:t>
            </w:r>
          </w:p>
        </w:tc>
        <w:tc>
          <w:tcPr>
            <w:tcW w:w="833" w:type="dxa"/>
            <w:tcBorders>
              <w:top w:val="nil"/>
              <w:left w:val="nil"/>
              <w:bottom w:val="nil"/>
              <w:right w:val="nil"/>
            </w:tcBorders>
            <w:noWrap/>
          </w:tcPr>
          <w:p w14:paraId="4EB8ACB3">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115.6 </w:t>
            </w:r>
          </w:p>
        </w:tc>
        <w:tc>
          <w:tcPr>
            <w:tcW w:w="833" w:type="dxa"/>
            <w:tcBorders>
              <w:top w:val="nil"/>
              <w:left w:val="nil"/>
              <w:bottom w:val="nil"/>
              <w:right w:val="nil"/>
            </w:tcBorders>
            <w:noWrap/>
          </w:tcPr>
          <w:p w14:paraId="1DC632D6">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67.4 </w:t>
            </w:r>
          </w:p>
        </w:tc>
        <w:tc>
          <w:tcPr>
            <w:tcW w:w="833" w:type="dxa"/>
            <w:tcBorders>
              <w:top w:val="nil"/>
              <w:left w:val="nil"/>
              <w:bottom w:val="nil"/>
              <w:right w:val="nil"/>
            </w:tcBorders>
            <w:noWrap/>
          </w:tcPr>
          <w:p w14:paraId="5798ED1E">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1.0 </w:t>
            </w:r>
          </w:p>
        </w:tc>
        <w:tc>
          <w:tcPr>
            <w:tcW w:w="833" w:type="dxa"/>
            <w:tcBorders>
              <w:top w:val="nil"/>
              <w:left w:val="nil"/>
              <w:bottom w:val="nil"/>
              <w:right w:val="nil"/>
            </w:tcBorders>
            <w:noWrap/>
          </w:tcPr>
          <w:p w14:paraId="20CD8CA4">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0.0 </w:t>
            </w:r>
          </w:p>
        </w:tc>
        <w:tc>
          <w:tcPr>
            <w:tcW w:w="833" w:type="dxa"/>
            <w:tcBorders>
              <w:top w:val="nil"/>
              <w:left w:val="nil"/>
              <w:bottom w:val="nil"/>
              <w:right w:val="nil"/>
            </w:tcBorders>
            <w:noWrap/>
          </w:tcPr>
          <w:p w14:paraId="089922E8">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57.2 </w:t>
            </w:r>
          </w:p>
        </w:tc>
        <w:tc>
          <w:tcPr>
            <w:tcW w:w="833" w:type="dxa"/>
            <w:tcBorders>
              <w:top w:val="nil"/>
              <w:left w:val="nil"/>
              <w:bottom w:val="nil"/>
              <w:right w:val="nil"/>
            </w:tcBorders>
            <w:noWrap/>
          </w:tcPr>
          <w:p w14:paraId="75DCE203">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10.7 </w:t>
            </w:r>
          </w:p>
        </w:tc>
        <w:tc>
          <w:tcPr>
            <w:tcW w:w="833" w:type="dxa"/>
            <w:tcBorders>
              <w:top w:val="nil"/>
              <w:left w:val="nil"/>
              <w:bottom w:val="nil"/>
              <w:right w:val="nil"/>
            </w:tcBorders>
            <w:noWrap/>
          </w:tcPr>
          <w:p w14:paraId="35D79516">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0.2 </w:t>
            </w:r>
          </w:p>
        </w:tc>
        <w:tc>
          <w:tcPr>
            <w:tcW w:w="833" w:type="dxa"/>
            <w:tcBorders>
              <w:top w:val="nil"/>
              <w:left w:val="nil"/>
              <w:bottom w:val="nil"/>
              <w:right w:val="nil"/>
            </w:tcBorders>
            <w:noWrap/>
          </w:tcPr>
          <w:p w14:paraId="2A7F3A8B">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0.1 </w:t>
            </w:r>
          </w:p>
        </w:tc>
      </w:tr>
      <w:tr w14:paraId="438F9DA2">
        <w:tblPrEx>
          <w:tblCellMar>
            <w:top w:w="0" w:type="dxa"/>
            <w:left w:w="108" w:type="dxa"/>
            <w:bottom w:w="0" w:type="dxa"/>
            <w:right w:w="108" w:type="dxa"/>
          </w:tblCellMar>
        </w:tblPrEx>
        <w:trPr>
          <w:trHeight w:val="300" w:hRule="atLeast"/>
        </w:trPr>
        <w:tc>
          <w:tcPr>
            <w:tcW w:w="1354" w:type="dxa"/>
            <w:tcBorders>
              <w:top w:val="nil"/>
              <w:left w:val="nil"/>
              <w:bottom w:val="single" w:color="auto" w:sz="4" w:space="0"/>
              <w:right w:val="nil"/>
            </w:tcBorders>
            <w:noWrap/>
          </w:tcPr>
          <w:p w14:paraId="07DD950C">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Hammerstone</w:t>
            </w:r>
          </w:p>
        </w:tc>
        <w:tc>
          <w:tcPr>
            <w:tcW w:w="833" w:type="dxa"/>
            <w:tcBorders>
              <w:top w:val="nil"/>
              <w:left w:val="nil"/>
              <w:bottom w:val="single" w:color="auto" w:sz="4" w:space="0"/>
              <w:right w:val="nil"/>
            </w:tcBorders>
            <w:noWrap/>
          </w:tcPr>
          <w:p w14:paraId="5AABA495">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84.5 </w:t>
            </w:r>
          </w:p>
        </w:tc>
        <w:tc>
          <w:tcPr>
            <w:tcW w:w="833" w:type="dxa"/>
            <w:tcBorders>
              <w:top w:val="nil"/>
              <w:left w:val="nil"/>
              <w:bottom w:val="single" w:color="auto" w:sz="4" w:space="0"/>
              <w:right w:val="nil"/>
            </w:tcBorders>
            <w:noWrap/>
          </w:tcPr>
          <w:p w14:paraId="05D5BCF4">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7.9 </w:t>
            </w:r>
          </w:p>
        </w:tc>
        <w:tc>
          <w:tcPr>
            <w:tcW w:w="833" w:type="dxa"/>
            <w:tcBorders>
              <w:top w:val="nil"/>
              <w:left w:val="nil"/>
              <w:bottom w:val="single" w:color="auto" w:sz="4" w:space="0"/>
              <w:right w:val="nil"/>
            </w:tcBorders>
            <w:noWrap/>
          </w:tcPr>
          <w:p w14:paraId="73BE816D">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71.8 </w:t>
            </w:r>
          </w:p>
        </w:tc>
        <w:tc>
          <w:tcPr>
            <w:tcW w:w="833" w:type="dxa"/>
            <w:tcBorders>
              <w:top w:val="nil"/>
              <w:left w:val="nil"/>
              <w:bottom w:val="single" w:color="auto" w:sz="4" w:space="0"/>
              <w:right w:val="nil"/>
            </w:tcBorders>
            <w:noWrap/>
          </w:tcPr>
          <w:p w14:paraId="6E7839EA">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15.7 </w:t>
            </w:r>
          </w:p>
        </w:tc>
        <w:tc>
          <w:tcPr>
            <w:tcW w:w="833" w:type="dxa"/>
            <w:tcBorders>
              <w:top w:val="nil"/>
              <w:left w:val="nil"/>
              <w:bottom w:val="single" w:color="auto" w:sz="4" w:space="0"/>
              <w:right w:val="nil"/>
            </w:tcBorders>
            <w:noWrap/>
          </w:tcPr>
          <w:p w14:paraId="1552C803">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47.3 </w:t>
            </w:r>
          </w:p>
        </w:tc>
        <w:tc>
          <w:tcPr>
            <w:tcW w:w="833" w:type="dxa"/>
            <w:tcBorders>
              <w:top w:val="nil"/>
              <w:left w:val="nil"/>
              <w:bottom w:val="single" w:color="auto" w:sz="4" w:space="0"/>
              <w:right w:val="nil"/>
            </w:tcBorders>
            <w:noWrap/>
          </w:tcPr>
          <w:p w14:paraId="23CFD443">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10.8 </w:t>
            </w:r>
          </w:p>
        </w:tc>
        <w:tc>
          <w:tcPr>
            <w:tcW w:w="833" w:type="dxa"/>
            <w:tcBorders>
              <w:top w:val="nil"/>
              <w:left w:val="nil"/>
              <w:bottom w:val="single" w:color="auto" w:sz="4" w:space="0"/>
              <w:right w:val="nil"/>
            </w:tcBorders>
            <w:noWrap/>
          </w:tcPr>
          <w:p w14:paraId="770ED884">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391.1 </w:t>
            </w:r>
          </w:p>
        </w:tc>
        <w:tc>
          <w:tcPr>
            <w:tcW w:w="833" w:type="dxa"/>
            <w:tcBorders>
              <w:top w:val="nil"/>
              <w:left w:val="nil"/>
              <w:bottom w:val="single" w:color="auto" w:sz="4" w:space="0"/>
              <w:right w:val="nil"/>
            </w:tcBorders>
            <w:noWrap/>
          </w:tcPr>
          <w:p w14:paraId="0F95396A">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 xml:space="preserve">214.8 </w:t>
            </w:r>
          </w:p>
        </w:tc>
        <w:tc>
          <w:tcPr>
            <w:tcW w:w="833" w:type="dxa"/>
            <w:tcBorders>
              <w:top w:val="nil"/>
              <w:left w:val="nil"/>
              <w:bottom w:val="single" w:color="auto" w:sz="4" w:space="0"/>
              <w:right w:val="nil"/>
            </w:tcBorders>
            <w:noWrap/>
          </w:tcPr>
          <w:p w14:paraId="6AC85BEA">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w:t>
            </w:r>
          </w:p>
        </w:tc>
        <w:tc>
          <w:tcPr>
            <w:tcW w:w="833" w:type="dxa"/>
            <w:tcBorders>
              <w:top w:val="nil"/>
              <w:left w:val="nil"/>
              <w:bottom w:val="single" w:color="auto" w:sz="4" w:space="0"/>
              <w:right w:val="nil"/>
            </w:tcBorders>
            <w:noWrap/>
          </w:tcPr>
          <w:p w14:paraId="237B19FE">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w:t>
            </w:r>
          </w:p>
        </w:tc>
        <w:tc>
          <w:tcPr>
            <w:tcW w:w="833" w:type="dxa"/>
            <w:tcBorders>
              <w:top w:val="nil"/>
              <w:left w:val="nil"/>
              <w:bottom w:val="single" w:color="auto" w:sz="4" w:space="0"/>
              <w:right w:val="nil"/>
            </w:tcBorders>
            <w:noWrap/>
          </w:tcPr>
          <w:p w14:paraId="44A0F406">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w:t>
            </w:r>
          </w:p>
        </w:tc>
        <w:tc>
          <w:tcPr>
            <w:tcW w:w="833" w:type="dxa"/>
            <w:tcBorders>
              <w:top w:val="nil"/>
              <w:left w:val="nil"/>
              <w:bottom w:val="single" w:color="auto" w:sz="4" w:space="0"/>
              <w:right w:val="nil"/>
            </w:tcBorders>
            <w:noWrap/>
          </w:tcPr>
          <w:p w14:paraId="6DBE6058">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w:t>
            </w:r>
          </w:p>
        </w:tc>
        <w:tc>
          <w:tcPr>
            <w:tcW w:w="833" w:type="dxa"/>
            <w:tcBorders>
              <w:top w:val="nil"/>
              <w:left w:val="nil"/>
              <w:bottom w:val="single" w:color="auto" w:sz="4" w:space="0"/>
              <w:right w:val="nil"/>
            </w:tcBorders>
            <w:noWrap/>
          </w:tcPr>
          <w:p w14:paraId="3B830BD3">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w:t>
            </w:r>
          </w:p>
        </w:tc>
        <w:tc>
          <w:tcPr>
            <w:tcW w:w="833" w:type="dxa"/>
            <w:tcBorders>
              <w:top w:val="nil"/>
              <w:left w:val="nil"/>
              <w:bottom w:val="single" w:color="auto" w:sz="4" w:space="0"/>
              <w:right w:val="nil"/>
            </w:tcBorders>
            <w:noWrap/>
          </w:tcPr>
          <w:p w14:paraId="2D69813C">
            <w:pPr>
              <w:keepNext w:val="0"/>
              <w:keepLines w:val="0"/>
              <w:widowControl/>
              <w:suppressLineNumbers w:val="0"/>
              <w:spacing w:before="0" w:beforeAutospacing="0" w:after="0" w:afterAutospacing="0" w:line="240" w:lineRule="auto"/>
              <w:ind w:left="0" w:right="0" w:firstLine="0"/>
              <w:rPr>
                <w:rFonts w:hint="default" w:eastAsia="等线"/>
                <w:sz w:val="20"/>
                <w:szCs w:val="20"/>
              </w:rPr>
            </w:pPr>
            <w:r>
              <w:rPr>
                <w:rFonts w:hint="default" w:eastAsia="等线"/>
                <w:sz w:val="20"/>
                <w:szCs w:val="20"/>
              </w:rPr>
              <w:t>-</w:t>
            </w:r>
          </w:p>
        </w:tc>
      </w:tr>
    </w:tbl>
    <w:p w14:paraId="779F2A96"/>
    <w:p w14:paraId="3031BB6C"/>
    <w:p w14:paraId="7EEFECAE"/>
    <w:p w14:paraId="5557D63B"/>
    <w:p w14:paraId="25C27B90"/>
    <w:p w14:paraId="310B0CE5">
      <w:pPr>
        <w:rPr>
          <w:b/>
          <w:bCs/>
        </w:rPr>
      </w:pPr>
    </w:p>
    <w:p w14:paraId="0FFA6EE8">
      <w:pPr>
        <w:rPr>
          <w:b/>
          <w:bCs/>
        </w:rPr>
      </w:pPr>
    </w:p>
    <w:p w14:paraId="157D7939">
      <w:pPr>
        <w:rPr>
          <w:b/>
          <w:bCs/>
        </w:rPr>
      </w:pPr>
    </w:p>
    <w:p w14:paraId="09A0495D">
      <w:pPr>
        <w:rPr>
          <w:b/>
          <w:bCs/>
        </w:rPr>
      </w:pPr>
    </w:p>
    <w:p w14:paraId="652B3D77">
      <w:pPr>
        <w:rPr>
          <w:b/>
          <w:bCs/>
        </w:rPr>
      </w:pPr>
    </w:p>
    <w:p w14:paraId="46E1DF6A">
      <w:pPr>
        <w:rPr>
          <w:b/>
          <w:bCs/>
        </w:rPr>
      </w:pPr>
    </w:p>
    <w:p w14:paraId="6244AF89">
      <w:pPr>
        <w:rPr>
          <w:b/>
          <w:bCs/>
        </w:rPr>
      </w:pPr>
    </w:p>
    <w:p w14:paraId="000F064C">
      <w:pPr>
        <w:rPr>
          <w:b/>
          <w:bCs/>
        </w:rPr>
      </w:pPr>
    </w:p>
    <w:p w14:paraId="5B7137D2">
      <w:pPr>
        <w:pStyle w:val="7"/>
        <w:keepNext w:val="0"/>
        <w:keepLines w:val="0"/>
        <w:pageBreakBefore w:val="0"/>
        <w:widowControl/>
        <w:kinsoku/>
        <w:wordWrap/>
        <w:overflowPunct/>
        <w:topLinePunct w:val="0"/>
        <w:autoSpaceDE/>
        <w:autoSpaceDN/>
        <w:bidi w:val="0"/>
        <w:adjustRightInd/>
        <w:snapToGrid/>
        <w:textAlignment w:val="auto"/>
      </w:pPr>
      <w:bookmarkStart w:id="29" w:name="_Hlk218418855"/>
      <w:r>
        <w:rPr>
          <w:b/>
          <w:bCs w:val="0"/>
        </w:rPr>
        <w:t xml:space="preserve">Supplementary Table </w:t>
      </w:r>
      <w:r>
        <w:rPr>
          <w:rFonts w:hint="eastAsia"/>
          <w:b/>
          <w:bCs w:val="0"/>
          <w:lang w:val="en-US" w:eastAsia="zh-CN"/>
        </w:rPr>
        <w:t>24</w:t>
      </w:r>
      <w:r>
        <w:rPr>
          <w:color w:val="auto"/>
        </w:rPr>
        <w:t xml:space="preserve"> | </w:t>
      </w:r>
      <w:bookmarkEnd w:id="29"/>
      <w:r>
        <w:rPr>
          <w:rFonts w:hint="eastAsia"/>
          <w:color w:val="auto"/>
        </w:rPr>
        <w:t>Deta</w:t>
      </w:r>
      <w:r>
        <w:rPr>
          <w:rFonts w:hint="eastAsia"/>
        </w:rPr>
        <w:t>iled information for individual bone tools from Layers 7, 4 and 3 of Bianfu Cave</w:t>
      </w:r>
      <w:r>
        <w:t>.</w:t>
      </w:r>
    </w:p>
    <w:tbl>
      <w:tblPr>
        <w:tblStyle w:val="25"/>
        <w:tblW w:w="508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26"/>
        <w:gridCol w:w="818"/>
        <w:gridCol w:w="1265"/>
        <w:gridCol w:w="1403"/>
        <w:gridCol w:w="1330"/>
        <w:gridCol w:w="1048"/>
        <w:gridCol w:w="1110"/>
        <w:gridCol w:w="1054"/>
        <w:gridCol w:w="1169"/>
        <w:gridCol w:w="972"/>
        <w:gridCol w:w="1795"/>
      </w:tblGrid>
      <w:tr w14:paraId="3EE3E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atLeast"/>
          <w:jc w:val="center"/>
        </w:trPr>
        <w:tc>
          <w:tcPr>
            <w:tcW w:w="754" w:type="pct"/>
            <w:tcBorders>
              <w:top w:val="single" w:color="auto" w:sz="4" w:space="0"/>
              <w:bottom w:val="single" w:color="auto" w:sz="4" w:space="0"/>
            </w:tcBorders>
            <w:vAlign w:val="center"/>
          </w:tcPr>
          <w:p w14:paraId="2177658F">
            <w:pPr>
              <w:keepNext w:val="0"/>
              <w:keepLines w:val="0"/>
              <w:widowControl/>
              <w:suppressLineNumbers w:val="0"/>
              <w:spacing w:before="0" w:beforeAutospacing="0" w:after="0" w:afterAutospacing="0" w:line="240" w:lineRule="auto"/>
              <w:ind w:left="0" w:leftChars="0" w:right="0" w:firstLine="0" w:firstLineChars="0"/>
              <w:rPr>
                <w:rFonts w:hint="default"/>
                <w:kern w:val="2"/>
                <w:sz w:val="20"/>
                <w:szCs w:val="20"/>
              </w:rPr>
            </w:pPr>
            <w:r>
              <w:rPr>
                <w:rFonts w:hint="default"/>
                <w:kern w:val="2"/>
                <w:sz w:val="20"/>
                <w:szCs w:val="20"/>
              </w:rPr>
              <w:t>Tool ID</w:t>
            </w:r>
          </w:p>
        </w:tc>
        <w:tc>
          <w:tcPr>
            <w:tcW w:w="290" w:type="pct"/>
            <w:tcBorders>
              <w:top w:val="single" w:color="auto" w:sz="4" w:space="0"/>
              <w:bottom w:val="single" w:color="auto" w:sz="4" w:space="0"/>
            </w:tcBorders>
            <w:vAlign w:val="center"/>
          </w:tcPr>
          <w:p w14:paraId="7C7FE022">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eastAsia"/>
                <w:kern w:val="2"/>
                <w:sz w:val="20"/>
                <w:szCs w:val="20"/>
                <w:lang w:bidi="ar"/>
              </w:rPr>
              <w:t>Layer</w:t>
            </w:r>
          </w:p>
        </w:tc>
        <w:tc>
          <w:tcPr>
            <w:tcW w:w="449" w:type="pct"/>
            <w:tcBorders>
              <w:top w:val="single" w:color="auto" w:sz="4" w:space="0"/>
              <w:bottom w:val="single" w:color="auto" w:sz="4" w:space="0"/>
            </w:tcBorders>
            <w:vAlign w:val="center"/>
          </w:tcPr>
          <w:p w14:paraId="50C6799A">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rPr>
            </w:pPr>
            <w:r>
              <w:rPr>
                <w:rFonts w:hint="default"/>
                <w:kern w:val="2"/>
                <w:sz w:val="20"/>
                <w:szCs w:val="20"/>
                <w:lang w:bidi="ar"/>
              </w:rPr>
              <w:t>Element</w:t>
            </w:r>
          </w:p>
        </w:tc>
        <w:tc>
          <w:tcPr>
            <w:tcW w:w="498" w:type="pct"/>
            <w:tcBorders>
              <w:top w:val="single" w:color="auto" w:sz="4" w:space="0"/>
              <w:bottom w:val="single" w:color="auto" w:sz="4" w:space="0"/>
            </w:tcBorders>
            <w:vAlign w:val="center"/>
          </w:tcPr>
          <w:p w14:paraId="6933EF85">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eastAsia"/>
                <w:kern w:val="2"/>
                <w:sz w:val="20"/>
                <w:szCs w:val="20"/>
                <w:lang w:bidi="ar"/>
              </w:rPr>
              <w:t>Completeness</w:t>
            </w:r>
          </w:p>
        </w:tc>
        <w:tc>
          <w:tcPr>
            <w:tcW w:w="472" w:type="pct"/>
            <w:tcBorders>
              <w:top w:val="single" w:color="auto" w:sz="4" w:space="0"/>
              <w:bottom w:val="single" w:color="auto" w:sz="4" w:space="0"/>
            </w:tcBorders>
            <w:vAlign w:val="center"/>
          </w:tcPr>
          <w:p w14:paraId="0878B4B6">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rPr>
            </w:pPr>
            <w:r>
              <w:rPr>
                <w:rFonts w:hint="default"/>
                <w:kern w:val="2"/>
                <w:sz w:val="20"/>
                <w:szCs w:val="20"/>
                <w:lang w:bidi="ar"/>
              </w:rPr>
              <w:t>Animal Size</w:t>
            </w:r>
          </w:p>
        </w:tc>
        <w:tc>
          <w:tcPr>
            <w:tcW w:w="372" w:type="pct"/>
            <w:tcBorders>
              <w:top w:val="single" w:color="auto" w:sz="4" w:space="0"/>
              <w:bottom w:val="single" w:color="auto" w:sz="4" w:space="0"/>
            </w:tcBorders>
            <w:vAlign w:val="center"/>
          </w:tcPr>
          <w:p w14:paraId="19B9531B">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eastAsia"/>
                <w:kern w:val="2"/>
                <w:sz w:val="20"/>
                <w:szCs w:val="20"/>
                <w:lang w:bidi="ar"/>
              </w:rPr>
              <w:t xml:space="preserve">Max </w:t>
            </w:r>
            <w:r>
              <w:rPr>
                <w:rFonts w:hint="default"/>
                <w:kern w:val="2"/>
                <w:sz w:val="20"/>
                <w:szCs w:val="20"/>
                <w:lang w:bidi="ar"/>
              </w:rPr>
              <w:t>L</w:t>
            </w:r>
            <w:r>
              <w:rPr>
                <w:rFonts w:hint="eastAsia"/>
                <w:kern w:val="2"/>
                <w:sz w:val="20"/>
                <w:szCs w:val="20"/>
                <w:lang w:bidi="ar"/>
              </w:rPr>
              <w:t xml:space="preserve">ength </w:t>
            </w:r>
            <w:r>
              <w:rPr>
                <w:rFonts w:hint="default"/>
                <w:kern w:val="2"/>
                <w:sz w:val="20"/>
                <w:szCs w:val="20"/>
                <w:lang w:bidi="ar"/>
              </w:rPr>
              <w:t>(mm)</w:t>
            </w:r>
          </w:p>
        </w:tc>
        <w:tc>
          <w:tcPr>
            <w:tcW w:w="394" w:type="pct"/>
            <w:tcBorders>
              <w:top w:val="single" w:color="auto" w:sz="4" w:space="0"/>
              <w:bottom w:val="single" w:color="auto" w:sz="4" w:space="0"/>
            </w:tcBorders>
            <w:vAlign w:val="center"/>
          </w:tcPr>
          <w:p w14:paraId="75B5F3FE">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eastAsia"/>
                <w:kern w:val="2"/>
                <w:sz w:val="20"/>
                <w:szCs w:val="20"/>
                <w:lang w:bidi="ar"/>
              </w:rPr>
              <w:t xml:space="preserve">Max Width </w:t>
            </w:r>
            <w:r>
              <w:rPr>
                <w:rFonts w:hint="default"/>
                <w:kern w:val="2"/>
                <w:sz w:val="20"/>
                <w:szCs w:val="20"/>
                <w:lang w:bidi="ar"/>
              </w:rPr>
              <w:t>(mm)</w:t>
            </w:r>
          </w:p>
        </w:tc>
        <w:tc>
          <w:tcPr>
            <w:tcW w:w="374" w:type="pct"/>
            <w:tcBorders>
              <w:top w:val="single" w:color="auto" w:sz="4" w:space="0"/>
              <w:bottom w:val="single" w:color="auto" w:sz="4" w:space="0"/>
            </w:tcBorders>
            <w:vAlign w:val="center"/>
          </w:tcPr>
          <w:p w14:paraId="605E5886">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rPr>
            </w:pPr>
            <w:r>
              <w:rPr>
                <w:rFonts w:hint="eastAsia"/>
                <w:kern w:val="2"/>
                <w:sz w:val="20"/>
                <w:szCs w:val="20"/>
                <w:lang w:bidi="ar"/>
              </w:rPr>
              <w:t xml:space="preserve">Max </w:t>
            </w:r>
            <w:r>
              <w:rPr>
                <w:rFonts w:hint="default"/>
                <w:kern w:val="2"/>
                <w:sz w:val="20"/>
                <w:szCs w:val="20"/>
                <w:lang w:bidi="ar"/>
              </w:rPr>
              <w:t>Th</w:t>
            </w:r>
            <w:r>
              <w:rPr>
                <w:rFonts w:hint="eastAsia"/>
                <w:kern w:val="2"/>
                <w:sz w:val="20"/>
                <w:szCs w:val="20"/>
                <w:lang w:bidi="ar"/>
              </w:rPr>
              <w:t xml:space="preserve">ickness </w:t>
            </w:r>
            <w:r>
              <w:rPr>
                <w:rFonts w:hint="default"/>
                <w:kern w:val="2"/>
                <w:sz w:val="20"/>
                <w:szCs w:val="20"/>
                <w:lang w:bidi="ar"/>
              </w:rPr>
              <w:t>(mm)</w:t>
            </w:r>
          </w:p>
        </w:tc>
        <w:tc>
          <w:tcPr>
            <w:tcW w:w="415" w:type="pct"/>
            <w:tcBorders>
              <w:top w:val="single" w:color="auto" w:sz="4" w:space="0"/>
              <w:bottom w:val="single" w:color="auto" w:sz="4" w:space="0"/>
            </w:tcBorders>
            <w:vAlign w:val="center"/>
          </w:tcPr>
          <w:p w14:paraId="1E76F342">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lang w:bidi="ar"/>
              </w:rPr>
              <w:t>Natural modif.</w:t>
            </w:r>
            <w:r>
              <w:rPr>
                <w:rFonts w:hint="default"/>
                <w:kern w:val="2"/>
                <w:sz w:val="20"/>
                <w:szCs w:val="20"/>
                <w:vertAlign w:val="superscript"/>
                <w:lang w:bidi="ar"/>
              </w:rPr>
              <w:t xml:space="preserve"> a</w:t>
            </w:r>
          </w:p>
        </w:tc>
        <w:tc>
          <w:tcPr>
            <w:tcW w:w="345" w:type="pct"/>
            <w:tcBorders>
              <w:top w:val="single" w:color="auto" w:sz="4" w:space="0"/>
              <w:bottom w:val="single" w:color="auto" w:sz="4" w:space="0"/>
            </w:tcBorders>
            <w:vAlign w:val="center"/>
          </w:tcPr>
          <w:p w14:paraId="545EF800">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lang w:bidi="ar"/>
              </w:rPr>
              <w:t>Human modif.</w:t>
            </w:r>
          </w:p>
        </w:tc>
        <w:tc>
          <w:tcPr>
            <w:tcW w:w="637" w:type="pct"/>
            <w:tcBorders>
              <w:top w:val="single" w:color="auto" w:sz="4" w:space="0"/>
              <w:bottom w:val="single" w:color="auto" w:sz="4" w:space="0"/>
            </w:tcBorders>
            <w:vAlign w:val="center"/>
          </w:tcPr>
          <w:p w14:paraId="5A5D0DB6">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rPr>
            </w:pPr>
            <w:r>
              <w:rPr>
                <w:rFonts w:hint="default"/>
                <w:kern w:val="2"/>
                <w:sz w:val="20"/>
                <w:szCs w:val="20"/>
                <w:lang w:bidi="ar"/>
              </w:rPr>
              <w:t>Tool Type</w:t>
            </w:r>
          </w:p>
        </w:tc>
      </w:tr>
      <w:tr w14:paraId="45DB8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54" w:type="pct"/>
            <w:tcBorders>
              <w:top w:val="single" w:color="auto" w:sz="4" w:space="0"/>
            </w:tcBorders>
          </w:tcPr>
          <w:p w14:paraId="48150902">
            <w:pPr>
              <w:keepNext w:val="0"/>
              <w:keepLines w:val="0"/>
              <w:widowControl/>
              <w:suppressLineNumbers w:val="0"/>
              <w:spacing w:before="0" w:beforeAutospacing="0" w:afterAutospacing="0"/>
              <w:ind w:left="0" w:right="0" w:firstLine="0"/>
              <w:textAlignment w:val="center"/>
              <w:rPr>
                <w:rFonts w:hint="default"/>
                <w:kern w:val="2"/>
                <w:sz w:val="20"/>
                <w:szCs w:val="20"/>
                <w:lang w:bidi="ar"/>
              </w:rPr>
            </w:pPr>
            <w:r>
              <w:rPr>
                <w:rFonts w:hint="default"/>
                <w:color w:val="000000"/>
                <w:kern w:val="0"/>
                <w:sz w:val="20"/>
                <w:szCs w:val="20"/>
                <w:lang w:bidi="ar"/>
              </w:rPr>
              <w:t>19YHB-T2-3-L2:2051</w:t>
            </w:r>
          </w:p>
        </w:tc>
        <w:tc>
          <w:tcPr>
            <w:tcW w:w="290" w:type="pct"/>
            <w:tcBorders>
              <w:top w:val="single" w:color="auto" w:sz="4" w:space="0"/>
            </w:tcBorders>
          </w:tcPr>
          <w:p w14:paraId="6A07783A">
            <w:pPr>
              <w:keepNext w:val="0"/>
              <w:keepLines w:val="0"/>
              <w:widowControl/>
              <w:suppressLineNumbers w:val="0"/>
              <w:spacing w:before="0" w:beforeAutospacing="0" w:after="0" w:afterAutospacing="0" w:line="240" w:lineRule="auto"/>
              <w:ind w:left="0" w:right="0" w:firstLine="0"/>
              <w:textAlignment w:val="center"/>
              <w:rPr>
                <w:rFonts w:hint="default"/>
                <w:b w:val="0"/>
                <w:bCs w:val="0"/>
                <w:kern w:val="2"/>
                <w:sz w:val="20"/>
                <w:szCs w:val="20"/>
                <w:lang w:bidi="ar"/>
              </w:rPr>
            </w:pPr>
            <w:r>
              <w:rPr>
                <w:rFonts w:hint="default"/>
                <w:b w:val="0"/>
                <w:bCs w:val="0"/>
                <w:kern w:val="2"/>
                <w:sz w:val="20"/>
                <w:szCs w:val="20"/>
                <w:lang w:bidi="ar"/>
              </w:rPr>
              <w:t>3</w:t>
            </w:r>
          </w:p>
        </w:tc>
        <w:tc>
          <w:tcPr>
            <w:tcW w:w="449" w:type="pct"/>
            <w:tcBorders>
              <w:top w:val="single" w:color="auto" w:sz="4" w:space="0"/>
            </w:tcBorders>
          </w:tcPr>
          <w:p w14:paraId="3B9C357E">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eastAsia"/>
                <w:kern w:val="2"/>
                <w:sz w:val="20"/>
                <w:szCs w:val="20"/>
                <w:lang w:bidi="ar"/>
              </w:rPr>
              <w:t>long bone</w:t>
            </w:r>
          </w:p>
        </w:tc>
        <w:tc>
          <w:tcPr>
            <w:tcW w:w="498" w:type="pct"/>
            <w:tcBorders>
              <w:top w:val="single" w:color="auto" w:sz="4" w:space="0"/>
            </w:tcBorders>
          </w:tcPr>
          <w:p w14:paraId="72BCF63E">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lang w:bidi="ar"/>
              </w:rPr>
              <w:t>complete</w:t>
            </w:r>
          </w:p>
        </w:tc>
        <w:tc>
          <w:tcPr>
            <w:tcW w:w="472" w:type="pct"/>
            <w:tcBorders>
              <w:top w:val="single" w:color="auto" w:sz="4" w:space="0"/>
            </w:tcBorders>
          </w:tcPr>
          <w:p w14:paraId="563F8FB3">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lang w:bidi="ar"/>
              </w:rPr>
              <w:t>large</w:t>
            </w:r>
          </w:p>
        </w:tc>
        <w:tc>
          <w:tcPr>
            <w:tcW w:w="372" w:type="pct"/>
            <w:tcBorders>
              <w:top w:val="single" w:color="auto" w:sz="4" w:space="0"/>
            </w:tcBorders>
          </w:tcPr>
          <w:p w14:paraId="5F78A483">
            <w:pPr>
              <w:keepNext w:val="0"/>
              <w:keepLines w:val="0"/>
              <w:widowControl/>
              <w:suppressLineNumbers w:val="0"/>
              <w:spacing w:before="0" w:beforeAutospacing="0" w:afterAutospacing="0"/>
              <w:ind w:left="0" w:right="0" w:firstLine="0"/>
              <w:textAlignment w:val="center"/>
              <w:rPr>
                <w:rFonts w:hint="default"/>
                <w:kern w:val="2"/>
                <w:sz w:val="20"/>
                <w:szCs w:val="20"/>
                <w:lang w:bidi="ar"/>
              </w:rPr>
            </w:pPr>
            <w:r>
              <w:rPr>
                <w:rFonts w:hint="default"/>
                <w:color w:val="000000"/>
                <w:kern w:val="0"/>
                <w:sz w:val="20"/>
                <w:szCs w:val="20"/>
                <w:lang w:bidi="ar"/>
              </w:rPr>
              <w:t>144.32</w:t>
            </w:r>
          </w:p>
        </w:tc>
        <w:tc>
          <w:tcPr>
            <w:tcW w:w="394" w:type="pct"/>
            <w:tcBorders>
              <w:top w:val="single" w:color="auto" w:sz="4" w:space="0"/>
            </w:tcBorders>
          </w:tcPr>
          <w:p w14:paraId="324C114E">
            <w:pPr>
              <w:keepNext w:val="0"/>
              <w:keepLines w:val="0"/>
              <w:widowControl/>
              <w:suppressLineNumbers w:val="0"/>
              <w:spacing w:before="0" w:beforeAutospacing="0" w:afterAutospacing="0"/>
              <w:ind w:left="0" w:right="0" w:firstLine="0"/>
              <w:textAlignment w:val="center"/>
              <w:rPr>
                <w:rFonts w:hint="default"/>
                <w:kern w:val="2"/>
                <w:sz w:val="20"/>
                <w:szCs w:val="20"/>
                <w:lang w:bidi="ar"/>
              </w:rPr>
            </w:pPr>
            <w:r>
              <w:rPr>
                <w:rFonts w:hint="default"/>
                <w:color w:val="000000"/>
                <w:kern w:val="0"/>
                <w:sz w:val="20"/>
                <w:szCs w:val="20"/>
                <w:lang w:bidi="ar"/>
              </w:rPr>
              <w:t>41.5</w:t>
            </w:r>
          </w:p>
        </w:tc>
        <w:tc>
          <w:tcPr>
            <w:tcW w:w="374" w:type="pct"/>
            <w:tcBorders>
              <w:top w:val="single" w:color="auto" w:sz="4" w:space="0"/>
            </w:tcBorders>
          </w:tcPr>
          <w:p w14:paraId="2B409D67">
            <w:pPr>
              <w:keepNext w:val="0"/>
              <w:keepLines w:val="0"/>
              <w:widowControl/>
              <w:suppressLineNumbers w:val="0"/>
              <w:spacing w:before="0" w:beforeAutospacing="0" w:afterAutospacing="0"/>
              <w:ind w:left="0" w:right="0" w:firstLine="0"/>
              <w:textAlignment w:val="center"/>
              <w:rPr>
                <w:rFonts w:hint="default"/>
                <w:kern w:val="2"/>
                <w:sz w:val="20"/>
                <w:szCs w:val="20"/>
                <w:lang w:bidi="ar"/>
              </w:rPr>
            </w:pPr>
            <w:r>
              <w:rPr>
                <w:rFonts w:hint="default"/>
                <w:color w:val="000000"/>
                <w:kern w:val="0"/>
                <w:sz w:val="20"/>
                <w:szCs w:val="20"/>
                <w:lang w:bidi="ar"/>
              </w:rPr>
              <w:t>15.96</w:t>
            </w:r>
          </w:p>
        </w:tc>
        <w:tc>
          <w:tcPr>
            <w:tcW w:w="415" w:type="pct"/>
            <w:tcBorders>
              <w:top w:val="single" w:color="auto" w:sz="4" w:space="0"/>
            </w:tcBorders>
          </w:tcPr>
          <w:p w14:paraId="68E33781">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rPr>
            </w:pPr>
            <w:r>
              <w:rPr>
                <w:rFonts w:hint="default"/>
                <w:kern w:val="2"/>
                <w:sz w:val="20"/>
                <w:szCs w:val="20"/>
              </w:rPr>
              <w:t>wea-1, con, fm,</w:t>
            </w:r>
          </w:p>
        </w:tc>
        <w:tc>
          <w:tcPr>
            <w:tcW w:w="345" w:type="pct"/>
            <w:tcBorders>
              <w:top w:val="single" w:color="auto" w:sz="4" w:space="0"/>
            </w:tcBorders>
          </w:tcPr>
          <w:p w14:paraId="6FD54DD1">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rPr>
            </w:pPr>
            <w:r>
              <w:rPr>
                <w:rFonts w:hint="default"/>
                <w:kern w:val="2"/>
                <w:sz w:val="20"/>
                <w:szCs w:val="20"/>
              </w:rPr>
              <w:t>li; fl</w:t>
            </w:r>
          </w:p>
        </w:tc>
        <w:tc>
          <w:tcPr>
            <w:tcW w:w="637" w:type="pct"/>
            <w:tcBorders>
              <w:top w:val="single" w:color="auto" w:sz="4" w:space="0"/>
            </w:tcBorders>
          </w:tcPr>
          <w:p w14:paraId="651731BA">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eastAsia"/>
                <w:kern w:val="2"/>
                <w:sz w:val="20"/>
                <w:szCs w:val="20"/>
                <w:lang w:bidi="ar"/>
              </w:rPr>
              <w:t>retoucher</w:t>
            </w:r>
          </w:p>
        </w:tc>
      </w:tr>
      <w:tr w14:paraId="7AA13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54" w:type="pct"/>
          </w:tcPr>
          <w:p w14:paraId="12F6ADDA">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lang w:bidi="ar"/>
              </w:rPr>
              <w:t>19YHBT2-3-L2:2060</w:t>
            </w:r>
          </w:p>
        </w:tc>
        <w:tc>
          <w:tcPr>
            <w:tcW w:w="290" w:type="pct"/>
          </w:tcPr>
          <w:p w14:paraId="1C784682">
            <w:pPr>
              <w:keepNext w:val="0"/>
              <w:keepLines w:val="0"/>
              <w:widowControl/>
              <w:suppressLineNumbers w:val="0"/>
              <w:spacing w:before="0" w:beforeAutospacing="0" w:after="0" w:afterAutospacing="0" w:line="240" w:lineRule="auto"/>
              <w:ind w:left="0" w:right="0" w:firstLine="0"/>
              <w:textAlignment w:val="center"/>
              <w:rPr>
                <w:rFonts w:hint="default"/>
                <w:b w:val="0"/>
                <w:bCs w:val="0"/>
                <w:kern w:val="2"/>
                <w:sz w:val="20"/>
                <w:szCs w:val="20"/>
                <w:lang w:bidi="ar"/>
              </w:rPr>
            </w:pPr>
            <w:r>
              <w:rPr>
                <w:rFonts w:hint="default"/>
                <w:b w:val="0"/>
                <w:bCs w:val="0"/>
                <w:kern w:val="2"/>
                <w:sz w:val="20"/>
                <w:szCs w:val="20"/>
                <w:lang w:bidi="ar"/>
              </w:rPr>
              <w:t>3</w:t>
            </w:r>
          </w:p>
        </w:tc>
        <w:tc>
          <w:tcPr>
            <w:tcW w:w="449" w:type="pct"/>
          </w:tcPr>
          <w:p w14:paraId="4D35B98D">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lang w:bidi="ar"/>
              </w:rPr>
              <w:t>long bone</w:t>
            </w:r>
          </w:p>
        </w:tc>
        <w:tc>
          <w:tcPr>
            <w:tcW w:w="498" w:type="pct"/>
          </w:tcPr>
          <w:p w14:paraId="211C2546">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lang w:bidi="ar"/>
              </w:rPr>
              <w:t>complete</w:t>
            </w:r>
          </w:p>
        </w:tc>
        <w:tc>
          <w:tcPr>
            <w:tcW w:w="472" w:type="pct"/>
          </w:tcPr>
          <w:p w14:paraId="4FCEBA1B">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lang w:bidi="ar"/>
              </w:rPr>
              <w:t>medium</w:t>
            </w:r>
          </w:p>
        </w:tc>
        <w:tc>
          <w:tcPr>
            <w:tcW w:w="372" w:type="pct"/>
          </w:tcPr>
          <w:p w14:paraId="48C6892E">
            <w:pPr>
              <w:keepNext w:val="0"/>
              <w:keepLines w:val="0"/>
              <w:widowControl/>
              <w:suppressLineNumbers w:val="0"/>
              <w:spacing w:before="0" w:beforeAutospacing="0" w:afterAutospacing="0"/>
              <w:ind w:left="0" w:right="0" w:firstLine="0"/>
              <w:textAlignment w:val="center"/>
              <w:rPr>
                <w:rFonts w:hint="default"/>
                <w:kern w:val="2"/>
                <w:sz w:val="20"/>
                <w:szCs w:val="20"/>
                <w:lang w:bidi="ar"/>
              </w:rPr>
            </w:pPr>
            <w:r>
              <w:rPr>
                <w:rFonts w:hint="default"/>
                <w:color w:val="000000"/>
                <w:kern w:val="0"/>
                <w:sz w:val="20"/>
                <w:szCs w:val="20"/>
                <w:lang w:bidi="ar"/>
              </w:rPr>
              <w:t>69.21</w:t>
            </w:r>
          </w:p>
        </w:tc>
        <w:tc>
          <w:tcPr>
            <w:tcW w:w="394" w:type="pct"/>
          </w:tcPr>
          <w:p w14:paraId="03898EB8">
            <w:pPr>
              <w:keepNext w:val="0"/>
              <w:keepLines w:val="0"/>
              <w:widowControl/>
              <w:suppressLineNumbers w:val="0"/>
              <w:spacing w:before="0" w:beforeAutospacing="0" w:afterAutospacing="0"/>
              <w:ind w:left="0" w:right="0" w:firstLine="0"/>
              <w:textAlignment w:val="center"/>
              <w:rPr>
                <w:rFonts w:hint="default"/>
                <w:kern w:val="2"/>
                <w:sz w:val="20"/>
                <w:szCs w:val="20"/>
                <w:lang w:bidi="ar"/>
              </w:rPr>
            </w:pPr>
            <w:r>
              <w:rPr>
                <w:rFonts w:hint="default"/>
                <w:color w:val="000000"/>
                <w:kern w:val="0"/>
                <w:sz w:val="20"/>
                <w:szCs w:val="20"/>
                <w:lang w:bidi="ar"/>
              </w:rPr>
              <w:t>35.83</w:t>
            </w:r>
          </w:p>
        </w:tc>
        <w:tc>
          <w:tcPr>
            <w:tcW w:w="374" w:type="pct"/>
          </w:tcPr>
          <w:p w14:paraId="4F34D6A0">
            <w:pPr>
              <w:keepNext w:val="0"/>
              <w:keepLines w:val="0"/>
              <w:widowControl/>
              <w:suppressLineNumbers w:val="0"/>
              <w:spacing w:before="0" w:beforeAutospacing="0" w:afterAutospacing="0"/>
              <w:ind w:left="0" w:right="0" w:firstLine="0"/>
              <w:textAlignment w:val="center"/>
              <w:rPr>
                <w:rFonts w:hint="default"/>
                <w:kern w:val="2"/>
                <w:sz w:val="20"/>
                <w:szCs w:val="20"/>
                <w:lang w:bidi="ar"/>
              </w:rPr>
            </w:pPr>
            <w:r>
              <w:rPr>
                <w:rFonts w:hint="default"/>
                <w:color w:val="000000"/>
                <w:kern w:val="0"/>
                <w:sz w:val="20"/>
                <w:szCs w:val="20"/>
                <w:lang w:bidi="ar"/>
              </w:rPr>
              <w:t>15.24</w:t>
            </w:r>
          </w:p>
        </w:tc>
        <w:tc>
          <w:tcPr>
            <w:tcW w:w="415" w:type="pct"/>
          </w:tcPr>
          <w:p w14:paraId="391A914A">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rPr>
            </w:pPr>
            <w:r>
              <w:rPr>
                <w:rFonts w:hint="default"/>
                <w:kern w:val="2"/>
                <w:sz w:val="20"/>
                <w:szCs w:val="20"/>
              </w:rPr>
              <w:t>wea-1, con, fm,</w:t>
            </w:r>
          </w:p>
        </w:tc>
        <w:tc>
          <w:tcPr>
            <w:tcW w:w="345" w:type="pct"/>
          </w:tcPr>
          <w:p w14:paraId="4B44A391">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rPr>
            </w:pPr>
            <w:r>
              <w:rPr>
                <w:rFonts w:hint="default"/>
                <w:kern w:val="2"/>
                <w:sz w:val="20"/>
                <w:szCs w:val="20"/>
              </w:rPr>
              <w:t>cut; fl</w:t>
            </w:r>
          </w:p>
        </w:tc>
        <w:tc>
          <w:tcPr>
            <w:tcW w:w="637" w:type="pct"/>
          </w:tcPr>
          <w:p w14:paraId="2343C9CB">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lang w:bidi="ar"/>
              </w:rPr>
              <w:t>intermediate tool</w:t>
            </w:r>
          </w:p>
        </w:tc>
      </w:tr>
      <w:tr w14:paraId="17AD5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54" w:type="pct"/>
          </w:tcPr>
          <w:p w14:paraId="16784808">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lang w:bidi="ar"/>
              </w:rPr>
              <w:t>19YHBT2-4-L1:2826</w:t>
            </w:r>
          </w:p>
        </w:tc>
        <w:tc>
          <w:tcPr>
            <w:tcW w:w="290" w:type="pct"/>
          </w:tcPr>
          <w:p w14:paraId="1F7020AB">
            <w:pPr>
              <w:keepNext w:val="0"/>
              <w:keepLines w:val="0"/>
              <w:widowControl/>
              <w:suppressLineNumbers w:val="0"/>
              <w:spacing w:before="0" w:beforeAutospacing="0" w:after="0" w:afterAutospacing="0" w:line="240" w:lineRule="auto"/>
              <w:ind w:left="0" w:right="0" w:firstLine="0"/>
              <w:textAlignment w:val="center"/>
              <w:rPr>
                <w:rFonts w:hint="default"/>
                <w:b w:val="0"/>
                <w:bCs w:val="0"/>
                <w:kern w:val="2"/>
                <w:sz w:val="20"/>
                <w:szCs w:val="20"/>
                <w:lang w:bidi="ar"/>
              </w:rPr>
            </w:pPr>
            <w:r>
              <w:rPr>
                <w:rFonts w:hint="default"/>
                <w:b w:val="0"/>
                <w:bCs w:val="0"/>
                <w:kern w:val="2"/>
                <w:sz w:val="20"/>
                <w:szCs w:val="20"/>
                <w:lang w:bidi="ar"/>
              </w:rPr>
              <w:t>4</w:t>
            </w:r>
          </w:p>
        </w:tc>
        <w:tc>
          <w:tcPr>
            <w:tcW w:w="449" w:type="pct"/>
          </w:tcPr>
          <w:p w14:paraId="2BA1F7B8">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lang w:bidi="ar"/>
              </w:rPr>
              <w:t>femur?</w:t>
            </w:r>
          </w:p>
        </w:tc>
        <w:tc>
          <w:tcPr>
            <w:tcW w:w="498" w:type="pct"/>
          </w:tcPr>
          <w:p w14:paraId="7FA91F23">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lang w:bidi="ar"/>
              </w:rPr>
              <w:t>complete</w:t>
            </w:r>
          </w:p>
        </w:tc>
        <w:tc>
          <w:tcPr>
            <w:tcW w:w="472" w:type="pct"/>
          </w:tcPr>
          <w:p w14:paraId="161C84FE">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lang w:bidi="ar"/>
              </w:rPr>
              <w:t>medium-large</w:t>
            </w:r>
          </w:p>
        </w:tc>
        <w:tc>
          <w:tcPr>
            <w:tcW w:w="372" w:type="pct"/>
          </w:tcPr>
          <w:p w14:paraId="5F26C0BD">
            <w:pPr>
              <w:keepNext w:val="0"/>
              <w:keepLines w:val="0"/>
              <w:widowControl/>
              <w:suppressLineNumbers w:val="0"/>
              <w:spacing w:before="0" w:beforeAutospacing="0" w:afterAutospacing="0"/>
              <w:ind w:left="0" w:right="0" w:firstLine="0"/>
              <w:textAlignment w:val="center"/>
              <w:rPr>
                <w:rFonts w:hint="default"/>
                <w:kern w:val="2"/>
                <w:sz w:val="20"/>
                <w:szCs w:val="20"/>
                <w:lang w:bidi="ar"/>
              </w:rPr>
            </w:pPr>
            <w:r>
              <w:rPr>
                <w:rFonts w:hint="default"/>
                <w:color w:val="000000"/>
                <w:kern w:val="0"/>
                <w:sz w:val="20"/>
                <w:szCs w:val="20"/>
                <w:lang w:bidi="ar"/>
              </w:rPr>
              <w:t>110.14</w:t>
            </w:r>
          </w:p>
        </w:tc>
        <w:tc>
          <w:tcPr>
            <w:tcW w:w="394" w:type="pct"/>
          </w:tcPr>
          <w:p w14:paraId="6CBD02E6">
            <w:pPr>
              <w:keepNext w:val="0"/>
              <w:keepLines w:val="0"/>
              <w:widowControl/>
              <w:suppressLineNumbers w:val="0"/>
              <w:spacing w:before="0" w:beforeAutospacing="0" w:afterAutospacing="0"/>
              <w:ind w:left="0" w:right="0" w:firstLine="0"/>
              <w:textAlignment w:val="center"/>
              <w:rPr>
                <w:rFonts w:hint="default"/>
                <w:kern w:val="2"/>
                <w:sz w:val="20"/>
                <w:szCs w:val="20"/>
                <w:lang w:bidi="ar"/>
              </w:rPr>
            </w:pPr>
            <w:r>
              <w:rPr>
                <w:rFonts w:hint="default"/>
                <w:color w:val="000000"/>
                <w:kern w:val="0"/>
                <w:sz w:val="20"/>
                <w:szCs w:val="20"/>
                <w:lang w:bidi="ar"/>
              </w:rPr>
              <w:t>40.74</w:t>
            </w:r>
          </w:p>
        </w:tc>
        <w:tc>
          <w:tcPr>
            <w:tcW w:w="374" w:type="pct"/>
          </w:tcPr>
          <w:p w14:paraId="2A253581">
            <w:pPr>
              <w:keepNext w:val="0"/>
              <w:keepLines w:val="0"/>
              <w:widowControl/>
              <w:suppressLineNumbers w:val="0"/>
              <w:spacing w:before="0" w:beforeAutospacing="0" w:afterAutospacing="0"/>
              <w:ind w:left="0" w:right="0" w:firstLine="0"/>
              <w:textAlignment w:val="center"/>
              <w:rPr>
                <w:rFonts w:hint="default"/>
                <w:kern w:val="2"/>
                <w:sz w:val="20"/>
                <w:szCs w:val="20"/>
                <w:lang w:bidi="ar"/>
              </w:rPr>
            </w:pPr>
            <w:r>
              <w:rPr>
                <w:rFonts w:hint="default"/>
                <w:color w:val="000000"/>
                <w:kern w:val="0"/>
                <w:sz w:val="20"/>
                <w:szCs w:val="20"/>
                <w:lang w:bidi="ar"/>
              </w:rPr>
              <w:t>15.56</w:t>
            </w:r>
          </w:p>
        </w:tc>
        <w:tc>
          <w:tcPr>
            <w:tcW w:w="415" w:type="pct"/>
          </w:tcPr>
          <w:p w14:paraId="70826AC1">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rPr>
            </w:pPr>
            <w:r>
              <w:rPr>
                <w:rFonts w:hint="default"/>
                <w:kern w:val="2"/>
                <w:sz w:val="20"/>
                <w:szCs w:val="20"/>
              </w:rPr>
              <w:t>wea-1, con, fm,</w:t>
            </w:r>
          </w:p>
        </w:tc>
        <w:tc>
          <w:tcPr>
            <w:tcW w:w="345" w:type="pct"/>
          </w:tcPr>
          <w:p w14:paraId="56466699">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rPr>
            </w:pPr>
            <w:r>
              <w:rPr>
                <w:rFonts w:hint="default"/>
                <w:kern w:val="2"/>
                <w:sz w:val="20"/>
                <w:szCs w:val="20"/>
              </w:rPr>
              <w:t>cut; fl</w:t>
            </w:r>
          </w:p>
        </w:tc>
        <w:tc>
          <w:tcPr>
            <w:tcW w:w="637" w:type="pct"/>
          </w:tcPr>
          <w:p w14:paraId="65DAD86B">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lang w:bidi="ar"/>
              </w:rPr>
              <w:t>potential expedient tool</w:t>
            </w:r>
          </w:p>
        </w:tc>
      </w:tr>
      <w:tr w14:paraId="336FE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54" w:type="pct"/>
          </w:tcPr>
          <w:p w14:paraId="70CB664B">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rPr>
            </w:pPr>
            <w:r>
              <w:rPr>
                <w:rFonts w:hint="default"/>
                <w:kern w:val="2"/>
                <w:sz w:val="20"/>
                <w:szCs w:val="20"/>
                <w:lang w:bidi="ar"/>
              </w:rPr>
              <w:t>19YHB-T2-7-L3:01</w:t>
            </w:r>
          </w:p>
        </w:tc>
        <w:tc>
          <w:tcPr>
            <w:tcW w:w="290" w:type="pct"/>
          </w:tcPr>
          <w:p w14:paraId="46204ED2">
            <w:pPr>
              <w:keepNext w:val="0"/>
              <w:keepLines w:val="0"/>
              <w:widowControl/>
              <w:suppressLineNumbers w:val="0"/>
              <w:spacing w:before="0" w:beforeAutospacing="0" w:after="0" w:afterAutospacing="0" w:line="240" w:lineRule="auto"/>
              <w:ind w:left="0" w:right="0" w:firstLine="0"/>
              <w:textAlignment w:val="center"/>
              <w:rPr>
                <w:rFonts w:hint="default"/>
                <w:b w:val="0"/>
                <w:bCs w:val="0"/>
                <w:kern w:val="2"/>
                <w:sz w:val="20"/>
                <w:szCs w:val="20"/>
                <w:lang w:bidi="ar"/>
              </w:rPr>
            </w:pPr>
            <w:r>
              <w:rPr>
                <w:rFonts w:hint="default"/>
                <w:b w:val="0"/>
                <w:bCs w:val="0"/>
                <w:kern w:val="2"/>
                <w:sz w:val="20"/>
                <w:szCs w:val="20"/>
                <w:lang w:bidi="ar"/>
              </w:rPr>
              <w:t>7</w:t>
            </w:r>
          </w:p>
        </w:tc>
        <w:tc>
          <w:tcPr>
            <w:tcW w:w="449" w:type="pct"/>
          </w:tcPr>
          <w:p w14:paraId="607CA6A1">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long bone</w:t>
            </w:r>
          </w:p>
        </w:tc>
        <w:tc>
          <w:tcPr>
            <w:tcW w:w="498" w:type="pct"/>
          </w:tcPr>
          <w:p w14:paraId="29114E40">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lang w:bidi="ar"/>
              </w:rPr>
              <w:t>incomplete</w:t>
            </w:r>
          </w:p>
        </w:tc>
        <w:tc>
          <w:tcPr>
            <w:tcW w:w="472" w:type="pct"/>
          </w:tcPr>
          <w:p w14:paraId="17F3A5F9">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medium</w:t>
            </w:r>
          </w:p>
        </w:tc>
        <w:tc>
          <w:tcPr>
            <w:tcW w:w="372" w:type="pct"/>
          </w:tcPr>
          <w:p w14:paraId="79330830">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56.55</w:t>
            </w:r>
          </w:p>
        </w:tc>
        <w:tc>
          <w:tcPr>
            <w:tcW w:w="394" w:type="pct"/>
          </w:tcPr>
          <w:p w14:paraId="35CE0543">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26.52</w:t>
            </w:r>
          </w:p>
        </w:tc>
        <w:tc>
          <w:tcPr>
            <w:tcW w:w="374" w:type="pct"/>
          </w:tcPr>
          <w:p w14:paraId="3BAC9D81">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12.81</w:t>
            </w:r>
          </w:p>
        </w:tc>
        <w:tc>
          <w:tcPr>
            <w:tcW w:w="415" w:type="pct"/>
          </w:tcPr>
          <w:p w14:paraId="6823203F">
            <w:pPr>
              <w:keepNext w:val="0"/>
              <w:keepLines w:val="0"/>
              <w:widowControl/>
              <w:suppressLineNumbers w:val="0"/>
              <w:spacing w:before="0" w:beforeAutospacing="0" w:after="0" w:afterAutospacing="0" w:line="240" w:lineRule="auto"/>
              <w:ind w:left="0" w:right="0" w:firstLine="0"/>
              <w:textAlignment w:val="center"/>
              <w:rPr>
                <w:rFonts w:hint="default" w:eastAsiaTheme="minorEastAsia"/>
                <w:kern w:val="2"/>
                <w:sz w:val="20"/>
                <w:szCs w:val="20"/>
                <w:lang w:bidi="ar"/>
              </w:rPr>
            </w:pPr>
            <w:r>
              <w:rPr>
                <w:rFonts w:hint="default"/>
                <w:kern w:val="2"/>
                <w:sz w:val="20"/>
                <w:szCs w:val="20"/>
              </w:rPr>
              <w:t>wea-0, con, fm, de</w:t>
            </w:r>
          </w:p>
        </w:tc>
        <w:tc>
          <w:tcPr>
            <w:tcW w:w="345" w:type="pct"/>
          </w:tcPr>
          <w:p w14:paraId="26990E8B">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rPr>
              <w:t>li</w:t>
            </w:r>
          </w:p>
        </w:tc>
        <w:tc>
          <w:tcPr>
            <w:tcW w:w="637" w:type="pct"/>
          </w:tcPr>
          <w:p w14:paraId="58CFB56C">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retoucher</w:t>
            </w:r>
          </w:p>
        </w:tc>
      </w:tr>
      <w:tr w14:paraId="56F95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54" w:type="pct"/>
          </w:tcPr>
          <w:p w14:paraId="6656E227">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rPr>
            </w:pPr>
            <w:r>
              <w:rPr>
                <w:rFonts w:hint="default"/>
                <w:kern w:val="2"/>
                <w:sz w:val="20"/>
                <w:szCs w:val="20"/>
                <w:lang w:bidi="ar"/>
              </w:rPr>
              <w:t>19YHB-T2-7-L3:02</w:t>
            </w:r>
          </w:p>
        </w:tc>
        <w:tc>
          <w:tcPr>
            <w:tcW w:w="290" w:type="pct"/>
          </w:tcPr>
          <w:p w14:paraId="2E2EE8EE">
            <w:pPr>
              <w:keepNext w:val="0"/>
              <w:keepLines w:val="0"/>
              <w:widowControl/>
              <w:suppressLineNumbers w:val="0"/>
              <w:spacing w:before="0" w:beforeAutospacing="0" w:after="0" w:afterAutospacing="0" w:line="240" w:lineRule="auto"/>
              <w:ind w:left="0" w:right="0" w:firstLine="0"/>
              <w:textAlignment w:val="center"/>
              <w:rPr>
                <w:rFonts w:hint="default"/>
                <w:b w:val="0"/>
                <w:bCs w:val="0"/>
                <w:kern w:val="2"/>
                <w:sz w:val="20"/>
                <w:szCs w:val="20"/>
                <w:lang w:bidi="ar"/>
              </w:rPr>
            </w:pPr>
            <w:r>
              <w:rPr>
                <w:rFonts w:hint="default"/>
                <w:b w:val="0"/>
                <w:bCs w:val="0"/>
                <w:kern w:val="2"/>
                <w:sz w:val="20"/>
                <w:szCs w:val="20"/>
                <w:lang w:bidi="ar"/>
              </w:rPr>
              <w:t>7</w:t>
            </w:r>
          </w:p>
        </w:tc>
        <w:tc>
          <w:tcPr>
            <w:tcW w:w="449" w:type="pct"/>
          </w:tcPr>
          <w:p w14:paraId="58AAC87A">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rib?</w:t>
            </w:r>
          </w:p>
        </w:tc>
        <w:tc>
          <w:tcPr>
            <w:tcW w:w="498" w:type="pct"/>
          </w:tcPr>
          <w:p w14:paraId="2AD9DE3E">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lang w:bidi="ar"/>
              </w:rPr>
              <w:t>incomplete</w:t>
            </w:r>
          </w:p>
        </w:tc>
        <w:tc>
          <w:tcPr>
            <w:tcW w:w="472" w:type="pct"/>
          </w:tcPr>
          <w:p w14:paraId="032FB5E9">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medium-large</w:t>
            </w:r>
          </w:p>
        </w:tc>
        <w:tc>
          <w:tcPr>
            <w:tcW w:w="372" w:type="pct"/>
          </w:tcPr>
          <w:p w14:paraId="586266C3">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50.15</w:t>
            </w:r>
          </w:p>
        </w:tc>
        <w:tc>
          <w:tcPr>
            <w:tcW w:w="394" w:type="pct"/>
          </w:tcPr>
          <w:p w14:paraId="520D2CBE">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33.58</w:t>
            </w:r>
          </w:p>
        </w:tc>
        <w:tc>
          <w:tcPr>
            <w:tcW w:w="374" w:type="pct"/>
          </w:tcPr>
          <w:p w14:paraId="5E7A6710">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12.03</w:t>
            </w:r>
          </w:p>
        </w:tc>
        <w:tc>
          <w:tcPr>
            <w:tcW w:w="415" w:type="pct"/>
          </w:tcPr>
          <w:p w14:paraId="18D0BC30">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rPr>
              <w:t>wea-1, con, fm, de</w:t>
            </w:r>
          </w:p>
        </w:tc>
        <w:tc>
          <w:tcPr>
            <w:tcW w:w="345" w:type="pct"/>
          </w:tcPr>
          <w:p w14:paraId="1AD03C15">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rPr>
              <w:t>li</w:t>
            </w:r>
          </w:p>
        </w:tc>
        <w:tc>
          <w:tcPr>
            <w:tcW w:w="637" w:type="pct"/>
          </w:tcPr>
          <w:p w14:paraId="419D9F69">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retoucher</w:t>
            </w:r>
          </w:p>
        </w:tc>
      </w:tr>
      <w:tr w14:paraId="636FE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54" w:type="pct"/>
          </w:tcPr>
          <w:p w14:paraId="36BDAE62">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rPr>
            </w:pPr>
            <w:r>
              <w:rPr>
                <w:rFonts w:hint="default"/>
                <w:kern w:val="2"/>
                <w:sz w:val="20"/>
                <w:szCs w:val="20"/>
                <w:lang w:bidi="ar"/>
              </w:rPr>
              <w:t>19YHB-T2-7-L2:03</w:t>
            </w:r>
          </w:p>
        </w:tc>
        <w:tc>
          <w:tcPr>
            <w:tcW w:w="290" w:type="pct"/>
          </w:tcPr>
          <w:p w14:paraId="25D7BDB8">
            <w:pPr>
              <w:keepNext w:val="0"/>
              <w:keepLines w:val="0"/>
              <w:widowControl/>
              <w:suppressLineNumbers w:val="0"/>
              <w:spacing w:before="0" w:beforeAutospacing="0" w:after="0" w:afterAutospacing="0" w:line="240" w:lineRule="auto"/>
              <w:ind w:left="0" w:right="0" w:firstLine="0"/>
              <w:textAlignment w:val="center"/>
              <w:rPr>
                <w:rFonts w:hint="default"/>
                <w:b w:val="0"/>
                <w:bCs w:val="0"/>
                <w:kern w:val="2"/>
                <w:sz w:val="20"/>
                <w:szCs w:val="20"/>
                <w:lang w:bidi="ar"/>
              </w:rPr>
            </w:pPr>
            <w:r>
              <w:rPr>
                <w:rFonts w:hint="default"/>
                <w:b w:val="0"/>
                <w:bCs w:val="0"/>
                <w:kern w:val="2"/>
                <w:sz w:val="20"/>
                <w:szCs w:val="20"/>
                <w:lang w:bidi="ar"/>
              </w:rPr>
              <w:t>7</w:t>
            </w:r>
          </w:p>
        </w:tc>
        <w:tc>
          <w:tcPr>
            <w:tcW w:w="449" w:type="pct"/>
          </w:tcPr>
          <w:p w14:paraId="609606B2">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radius-distal-anterior-right</w:t>
            </w:r>
          </w:p>
        </w:tc>
        <w:tc>
          <w:tcPr>
            <w:tcW w:w="498" w:type="pct"/>
          </w:tcPr>
          <w:p w14:paraId="768BC61C">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lang w:bidi="ar"/>
              </w:rPr>
              <w:t>incomplete</w:t>
            </w:r>
          </w:p>
        </w:tc>
        <w:tc>
          <w:tcPr>
            <w:tcW w:w="472" w:type="pct"/>
          </w:tcPr>
          <w:p w14:paraId="6B3C0C24">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medium</w:t>
            </w:r>
          </w:p>
        </w:tc>
        <w:tc>
          <w:tcPr>
            <w:tcW w:w="372" w:type="pct"/>
          </w:tcPr>
          <w:p w14:paraId="79AAB789">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45.42</w:t>
            </w:r>
          </w:p>
        </w:tc>
        <w:tc>
          <w:tcPr>
            <w:tcW w:w="394" w:type="pct"/>
          </w:tcPr>
          <w:p w14:paraId="255009B8">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27.29</w:t>
            </w:r>
          </w:p>
        </w:tc>
        <w:tc>
          <w:tcPr>
            <w:tcW w:w="374" w:type="pct"/>
          </w:tcPr>
          <w:p w14:paraId="0A919091">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19.39</w:t>
            </w:r>
          </w:p>
        </w:tc>
        <w:tc>
          <w:tcPr>
            <w:tcW w:w="415" w:type="pct"/>
          </w:tcPr>
          <w:p w14:paraId="0D63D169">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rPr>
              <w:t>wea-0, con, fm, de</w:t>
            </w:r>
          </w:p>
        </w:tc>
        <w:tc>
          <w:tcPr>
            <w:tcW w:w="345" w:type="pct"/>
          </w:tcPr>
          <w:p w14:paraId="49656E9A">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rPr>
              <w:t>li</w:t>
            </w:r>
          </w:p>
        </w:tc>
        <w:tc>
          <w:tcPr>
            <w:tcW w:w="637" w:type="pct"/>
          </w:tcPr>
          <w:p w14:paraId="5350F265">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retoucher</w:t>
            </w:r>
          </w:p>
        </w:tc>
      </w:tr>
      <w:tr w14:paraId="62014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54" w:type="pct"/>
          </w:tcPr>
          <w:p w14:paraId="581C735E">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rPr>
            </w:pPr>
            <w:r>
              <w:rPr>
                <w:rFonts w:hint="default"/>
                <w:kern w:val="2"/>
                <w:sz w:val="20"/>
                <w:szCs w:val="20"/>
                <w:lang w:bidi="ar"/>
              </w:rPr>
              <w:t>19YHB-T2-7-L2:04</w:t>
            </w:r>
          </w:p>
        </w:tc>
        <w:tc>
          <w:tcPr>
            <w:tcW w:w="290" w:type="pct"/>
          </w:tcPr>
          <w:p w14:paraId="5682CE10">
            <w:pPr>
              <w:keepNext w:val="0"/>
              <w:keepLines w:val="0"/>
              <w:widowControl/>
              <w:suppressLineNumbers w:val="0"/>
              <w:spacing w:before="0" w:beforeAutospacing="0" w:after="0" w:afterAutospacing="0" w:line="240" w:lineRule="auto"/>
              <w:ind w:left="0" w:right="0" w:firstLine="0"/>
              <w:textAlignment w:val="center"/>
              <w:rPr>
                <w:rFonts w:hint="default"/>
                <w:b w:val="0"/>
                <w:bCs w:val="0"/>
                <w:kern w:val="2"/>
                <w:sz w:val="20"/>
                <w:szCs w:val="20"/>
                <w:lang w:bidi="ar"/>
              </w:rPr>
            </w:pPr>
            <w:r>
              <w:rPr>
                <w:rFonts w:hint="default"/>
                <w:b w:val="0"/>
                <w:bCs w:val="0"/>
                <w:kern w:val="2"/>
                <w:sz w:val="20"/>
                <w:szCs w:val="20"/>
                <w:lang w:bidi="ar"/>
              </w:rPr>
              <w:t>7</w:t>
            </w:r>
          </w:p>
        </w:tc>
        <w:tc>
          <w:tcPr>
            <w:tcW w:w="449" w:type="pct"/>
          </w:tcPr>
          <w:p w14:paraId="732831BF">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long bone</w:t>
            </w:r>
          </w:p>
        </w:tc>
        <w:tc>
          <w:tcPr>
            <w:tcW w:w="498" w:type="pct"/>
          </w:tcPr>
          <w:p w14:paraId="680968D7">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lang w:bidi="ar"/>
              </w:rPr>
              <w:t>incomplete</w:t>
            </w:r>
          </w:p>
        </w:tc>
        <w:tc>
          <w:tcPr>
            <w:tcW w:w="472" w:type="pct"/>
          </w:tcPr>
          <w:p w14:paraId="4C07F511">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medium</w:t>
            </w:r>
          </w:p>
        </w:tc>
        <w:tc>
          <w:tcPr>
            <w:tcW w:w="372" w:type="pct"/>
          </w:tcPr>
          <w:p w14:paraId="68517BC5">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50.24</w:t>
            </w:r>
          </w:p>
        </w:tc>
        <w:tc>
          <w:tcPr>
            <w:tcW w:w="394" w:type="pct"/>
          </w:tcPr>
          <w:p w14:paraId="1906124E">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19.84</w:t>
            </w:r>
          </w:p>
        </w:tc>
        <w:tc>
          <w:tcPr>
            <w:tcW w:w="374" w:type="pct"/>
          </w:tcPr>
          <w:p w14:paraId="18F8F6BB">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9.96</w:t>
            </w:r>
          </w:p>
        </w:tc>
        <w:tc>
          <w:tcPr>
            <w:tcW w:w="415" w:type="pct"/>
          </w:tcPr>
          <w:p w14:paraId="221E26D9">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rPr>
              <w:t>wea-1, con, fm, de</w:t>
            </w:r>
          </w:p>
        </w:tc>
        <w:tc>
          <w:tcPr>
            <w:tcW w:w="345" w:type="pct"/>
          </w:tcPr>
          <w:p w14:paraId="79C50E2C">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rPr>
              <w:t>li</w:t>
            </w:r>
          </w:p>
        </w:tc>
        <w:tc>
          <w:tcPr>
            <w:tcW w:w="637" w:type="pct"/>
          </w:tcPr>
          <w:p w14:paraId="17BDA8CB">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retoucher</w:t>
            </w:r>
          </w:p>
        </w:tc>
      </w:tr>
      <w:tr w14:paraId="127C9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54" w:type="pct"/>
          </w:tcPr>
          <w:p w14:paraId="6560D84D">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rPr>
            </w:pPr>
            <w:r>
              <w:rPr>
                <w:rFonts w:hint="default"/>
                <w:kern w:val="2"/>
                <w:sz w:val="20"/>
                <w:szCs w:val="20"/>
                <w:lang w:bidi="ar"/>
              </w:rPr>
              <w:t>19YHB-T2-7-L3:05</w:t>
            </w:r>
          </w:p>
        </w:tc>
        <w:tc>
          <w:tcPr>
            <w:tcW w:w="290" w:type="pct"/>
          </w:tcPr>
          <w:p w14:paraId="4F56FDD4">
            <w:pPr>
              <w:keepNext w:val="0"/>
              <w:keepLines w:val="0"/>
              <w:widowControl/>
              <w:suppressLineNumbers w:val="0"/>
              <w:spacing w:before="0" w:beforeAutospacing="0" w:after="0" w:afterAutospacing="0" w:line="240" w:lineRule="auto"/>
              <w:ind w:left="0" w:right="0" w:firstLine="0"/>
              <w:textAlignment w:val="center"/>
              <w:rPr>
                <w:rFonts w:hint="default"/>
                <w:b w:val="0"/>
                <w:bCs w:val="0"/>
                <w:kern w:val="2"/>
                <w:sz w:val="20"/>
                <w:szCs w:val="20"/>
                <w:lang w:bidi="ar"/>
              </w:rPr>
            </w:pPr>
            <w:r>
              <w:rPr>
                <w:rFonts w:hint="default"/>
                <w:b w:val="0"/>
                <w:bCs w:val="0"/>
                <w:kern w:val="2"/>
                <w:sz w:val="20"/>
                <w:szCs w:val="20"/>
                <w:lang w:bidi="ar"/>
              </w:rPr>
              <w:t>7</w:t>
            </w:r>
          </w:p>
        </w:tc>
        <w:tc>
          <w:tcPr>
            <w:tcW w:w="449" w:type="pct"/>
          </w:tcPr>
          <w:p w14:paraId="57549185">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long bone</w:t>
            </w:r>
          </w:p>
        </w:tc>
        <w:tc>
          <w:tcPr>
            <w:tcW w:w="498" w:type="pct"/>
          </w:tcPr>
          <w:p w14:paraId="625F7D8C">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lang w:bidi="ar"/>
              </w:rPr>
              <w:t>complete</w:t>
            </w:r>
          </w:p>
        </w:tc>
        <w:tc>
          <w:tcPr>
            <w:tcW w:w="472" w:type="pct"/>
          </w:tcPr>
          <w:p w14:paraId="046042B9">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medium-large</w:t>
            </w:r>
          </w:p>
        </w:tc>
        <w:tc>
          <w:tcPr>
            <w:tcW w:w="372" w:type="pct"/>
          </w:tcPr>
          <w:p w14:paraId="7BEC6508">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45.92</w:t>
            </w:r>
          </w:p>
        </w:tc>
        <w:tc>
          <w:tcPr>
            <w:tcW w:w="394" w:type="pct"/>
          </w:tcPr>
          <w:p w14:paraId="36ECDC18">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32.79</w:t>
            </w:r>
          </w:p>
        </w:tc>
        <w:tc>
          <w:tcPr>
            <w:tcW w:w="374" w:type="pct"/>
          </w:tcPr>
          <w:p w14:paraId="37C445AF">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15.04</w:t>
            </w:r>
          </w:p>
        </w:tc>
        <w:tc>
          <w:tcPr>
            <w:tcW w:w="415" w:type="pct"/>
          </w:tcPr>
          <w:p w14:paraId="7FB2108E">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rPr>
              <w:t>wea-1, con, fm, de</w:t>
            </w:r>
          </w:p>
        </w:tc>
        <w:tc>
          <w:tcPr>
            <w:tcW w:w="345" w:type="pct"/>
          </w:tcPr>
          <w:p w14:paraId="6D320A73">
            <w:pPr>
              <w:keepNext w:val="0"/>
              <w:keepLines w:val="0"/>
              <w:widowControl/>
              <w:suppressLineNumbers w:val="0"/>
              <w:tabs>
                <w:tab w:val="left" w:pos="225"/>
              </w:tabs>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rPr>
              <w:t>fl; ro</w:t>
            </w:r>
          </w:p>
        </w:tc>
        <w:tc>
          <w:tcPr>
            <w:tcW w:w="637" w:type="pct"/>
          </w:tcPr>
          <w:p w14:paraId="33C7C927">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intermediate tool</w:t>
            </w:r>
          </w:p>
        </w:tc>
      </w:tr>
      <w:tr w14:paraId="3603F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54" w:type="pct"/>
          </w:tcPr>
          <w:p w14:paraId="51750837">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rPr>
            </w:pPr>
            <w:r>
              <w:rPr>
                <w:rFonts w:hint="default"/>
                <w:kern w:val="2"/>
                <w:sz w:val="20"/>
                <w:szCs w:val="20"/>
                <w:lang w:bidi="ar"/>
              </w:rPr>
              <w:t>19YHB-T2-7-L2:06</w:t>
            </w:r>
          </w:p>
        </w:tc>
        <w:tc>
          <w:tcPr>
            <w:tcW w:w="290" w:type="pct"/>
          </w:tcPr>
          <w:p w14:paraId="11C8FB07">
            <w:pPr>
              <w:keepNext w:val="0"/>
              <w:keepLines w:val="0"/>
              <w:widowControl/>
              <w:suppressLineNumbers w:val="0"/>
              <w:spacing w:before="0" w:beforeAutospacing="0" w:after="0" w:afterAutospacing="0" w:line="240" w:lineRule="auto"/>
              <w:ind w:left="0" w:right="0" w:firstLine="0"/>
              <w:textAlignment w:val="center"/>
              <w:rPr>
                <w:rFonts w:hint="default"/>
                <w:b w:val="0"/>
                <w:bCs w:val="0"/>
                <w:kern w:val="2"/>
                <w:sz w:val="20"/>
                <w:szCs w:val="20"/>
                <w:lang w:bidi="ar"/>
              </w:rPr>
            </w:pPr>
            <w:r>
              <w:rPr>
                <w:rFonts w:hint="default"/>
                <w:b w:val="0"/>
                <w:bCs w:val="0"/>
                <w:kern w:val="2"/>
                <w:sz w:val="20"/>
                <w:szCs w:val="20"/>
                <w:lang w:bidi="ar"/>
              </w:rPr>
              <w:t>7</w:t>
            </w:r>
          </w:p>
        </w:tc>
        <w:tc>
          <w:tcPr>
            <w:tcW w:w="449" w:type="pct"/>
          </w:tcPr>
          <w:p w14:paraId="6652F53C">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long bone</w:t>
            </w:r>
          </w:p>
        </w:tc>
        <w:tc>
          <w:tcPr>
            <w:tcW w:w="498" w:type="pct"/>
          </w:tcPr>
          <w:p w14:paraId="1796F9C2">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lang w:bidi="ar"/>
              </w:rPr>
              <w:t>complete</w:t>
            </w:r>
          </w:p>
        </w:tc>
        <w:tc>
          <w:tcPr>
            <w:tcW w:w="472" w:type="pct"/>
          </w:tcPr>
          <w:p w14:paraId="15F83DBA">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medium</w:t>
            </w:r>
          </w:p>
        </w:tc>
        <w:tc>
          <w:tcPr>
            <w:tcW w:w="372" w:type="pct"/>
          </w:tcPr>
          <w:p w14:paraId="6F64CF86">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58.27</w:t>
            </w:r>
          </w:p>
        </w:tc>
        <w:tc>
          <w:tcPr>
            <w:tcW w:w="394" w:type="pct"/>
          </w:tcPr>
          <w:p w14:paraId="097A4869">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25.66</w:t>
            </w:r>
          </w:p>
        </w:tc>
        <w:tc>
          <w:tcPr>
            <w:tcW w:w="374" w:type="pct"/>
          </w:tcPr>
          <w:p w14:paraId="33389A05">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8.83</w:t>
            </w:r>
          </w:p>
        </w:tc>
        <w:tc>
          <w:tcPr>
            <w:tcW w:w="415" w:type="pct"/>
          </w:tcPr>
          <w:p w14:paraId="1D797C4C">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rPr>
              <w:t>wea-0, con, fm</w:t>
            </w:r>
          </w:p>
        </w:tc>
        <w:tc>
          <w:tcPr>
            <w:tcW w:w="345" w:type="pct"/>
          </w:tcPr>
          <w:p w14:paraId="58A23837">
            <w:pPr>
              <w:keepNext w:val="0"/>
              <w:keepLines w:val="0"/>
              <w:widowControl/>
              <w:suppressLineNumbers w:val="0"/>
              <w:tabs>
                <w:tab w:val="left" w:pos="225"/>
              </w:tabs>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rPr>
              <w:t>fra; ro</w:t>
            </w:r>
          </w:p>
        </w:tc>
        <w:tc>
          <w:tcPr>
            <w:tcW w:w="637" w:type="pct"/>
          </w:tcPr>
          <w:p w14:paraId="62537031">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potential expedient tool</w:t>
            </w:r>
          </w:p>
        </w:tc>
      </w:tr>
      <w:tr w14:paraId="4FA94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54" w:type="pct"/>
            <w:tcBorders>
              <w:bottom w:val="single" w:color="auto" w:sz="4" w:space="0"/>
            </w:tcBorders>
          </w:tcPr>
          <w:p w14:paraId="51F37436">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rPr>
            </w:pPr>
            <w:r>
              <w:rPr>
                <w:rFonts w:hint="default"/>
                <w:kern w:val="2"/>
                <w:sz w:val="20"/>
                <w:szCs w:val="20"/>
                <w:lang w:bidi="ar"/>
              </w:rPr>
              <w:t>19YHB-T2-7-L2:07</w:t>
            </w:r>
          </w:p>
        </w:tc>
        <w:tc>
          <w:tcPr>
            <w:tcW w:w="290" w:type="pct"/>
            <w:tcBorders>
              <w:bottom w:val="single" w:color="auto" w:sz="4" w:space="0"/>
            </w:tcBorders>
          </w:tcPr>
          <w:p w14:paraId="03BE0BB8">
            <w:pPr>
              <w:keepNext w:val="0"/>
              <w:keepLines w:val="0"/>
              <w:widowControl/>
              <w:suppressLineNumbers w:val="0"/>
              <w:spacing w:before="0" w:beforeAutospacing="0" w:after="0" w:afterAutospacing="0" w:line="240" w:lineRule="auto"/>
              <w:ind w:left="0" w:right="0" w:firstLine="0"/>
              <w:textAlignment w:val="center"/>
              <w:rPr>
                <w:rFonts w:hint="default"/>
                <w:b w:val="0"/>
                <w:bCs w:val="0"/>
                <w:kern w:val="2"/>
                <w:sz w:val="20"/>
                <w:szCs w:val="20"/>
                <w:lang w:bidi="ar"/>
              </w:rPr>
            </w:pPr>
            <w:r>
              <w:rPr>
                <w:rFonts w:hint="default"/>
                <w:b w:val="0"/>
                <w:bCs w:val="0"/>
                <w:kern w:val="2"/>
                <w:sz w:val="20"/>
                <w:szCs w:val="20"/>
                <w:lang w:bidi="ar"/>
              </w:rPr>
              <w:t>7</w:t>
            </w:r>
          </w:p>
        </w:tc>
        <w:tc>
          <w:tcPr>
            <w:tcW w:w="449" w:type="pct"/>
            <w:tcBorders>
              <w:bottom w:val="single" w:color="auto" w:sz="4" w:space="0"/>
            </w:tcBorders>
          </w:tcPr>
          <w:p w14:paraId="2CD44BFD">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metapodial</w:t>
            </w:r>
          </w:p>
        </w:tc>
        <w:tc>
          <w:tcPr>
            <w:tcW w:w="498" w:type="pct"/>
            <w:tcBorders>
              <w:bottom w:val="single" w:color="auto" w:sz="4" w:space="0"/>
            </w:tcBorders>
          </w:tcPr>
          <w:p w14:paraId="677400F3">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lang w:bidi="ar"/>
              </w:rPr>
              <w:t>incomplete</w:t>
            </w:r>
          </w:p>
        </w:tc>
        <w:tc>
          <w:tcPr>
            <w:tcW w:w="472" w:type="pct"/>
            <w:tcBorders>
              <w:bottom w:val="single" w:color="auto" w:sz="4" w:space="0"/>
            </w:tcBorders>
          </w:tcPr>
          <w:p w14:paraId="68555486">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medium-large</w:t>
            </w:r>
          </w:p>
        </w:tc>
        <w:tc>
          <w:tcPr>
            <w:tcW w:w="372" w:type="pct"/>
            <w:tcBorders>
              <w:bottom w:val="single" w:color="auto" w:sz="4" w:space="0"/>
            </w:tcBorders>
          </w:tcPr>
          <w:p w14:paraId="2C988840">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57.88</w:t>
            </w:r>
          </w:p>
        </w:tc>
        <w:tc>
          <w:tcPr>
            <w:tcW w:w="394" w:type="pct"/>
            <w:tcBorders>
              <w:bottom w:val="single" w:color="auto" w:sz="4" w:space="0"/>
            </w:tcBorders>
          </w:tcPr>
          <w:p w14:paraId="72AFC47B">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21.62</w:t>
            </w:r>
          </w:p>
        </w:tc>
        <w:tc>
          <w:tcPr>
            <w:tcW w:w="374" w:type="pct"/>
            <w:tcBorders>
              <w:bottom w:val="single" w:color="auto" w:sz="4" w:space="0"/>
            </w:tcBorders>
          </w:tcPr>
          <w:p w14:paraId="5C119C97">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16.46</w:t>
            </w:r>
          </w:p>
        </w:tc>
        <w:tc>
          <w:tcPr>
            <w:tcW w:w="415" w:type="pct"/>
            <w:tcBorders>
              <w:bottom w:val="single" w:color="auto" w:sz="4" w:space="0"/>
            </w:tcBorders>
          </w:tcPr>
          <w:p w14:paraId="2AB13B14">
            <w:pPr>
              <w:keepNext w:val="0"/>
              <w:keepLines w:val="0"/>
              <w:widowControl/>
              <w:suppressLineNumbers w:val="0"/>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rPr>
              <w:t>wea-1, con, fm, de</w:t>
            </w:r>
          </w:p>
        </w:tc>
        <w:tc>
          <w:tcPr>
            <w:tcW w:w="345" w:type="pct"/>
            <w:tcBorders>
              <w:bottom w:val="single" w:color="auto" w:sz="4" w:space="0"/>
            </w:tcBorders>
          </w:tcPr>
          <w:p w14:paraId="6C342928">
            <w:pPr>
              <w:keepNext w:val="0"/>
              <w:keepLines w:val="0"/>
              <w:widowControl/>
              <w:suppressLineNumbers w:val="0"/>
              <w:tabs>
                <w:tab w:val="left" w:pos="225"/>
              </w:tabs>
              <w:spacing w:before="0" w:beforeAutospacing="0" w:after="0" w:afterAutospacing="0" w:line="240" w:lineRule="auto"/>
              <w:ind w:left="0" w:right="0" w:firstLine="0"/>
              <w:textAlignment w:val="center"/>
              <w:rPr>
                <w:rFonts w:hint="default"/>
                <w:kern w:val="2"/>
                <w:sz w:val="20"/>
                <w:szCs w:val="20"/>
                <w:lang w:bidi="ar"/>
              </w:rPr>
            </w:pPr>
            <w:r>
              <w:rPr>
                <w:rFonts w:hint="default"/>
                <w:kern w:val="2"/>
                <w:sz w:val="20"/>
                <w:szCs w:val="20"/>
                <w:lang w:bidi="ar"/>
              </w:rPr>
              <w:t>li</w:t>
            </w:r>
          </w:p>
        </w:tc>
        <w:tc>
          <w:tcPr>
            <w:tcW w:w="637" w:type="pct"/>
            <w:tcBorders>
              <w:bottom w:val="single" w:color="auto" w:sz="4" w:space="0"/>
            </w:tcBorders>
          </w:tcPr>
          <w:p w14:paraId="281BDAE5">
            <w:pPr>
              <w:keepNext w:val="0"/>
              <w:keepLines w:val="0"/>
              <w:widowControl/>
              <w:suppressLineNumbers w:val="0"/>
              <w:spacing w:before="0" w:beforeAutospacing="0" w:after="0" w:afterAutospacing="0" w:line="240" w:lineRule="auto"/>
              <w:ind w:left="0" w:right="0" w:firstLine="0"/>
              <w:textAlignment w:val="center"/>
              <w:rPr>
                <w:rFonts w:hint="default"/>
                <w:b/>
                <w:bCs/>
                <w:kern w:val="2"/>
                <w:sz w:val="20"/>
                <w:szCs w:val="20"/>
                <w:lang w:bidi="ar"/>
              </w:rPr>
            </w:pPr>
            <w:r>
              <w:rPr>
                <w:rFonts w:hint="default"/>
                <w:kern w:val="2"/>
                <w:sz w:val="20"/>
                <w:szCs w:val="20"/>
                <w:lang w:bidi="ar"/>
              </w:rPr>
              <w:t>retoucher</w:t>
            </w:r>
          </w:p>
        </w:tc>
      </w:tr>
    </w:tbl>
    <w:p w14:paraId="2BAE3842">
      <w:pPr>
        <w:spacing w:line="240" w:lineRule="auto"/>
        <w:ind w:firstLine="0"/>
        <w:rPr>
          <w:rFonts w:hint="eastAsia" w:eastAsia="宋体"/>
          <w:lang w:val="en-US" w:eastAsia="zh-CN"/>
        </w:rPr>
      </w:pPr>
      <w:r>
        <w:rPr>
          <w:b/>
          <w:bCs/>
          <w:vertAlign w:val="superscript"/>
        </w:rPr>
        <w:t xml:space="preserve">a </w:t>
      </w:r>
      <w:r>
        <w:rPr>
          <w:rFonts w:hint="eastAsia"/>
          <w:b/>
          <w:bCs/>
        </w:rPr>
        <w:t>wea-n</w:t>
      </w:r>
      <w:r>
        <w:t xml:space="preserve"> = </w:t>
      </w:r>
      <w:r>
        <w:rPr>
          <w:rFonts w:hint="eastAsia"/>
        </w:rPr>
        <w:t>w</w:t>
      </w:r>
      <w:r>
        <w:t>eathering</w:t>
      </w:r>
      <w:r>
        <w:rPr>
          <w:rFonts w:hint="eastAsia"/>
        </w:rPr>
        <w:t xml:space="preserve"> (level n);</w:t>
      </w:r>
      <w:r>
        <w:rPr>
          <w:rFonts w:hint="eastAsia"/>
          <w:b/>
          <w:bCs/>
        </w:rPr>
        <w:t xml:space="preserve"> </w:t>
      </w:r>
      <w:r>
        <w:rPr>
          <w:b/>
          <w:bCs/>
        </w:rPr>
        <w:t>con</w:t>
      </w:r>
      <w:r>
        <w:t xml:space="preserve"> = concretion; </w:t>
      </w:r>
      <w:r>
        <w:rPr>
          <w:b/>
          <w:bCs/>
        </w:rPr>
        <w:t>fm</w:t>
      </w:r>
      <w:r>
        <w:t xml:space="preserve"> = ferro</w:t>
      </w:r>
      <w:r>
        <w:rPr>
          <w:rFonts w:hint="eastAsia"/>
        </w:rPr>
        <w:t>-</w:t>
      </w:r>
      <w:r>
        <w:t xml:space="preserve">manganese; </w:t>
      </w:r>
      <w:r>
        <w:rPr>
          <w:b/>
          <w:bCs/>
        </w:rPr>
        <w:t>de</w:t>
      </w:r>
      <w:r>
        <w:t xml:space="preserve"> = decalcification; </w:t>
      </w:r>
      <w:r>
        <w:rPr>
          <w:b/>
          <w:bCs/>
        </w:rPr>
        <w:t>li</w:t>
      </w:r>
      <w:r>
        <w:t xml:space="preserve"> = linear impacts;</w:t>
      </w:r>
      <w:r>
        <w:rPr>
          <w:rFonts w:hint="eastAsia"/>
        </w:rPr>
        <w:t xml:space="preserve"> </w:t>
      </w:r>
      <w:r>
        <w:rPr>
          <w:b/>
          <w:bCs/>
        </w:rPr>
        <w:t>fr</w:t>
      </w:r>
      <w:r>
        <w:t>a</w:t>
      </w:r>
      <w:r>
        <w:rPr>
          <w:rFonts w:hint="eastAsia"/>
        </w:rPr>
        <w:t xml:space="preserve"> </w:t>
      </w:r>
      <w:r>
        <w:t xml:space="preserve">= fracture; </w:t>
      </w:r>
      <w:r>
        <w:rPr>
          <w:b/>
          <w:bCs/>
        </w:rPr>
        <w:t>fl</w:t>
      </w:r>
      <w:r>
        <w:t xml:space="preserve"> = flaking; </w:t>
      </w:r>
      <w:r>
        <w:rPr>
          <w:b/>
          <w:bCs/>
        </w:rPr>
        <w:t>ro</w:t>
      </w:r>
      <w:r>
        <w:t xml:space="preserve"> = rounding</w:t>
      </w:r>
      <w:r>
        <w:rPr>
          <w:rFonts w:hint="eastAsia"/>
        </w:rPr>
        <w:t xml:space="preserve">; </w:t>
      </w:r>
      <w:r>
        <w:rPr>
          <w:rFonts w:hint="eastAsia"/>
          <w:b/>
          <w:bCs/>
        </w:rPr>
        <w:t>cut</w:t>
      </w:r>
      <w:r>
        <w:t xml:space="preserve"> = </w:t>
      </w:r>
      <w:r>
        <w:rPr>
          <w:rFonts w:hint="eastAsia"/>
        </w:rPr>
        <w:t>cut mark</w:t>
      </w:r>
      <w:r>
        <w:rPr>
          <w:rFonts w:hint="eastAsia"/>
          <w:lang w:val="en-US" w:eastAsia="zh-CN"/>
        </w:rPr>
        <w:t>.</w:t>
      </w:r>
    </w:p>
    <w:p w14:paraId="55B1003C"/>
    <w:p w14:paraId="0262E9D9"/>
    <w:p w14:paraId="27B1DA76">
      <w:pPr>
        <w:pStyle w:val="7"/>
        <w:rPr>
          <w:b/>
          <w:bCs w:val="0"/>
        </w:rPr>
      </w:pPr>
    </w:p>
    <w:p w14:paraId="6D16B649"/>
    <w:p w14:paraId="33C7D6E3">
      <w:pPr>
        <w:ind w:left="0" w:leftChars="0" w:firstLine="0" w:firstLineChars="0"/>
      </w:pPr>
    </w:p>
    <w:p w14:paraId="065F22E9">
      <w:pPr>
        <w:keepNext w:val="0"/>
        <w:keepLines w:val="0"/>
        <w:pageBreakBefore w:val="0"/>
        <w:widowControl/>
        <w:kinsoku/>
        <w:wordWrap/>
        <w:overflowPunct/>
        <w:topLinePunct w:val="0"/>
        <w:autoSpaceDE/>
        <w:autoSpaceDN/>
        <w:bidi w:val="0"/>
        <w:adjustRightInd/>
        <w:snapToGrid/>
        <w:spacing w:after="60" w:line="240" w:lineRule="auto"/>
        <w:ind w:firstLine="0"/>
        <w:textAlignment w:val="auto"/>
      </w:pPr>
      <w:r>
        <w:rPr>
          <w:rFonts w:hint="eastAsia" w:ascii="Times New Roman" w:hAnsi="Times New Roman" w:cs="Times New Roman"/>
          <w:b/>
          <w:bCs/>
          <w:sz w:val="24"/>
          <w:szCs w:val="24"/>
          <w:lang w:val="en-US" w:eastAsia="zh-CN"/>
        </w:rPr>
        <w:t>Supplementary Table 2</w:t>
      </w:r>
      <w:r>
        <w:rPr>
          <w:rFonts w:hint="eastAsia" w:cs="Times New Roman"/>
          <w:b/>
          <w:bCs/>
          <w:sz w:val="24"/>
          <w:szCs w:val="24"/>
          <w:lang w:val="en-US" w:eastAsia="zh-CN"/>
        </w:rPr>
        <w:t>5</w:t>
      </w:r>
      <w:r>
        <w:t xml:space="preserve"> |</w:t>
      </w:r>
      <w:r>
        <w:rPr>
          <w:rFonts w:hint="eastAsia"/>
        </w:rPr>
        <w:t xml:space="preserve"> </w:t>
      </w:r>
      <w:r>
        <w:rPr>
          <w:rFonts w:hint="eastAsia" w:ascii="Times New Roman" w:hAnsi="Times New Roman" w:cs="Times New Roman"/>
          <w:b w:val="0"/>
          <w:bCs w:val="0"/>
          <w:sz w:val="24"/>
          <w:szCs w:val="24"/>
          <w:lang w:val="en-US" w:eastAsia="zh-CN"/>
        </w:rPr>
        <w:t>Size distribution and density of faunal remains by stratigraphic layer at Bianfu Cave.</w:t>
      </w:r>
    </w:p>
    <w:tbl>
      <w:tblPr>
        <w:tblStyle w:val="24"/>
        <w:tblW w:w="120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7"/>
        <w:gridCol w:w="1011"/>
        <w:gridCol w:w="950"/>
        <w:gridCol w:w="1011"/>
        <w:gridCol w:w="950"/>
        <w:gridCol w:w="1111"/>
        <w:gridCol w:w="950"/>
        <w:gridCol w:w="1258"/>
        <w:gridCol w:w="1155"/>
        <w:gridCol w:w="1036"/>
        <w:gridCol w:w="1631"/>
      </w:tblGrid>
      <w:tr w14:paraId="6180F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967" w:type="dxa"/>
            <w:tcBorders>
              <w:top w:val="single" w:color="000000" w:sz="4" w:space="0"/>
              <w:left w:val="nil"/>
              <w:bottom w:val="single" w:color="000000" w:sz="4" w:space="0"/>
              <w:right w:val="nil"/>
            </w:tcBorders>
            <w:shd w:val="clear" w:color="auto" w:fill="auto"/>
            <w:vAlign w:val="center"/>
          </w:tcPr>
          <w:p w14:paraId="5779EB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Layer</w:t>
            </w:r>
          </w:p>
        </w:tc>
        <w:tc>
          <w:tcPr>
            <w:tcW w:w="1011" w:type="dxa"/>
            <w:tcBorders>
              <w:top w:val="single" w:color="000000" w:sz="4" w:space="0"/>
              <w:left w:val="nil"/>
              <w:bottom w:val="single" w:color="000000" w:sz="4" w:space="0"/>
              <w:right w:val="nil"/>
            </w:tcBorders>
            <w:shd w:val="clear" w:color="auto" w:fill="auto"/>
            <w:vAlign w:val="center"/>
          </w:tcPr>
          <w:p w14:paraId="6F82CA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0-3cm</w:t>
            </w:r>
          </w:p>
        </w:tc>
        <w:tc>
          <w:tcPr>
            <w:tcW w:w="950" w:type="dxa"/>
            <w:tcBorders>
              <w:top w:val="single" w:color="000000" w:sz="4" w:space="0"/>
              <w:left w:val="nil"/>
              <w:bottom w:val="single" w:color="000000" w:sz="4" w:space="0"/>
              <w:right w:val="nil"/>
            </w:tcBorders>
            <w:shd w:val="clear" w:color="auto" w:fill="auto"/>
            <w:vAlign w:val="center"/>
          </w:tcPr>
          <w:p w14:paraId="27A064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w:t>
            </w:r>
          </w:p>
        </w:tc>
        <w:tc>
          <w:tcPr>
            <w:tcW w:w="1011" w:type="dxa"/>
            <w:tcBorders>
              <w:top w:val="single" w:color="000000" w:sz="4" w:space="0"/>
              <w:left w:val="nil"/>
              <w:bottom w:val="single" w:color="000000" w:sz="4" w:space="0"/>
              <w:right w:val="nil"/>
            </w:tcBorders>
            <w:shd w:val="clear" w:color="auto" w:fill="auto"/>
            <w:vAlign w:val="center"/>
          </w:tcPr>
          <w:p w14:paraId="628692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3-5cm</w:t>
            </w:r>
          </w:p>
        </w:tc>
        <w:tc>
          <w:tcPr>
            <w:tcW w:w="950" w:type="dxa"/>
            <w:tcBorders>
              <w:top w:val="single" w:color="000000" w:sz="4" w:space="0"/>
              <w:left w:val="nil"/>
              <w:bottom w:val="single" w:color="000000" w:sz="4" w:space="0"/>
              <w:right w:val="nil"/>
            </w:tcBorders>
            <w:shd w:val="clear" w:color="auto" w:fill="auto"/>
            <w:vAlign w:val="center"/>
          </w:tcPr>
          <w:p w14:paraId="26D9F8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w:t>
            </w:r>
          </w:p>
        </w:tc>
        <w:tc>
          <w:tcPr>
            <w:tcW w:w="1111" w:type="dxa"/>
            <w:tcBorders>
              <w:top w:val="single" w:color="000000" w:sz="4" w:space="0"/>
              <w:left w:val="nil"/>
              <w:bottom w:val="single" w:color="000000" w:sz="4" w:space="0"/>
              <w:right w:val="nil"/>
            </w:tcBorders>
            <w:shd w:val="clear" w:color="auto" w:fill="auto"/>
            <w:vAlign w:val="center"/>
          </w:tcPr>
          <w:p w14:paraId="32947C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5-10cm</w:t>
            </w:r>
          </w:p>
        </w:tc>
        <w:tc>
          <w:tcPr>
            <w:tcW w:w="950" w:type="dxa"/>
            <w:tcBorders>
              <w:top w:val="single" w:color="000000" w:sz="4" w:space="0"/>
              <w:left w:val="nil"/>
              <w:bottom w:val="single" w:color="000000" w:sz="4" w:space="0"/>
              <w:right w:val="nil"/>
            </w:tcBorders>
            <w:shd w:val="clear" w:color="auto" w:fill="auto"/>
            <w:vAlign w:val="center"/>
          </w:tcPr>
          <w:p w14:paraId="5769D0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w:t>
            </w:r>
          </w:p>
        </w:tc>
        <w:tc>
          <w:tcPr>
            <w:tcW w:w="1258" w:type="dxa"/>
            <w:tcBorders>
              <w:top w:val="single" w:color="000000" w:sz="4" w:space="0"/>
              <w:left w:val="nil"/>
              <w:bottom w:val="single" w:color="000000" w:sz="4" w:space="0"/>
              <w:right w:val="nil"/>
            </w:tcBorders>
            <w:shd w:val="clear" w:color="auto" w:fill="auto"/>
            <w:vAlign w:val="center"/>
          </w:tcPr>
          <w:p w14:paraId="61DB62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w:t>
            </w:r>
            <w:r>
              <w:rPr>
                <w:rStyle w:val="67"/>
                <w:rFonts w:eastAsia="宋体"/>
                <w:b w:val="0"/>
                <w:bCs w:val="0"/>
                <w:lang w:val="en-US" w:eastAsia="zh-CN" w:bidi="ar"/>
              </w:rPr>
              <w:t>10cm</w:t>
            </w:r>
          </w:p>
        </w:tc>
        <w:tc>
          <w:tcPr>
            <w:tcW w:w="1155" w:type="dxa"/>
            <w:tcBorders>
              <w:top w:val="single" w:color="000000" w:sz="4" w:space="0"/>
              <w:left w:val="nil"/>
              <w:bottom w:val="single" w:color="000000" w:sz="4" w:space="0"/>
              <w:right w:val="nil"/>
            </w:tcBorders>
            <w:shd w:val="clear" w:color="auto" w:fill="auto"/>
            <w:vAlign w:val="center"/>
          </w:tcPr>
          <w:p w14:paraId="609778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w:t>
            </w:r>
          </w:p>
        </w:tc>
        <w:tc>
          <w:tcPr>
            <w:tcW w:w="1036" w:type="dxa"/>
            <w:tcBorders>
              <w:top w:val="single" w:color="000000" w:sz="4" w:space="0"/>
              <w:left w:val="nil"/>
              <w:bottom w:val="single" w:color="000000" w:sz="4" w:space="0"/>
              <w:right w:val="nil"/>
            </w:tcBorders>
            <w:shd w:val="clear" w:color="auto" w:fill="auto"/>
            <w:vAlign w:val="center"/>
          </w:tcPr>
          <w:p w14:paraId="79ED94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eastAsia" w:ascii="Times New Roman" w:hAnsi="Times New Roman" w:eastAsia="宋体" w:cs="Times New Roman"/>
                <w:b w:val="0"/>
                <w:bCs w:val="0"/>
                <w:i w:val="0"/>
                <w:iCs w:val="0"/>
                <w:color w:val="000000"/>
                <w:kern w:val="0"/>
                <w:sz w:val="20"/>
                <w:szCs w:val="20"/>
                <w:u w:val="none"/>
                <w:lang w:val="en-US" w:eastAsia="zh-CN" w:bidi="ar"/>
              </w:rPr>
              <w:t>Total</w:t>
            </w:r>
          </w:p>
        </w:tc>
        <w:tc>
          <w:tcPr>
            <w:tcW w:w="1631" w:type="dxa"/>
            <w:tcBorders>
              <w:top w:val="single" w:color="000000" w:sz="4" w:space="0"/>
              <w:left w:val="nil"/>
              <w:bottom w:val="single" w:color="000000" w:sz="4" w:space="0"/>
              <w:right w:val="nil"/>
            </w:tcBorders>
            <w:shd w:val="clear" w:color="auto" w:fill="auto"/>
            <w:vAlign w:val="center"/>
          </w:tcPr>
          <w:p w14:paraId="0E7583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Density</w:t>
            </w:r>
            <w:r>
              <w:rPr>
                <w:rFonts w:hint="eastAsia" w:cs="Times New Roman"/>
                <w:b w:val="0"/>
                <w:bCs w:val="0"/>
                <w:i w:val="0"/>
                <w:iCs w:val="0"/>
                <w:color w:val="000000"/>
                <w:kern w:val="0"/>
                <w:sz w:val="20"/>
                <w:szCs w:val="20"/>
                <w:u w:val="none"/>
                <w:lang w:val="en-US" w:eastAsia="zh-CN" w:bidi="ar"/>
              </w:rPr>
              <w:t>(obj./m</w:t>
            </w:r>
            <w:r>
              <w:rPr>
                <w:rFonts w:hint="eastAsia" w:cs="Times New Roman"/>
                <w:b w:val="0"/>
                <w:bCs w:val="0"/>
                <w:i w:val="0"/>
                <w:iCs w:val="0"/>
                <w:color w:val="000000"/>
                <w:kern w:val="0"/>
                <w:sz w:val="20"/>
                <w:szCs w:val="20"/>
                <w:u w:val="none"/>
                <w:vertAlign w:val="superscript"/>
                <w:lang w:val="en-US" w:eastAsia="zh-CN" w:bidi="ar"/>
              </w:rPr>
              <w:t>3</w:t>
            </w:r>
            <w:r>
              <w:rPr>
                <w:rFonts w:hint="eastAsia" w:cs="Times New Roman"/>
                <w:b w:val="0"/>
                <w:bCs w:val="0"/>
                <w:i w:val="0"/>
                <w:iCs w:val="0"/>
                <w:color w:val="000000"/>
                <w:kern w:val="0"/>
                <w:sz w:val="20"/>
                <w:szCs w:val="20"/>
                <w:u w:val="none"/>
                <w:lang w:val="en-US" w:eastAsia="zh-CN" w:bidi="ar"/>
              </w:rPr>
              <w:t>)</w:t>
            </w:r>
          </w:p>
        </w:tc>
      </w:tr>
      <w:tr w14:paraId="32498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67" w:type="dxa"/>
            <w:tcBorders>
              <w:top w:val="nil"/>
              <w:left w:val="nil"/>
              <w:bottom w:val="nil"/>
              <w:right w:val="nil"/>
            </w:tcBorders>
            <w:shd w:val="clear" w:color="auto" w:fill="auto"/>
            <w:vAlign w:val="center"/>
          </w:tcPr>
          <w:p w14:paraId="7F5BFD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011" w:type="dxa"/>
            <w:tcBorders>
              <w:top w:val="nil"/>
              <w:left w:val="nil"/>
              <w:bottom w:val="nil"/>
              <w:right w:val="nil"/>
            </w:tcBorders>
            <w:shd w:val="clear" w:color="auto" w:fill="auto"/>
            <w:vAlign w:val="center"/>
          </w:tcPr>
          <w:p w14:paraId="5F5B42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16861</w:t>
            </w:r>
          </w:p>
        </w:tc>
        <w:tc>
          <w:tcPr>
            <w:tcW w:w="950" w:type="dxa"/>
            <w:tcBorders>
              <w:top w:val="nil"/>
              <w:left w:val="nil"/>
              <w:bottom w:val="nil"/>
              <w:right w:val="nil"/>
            </w:tcBorders>
            <w:shd w:val="clear" w:color="auto" w:fill="auto"/>
            <w:vAlign w:val="center"/>
          </w:tcPr>
          <w:p w14:paraId="776F76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35.0 </w:t>
            </w:r>
          </w:p>
        </w:tc>
        <w:tc>
          <w:tcPr>
            <w:tcW w:w="1011" w:type="dxa"/>
            <w:tcBorders>
              <w:top w:val="nil"/>
              <w:left w:val="nil"/>
              <w:bottom w:val="nil"/>
              <w:right w:val="nil"/>
            </w:tcBorders>
            <w:shd w:val="clear" w:color="auto" w:fill="auto"/>
            <w:vAlign w:val="center"/>
          </w:tcPr>
          <w:p w14:paraId="7568F1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7220</w:t>
            </w:r>
          </w:p>
        </w:tc>
        <w:tc>
          <w:tcPr>
            <w:tcW w:w="950" w:type="dxa"/>
            <w:tcBorders>
              <w:top w:val="nil"/>
              <w:left w:val="nil"/>
              <w:bottom w:val="nil"/>
              <w:right w:val="nil"/>
            </w:tcBorders>
            <w:shd w:val="clear" w:color="auto" w:fill="auto"/>
            <w:vAlign w:val="center"/>
          </w:tcPr>
          <w:p w14:paraId="788E27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54.5 </w:t>
            </w:r>
          </w:p>
        </w:tc>
        <w:tc>
          <w:tcPr>
            <w:tcW w:w="1111" w:type="dxa"/>
            <w:tcBorders>
              <w:top w:val="nil"/>
              <w:left w:val="nil"/>
              <w:bottom w:val="nil"/>
              <w:right w:val="nil"/>
            </w:tcBorders>
            <w:shd w:val="clear" w:color="auto" w:fill="auto"/>
            <w:vAlign w:val="center"/>
          </w:tcPr>
          <w:p w14:paraId="5284B2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2011</w:t>
            </w:r>
          </w:p>
        </w:tc>
        <w:tc>
          <w:tcPr>
            <w:tcW w:w="950" w:type="dxa"/>
            <w:tcBorders>
              <w:top w:val="nil"/>
              <w:left w:val="nil"/>
              <w:bottom w:val="nil"/>
              <w:right w:val="nil"/>
            </w:tcBorders>
            <w:shd w:val="clear" w:color="auto" w:fill="auto"/>
            <w:vAlign w:val="center"/>
          </w:tcPr>
          <w:p w14:paraId="07E709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68.5 </w:t>
            </w:r>
          </w:p>
        </w:tc>
        <w:tc>
          <w:tcPr>
            <w:tcW w:w="1258" w:type="dxa"/>
            <w:tcBorders>
              <w:top w:val="nil"/>
              <w:left w:val="nil"/>
              <w:bottom w:val="nil"/>
              <w:right w:val="nil"/>
            </w:tcBorders>
            <w:shd w:val="clear" w:color="auto" w:fill="auto"/>
            <w:vAlign w:val="center"/>
          </w:tcPr>
          <w:p w14:paraId="3D1763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w:t>
            </w:r>
          </w:p>
        </w:tc>
        <w:tc>
          <w:tcPr>
            <w:tcW w:w="1155" w:type="dxa"/>
            <w:tcBorders>
              <w:top w:val="nil"/>
              <w:left w:val="nil"/>
              <w:bottom w:val="nil"/>
              <w:right w:val="nil"/>
            </w:tcBorders>
            <w:shd w:val="clear" w:color="auto" w:fill="auto"/>
            <w:vAlign w:val="center"/>
          </w:tcPr>
          <w:p w14:paraId="255709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55.2 </w:t>
            </w:r>
          </w:p>
        </w:tc>
        <w:tc>
          <w:tcPr>
            <w:tcW w:w="1036" w:type="dxa"/>
            <w:tcBorders>
              <w:top w:val="nil"/>
              <w:left w:val="nil"/>
              <w:bottom w:val="nil"/>
              <w:right w:val="nil"/>
            </w:tcBorders>
            <w:shd w:val="clear" w:color="auto" w:fill="auto"/>
            <w:noWrap/>
            <w:vAlign w:val="center"/>
          </w:tcPr>
          <w:p w14:paraId="69DAFA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26108</w:t>
            </w:r>
          </w:p>
        </w:tc>
        <w:tc>
          <w:tcPr>
            <w:tcW w:w="1631" w:type="dxa"/>
            <w:tcBorders>
              <w:top w:val="nil"/>
              <w:left w:val="nil"/>
              <w:bottom w:val="nil"/>
              <w:right w:val="nil"/>
            </w:tcBorders>
            <w:shd w:val="clear" w:color="auto" w:fill="auto"/>
            <w:noWrap/>
            <w:vAlign w:val="center"/>
          </w:tcPr>
          <w:p w14:paraId="32DDCD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11351.3</w:t>
            </w:r>
          </w:p>
        </w:tc>
      </w:tr>
      <w:tr w14:paraId="12913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67" w:type="dxa"/>
            <w:tcBorders>
              <w:top w:val="nil"/>
              <w:left w:val="nil"/>
              <w:bottom w:val="nil"/>
              <w:right w:val="nil"/>
            </w:tcBorders>
            <w:shd w:val="clear" w:color="auto" w:fill="auto"/>
            <w:vAlign w:val="center"/>
          </w:tcPr>
          <w:p w14:paraId="6C8E80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011" w:type="dxa"/>
            <w:tcBorders>
              <w:top w:val="nil"/>
              <w:left w:val="nil"/>
              <w:bottom w:val="nil"/>
              <w:right w:val="nil"/>
            </w:tcBorders>
            <w:shd w:val="clear" w:color="auto" w:fill="auto"/>
            <w:vAlign w:val="center"/>
          </w:tcPr>
          <w:p w14:paraId="7EC678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2937</w:t>
            </w:r>
          </w:p>
        </w:tc>
        <w:tc>
          <w:tcPr>
            <w:tcW w:w="950" w:type="dxa"/>
            <w:tcBorders>
              <w:top w:val="nil"/>
              <w:left w:val="nil"/>
              <w:bottom w:val="nil"/>
              <w:right w:val="nil"/>
            </w:tcBorders>
            <w:shd w:val="clear" w:color="auto" w:fill="auto"/>
            <w:vAlign w:val="center"/>
          </w:tcPr>
          <w:p w14:paraId="58C02D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6.1 </w:t>
            </w:r>
          </w:p>
        </w:tc>
        <w:tc>
          <w:tcPr>
            <w:tcW w:w="1011" w:type="dxa"/>
            <w:tcBorders>
              <w:top w:val="nil"/>
              <w:left w:val="nil"/>
              <w:bottom w:val="nil"/>
              <w:right w:val="nil"/>
            </w:tcBorders>
            <w:shd w:val="clear" w:color="auto" w:fill="auto"/>
            <w:vAlign w:val="center"/>
          </w:tcPr>
          <w:p w14:paraId="7FCA63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1527</w:t>
            </w:r>
          </w:p>
        </w:tc>
        <w:tc>
          <w:tcPr>
            <w:tcW w:w="950" w:type="dxa"/>
            <w:tcBorders>
              <w:top w:val="nil"/>
              <w:left w:val="nil"/>
              <w:bottom w:val="nil"/>
              <w:right w:val="nil"/>
            </w:tcBorders>
            <w:shd w:val="clear" w:color="auto" w:fill="auto"/>
            <w:vAlign w:val="center"/>
          </w:tcPr>
          <w:p w14:paraId="447ADA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11.5 </w:t>
            </w:r>
          </w:p>
        </w:tc>
        <w:tc>
          <w:tcPr>
            <w:tcW w:w="1111" w:type="dxa"/>
            <w:tcBorders>
              <w:top w:val="nil"/>
              <w:left w:val="nil"/>
              <w:bottom w:val="nil"/>
              <w:right w:val="nil"/>
            </w:tcBorders>
            <w:shd w:val="clear" w:color="auto" w:fill="auto"/>
            <w:vAlign w:val="center"/>
          </w:tcPr>
          <w:p w14:paraId="4C2DD1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420</w:t>
            </w:r>
          </w:p>
        </w:tc>
        <w:tc>
          <w:tcPr>
            <w:tcW w:w="950" w:type="dxa"/>
            <w:tcBorders>
              <w:top w:val="nil"/>
              <w:left w:val="nil"/>
              <w:bottom w:val="nil"/>
              <w:right w:val="nil"/>
            </w:tcBorders>
            <w:shd w:val="clear" w:color="auto" w:fill="auto"/>
            <w:vAlign w:val="center"/>
          </w:tcPr>
          <w:p w14:paraId="04DC77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14.3 </w:t>
            </w:r>
          </w:p>
        </w:tc>
        <w:tc>
          <w:tcPr>
            <w:tcW w:w="1258" w:type="dxa"/>
            <w:tcBorders>
              <w:top w:val="nil"/>
              <w:left w:val="nil"/>
              <w:bottom w:val="nil"/>
              <w:right w:val="nil"/>
            </w:tcBorders>
            <w:shd w:val="clear" w:color="auto" w:fill="auto"/>
            <w:vAlign w:val="center"/>
          </w:tcPr>
          <w:p w14:paraId="591AB4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w:t>
            </w:r>
          </w:p>
        </w:tc>
        <w:tc>
          <w:tcPr>
            <w:tcW w:w="1155" w:type="dxa"/>
            <w:tcBorders>
              <w:top w:val="nil"/>
              <w:left w:val="nil"/>
              <w:bottom w:val="nil"/>
              <w:right w:val="nil"/>
            </w:tcBorders>
            <w:shd w:val="clear" w:color="auto" w:fill="auto"/>
            <w:vAlign w:val="center"/>
          </w:tcPr>
          <w:p w14:paraId="7660CC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31.0 </w:t>
            </w:r>
          </w:p>
        </w:tc>
        <w:tc>
          <w:tcPr>
            <w:tcW w:w="1036" w:type="dxa"/>
            <w:tcBorders>
              <w:top w:val="nil"/>
              <w:left w:val="nil"/>
              <w:bottom w:val="nil"/>
              <w:right w:val="nil"/>
            </w:tcBorders>
            <w:shd w:val="clear" w:color="auto" w:fill="auto"/>
            <w:noWrap/>
            <w:vAlign w:val="center"/>
          </w:tcPr>
          <w:p w14:paraId="16E2A2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4893</w:t>
            </w:r>
          </w:p>
        </w:tc>
        <w:tc>
          <w:tcPr>
            <w:tcW w:w="1631" w:type="dxa"/>
            <w:tcBorders>
              <w:top w:val="nil"/>
              <w:left w:val="nil"/>
              <w:bottom w:val="nil"/>
              <w:right w:val="nil"/>
            </w:tcBorders>
            <w:shd w:val="clear" w:color="auto" w:fill="auto"/>
            <w:noWrap/>
            <w:vAlign w:val="center"/>
          </w:tcPr>
          <w:p w14:paraId="4064ED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7516.1</w:t>
            </w:r>
          </w:p>
        </w:tc>
      </w:tr>
      <w:tr w14:paraId="0A87E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67" w:type="dxa"/>
            <w:tcBorders>
              <w:top w:val="nil"/>
              <w:left w:val="nil"/>
              <w:bottom w:val="nil"/>
              <w:right w:val="nil"/>
            </w:tcBorders>
            <w:shd w:val="clear" w:color="auto" w:fill="auto"/>
            <w:vAlign w:val="center"/>
          </w:tcPr>
          <w:p w14:paraId="44906F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011" w:type="dxa"/>
            <w:tcBorders>
              <w:top w:val="nil"/>
              <w:left w:val="nil"/>
              <w:bottom w:val="nil"/>
              <w:right w:val="nil"/>
            </w:tcBorders>
            <w:shd w:val="clear" w:color="auto" w:fill="auto"/>
            <w:vAlign w:val="center"/>
          </w:tcPr>
          <w:p w14:paraId="551232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950" w:type="dxa"/>
            <w:tcBorders>
              <w:top w:val="nil"/>
              <w:left w:val="nil"/>
              <w:bottom w:val="nil"/>
              <w:right w:val="nil"/>
            </w:tcBorders>
            <w:shd w:val="clear" w:color="auto" w:fill="auto"/>
            <w:vAlign w:val="center"/>
          </w:tcPr>
          <w:p w14:paraId="25D87B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0.0 </w:t>
            </w:r>
          </w:p>
        </w:tc>
        <w:tc>
          <w:tcPr>
            <w:tcW w:w="1011" w:type="dxa"/>
            <w:tcBorders>
              <w:top w:val="nil"/>
              <w:left w:val="nil"/>
              <w:bottom w:val="nil"/>
              <w:right w:val="nil"/>
            </w:tcBorders>
            <w:shd w:val="clear" w:color="auto" w:fill="auto"/>
            <w:vAlign w:val="center"/>
          </w:tcPr>
          <w:p w14:paraId="4AC2F7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950" w:type="dxa"/>
            <w:tcBorders>
              <w:top w:val="nil"/>
              <w:left w:val="nil"/>
              <w:bottom w:val="nil"/>
              <w:right w:val="nil"/>
            </w:tcBorders>
            <w:shd w:val="clear" w:color="auto" w:fill="auto"/>
            <w:vAlign w:val="center"/>
          </w:tcPr>
          <w:p w14:paraId="68C493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0.0 </w:t>
            </w:r>
          </w:p>
        </w:tc>
        <w:tc>
          <w:tcPr>
            <w:tcW w:w="1111" w:type="dxa"/>
            <w:tcBorders>
              <w:top w:val="nil"/>
              <w:left w:val="nil"/>
              <w:bottom w:val="nil"/>
              <w:right w:val="nil"/>
            </w:tcBorders>
            <w:shd w:val="clear" w:color="auto" w:fill="auto"/>
            <w:vAlign w:val="center"/>
          </w:tcPr>
          <w:p w14:paraId="7D5949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950" w:type="dxa"/>
            <w:tcBorders>
              <w:top w:val="nil"/>
              <w:left w:val="nil"/>
              <w:bottom w:val="nil"/>
              <w:right w:val="nil"/>
            </w:tcBorders>
            <w:shd w:val="clear" w:color="auto" w:fill="auto"/>
            <w:vAlign w:val="center"/>
          </w:tcPr>
          <w:p w14:paraId="64C51C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0.0 </w:t>
            </w:r>
          </w:p>
        </w:tc>
        <w:tc>
          <w:tcPr>
            <w:tcW w:w="1258" w:type="dxa"/>
            <w:tcBorders>
              <w:top w:val="nil"/>
              <w:left w:val="nil"/>
              <w:bottom w:val="nil"/>
              <w:right w:val="nil"/>
            </w:tcBorders>
            <w:shd w:val="clear" w:color="auto" w:fill="auto"/>
            <w:vAlign w:val="center"/>
          </w:tcPr>
          <w:p w14:paraId="0DA9C9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1155" w:type="dxa"/>
            <w:tcBorders>
              <w:top w:val="nil"/>
              <w:left w:val="nil"/>
              <w:bottom w:val="nil"/>
              <w:right w:val="nil"/>
            </w:tcBorders>
            <w:shd w:val="clear" w:color="auto" w:fill="auto"/>
            <w:vAlign w:val="center"/>
          </w:tcPr>
          <w:p w14:paraId="2DD14D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0.0 </w:t>
            </w:r>
          </w:p>
        </w:tc>
        <w:tc>
          <w:tcPr>
            <w:tcW w:w="1036" w:type="dxa"/>
            <w:tcBorders>
              <w:top w:val="nil"/>
              <w:left w:val="nil"/>
              <w:bottom w:val="nil"/>
              <w:right w:val="nil"/>
            </w:tcBorders>
            <w:shd w:val="clear" w:color="auto" w:fill="auto"/>
            <w:noWrap/>
            <w:vAlign w:val="center"/>
          </w:tcPr>
          <w:p w14:paraId="3FF08C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9</w:t>
            </w:r>
          </w:p>
        </w:tc>
        <w:tc>
          <w:tcPr>
            <w:tcW w:w="1631" w:type="dxa"/>
            <w:tcBorders>
              <w:top w:val="nil"/>
              <w:left w:val="nil"/>
              <w:bottom w:val="nil"/>
              <w:right w:val="nil"/>
            </w:tcBorders>
            <w:shd w:val="clear" w:color="auto" w:fill="auto"/>
            <w:noWrap/>
            <w:vAlign w:val="center"/>
          </w:tcPr>
          <w:p w14:paraId="2C760F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3.9</w:t>
            </w:r>
          </w:p>
        </w:tc>
      </w:tr>
      <w:tr w14:paraId="61536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67" w:type="dxa"/>
            <w:tcBorders>
              <w:top w:val="nil"/>
              <w:left w:val="nil"/>
              <w:bottom w:val="nil"/>
              <w:right w:val="nil"/>
            </w:tcBorders>
            <w:shd w:val="clear" w:color="auto" w:fill="auto"/>
            <w:vAlign w:val="center"/>
          </w:tcPr>
          <w:p w14:paraId="5E7EFB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1011" w:type="dxa"/>
            <w:tcBorders>
              <w:top w:val="nil"/>
              <w:left w:val="nil"/>
              <w:bottom w:val="nil"/>
              <w:right w:val="nil"/>
            </w:tcBorders>
            <w:shd w:val="clear" w:color="auto" w:fill="auto"/>
            <w:vAlign w:val="center"/>
          </w:tcPr>
          <w:p w14:paraId="657ACF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950" w:type="dxa"/>
            <w:tcBorders>
              <w:top w:val="nil"/>
              <w:left w:val="nil"/>
              <w:bottom w:val="nil"/>
              <w:right w:val="nil"/>
            </w:tcBorders>
            <w:shd w:val="clear" w:color="auto" w:fill="auto"/>
            <w:vAlign w:val="center"/>
          </w:tcPr>
          <w:p w14:paraId="1330AF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0.0 </w:t>
            </w:r>
          </w:p>
        </w:tc>
        <w:tc>
          <w:tcPr>
            <w:tcW w:w="1011" w:type="dxa"/>
            <w:tcBorders>
              <w:top w:val="nil"/>
              <w:left w:val="nil"/>
              <w:bottom w:val="nil"/>
              <w:right w:val="nil"/>
            </w:tcBorders>
            <w:shd w:val="clear" w:color="auto" w:fill="auto"/>
            <w:vAlign w:val="center"/>
          </w:tcPr>
          <w:p w14:paraId="0C8CEB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w:t>
            </w:r>
          </w:p>
        </w:tc>
        <w:tc>
          <w:tcPr>
            <w:tcW w:w="950" w:type="dxa"/>
            <w:tcBorders>
              <w:top w:val="nil"/>
              <w:left w:val="nil"/>
              <w:bottom w:val="nil"/>
              <w:right w:val="nil"/>
            </w:tcBorders>
            <w:shd w:val="clear" w:color="auto" w:fill="auto"/>
            <w:vAlign w:val="center"/>
          </w:tcPr>
          <w:p w14:paraId="346119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0.1 </w:t>
            </w:r>
          </w:p>
        </w:tc>
        <w:tc>
          <w:tcPr>
            <w:tcW w:w="1111" w:type="dxa"/>
            <w:tcBorders>
              <w:top w:val="nil"/>
              <w:left w:val="nil"/>
              <w:bottom w:val="nil"/>
              <w:right w:val="nil"/>
            </w:tcBorders>
            <w:shd w:val="clear" w:color="auto" w:fill="auto"/>
            <w:vAlign w:val="center"/>
          </w:tcPr>
          <w:p w14:paraId="04C318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950" w:type="dxa"/>
            <w:tcBorders>
              <w:top w:val="nil"/>
              <w:left w:val="nil"/>
              <w:bottom w:val="nil"/>
              <w:right w:val="nil"/>
            </w:tcBorders>
            <w:shd w:val="clear" w:color="auto" w:fill="auto"/>
            <w:vAlign w:val="center"/>
          </w:tcPr>
          <w:p w14:paraId="532B5D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0.1 </w:t>
            </w:r>
          </w:p>
        </w:tc>
        <w:tc>
          <w:tcPr>
            <w:tcW w:w="1258" w:type="dxa"/>
            <w:tcBorders>
              <w:top w:val="nil"/>
              <w:left w:val="nil"/>
              <w:bottom w:val="nil"/>
              <w:right w:val="nil"/>
            </w:tcBorders>
            <w:shd w:val="clear" w:color="auto" w:fill="auto"/>
            <w:vAlign w:val="center"/>
          </w:tcPr>
          <w:p w14:paraId="6F5D6F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155" w:type="dxa"/>
            <w:tcBorders>
              <w:top w:val="nil"/>
              <w:left w:val="nil"/>
              <w:bottom w:val="nil"/>
              <w:right w:val="nil"/>
            </w:tcBorders>
            <w:shd w:val="clear" w:color="auto" w:fill="auto"/>
            <w:vAlign w:val="center"/>
          </w:tcPr>
          <w:p w14:paraId="300410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3.4 </w:t>
            </w:r>
          </w:p>
        </w:tc>
        <w:tc>
          <w:tcPr>
            <w:tcW w:w="1036" w:type="dxa"/>
            <w:tcBorders>
              <w:top w:val="nil"/>
              <w:left w:val="nil"/>
              <w:bottom w:val="nil"/>
              <w:right w:val="nil"/>
            </w:tcBorders>
            <w:shd w:val="clear" w:color="auto" w:fill="auto"/>
            <w:noWrap/>
            <w:vAlign w:val="center"/>
          </w:tcPr>
          <w:p w14:paraId="7FA3AC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37</w:t>
            </w:r>
          </w:p>
        </w:tc>
        <w:tc>
          <w:tcPr>
            <w:tcW w:w="1631" w:type="dxa"/>
            <w:tcBorders>
              <w:top w:val="nil"/>
              <w:left w:val="nil"/>
              <w:bottom w:val="nil"/>
              <w:right w:val="nil"/>
            </w:tcBorders>
            <w:shd w:val="clear" w:color="auto" w:fill="auto"/>
            <w:noWrap/>
            <w:vAlign w:val="center"/>
          </w:tcPr>
          <w:p w14:paraId="50B340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30.2</w:t>
            </w:r>
          </w:p>
        </w:tc>
      </w:tr>
      <w:tr w14:paraId="52D95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67" w:type="dxa"/>
            <w:tcBorders>
              <w:top w:val="nil"/>
              <w:left w:val="nil"/>
              <w:bottom w:val="nil"/>
              <w:right w:val="nil"/>
            </w:tcBorders>
            <w:shd w:val="clear" w:color="auto" w:fill="auto"/>
            <w:vAlign w:val="center"/>
          </w:tcPr>
          <w:p w14:paraId="07254F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1011" w:type="dxa"/>
            <w:tcBorders>
              <w:top w:val="nil"/>
              <w:left w:val="nil"/>
              <w:bottom w:val="nil"/>
              <w:right w:val="nil"/>
            </w:tcBorders>
            <w:shd w:val="clear" w:color="auto" w:fill="auto"/>
            <w:vAlign w:val="center"/>
          </w:tcPr>
          <w:p w14:paraId="596B91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8841</w:t>
            </w:r>
          </w:p>
        </w:tc>
        <w:tc>
          <w:tcPr>
            <w:tcW w:w="950" w:type="dxa"/>
            <w:tcBorders>
              <w:top w:val="nil"/>
              <w:left w:val="nil"/>
              <w:bottom w:val="nil"/>
              <w:right w:val="nil"/>
            </w:tcBorders>
            <w:shd w:val="clear" w:color="auto" w:fill="auto"/>
            <w:vAlign w:val="center"/>
          </w:tcPr>
          <w:p w14:paraId="1E4DFD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18.4 </w:t>
            </w:r>
          </w:p>
        </w:tc>
        <w:tc>
          <w:tcPr>
            <w:tcW w:w="1011" w:type="dxa"/>
            <w:tcBorders>
              <w:top w:val="nil"/>
              <w:left w:val="nil"/>
              <w:bottom w:val="nil"/>
              <w:right w:val="nil"/>
            </w:tcBorders>
            <w:shd w:val="clear" w:color="auto" w:fill="auto"/>
            <w:vAlign w:val="center"/>
          </w:tcPr>
          <w:p w14:paraId="03B1B5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1454</w:t>
            </w:r>
          </w:p>
        </w:tc>
        <w:tc>
          <w:tcPr>
            <w:tcW w:w="950" w:type="dxa"/>
            <w:tcBorders>
              <w:top w:val="nil"/>
              <w:left w:val="nil"/>
              <w:bottom w:val="nil"/>
              <w:right w:val="nil"/>
            </w:tcBorders>
            <w:shd w:val="clear" w:color="auto" w:fill="auto"/>
            <w:vAlign w:val="center"/>
          </w:tcPr>
          <w:p w14:paraId="1DCCA4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11.0 </w:t>
            </w:r>
          </w:p>
        </w:tc>
        <w:tc>
          <w:tcPr>
            <w:tcW w:w="1111" w:type="dxa"/>
            <w:tcBorders>
              <w:top w:val="nil"/>
              <w:left w:val="nil"/>
              <w:bottom w:val="nil"/>
              <w:right w:val="nil"/>
            </w:tcBorders>
            <w:shd w:val="clear" w:color="auto" w:fill="auto"/>
            <w:vAlign w:val="center"/>
          </w:tcPr>
          <w:p w14:paraId="330244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156</w:t>
            </w:r>
          </w:p>
        </w:tc>
        <w:tc>
          <w:tcPr>
            <w:tcW w:w="950" w:type="dxa"/>
            <w:tcBorders>
              <w:top w:val="nil"/>
              <w:left w:val="nil"/>
              <w:bottom w:val="nil"/>
              <w:right w:val="nil"/>
            </w:tcBorders>
            <w:shd w:val="clear" w:color="auto" w:fill="auto"/>
            <w:vAlign w:val="center"/>
          </w:tcPr>
          <w:p w14:paraId="7DD4F9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5.3 </w:t>
            </w:r>
          </w:p>
        </w:tc>
        <w:tc>
          <w:tcPr>
            <w:tcW w:w="1258" w:type="dxa"/>
            <w:tcBorders>
              <w:top w:val="nil"/>
              <w:left w:val="nil"/>
              <w:bottom w:val="nil"/>
              <w:right w:val="nil"/>
            </w:tcBorders>
            <w:shd w:val="clear" w:color="auto" w:fill="auto"/>
            <w:vAlign w:val="center"/>
          </w:tcPr>
          <w:p w14:paraId="6789C7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1155" w:type="dxa"/>
            <w:tcBorders>
              <w:top w:val="nil"/>
              <w:left w:val="nil"/>
              <w:bottom w:val="nil"/>
              <w:right w:val="nil"/>
            </w:tcBorders>
            <w:shd w:val="clear" w:color="auto" w:fill="auto"/>
            <w:vAlign w:val="center"/>
          </w:tcPr>
          <w:p w14:paraId="549281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0.0 </w:t>
            </w:r>
          </w:p>
        </w:tc>
        <w:tc>
          <w:tcPr>
            <w:tcW w:w="1036" w:type="dxa"/>
            <w:tcBorders>
              <w:top w:val="nil"/>
              <w:left w:val="nil"/>
              <w:bottom w:val="nil"/>
              <w:right w:val="nil"/>
            </w:tcBorders>
            <w:shd w:val="clear" w:color="auto" w:fill="auto"/>
            <w:noWrap/>
            <w:vAlign w:val="center"/>
          </w:tcPr>
          <w:p w14:paraId="4ADCF3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10451</w:t>
            </w:r>
          </w:p>
        </w:tc>
        <w:tc>
          <w:tcPr>
            <w:tcW w:w="1631" w:type="dxa"/>
            <w:tcBorders>
              <w:top w:val="nil"/>
              <w:left w:val="nil"/>
              <w:bottom w:val="nil"/>
              <w:right w:val="nil"/>
            </w:tcBorders>
            <w:shd w:val="clear" w:color="auto" w:fill="auto"/>
            <w:noWrap/>
            <w:vAlign w:val="center"/>
          </w:tcPr>
          <w:p w14:paraId="69E9AD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2642.5</w:t>
            </w:r>
          </w:p>
        </w:tc>
      </w:tr>
      <w:tr w14:paraId="40467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67" w:type="dxa"/>
            <w:tcBorders>
              <w:top w:val="nil"/>
              <w:left w:val="nil"/>
              <w:bottom w:val="nil"/>
              <w:right w:val="nil"/>
            </w:tcBorders>
            <w:shd w:val="clear" w:color="auto" w:fill="auto"/>
            <w:vAlign w:val="center"/>
          </w:tcPr>
          <w:p w14:paraId="3FBB36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1011" w:type="dxa"/>
            <w:tcBorders>
              <w:top w:val="nil"/>
              <w:left w:val="nil"/>
              <w:bottom w:val="nil"/>
              <w:right w:val="nil"/>
            </w:tcBorders>
            <w:shd w:val="clear" w:color="auto" w:fill="auto"/>
            <w:vAlign w:val="center"/>
          </w:tcPr>
          <w:p w14:paraId="4FC26D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148</w:t>
            </w:r>
          </w:p>
        </w:tc>
        <w:tc>
          <w:tcPr>
            <w:tcW w:w="950" w:type="dxa"/>
            <w:tcBorders>
              <w:top w:val="nil"/>
              <w:left w:val="nil"/>
              <w:bottom w:val="nil"/>
              <w:right w:val="nil"/>
            </w:tcBorders>
            <w:shd w:val="clear" w:color="auto" w:fill="auto"/>
            <w:vAlign w:val="center"/>
          </w:tcPr>
          <w:p w14:paraId="183760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0.3 </w:t>
            </w:r>
          </w:p>
        </w:tc>
        <w:tc>
          <w:tcPr>
            <w:tcW w:w="1011" w:type="dxa"/>
            <w:tcBorders>
              <w:top w:val="nil"/>
              <w:left w:val="nil"/>
              <w:bottom w:val="nil"/>
              <w:right w:val="nil"/>
            </w:tcBorders>
            <w:shd w:val="clear" w:color="auto" w:fill="auto"/>
            <w:vAlign w:val="center"/>
          </w:tcPr>
          <w:p w14:paraId="71E7BD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81</w:t>
            </w:r>
          </w:p>
        </w:tc>
        <w:tc>
          <w:tcPr>
            <w:tcW w:w="950" w:type="dxa"/>
            <w:tcBorders>
              <w:top w:val="nil"/>
              <w:left w:val="nil"/>
              <w:bottom w:val="nil"/>
              <w:right w:val="nil"/>
            </w:tcBorders>
            <w:shd w:val="clear" w:color="auto" w:fill="auto"/>
            <w:vAlign w:val="center"/>
          </w:tcPr>
          <w:p w14:paraId="200E7B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0.6 </w:t>
            </w:r>
          </w:p>
        </w:tc>
        <w:tc>
          <w:tcPr>
            <w:tcW w:w="1111" w:type="dxa"/>
            <w:tcBorders>
              <w:top w:val="nil"/>
              <w:left w:val="nil"/>
              <w:bottom w:val="nil"/>
              <w:right w:val="nil"/>
            </w:tcBorders>
            <w:shd w:val="clear" w:color="auto" w:fill="auto"/>
            <w:vAlign w:val="center"/>
          </w:tcPr>
          <w:p w14:paraId="581AB5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950" w:type="dxa"/>
            <w:tcBorders>
              <w:top w:val="nil"/>
              <w:left w:val="nil"/>
              <w:bottom w:val="nil"/>
              <w:right w:val="nil"/>
            </w:tcBorders>
            <w:shd w:val="clear" w:color="auto" w:fill="auto"/>
            <w:vAlign w:val="center"/>
          </w:tcPr>
          <w:p w14:paraId="41EB23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0.2 </w:t>
            </w:r>
          </w:p>
        </w:tc>
        <w:tc>
          <w:tcPr>
            <w:tcW w:w="1258" w:type="dxa"/>
            <w:tcBorders>
              <w:top w:val="nil"/>
              <w:left w:val="nil"/>
              <w:bottom w:val="nil"/>
              <w:right w:val="nil"/>
            </w:tcBorders>
            <w:shd w:val="clear" w:color="auto" w:fill="auto"/>
            <w:vAlign w:val="center"/>
          </w:tcPr>
          <w:p w14:paraId="59634C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1155" w:type="dxa"/>
            <w:tcBorders>
              <w:top w:val="nil"/>
              <w:left w:val="nil"/>
              <w:bottom w:val="nil"/>
              <w:right w:val="nil"/>
            </w:tcBorders>
            <w:shd w:val="clear" w:color="auto" w:fill="auto"/>
            <w:vAlign w:val="center"/>
          </w:tcPr>
          <w:p w14:paraId="0ED881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0.0 </w:t>
            </w:r>
          </w:p>
        </w:tc>
        <w:tc>
          <w:tcPr>
            <w:tcW w:w="1036" w:type="dxa"/>
            <w:tcBorders>
              <w:top w:val="nil"/>
              <w:left w:val="nil"/>
              <w:bottom w:val="nil"/>
              <w:right w:val="nil"/>
            </w:tcBorders>
            <w:shd w:val="clear" w:color="auto" w:fill="auto"/>
            <w:noWrap/>
            <w:vAlign w:val="center"/>
          </w:tcPr>
          <w:p w14:paraId="300C00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235</w:t>
            </w:r>
          </w:p>
        </w:tc>
        <w:tc>
          <w:tcPr>
            <w:tcW w:w="1631" w:type="dxa"/>
            <w:tcBorders>
              <w:top w:val="nil"/>
              <w:left w:val="nil"/>
              <w:bottom w:val="nil"/>
              <w:right w:val="nil"/>
            </w:tcBorders>
            <w:shd w:val="clear" w:color="auto" w:fill="auto"/>
            <w:noWrap/>
            <w:vAlign w:val="center"/>
          </w:tcPr>
          <w:p w14:paraId="3D541D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139.9</w:t>
            </w:r>
          </w:p>
        </w:tc>
      </w:tr>
      <w:tr w14:paraId="50A42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67" w:type="dxa"/>
            <w:tcBorders>
              <w:top w:val="nil"/>
              <w:left w:val="nil"/>
              <w:bottom w:val="nil"/>
              <w:right w:val="nil"/>
            </w:tcBorders>
            <w:shd w:val="clear" w:color="auto" w:fill="auto"/>
            <w:vAlign w:val="center"/>
          </w:tcPr>
          <w:p w14:paraId="04B9C3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w:t>
            </w:r>
          </w:p>
        </w:tc>
        <w:tc>
          <w:tcPr>
            <w:tcW w:w="1011" w:type="dxa"/>
            <w:tcBorders>
              <w:top w:val="nil"/>
              <w:left w:val="nil"/>
              <w:bottom w:val="nil"/>
              <w:right w:val="nil"/>
            </w:tcBorders>
            <w:shd w:val="clear" w:color="auto" w:fill="auto"/>
            <w:vAlign w:val="center"/>
          </w:tcPr>
          <w:p w14:paraId="7CBC5B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8968</w:t>
            </w:r>
          </w:p>
        </w:tc>
        <w:tc>
          <w:tcPr>
            <w:tcW w:w="950" w:type="dxa"/>
            <w:tcBorders>
              <w:top w:val="nil"/>
              <w:left w:val="nil"/>
              <w:bottom w:val="nil"/>
              <w:right w:val="nil"/>
            </w:tcBorders>
            <w:shd w:val="clear" w:color="auto" w:fill="auto"/>
            <w:vAlign w:val="center"/>
          </w:tcPr>
          <w:p w14:paraId="12A67D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18.6 </w:t>
            </w:r>
          </w:p>
        </w:tc>
        <w:tc>
          <w:tcPr>
            <w:tcW w:w="1011" w:type="dxa"/>
            <w:tcBorders>
              <w:top w:val="nil"/>
              <w:left w:val="nil"/>
              <w:bottom w:val="nil"/>
              <w:right w:val="nil"/>
            </w:tcBorders>
            <w:shd w:val="clear" w:color="auto" w:fill="auto"/>
            <w:vAlign w:val="center"/>
          </w:tcPr>
          <w:p w14:paraId="7EBE9B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1089</w:t>
            </w:r>
          </w:p>
        </w:tc>
        <w:tc>
          <w:tcPr>
            <w:tcW w:w="950" w:type="dxa"/>
            <w:tcBorders>
              <w:top w:val="nil"/>
              <w:left w:val="nil"/>
              <w:bottom w:val="nil"/>
              <w:right w:val="nil"/>
            </w:tcBorders>
            <w:shd w:val="clear" w:color="auto" w:fill="auto"/>
            <w:vAlign w:val="center"/>
          </w:tcPr>
          <w:p w14:paraId="1F68E0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8.2 </w:t>
            </w:r>
          </w:p>
        </w:tc>
        <w:tc>
          <w:tcPr>
            <w:tcW w:w="1111" w:type="dxa"/>
            <w:tcBorders>
              <w:top w:val="nil"/>
              <w:left w:val="nil"/>
              <w:bottom w:val="nil"/>
              <w:right w:val="nil"/>
            </w:tcBorders>
            <w:shd w:val="clear" w:color="auto" w:fill="auto"/>
            <w:vAlign w:val="center"/>
          </w:tcPr>
          <w:p w14:paraId="37FCBF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116</w:t>
            </w:r>
          </w:p>
        </w:tc>
        <w:tc>
          <w:tcPr>
            <w:tcW w:w="950" w:type="dxa"/>
            <w:tcBorders>
              <w:top w:val="nil"/>
              <w:left w:val="nil"/>
              <w:bottom w:val="nil"/>
              <w:right w:val="nil"/>
            </w:tcBorders>
            <w:shd w:val="clear" w:color="auto" w:fill="auto"/>
            <w:vAlign w:val="center"/>
          </w:tcPr>
          <w:p w14:paraId="10C1FA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4.0 </w:t>
            </w:r>
          </w:p>
        </w:tc>
        <w:tc>
          <w:tcPr>
            <w:tcW w:w="1258" w:type="dxa"/>
            <w:tcBorders>
              <w:top w:val="nil"/>
              <w:left w:val="nil"/>
              <w:bottom w:val="nil"/>
              <w:right w:val="nil"/>
            </w:tcBorders>
            <w:shd w:val="clear" w:color="auto" w:fill="auto"/>
            <w:vAlign w:val="center"/>
          </w:tcPr>
          <w:p w14:paraId="1D1EBB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1155" w:type="dxa"/>
            <w:tcBorders>
              <w:top w:val="nil"/>
              <w:left w:val="nil"/>
              <w:bottom w:val="nil"/>
              <w:right w:val="nil"/>
            </w:tcBorders>
            <w:shd w:val="clear" w:color="auto" w:fill="auto"/>
            <w:vAlign w:val="center"/>
          </w:tcPr>
          <w:p w14:paraId="4C91D7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0.0 </w:t>
            </w:r>
          </w:p>
        </w:tc>
        <w:tc>
          <w:tcPr>
            <w:tcW w:w="1036" w:type="dxa"/>
            <w:tcBorders>
              <w:top w:val="nil"/>
              <w:left w:val="nil"/>
              <w:bottom w:val="nil"/>
              <w:right w:val="nil"/>
            </w:tcBorders>
            <w:shd w:val="clear" w:color="auto" w:fill="auto"/>
            <w:noWrap/>
            <w:vAlign w:val="center"/>
          </w:tcPr>
          <w:p w14:paraId="723430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10173</w:t>
            </w:r>
          </w:p>
        </w:tc>
        <w:tc>
          <w:tcPr>
            <w:tcW w:w="1631" w:type="dxa"/>
            <w:tcBorders>
              <w:top w:val="nil"/>
              <w:left w:val="nil"/>
              <w:bottom w:val="nil"/>
              <w:right w:val="nil"/>
            </w:tcBorders>
            <w:shd w:val="clear" w:color="auto" w:fill="auto"/>
            <w:noWrap/>
            <w:vAlign w:val="center"/>
          </w:tcPr>
          <w:p w14:paraId="5E84E2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4028.9</w:t>
            </w:r>
          </w:p>
        </w:tc>
      </w:tr>
      <w:tr w14:paraId="661E4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67" w:type="dxa"/>
            <w:tcBorders>
              <w:top w:val="nil"/>
              <w:left w:val="nil"/>
              <w:bottom w:val="nil"/>
              <w:right w:val="nil"/>
            </w:tcBorders>
            <w:shd w:val="clear" w:color="auto" w:fill="auto"/>
            <w:vAlign w:val="center"/>
          </w:tcPr>
          <w:p w14:paraId="0A59B2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011" w:type="dxa"/>
            <w:tcBorders>
              <w:top w:val="nil"/>
              <w:left w:val="nil"/>
              <w:bottom w:val="nil"/>
              <w:right w:val="nil"/>
            </w:tcBorders>
            <w:shd w:val="clear" w:color="auto" w:fill="auto"/>
            <w:vAlign w:val="center"/>
          </w:tcPr>
          <w:p w14:paraId="01F577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910</w:t>
            </w:r>
          </w:p>
        </w:tc>
        <w:tc>
          <w:tcPr>
            <w:tcW w:w="950" w:type="dxa"/>
            <w:tcBorders>
              <w:top w:val="nil"/>
              <w:left w:val="nil"/>
              <w:bottom w:val="nil"/>
              <w:right w:val="nil"/>
            </w:tcBorders>
            <w:shd w:val="clear" w:color="auto" w:fill="auto"/>
            <w:vAlign w:val="center"/>
          </w:tcPr>
          <w:p w14:paraId="1A079D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1.9 </w:t>
            </w:r>
          </w:p>
        </w:tc>
        <w:tc>
          <w:tcPr>
            <w:tcW w:w="1011" w:type="dxa"/>
            <w:tcBorders>
              <w:top w:val="nil"/>
              <w:left w:val="nil"/>
              <w:bottom w:val="nil"/>
              <w:right w:val="nil"/>
            </w:tcBorders>
            <w:shd w:val="clear" w:color="auto" w:fill="auto"/>
            <w:vAlign w:val="center"/>
          </w:tcPr>
          <w:p w14:paraId="56AA87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337</w:t>
            </w:r>
          </w:p>
        </w:tc>
        <w:tc>
          <w:tcPr>
            <w:tcW w:w="950" w:type="dxa"/>
            <w:tcBorders>
              <w:top w:val="nil"/>
              <w:left w:val="nil"/>
              <w:bottom w:val="nil"/>
              <w:right w:val="nil"/>
            </w:tcBorders>
            <w:shd w:val="clear" w:color="auto" w:fill="auto"/>
            <w:vAlign w:val="center"/>
          </w:tcPr>
          <w:p w14:paraId="146922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2.5 </w:t>
            </w:r>
          </w:p>
        </w:tc>
        <w:tc>
          <w:tcPr>
            <w:tcW w:w="1111" w:type="dxa"/>
            <w:tcBorders>
              <w:top w:val="nil"/>
              <w:left w:val="nil"/>
              <w:bottom w:val="nil"/>
              <w:right w:val="nil"/>
            </w:tcBorders>
            <w:shd w:val="clear" w:color="auto" w:fill="auto"/>
            <w:vAlign w:val="center"/>
          </w:tcPr>
          <w:p w14:paraId="5998DE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56</w:t>
            </w:r>
          </w:p>
        </w:tc>
        <w:tc>
          <w:tcPr>
            <w:tcW w:w="950" w:type="dxa"/>
            <w:tcBorders>
              <w:top w:val="nil"/>
              <w:left w:val="nil"/>
              <w:bottom w:val="nil"/>
              <w:right w:val="nil"/>
            </w:tcBorders>
            <w:shd w:val="clear" w:color="auto" w:fill="auto"/>
            <w:vAlign w:val="center"/>
          </w:tcPr>
          <w:p w14:paraId="38F66B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1.9 </w:t>
            </w:r>
          </w:p>
        </w:tc>
        <w:tc>
          <w:tcPr>
            <w:tcW w:w="1258" w:type="dxa"/>
            <w:tcBorders>
              <w:top w:val="nil"/>
              <w:left w:val="nil"/>
              <w:bottom w:val="nil"/>
              <w:right w:val="nil"/>
            </w:tcBorders>
            <w:shd w:val="clear" w:color="auto" w:fill="auto"/>
            <w:vAlign w:val="center"/>
          </w:tcPr>
          <w:p w14:paraId="49C2D4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1155" w:type="dxa"/>
            <w:tcBorders>
              <w:top w:val="nil"/>
              <w:left w:val="nil"/>
              <w:bottom w:val="nil"/>
              <w:right w:val="nil"/>
            </w:tcBorders>
            <w:shd w:val="clear" w:color="auto" w:fill="auto"/>
            <w:vAlign w:val="center"/>
          </w:tcPr>
          <w:p w14:paraId="0B2DAE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0.0 </w:t>
            </w:r>
          </w:p>
        </w:tc>
        <w:tc>
          <w:tcPr>
            <w:tcW w:w="1036" w:type="dxa"/>
            <w:tcBorders>
              <w:top w:val="nil"/>
              <w:left w:val="nil"/>
              <w:bottom w:val="nil"/>
              <w:right w:val="nil"/>
            </w:tcBorders>
            <w:shd w:val="clear" w:color="auto" w:fill="auto"/>
            <w:noWrap/>
            <w:vAlign w:val="center"/>
          </w:tcPr>
          <w:p w14:paraId="2645DB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1303</w:t>
            </w:r>
          </w:p>
        </w:tc>
        <w:tc>
          <w:tcPr>
            <w:tcW w:w="1631" w:type="dxa"/>
            <w:tcBorders>
              <w:top w:val="nil"/>
              <w:left w:val="nil"/>
              <w:bottom w:val="nil"/>
              <w:right w:val="nil"/>
            </w:tcBorders>
            <w:shd w:val="clear" w:color="auto" w:fill="auto"/>
            <w:noWrap/>
            <w:vAlign w:val="center"/>
          </w:tcPr>
          <w:p w14:paraId="5094B8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2580.2</w:t>
            </w:r>
          </w:p>
        </w:tc>
      </w:tr>
      <w:tr w14:paraId="52FDA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67" w:type="dxa"/>
            <w:tcBorders>
              <w:top w:val="nil"/>
              <w:left w:val="nil"/>
              <w:bottom w:val="nil"/>
              <w:right w:val="nil"/>
            </w:tcBorders>
            <w:shd w:val="clear" w:color="auto" w:fill="auto"/>
            <w:vAlign w:val="center"/>
          </w:tcPr>
          <w:p w14:paraId="638DA9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w:t>
            </w:r>
          </w:p>
        </w:tc>
        <w:tc>
          <w:tcPr>
            <w:tcW w:w="1011" w:type="dxa"/>
            <w:tcBorders>
              <w:top w:val="nil"/>
              <w:left w:val="nil"/>
              <w:bottom w:val="nil"/>
              <w:right w:val="nil"/>
            </w:tcBorders>
            <w:shd w:val="clear" w:color="auto" w:fill="auto"/>
            <w:vAlign w:val="center"/>
          </w:tcPr>
          <w:p w14:paraId="378BE9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5879</w:t>
            </w:r>
          </w:p>
        </w:tc>
        <w:tc>
          <w:tcPr>
            <w:tcW w:w="950" w:type="dxa"/>
            <w:tcBorders>
              <w:top w:val="nil"/>
              <w:left w:val="nil"/>
              <w:bottom w:val="nil"/>
              <w:right w:val="nil"/>
            </w:tcBorders>
            <w:shd w:val="clear" w:color="auto" w:fill="auto"/>
            <w:vAlign w:val="center"/>
          </w:tcPr>
          <w:p w14:paraId="0C88FD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12.2 </w:t>
            </w:r>
          </w:p>
        </w:tc>
        <w:tc>
          <w:tcPr>
            <w:tcW w:w="1011" w:type="dxa"/>
            <w:tcBorders>
              <w:top w:val="nil"/>
              <w:left w:val="nil"/>
              <w:bottom w:val="nil"/>
              <w:right w:val="nil"/>
            </w:tcBorders>
            <w:shd w:val="clear" w:color="auto" w:fill="auto"/>
            <w:vAlign w:val="center"/>
          </w:tcPr>
          <w:p w14:paraId="37AA57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910</w:t>
            </w:r>
          </w:p>
        </w:tc>
        <w:tc>
          <w:tcPr>
            <w:tcW w:w="950" w:type="dxa"/>
            <w:tcBorders>
              <w:top w:val="nil"/>
              <w:left w:val="nil"/>
              <w:bottom w:val="nil"/>
              <w:right w:val="nil"/>
            </w:tcBorders>
            <w:shd w:val="clear" w:color="auto" w:fill="auto"/>
            <w:vAlign w:val="center"/>
          </w:tcPr>
          <w:p w14:paraId="782DDD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6.9 </w:t>
            </w:r>
          </w:p>
        </w:tc>
        <w:tc>
          <w:tcPr>
            <w:tcW w:w="1111" w:type="dxa"/>
            <w:tcBorders>
              <w:top w:val="nil"/>
              <w:left w:val="nil"/>
              <w:bottom w:val="nil"/>
              <w:right w:val="nil"/>
            </w:tcBorders>
            <w:shd w:val="clear" w:color="auto" w:fill="auto"/>
            <w:vAlign w:val="center"/>
          </w:tcPr>
          <w:p w14:paraId="0E6017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101</w:t>
            </w:r>
          </w:p>
        </w:tc>
        <w:tc>
          <w:tcPr>
            <w:tcW w:w="950" w:type="dxa"/>
            <w:tcBorders>
              <w:top w:val="nil"/>
              <w:left w:val="nil"/>
              <w:bottom w:val="nil"/>
              <w:right w:val="nil"/>
            </w:tcBorders>
            <w:shd w:val="clear" w:color="auto" w:fill="auto"/>
            <w:vAlign w:val="center"/>
          </w:tcPr>
          <w:p w14:paraId="5DBC3A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3.4 </w:t>
            </w:r>
          </w:p>
        </w:tc>
        <w:tc>
          <w:tcPr>
            <w:tcW w:w="1258" w:type="dxa"/>
            <w:tcBorders>
              <w:top w:val="nil"/>
              <w:left w:val="nil"/>
              <w:bottom w:val="nil"/>
              <w:right w:val="nil"/>
            </w:tcBorders>
            <w:shd w:val="clear" w:color="auto" w:fill="auto"/>
            <w:vAlign w:val="center"/>
          </w:tcPr>
          <w:p w14:paraId="26D4C3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155" w:type="dxa"/>
            <w:tcBorders>
              <w:top w:val="nil"/>
              <w:left w:val="nil"/>
              <w:bottom w:val="nil"/>
              <w:right w:val="nil"/>
            </w:tcBorders>
            <w:shd w:val="clear" w:color="auto" w:fill="auto"/>
            <w:vAlign w:val="center"/>
          </w:tcPr>
          <w:p w14:paraId="33225E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3.4 </w:t>
            </w:r>
          </w:p>
        </w:tc>
        <w:tc>
          <w:tcPr>
            <w:tcW w:w="1036" w:type="dxa"/>
            <w:tcBorders>
              <w:top w:val="nil"/>
              <w:left w:val="nil"/>
              <w:bottom w:val="nil"/>
              <w:right w:val="nil"/>
            </w:tcBorders>
            <w:shd w:val="clear" w:color="auto" w:fill="auto"/>
            <w:noWrap/>
            <w:vAlign w:val="center"/>
          </w:tcPr>
          <w:p w14:paraId="303B30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6891</w:t>
            </w:r>
          </w:p>
        </w:tc>
        <w:tc>
          <w:tcPr>
            <w:tcW w:w="1631" w:type="dxa"/>
            <w:tcBorders>
              <w:top w:val="nil"/>
              <w:left w:val="nil"/>
              <w:bottom w:val="nil"/>
              <w:right w:val="nil"/>
            </w:tcBorders>
            <w:shd w:val="clear" w:color="auto" w:fill="auto"/>
            <w:noWrap/>
            <w:vAlign w:val="center"/>
          </w:tcPr>
          <w:p w14:paraId="4C3546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1857.4</w:t>
            </w:r>
          </w:p>
        </w:tc>
      </w:tr>
      <w:tr w14:paraId="2F1B5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67" w:type="dxa"/>
            <w:tcBorders>
              <w:top w:val="nil"/>
              <w:left w:val="nil"/>
              <w:bottom w:val="nil"/>
              <w:right w:val="nil"/>
            </w:tcBorders>
            <w:shd w:val="clear" w:color="auto" w:fill="auto"/>
            <w:vAlign w:val="center"/>
          </w:tcPr>
          <w:p w14:paraId="6543BF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w:t>
            </w:r>
          </w:p>
        </w:tc>
        <w:tc>
          <w:tcPr>
            <w:tcW w:w="1011" w:type="dxa"/>
            <w:tcBorders>
              <w:top w:val="nil"/>
              <w:left w:val="nil"/>
              <w:bottom w:val="nil"/>
              <w:right w:val="nil"/>
            </w:tcBorders>
            <w:shd w:val="clear" w:color="auto" w:fill="auto"/>
            <w:vAlign w:val="center"/>
          </w:tcPr>
          <w:p w14:paraId="629B99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3603</w:t>
            </w:r>
          </w:p>
        </w:tc>
        <w:tc>
          <w:tcPr>
            <w:tcW w:w="950" w:type="dxa"/>
            <w:tcBorders>
              <w:top w:val="nil"/>
              <w:left w:val="nil"/>
              <w:bottom w:val="nil"/>
              <w:right w:val="nil"/>
            </w:tcBorders>
            <w:shd w:val="clear" w:color="auto" w:fill="auto"/>
            <w:vAlign w:val="center"/>
          </w:tcPr>
          <w:p w14:paraId="2C0834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7.5 </w:t>
            </w:r>
          </w:p>
        </w:tc>
        <w:tc>
          <w:tcPr>
            <w:tcW w:w="1011" w:type="dxa"/>
            <w:tcBorders>
              <w:top w:val="nil"/>
              <w:left w:val="nil"/>
              <w:bottom w:val="nil"/>
              <w:right w:val="nil"/>
            </w:tcBorders>
            <w:shd w:val="clear" w:color="auto" w:fill="auto"/>
            <w:vAlign w:val="center"/>
          </w:tcPr>
          <w:p w14:paraId="6F8851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606</w:t>
            </w:r>
          </w:p>
        </w:tc>
        <w:tc>
          <w:tcPr>
            <w:tcW w:w="950" w:type="dxa"/>
            <w:tcBorders>
              <w:top w:val="nil"/>
              <w:left w:val="nil"/>
              <w:bottom w:val="nil"/>
              <w:right w:val="nil"/>
            </w:tcBorders>
            <w:shd w:val="clear" w:color="auto" w:fill="auto"/>
            <w:vAlign w:val="center"/>
          </w:tcPr>
          <w:p w14:paraId="5AA647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4.6 </w:t>
            </w:r>
          </w:p>
        </w:tc>
        <w:tc>
          <w:tcPr>
            <w:tcW w:w="1111" w:type="dxa"/>
            <w:tcBorders>
              <w:top w:val="nil"/>
              <w:left w:val="nil"/>
              <w:bottom w:val="nil"/>
              <w:right w:val="nil"/>
            </w:tcBorders>
            <w:shd w:val="clear" w:color="auto" w:fill="auto"/>
            <w:vAlign w:val="center"/>
          </w:tcPr>
          <w:p w14:paraId="686B5E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67</w:t>
            </w:r>
          </w:p>
        </w:tc>
        <w:tc>
          <w:tcPr>
            <w:tcW w:w="950" w:type="dxa"/>
            <w:tcBorders>
              <w:top w:val="nil"/>
              <w:left w:val="nil"/>
              <w:bottom w:val="nil"/>
              <w:right w:val="nil"/>
            </w:tcBorders>
            <w:shd w:val="clear" w:color="auto" w:fill="auto"/>
            <w:vAlign w:val="center"/>
          </w:tcPr>
          <w:p w14:paraId="5C068A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2.3 </w:t>
            </w:r>
          </w:p>
        </w:tc>
        <w:tc>
          <w:tcPr>
            <w:tcW w:w="1258" w:type="dxa"/>
            <w:tcBorders>
              <w:top w:val="nil"/>
              <w:left w:val="nil"/>
              <w:bottom w:val="nil"/>
              <w:right w:val="nil"/>
            </w:tcBorders>
            <w:shd w:val="clear" w:color="auto" w:fill="auto"/>
            <w:vAlign w:val="center"/>
          </w:tcPr>
          <w:p w14:paraId="19B03D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155" w:type="dxa"/>
            <w:tcBorders>
              <w:top w:val="nil"/>
              <w:left w:val="nil"/>
              <w:bottom w:val="nil"/>
              <w:right w:val="nil"/>
            </w:tcBorders>
            <w:shd w:val="clear" w:color="auto" w:fill="auto"/>
            <w:vAlign w:val="center"/>
          </w:tcPr>
          <w:p w14:paraId="2BF651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6.9 </w:t>
            </w:r>
          </w:p>
        </w:tc>
        <w:tc>
          <w:tcPr>
            <w:tcW w:w="1036" w:type="dxa"/>
            <w:tcBorders>
              <w:top w:val="nil"/>
              <w:left w:val="nil"/>
              <w:bottom w:val="nil"/>
              <w:right w:val="nil"/>
            </w:tcBorders>
            <w:shd w:val="clear" w:color="auto" w:fill="auto"/>
            <w:noWrap/>
            <w:vAlign w:val="center"/>
          </w:tcPr>
          <w:p w14:paraId="6C5E84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4278</w:t>
            </w:r>
          </w:p>
        </w:tc>
        <w:tc>
          <w:tcPr>
            <w:tcW w:w="1631" w:type="dxa"/>
            <w:tcBorders>
              <w:top w:val="nil"/>
              <w:left w:val="nil"/>
              <w:bottom w:val="nil"/>
              <w:right w:val="nil"/>
            </w:tcBorders>
            <w:shd w:val="clear" w:color="auto" w:fill="auto"/>
            <w:noWrap/>
            <w:vAlign w:val="center"/>
          </w:tcPr>
          <w:p w14:paraId="32D4B9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5166.7</w:t>
            </w:r>
          </w:p>
        </w:tc>
      </w:tr>
      <w:tr w14:paraId="3B651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67" w:type="dxa"/>
            <w:tcBorders>
              <w:top w:val="nil"/>
              <w:left w:val="nil"/>
              <w:bottom w:val="single" w:color="000000" w:sz="4" w:space="0"/>
              <w:right w:val="nil"/>
            </w:tcBorders>
            <w:shd w:val="clear" w:color="auto" w:fill="auto"/>
            <w:vAlign w:val="center"/>
          </w:tcPr>
          <w:p w14:paraId="5FE13E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Total</w:t>
            </w:r>
          </w:p>
        </w:tc>
        <w:tc>
          <w:tcPr>
            <w:tcW w:w="1011" w:type="dxa"/>
            <w:tcBorders>
              <w:top w:val="nil"/>
              <w:left w:val="nil"/>
              <w:bottom w:val="single" w:color="000000" w:sz="4" w:space="0"/>
              <w:right w:val="nil"/>
            </w:tcBorders>
            <w:shd w:val="clear" w:color="auto" w:fill="auto"/>
            <w:vAlign w:val="center"/>
          </w:tcPr>
          <w:p w14:paraId="7F863B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48173</w:t>
            </w:r>
          </w:p>
        </w:tc>
        <w:tc>
          <w:tcPr>
            <w:tcW w:w="950" w:type="dxa"/>
            <w:tcBorders>
              <w:top w:val="nil"/>
              <w:left w:val="nil"/>
              <w:bottom w:val="single" w:color="000000" w:sz="4" w:space="0"/>
              <w:right w:val="nil"/>
            </w:tcBorders>
            <w:shd w:val="clear" w:color="auto" w:fill="auto"/>
            <w:vAlign w:val="center"/>
          </w:tcPr>
          <w:p w14:paraId="6E5FC7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100.0 </w:t>
            </w:r>
          </w:p>
        </w:tc>
        <w:tc>
          <w:tcPr>
            <w:tcW w:w="1011" w:type="dxa"/>
            <w:tcBorders>
              <w:top w:val="nil"/>
              <w:left w:val="nil"/>
              <w:bottom w:val="single" w:color="000000" w:sz="4" w:space="0"/>
              <w:right w:val="nil"/>
            </w:tcBorders>
            <w:shd w:val="clear" w:color="auto" w:fill="auto"/>
            <w:vAlign w:val="center"/>
          </w:tcPr>
          <w:p w14:paraId="5CBBAA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13241</w:t>
            </w:r>
          </w:p>
        </w:tc>
        <w:tc>
          <w:tcPr>
            <w:tcW w:w="950" w:type="dxa"/>
            <w:tcBorders>
              <w:top w:val="nil"/>
              <w:left w:val="nil"/>
              <w:bottom w:val="single" w:color="000000" w:sz="4" w:space="0"/>
              <w:right w:val="nil"/>
            </w:tcBorders>
            <w:shd w:val="clear" w:color="auto" w:fill="auto"/>
            <w:vAlign w:val="center"/>
          </w:tcPr>
          <w:p w14:paraId="427BF7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100.0 </w:t>
            </w:r>
          </w:p>
        </w:tc>
        <w:tc>
          <w:tcPr>
            <w:tcW w:w="1111" w:type="dxa"/>
            <w:tcBorders>
              <w:top w:val="nil"/>
              <w:left w:val="nil"/>
              <w:bottom w:val="single" w:color="000000" w:sz="4" w:space="0"/>
              <w:right w:val="nil"/>
            </w:tcBorders>
            <w:shd w:val="clear" w:color="auto" w:fill="auto"/>
            <w:vAlign w:val="center"/>
          </w:tcPr>
          <w:p w14:paraId="2D2458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2935</w:t>
            </w:r>
          </w:p>
        </w:tc>
        <w:tc>
          <w:tcPr>
            <w:tcW w:w="950" w:type="dxa"/>
            <w:tcBorders>
              <w:top w:val="nil"/>
              <w:left w:val="nil"/>
              <w:bottom w:val="single" w:color="000000" w:sz="4" w:space="0"/>
              <w:right w:val="nil"/>
            </w:tcBorders>
            <w:shd w:val="clear" w:color="auto" w:fill="auto"/>
            <w:vAlign w:val="center"/>
          </w:tcPr>
          <w:p w14:paraId="309C70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100.0 </w:t>
            </w:r>
          </w:p>
        </w:tc>
        <w:tc>
          <w:tcPr>
            <w:tcW w:w="1258" w:type="dxa"/>
            <w:tcBorders>
              <w:top w:val="nil"/>
              <w:left w:val="nil"/>
              <w:bottom w:val="single" w:color="000000" w:sz="4" w:space="0"/>
              <w:right w:val="nil"/>
            </w:tcBorders>
            <w:shd w:val="clear" w:color="auto" w:fill="auto"/>
            <w:vAlign w:val="center"/>
          </w:tcPr>
          <w:p w14:paraId="17E93A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29</w:t>
            </w:r>
          </w:p>
        </w:tc>
        <w:tc>
          <w:tcPr>
            <w:tcW w:w="1155" w:type="dxa"/>
            <w:tcBorders>
              <w:top w:val="nil"/>
              <w:left w:val="nil"/>
              <w:bottom w:val="single" w:color="000000" w:sz="4" w:space="0"/>
              <w:right w:val="nil"/>
            </w:tcBorders>
            <w:shd w:val="clear" w:color="auto" w:fill="auto"/>
            <w:vAlign w:val="center"/>
          </w:tcPr>
          <w:p w14:paraId="1FA872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100.0 </w:t>
            </w:r>
          </w:p>
        </w:tc>
        <w:tc>
          <w:tcPr>
            <w:tcW w:w="1036" w:type="dxa"/>
            <w:tcBorders>
              <w:top w:val="nil"/>
              <w:left w:val="nil"/>
              <w:bottom w:val="single" w:color="000000" w:sz="4" w:space="0"/>
              <w:right w:val="nil"/>
            </w:tcBorders>
            <w:shd w:val="clear" w:color="auto" w:fill="auto"/>
            <w:noWrap/>
            <w:vAlign w:val="center"/>
          </w:tcPr>
          <w:p w14:paraId="2D9F8A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64378</w:t>
            </w:r>
          </w:p>
        </w:tc>
        <w:tc>
          <w:tcPr>
            <w:tcW w:w="1631" w:type="dxa"/>
            <w:tcBorders>
              <w:top w:val="nil"/>
              <w:left w:val="nil"/>
              <w:bottom w:val="single" w:color="000000" w:sz="4" w:space="0"/>
              <w:right w:val="nil"/>
            </w:tcBorders>
            <w:shd w:val="clear" w:color="auto" w:fill="auto"/>
            <w:noWrap/>
            <w:vAlign w:val="center"/>
          </w:tcPr>
          <w:p w14:paraId="54C45B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3267.4</w:t>
            </w:r>
          </w:p>
        </w:tc>
      </w:tr>
    </w:tbl>
    <w:p w14:paraId="024BDE3A"/>
    <w:p w14:paraId="0845B0F8">
      <w:pPr>
        <w:pStyle w:val="7"/>
        <w:rPr>
          <w:b/>
          <w:bCs w:val="0"/>
        </w:rPr>
      </w:pPr>
    </w:p>
    <w:p w14:paraId="7DA802AC">
      <w:pPr>
        <w:pStyle w:val="7"/>
        <w:rPr>
          <w:b/>
          <w:bCs w:val="0"/>
        </w:rPr>
      </w:pPr>
    </w:p>
    <w:p w14:paraId="35AA313D">
      <w:pPr>
        <w:pStyle w:val="7"/>
        <w:rPr>
          <w:b/>
          <w:bCs w:val="0"/>
        </w:rPr>
      </w:pPr>
    </w:p>
    <w:p w14:paraId="4F27785A">
      <w:pPr>
        <w:pStyle w:val="7"/>
        <w:rPr>
          <w:b/>
          <w:bCs w:val="0"/>
        </w:rPr>
      </w:pPr>
    </w:p>
    <w:p w14:paraId="3D04BC8E">
      <w:pPr>
        <w:pStyle w:val="7"/>
        <w:rPr>
          <w:b/>
          <w:bCs w:val="0"/>
        </w:rPr>
      </w:pPr>
    </w:p>
    <w:p w14:paraId="67F733A1">
      <w:pPr>
        <w:pStyle w:val="7"/>
        <w:rPr>
          <w:b/>
          <w:bCs w:val="0"/>
        </w:rPr>
      </w:pPr>
    </w:p>
    <w:p w14:paraId="44CC67D7">
      <w:pPr>
        <w:pStyle w:val="7"/>
        <w:rPr>
          <w:b/>
          <w:bCs w:val="0"/>
        </w:rPr>
      </w:pPr>
    </w:p>
    <w:p w14:paraId="77C54D7C">
      <w:pPr>
        <w:pStyle w:val="7"/>
        <w:rPr>
          <w:b/>
          <w:bCs w:val="0"/>
        </w:rPr>
      </w:pPr>
    </w:p>
    <w:p w14:paraId="20FE4B3E">
      <w:pPr>
        <w:widowControl w:val="0"/>
        <w:spacing w:after="0" w:line="240" w:lineRule="auto"/>
        <w:ind w:firstLine="0"/>
        <w:jc w:val="both"/>
        <w:rPr>
          <w:rFonts w:hint="eastAsia" w:cs="Times New Roman" w:eastAsiaTheme="minorEastAsia"/>
          <w:b/>
          <w:bCs/>
          <w:kern w:val="2"/>
          <w:sz w:val="24"/>
          <w:szCs w:val="24"/>
          <w:lang w:val="en-US" w:eastAsia="zh-CN"/>
        </w:rPr>
      </w:pPr>
    </w:p>
    <w:p w14:paraId="2ED12918">
      <w:pPr>
        <w:widowControl w:val="0"/>
        <w:spacing w:after="0" w:line="240" w:lineRule="auto"/>
        <w:ind w:firstLine="0"/>
        <w:jc w:val="both"/>
        <w:rPr>
          <w:rFonts w:hint="eastAsia" w:cs="Times New Roman" w:eastAsiaTheme="minorEastAsia"/>
          <w:b/>
          <w:bCs/>
          <w:kern w:val="2"/>
          <w:sz w:val="24"/>
          <w:szCs w:val="24"/>
          <w:lang w:val="en-US" w:eastAsia="zh-CN"/>
        </w:rPr>
      </w:pPr>
    </w:p>
    <w:p w14:paraId="10844CE8">
      <w:pPr>
        <w:widowControl w:val="0"/>
        <w:spacing w:after="0" w:line="240" w:lineRule="auto"/>
        <w:ind w:firstLine="0"/>
        <w:jc w:val="both"/>
        <w:rPr>
          <w:rFonts w:hint="eastAsia" w:cs="Times New Roman" w:eastAsiaTheme="minorEastAsia"/>
          <w:b/>
          <w:bCs/>
          <w:kern w:val="2"/>
          <w:sz w:val="24"/>
          <w:szCs w:val="24"/>
          <w:lang w:val="en-US" w:eastAsia="zh-CN"/>
        </w:rPr>
      </w:pPr>
    </w:p>
    <w:p w14:paraId="228A9B38">
      <w:pPr>
        <w:keepNext w:val="0"/>
        <w:keepLines w:val="0"/>
        <w:pageBreakBefore w:val="0"/>
        <w:widowControl w:val="0"/>
        <w:kinsoku/>
        <w:wordWrap/>
        <w:overflowPunct/>
        <w:topLinePunct w:val="0"/>
        <w:autoSpaceDE/>
        <w:autoSpaceDN/>
        <w:bidi w:val="0"/>
        <w:adjustRightInd/>
        <w:snapToGrid/>
        <w:spacing w:after="60" w:line="240" w:lineRule="auto"/>
        <w:ind w:firstLine="0"/>
        <w:jc w:val="both"/>
        <w:textAlignment w:val="auto"/>
        <w:rPr>
          <w:rFonts w:hint="eastAsia" w:cs="Times New Roman" w:eastAsiaTheme="minorEastAsia"/>
          <w:b/>
          <w:bCs/>
          <w:kern w:val="2"/>
          <w:sz w:val="24"/>
          <w:szCs w:val="24"/>
          <w:lang w:val="en-US" w:eastAsia="zh-CN"/>
        </w:rPr>
      </w:pPr>
    </w:p>
    <w:p w14:paraId="2E4ADB51">
      <w:pPr>
        <w:keepNext w:val="0"/>
        <w:keepLines w:val="0"/>
        <w:pageBreakBefore w:val="0"/>
        <w:widowControl w:val="0"/>
        <w:kinsoku/>
        <w:wordWrap/>
        <w:overflowPunct/>
        <w:topLinePunct w:val="0"/>
        <w:autoSpaceDE/>
        <w:autoSpaceDN/>
        <w:bidi w:val="0"/>
        <w:adjustRightInd/>
        <w:snapToGrid/>
        <w:spacing w:after="60" w:line="240" w:lineRule="auto"/>
        <w:ind w:firstLine="0"/>
        <w:jc w:val="both"/>
        <w:textAlignment w:val="auto"/>
        <w:rPr>
          <w:rFonts w:hint="eastAsia" w:asciiTheme="minorHAnsi" w:hAnsiTheme="minorHAnsi" w:eastAsiaTheme="minorEastAsia" w:cstheme="minorBidi"/>
          <w:b w:val="0"/>
          <w:bCs w:val="0"/>
          <w:kern w:val="2"/>
          <w:sz w:val="21"/>
          <w:lang w:val="en-US" w:eastAsia="zh-CN"/>
        </w:rPr>
      </w:pPr>
      <w:r>
        <w:rPr>
          <w:rFonts w:hint="eastAsia" w:cs="Times New Roman" w:eastAsiaTheme="minorEastAsia"/>
          <w:b/>
          <w:bCs/>
          <w:kern w:val="2"/>
          <w:sz w:val="24"/>
          <w:szCs w:val="24"/>
          <w:lang w:val="en-US" w:eastAsia="zh-CN"/>
        </w:rPr>
        <w:t>Supplementary Table 26</w:t>
      </w:r>
      <w:r>
        <w:t xml:space="preserve"> |</w:t>
      </w:r>
      <w:r>
        <w:rPr>
          <w:rFonts w:hint="eastAsia"/>
        </w:rPr>
        <w:t xml:space="preserve"> </w:t>
      </w:r>
      <w:r>
        <w:rPr>
          <w:rFonts w:hint="default" w:ascii="Times New Roman" w:hAnsi="Times New Roman" w:cs="Times New Roman" w:eastAsiaTheme="minorEastAsia"/>
          <w:b w:val="0"/>
          <w:bCs w:val="0"/>
          <w:kern w:val="2"/>
          <w:sz w:val="24"/>
          <w:szCs w:val="24"/>
        </w:rPr>
        <w:t xml:space="preserve">Statistical summary of faunal remains from </w:t>
      </w:r>
      <w:r>
        <w:rPr>
          <w:rFonts w:hint="eastAsia" w:ascii="Times New Roman" w:hAnsi="Times New Roman" w:cs="Times New Roman" w:eastAsiaTheme="minorEastAsia"/>
          <w:b w:val="0"/>
          <w:bCs w:val="0"/>
          <w:kern w:val="2"/>
          <w:sz w:val="24"/>
          <w:szCs w:val="24"/>
          <w:lang w:val="en-US" w:eastAsia="zh-CN"/>
        </w:rPr>
        <w:t>Bianfu Cave</w:t>
      </w:r>
      <w:r>
        <w:rPr>
          <w:rFonts w:hint="default" w:ascii="Times New Roman" w:hAnsi="Times New Roman" w:cs="Times New Roman" w:eastAsiaTheme="minorEastAsia"/>
          <w:b w:val="0"/>
          <w:bCs w:val="0"/>
          <w:kern w:val="2"/>
          <w:sz w:val="24"/>
          <w:szCs w:val="24"/>
        </w:rPr>
        <w:t xml:space="preserve"> by layer, taxon, and anatomical element</w:t>
      </w:r>
      <w:r>
        <w:rPr>
          <w:rFonts w:hint="eastAsia" w:cs="Times New Roman" w:eastAsiaTheme="minorEastAsia"/>
          <w:b w:val="0"/>
          <w:bCs w:val="0"/>
          <w:kern w:val="2"/>
          <w:sz w:val="24"/>
          <w:szCs w:val="24"/>
          <w:lang w:val="en-US" w:eastAsia="zh-CN"/>
        </w:rPr>
        <w:t>.</w:t>
      </w:r>
    </w:p>
    <w:tbl>
      <w:tblPr>
        <w:tblStyle w:val="24"/>
        <w:tblW w:w="161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1"/>
        <w:gridCol w:w="2774"/>
        <w:gridCol w:w="451"/>
        <w:gridCol w:w="340"/>
        <w:gridCol w:w="532"/>
        <w:gridCol w:w="432"/>
        <w:gridCol w:w="660"/>
        <w:gridCol w:w="422"/>
        <w:gridCol w:w="490"/>
        <w:gridCol w:w="553"/>
        <w:gridCol w:w="460"/>
        <w:gridCol w:w="447"/>
        <w:gridCol w:w="534"/>
        <w:gridCol w:w="290"/>
        <w:gridCol w:w="471"/>
        <w:gridCol w:w="535"/>
        <w:gridCol w:w="447"/>
        <w:gridCol w:w="283"/>
        <w:gridCol w:w="471"/>
        <w:gridCol w:w="422"/>
        <w:gridCol w:w="484"/>
        <w:gridCol w:w="566"/>
        <w:gridCol w:w="459"/>
        <w:gridCol w:w="623"/>
        <w:gridCol w:w="554"/>
        <w:gridCol w:w="478"/>
        <w:gridCol w:w="584"/>
        <w:gridCol w:w="661"/>
        <w:gridCol w:w="50"/>
      </w:tblGrid>
      <w:tr w14:paraId="7E8E8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0" w:type="dxa"/>
          <w:trHeight w:val="454" w:hRule="atLeast"/>
          <w:tblHeader/>
          <w:jc w:val="center"/>
        </w:trPr>
        <w:tc>
          <w:tcPr>
            <w:tcW w:w="671" w:type="dxa"/>
            <w:vMerge w:val="restart"/>
            <w:tcBorders>
              <w:top w:val="single" w:color="auto" w:sz="4" w:space="0"/>
              <w:left w:val="nil"/>
              <w:bottom w:val="nil"/>
              <w:right w:val="nil"/>
            </w:tcBorders>
            <w:shd w:val="clear" w:color="auto" w:fill="auto"/>
            <w:textDirection w:val="tbRl"/>
            <w:vAlign w:val="center"/>
          </w:tcPr>
          <w:p w14:paraId="07F3D058">
            <w:pPr>
              <w:keepNext w:val="0"/>
              <w:keepLines w:val="0"/>
              <w:widowControl/>
              <w:suppressLineNumbers w:val="0"/>
              <w:snapToGrid w:val="0"/>
              <w:spacing w:before="0" w:beforeAutospacing="0" w:after="0" w:afterAutospacing="0" w:line="240" w:lineRule="auto"/>
              <w:ind w:left="113" w:leftChars="0" w:right="113"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Layer</w:t>
            </w:r>
          </w:p>
        </w:tc>
        <w:tc>
          <w:tcPr>
            <w:tcW w:w="2774" w:type="dxa"/>
            <w:vMerge w:val="restart"/>
            <w:tcBorders>
              <w:top w:val="single" w:color="auto" w:sz="4" w:space="0"/>
              <w:left w:val="nil"/>
              <w:bottom w:val="nil"/>
              <w:right w:val="nil"/>
            </w:tcBorders>
            <w:shd w:val="clear" w:color="auto" w:fill="auto"/>
            <w:textDirection w:val="tbRl"/>
            <w:vAlign w:val="center"/>
          </w:tcPr>
          <w:p w14:paraId="3D46417F">
            <w:pPr>
              <w:keepNext w:val="0"/>
              <w:keepLines w:val="0"/>
              <w:widowControl/>
              <w:suppressLineNumbers w:val="0"/>
              <w:snapToGrid w:val="0"/>
              <w:spacing w:before="0" w:beforeAutospacing="0" w:after="0" w:afterAutospacing="0" w:line="240" w:lineRule="auto"/>
              <w:ind w:left="113" w:leftChars="0" w:right="113"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Taxon</w:t>
            </w:r>
          </w:p>
        </w:tc>
        <w:tc>
          <w:tcPr>
            <w:tcW w:w="12649" w:type="dxa"/>
            <w:gridSpan w:val="26"/>
            <w:tcBorders>
              <w:top w:val="single" w:color="auto" w:sz="4" w:space="0"/>
              <w:left w:val="nil"/>
              <w:bottom w:val="nil"/>
              <w:right w:val="nil"/>
            </w:tcBorders>
            <w:shd w:val="clear" w:color="auto" w:fill="auto"/>
            <w:noWrap/>
            <w:vAlign w:val="center"/>
          </w:tcPr>
          <w:p w14:paraId="199B516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Anatomical Element</w:t>
            </w:r>
          </w:p>
        </w:tc>
      </w:tr>
      <w:tr w14:paraId="4D435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2" w:hRule="atLeast"/>
          <w:tblHeader/>
          <w:jc w:val="center"/>
        </w:trPr>
        <w:tc>
          <w:tcPr>
            <w:tcW w:w="671" w:type="dxa"/>
            <w:vMerge w:val="continue"/>
            <w:tcBorders>
              <w:top w:val="nil"/>
              <w:left w:val="nil"/>
              <w:bottom w:val="single" w:color="auto" w:sz="4" w:space="0"/>
              <w:right w:val="nil"/>
            </w:tcBorders>
            <w:shd w:val="clear" w:color="auto" w:fill="auto"/>
            <w:vAlign w:val="center"/>
          </w:tcPr>
          <w:p w14:paraId="41D69E67">
            <w:pPr>
              <w:keepNext w:val="0"/>
              <w:keepLines w:val="0"/>
              <w:widowControl w:val="0"/>
              <w:suppressLineNumbers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i w:val="0"/>
                <w:iCs w:val="0"/>
                <w:color w:val="000000"/>
                <w:kern w:val="2"/>
                <w:sz w:val="20"/>
                <w:szCs w:val="20"/>
                <w:u w:val="none"/>
              </w:rPr>
            </w:pPr>
          </w:p>
        </w:tc>
        <w:tc>
          <w:tcPr>
            <w:tcW w:w="2774" w:type="dxa"/>
            <w:vMerge w:val="continue"/>
            <w:tcBorders>
              <w:top w:val="nil"/>
              <w:left w:val="nil"/>
              <w:bottom w:val="single" w:color="auto" w:sz="4" w:space="0"/>
              <w:right w:val="nil"/>
            </w:tcBorders>
            <w:shd w:val="clear" w:color="auto" w:fill="auto"/>
            <w:vAlign w:val="center"/>
          </w:tcPr>
          <w:p w14:paraId="55CFF139">
            <w:pPr>
              <w:keepNext w:val="0"/>
              <w:keepLines w:val="0"/>
              <w:widowControl w:val="0"/>
              <w:suppressLineNumbers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i w:val="0"/>
                <w:iCs w:val="0"/>
                <w:color w:val="000000"/>
                <w:kern w:val="2"/>
                <w:sz w:val="20"/>
                <w:szCs w:val="20"/>
                <w:u w:val="none"/>
              </w:rPr>
            </w:pPr>
          </w:p>
        </w:tc>
        <w:tc>
          <w:tcPr>
            <w:tcW w:w="451" w:type="dxa"/>
            <w:tcBorders>
              <w:top w:val="nil"/>
              <w:left w:val="nil"/>
              <w:bottom w:val="single" w:color="auto" w:sz="4" w:space="0"/>
              <w:right w:val="nil"/>
            </w:tcBorders>
            <w:shd w:val="clear" w:color="auto" w:fill="auto"/>
            <w:textDirection w:val="tbRl"/>
            <w:vAlign w:val="center"/>
          </w:tcPr>
          <w:p w14:paraId="3A8B50E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Deer antler</w:t>
            </w:r>
          </w:p>
        </w:tc>
        <w:tc>
          <w:tcPr>
            <w:tcW w:w="340" w:type="dxa"/>
            <w:tcBorders>
              <w:top w:val="nil"/>
              <w:left w:val="nil"/>
              <w:bottom w:val="single" w:color="auto" w:sz="4" w:space="0"/>
              <w:right w:val="nil"/>
            </w:tcBorders>
            <w:shd w:val="clear" w:color="auto" w:fill="auto"/>
            <w:textDirection w:val="tbRl"/>
            <w:vAlign w:val="center"/>
          </w:tcPr>
          <w:p w14:paraId="259E39F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Skull</w:t>
            </w:r>
          </w:p>
        </w:tc>
        <w:tc>
          <w:tcPr>
            <w:tcW w:w="532" w:type="dxa"/>
            <w:tcBorders>
              <w:top w:val="nil"/>
              <w:left w:val="nil"/>
              <w:bottom w:val="single" w:color="auto" w:sz="4" w:space="0"/>
              <w:right w:val="nil"/>
            </w:tcBorders>
            <w:shd w:val="clear" w:color="auto" w:fill="auto"/>
            <w:textDirection w:val="tbRl"/>
            <w:vAlign w:val="center"/>
          </w:tcPr>
          <w:p w14:paraId="448299C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Mandible</w:t>
            </w:r>
          </w:p>
        </w:tc>
        <w:tc>
          <w:tcPr>
            <w:tcW w:w="432" w:type="dxa"/>
            <w:tcBorders>
              <w:top w:val="nil"/>
              <w:left w:val="nil"/>
              <w:bottom w:val="single" w:color="auto" w:sz="4" w:space="0"/>
              <w:right w:val="nil"/>
            </w:tcBorders>
            <w:shd w:val="clear" w:color="auto" w:fill="auto"/>
            <w:textDirection w:val="tbRl"/>
            <w:vAlign w:val="center"/>
          </w:tcPr>
          <w:p w14:paraId="3E50AB4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Maxillae</w:t>
            </w:r>
          </w:p>
        </w:tc>
        <w:tc>
          <w:tcPr>
            <w:tcW w:w="660" w:type="dxa"/>
            <w:tcBorders>
              <w:top w:val="nil"/>
              <w:left w:val="nil"/>
              <w:bottom w:val="single" w:color="auto" w:sz="4" w:space="0"/>
              <w:right w:val="nil"/>
            </w:tcBorders>
            <w:shd w:val="clear" w:color="auto" w:fill="auto"/>
            <w:textDirection w:val="tbRl"/>
            <w:vAlign w:val="center"/>
          </w:tcPr>
          <w:p w14:paraId="337AA61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Isolated teeth</w:t>
            </w:r>
          </w:p>
        </w:tc>
        <w:tc>
          <w:tcPr>
            <w:tcW w:w="422" w:type="dxa"/>
            <w:tcBorders>
              <w:top w:val="nil"/>
              <w:left w:val="nil"/>
              <w:bottom w:val="single" w:color="auto" w:sz="4" w:space="0"/>
              <w:right w:val="nil"/>
            </w:tcBorders>
            <w:shd w:val="clear" w:color="auto" w:fill="auto"/>
            <w:textDirection w:val="tbRl"/>
            <w:vAlign w:val="center"/>
          </w:tcPr>
          <w:p w14:paraId="1CDE03D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eastAsia" w:ascii="Times New Roman" w:hAnsi="Times New Roman" w:eastAsia="宋体" w:cs="Times New Roman"/>
                <w:b w:val="0"/>
                <w:bCs/>
                <w:i w:val="0"/>
                <w:iCs w:val="0"/>
                <w:color w:val="000000"/>
                <w:kern w:val="0"/>
                <w:sz w:val="20"/>
                <w:szCs w:val="20"/>
                <w:u w:val="none"/>
                <w:lang w:val="en-US" w:eastAsia="zh-CN" w:bidi="ar"/>
              </w:rPr>
              <w:t>V</w:t>
            </w:r>
            <w:r>
              <w:rPr>
                <w:rFonts w:hint="default" w:ascii="Times New Roman" w:hAnsi="Times New Roman" w:eastAsia="宋体" w:cs="Times New Roman"/>
                <w:b w:val="0"/>
                <w:bCs/>
                <w:i w:val="0"/>
                <w:iCs w:val="0"/>
                <w:color w:val="000000"/>
                <w:kern w:val="0"/>
                <w:sz w:val="20"/>
                <w:szCs w:val="20"/>
                <w:u w:val="none"/>
                <w:lang w:val="en-US" w:eastAsia="zh-CN" w:bidi="ar"/>
              </w:rPr>
              <w:t>ertebrae</w:t>
            </w:r>
          </w:p>
        </w:tc>
        <w:tc>
          <w:tcPr>
            <w:tcW w:w="490" w:type="dxa"/>
            <w:tcBorders>
              <w:top w:val="nil"/>
              <w:left w:val="nil"/>
              <w:bottom w:val="single" w:color="auto" w:sz="4" w:space="0"/>
              <w:right w:val="nil"/>
            </w:tcBorders>
            <w:shd w:val="clear" w:color="auto" w:fill="auto"/>
            <w:textDirection w:val="tbRl"/>
            <w:vAlign w:val="center"/>
          </w:tcPr>
          <w:p w14:paraId="2118042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Scapula</w:t>
            </w:r>
          </w:p>
        </w:tc>
        <w:tc>
          <w:tcPr>
            <w:tcW w:w="553" w:type="dxa"/>
            <w:tcBorders>
              <w:top w:val="nil"/>
              <w:left w:val="nil"/>
              <w:bottom w:val="single" w:color="auto" w:sz="4" w:space="0"/>
              <w:right w:val="nil"/>
            </w:tcBorders>
            <w:shd w:val="clear" w:color="auto" w:fill="auto"/>
            <w:textDirection w:val="tbRl"/>
            <w:vAlign w:val="center"/>
          </w:tcPr>
          <w:p w14:paraId="2DAAC2F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Humerus</w:t>
            </w:r>
          </w:p>
        </w:tc>
        <w:tc>
          <w:tcPr>
            <w:tcW w:w="460" w:type="dxa"/>
            <w:tcBorders>
              <w:top w:val="nil"/>
              <w:left w:val="nil"/>
              <w:bottom w:val="single" w:color="auto" w:sz="4" w:space="0"/>
              <w:right w:val="nil"/>
            </w:tcBorders>
            <w:shd w:val="clear" w:color="auto" w:fill="auto"/>
            <w:textDirection w:val="tbRl"/>
            <w:vAlign w:val="center"/>
          </w:tcPr>
          <w:p w14:paraId="79038C3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Radius</w:t>
            </w:r>
          </w:p>
        </w:tc>
        <w:tc>
          <w:tcPr>
            <w:tcW w:w="447" w:type="dxa"/>
            <w:tcBorders>
              <w:top w:val="nil"/>
              <w:left w:val="nil"/>
              <w:bottom w:val="single" w:color="auto" w:sz="4" w:space="0"/>
              <w:right w:val="nil"/>
            </w:tcBorders>
            <w:shd w:val="clear" w:color="auto" w:fill="auto"/>
            <w:textDirection w:val="tbRl"/>
            <w:vAlign w:val="center"/>
          </w:tcPr>
          <w:p w14:paraId="21FD45A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Ulna</w:t>
            </w:r>
          </w:p>
        </w:tc>
        <w:tc>
          <w:tcPr>
            <w:tcW w:w="534" w:type="dxa"/>
            <w:tcBorders>
              <w:top w:val="nil"/>
              <w:left w:val="nil"/>
              <w:bottom w:val="single" w:color="auto" w:sz="4" w:space="0"/>
              <w:right w:val="nil"/>
            </w:tcBorders>
            <w:shd w:val="clear" w:color="auto" w:fill="auto"/>
            <w:textDirection w:val="tbRl"/>
            <w:vAlign w:val="center"/>
          </w:tcPr>
          <w:p w14:paraId="3B422B7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Rib</w:t>
            </w:r>
          </w:p>
        </w:tc>
        <w:tc>
          <w:tcPr>
            <w:tcW w:w="290" w:type="dxa"/>
            <w:tcBorders>
              <w:top w:val="nil"/>
              <w:left w:val="nil"/>
              <w:bottom w:val="single" w:color="auto" w:sz="4" w:space="0"/>
              <w:right w:val="nil"/>
            </w:tcBorders>
            <w:shd w:val="clear" w:color="auto" w:fill="auto"/>
            <w:textDirection w:val="tbRl"/>
            <w:vAlign w:val="center"/>
          </w:tcPr>
          <w:p w14:paraId="564F778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Pelvis</w:t>
            </w:r>
          </w:p>
        </w:tc>
        <w:tc>
          <w:tcPr>
            <w:tcW w:w="471" w:type="dxa"/>
            <w:tcBorders>
              <w:top w:val="nil"/>
              <w:left w:val="nil"/>
              <w:bottom w:val="single" w:color="auto" w:sz="4" w:space="0"/>
              <w:right w:val="nil"/>
            </w:tcBorders>
            <w:shd w:val="clear" w:color="auto" w:fill="auto"/>
            <w:textDirection w:val="tbRl"/>
            <w:vAlign w:val="center"/>
          </w:tcPr>
          <w:p w14:paraId="5344E69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Femur</w:t>
            </w:r>
          </w:p>
        </w:tc>
        <w:tc>
          <w:tcPr>
            <w:tcW w:w="535" w:type="dxa"/>
            <w:tcBorders>
              <w:top w:val="nil"/>
              <w:left w:val="nil"/>
              <w:bottom w:val="single" w:color="auto" w:sz="4" w:space="0"/>
              <w:right w:val="nil"/>
            </w:tcBorders>
            <w:shd w:val="clear" w:color="auto" w:fill="auto"/>
            <w:textDirection w:val="tbRl"/>
            <w:vAlign w:val="center"/>
          </w:tcPr>
          <w:p w14:paraId="0D2E125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Tibia</w:t>
            </w:r>
          </w:p>
        </w:tc>
        <w:tc>
          <w:tcPr>
            <w:tcW w:w="447" w:type="dxa"/>
            <w:tcBorders>
              <w:top w:val="nil"/>
              <w:left w:val="nil"/>
              <w:bottom w:val="single" w:color="auto" w:sz="4" w:space="0"/>
              <w:right w:val="nil"/>
            </w:tcBorders>
            <w:shd w:val="clear" w:color="auto" w:fill="auto"/>
            <w:textDirection w:val="tbRl"/>
            <w:vAlign w:val="center"/>
          </w:tcPr>
          <w:p w14:paraId="781298F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Astragalus</w:t>
            </w:r>
          </w:p>
        </w:tc>
        <w:tc>
          <w:tcPr>
            <w:tcW w:w="283" w:type="dxa"/>
            <w:tcBorders>
              <w:top w:val="nil"/>
              <w:left w:val="nil"/>
              <w:bottom w:val="single" w:color="auto" w:sz="4" w:space="0"/>
              <w:right w:val="nil"/>
            </w:tcBorders>
            <w:shd w:val="clear" w:color="auto" w:fill="auto"/>
            <w:textDirection w:val="tbRl"/>
            <w:vAlign w:val="center"/>
          </w:tcPr>
          <w:p w14:paraId="0C1050F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Calcaneum</w:t>
            </w:r>
          </w:p>
        </w:tc>
        <w:tc>
          <w:tcPr>
            <w:tcW w:w="471" w:type="dxa"/>
            <w:tcBorders>
              <w:top w:val="nil"/>
              <w:left w:val="nil"/>
              <w:bottom w:val="single" w:color="auto" w:sz="4" w:space="0"/>
              <w:right w:val="nil"/>
            </w:tcBorders>
            <w:shd w:val="clear" w:color="auto" w:fill="auto"/>
            <w:textDirection w:val="tbRl"/>
            <w:vAlign w:val="center"/>
          </w:tcPr>
          <w:p w14:paraId="2A57DC5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Carpals/</w:t>
            </w:r>
            <w:r>
              <w:rPr>
                <w:rFonts w:hint="default" w:ascii="Times New Roman" w:hAnsi="Times New Roman" w:eastAsia="宋体" w:cs="Times New Roman"/>
                <w:b w:val="0"/>
                <w:bCs/>
                <w:i w:val="0"/>
                <w:iCs w:val="0"/>
                <w:color w:val="000000"/>
                <w:kern w:val="0"/>
                <w:sz w:val="20"/>
                <w:szCs w:val="20"/>
                <w:u w:val="none"/>
                <w:lang w:val="en-US" w:eastAsia="zh-CN" w:bidi="ar"/>
              </w:rPr>
              <w:br w:type="textWrapping"/>
            </w:r>
            <w:r>
              <w:rPr>
                <w:rFonts w:hint="default" w:ascii="Times New Roman" w:hAnsi="Times New Roman" w:eastAsia="宋体" w:cs="Times New Roman"/>
                <w:b w:val="0"/>
                <w:bCs/>
                <w:i w:val="0"/>
                <w:iCs w:val="0"/>
                <w:color w:val="000000"/>
                <w:kern w:val="0"/>
                <w:sz w:val="20"/>
                <w:szCs w:val="20"/>
                <w:u w:val="none"/>
                <w:lang w:val="en-US" w:eastAsia="zh-CN" w:bidi="ar"/>
              </w:rPr>
              <w:t>Tarsals</w:t>
            </w:r>
          </w:p>
        </w:tc>
        <w:tc>
          <w:tcPr>
            <w:tcW w:w="422" w:type="dxa"/>
            <w:tcBorders>
              <w:top w:val="nil"/>
              <w:left w:val="nil"/>
              <w:bottom w:val="single" w:color="auto" w:sz="4" w:space="0"/>
              <w:right w:val="nil"/>
            </w:tcBorders>
            <w:shd w:val="clear" w:color="auto" w:fill="auto"/>
            <w:textDirection w:val="tbRl"/>
            <w:vAlign w:val="center"/>
          </w:tcPr>
          <w:p w14:paraId="13DE854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Metacarpal</w:t>
            </w:r>
          </w:p>
        </w:tc>
        <w:tc>
          <w:tcPr>
            <w:tcW w:w="484" w:type="dxa"/>
            <w:tcBorders>
              <w:top w:val="nil"/>
              <w:left w:val="nil"/>
              <w:bottom w:val="single" w:color="auto" w:sz="4" w:space="0"/>
              <w:right w:val="nil"/>
            </w:tcBorders>
            <w:shd w:val="clear" w:color="auto" w:fill="auto"/>
            <w:textDirection w:val="tbRl"/>
            <w:vAlign w:val="center"/>
          </w:tcPr>
          <w:p w14:paraId="6F167EE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Metatarsal</w:t>
            </w:r>
          </w:p>
        </w:tc>
        <w:tc>
          <w:tcPr>
            <w:tcW w:w="566" w:type="dxa"/>
            <w:tcBorders>
              <w:top w:val="nil"/>
              <w:left w:val="nil"/>
              <w:bottom w:val="single" w:color="auto" w:sz="4" w:space="0"/>
              <w:right w:val="nil"/>
            </w:tcBorders>
            <w:shd w:val="clear" w:color="auto" w:fill="auto"/>
            <w:textDirection w:val="tbRl"/>
            <w:vAlign w:val="center"/>
          </w:tcPr>
          <w:p w14:paraId="429D0B1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Metapodial</w:t>
            </w:r>
          </w:p>
        </w:tc>
        <w:tc>
          <w:tcPr>
            <w:tcW w:w="459" w:type="dxa"/>
            <w:tcBorders>
              <w:top w:val="nil"/>
              <w:left w:val="nil"/>
              <w:bottom w:val="single" w:color="auto" w:sz="4" w:space="0"/>
              <w:right w:val="nil"/>
            </w:tcBorders>
            <w:shd w:val="clear" w:color="auto" w:fill="auto"/>
            <w:textDirection w:val="tbRl"/>
            <w:vAlign w:val="center"/>
          </w:tcPr>
          <w:p w14:paraId="486C68E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Phalange</w:t>
            </w:r>
          </w:p>
        </w:tc>
        <w:tc>
          <w:tcPr>
            <w:tcW w:w="623" w:type="dxa"/>
            <w:tcBorders>
              <w:top w:val="nil"/>
              <w:left w:val="nil"/>
              <w:bottom w:val="single" w:color="auto" w:sz="4" w:space="0"/>
              <w:right w:val="nil"/>
            </w:tcBorders>
            <w:shd w:val="clear" w:color="auto" w:fill="auto"/>
            <w:textDirection w:val="tbRl"/>
            <w:vAlign w:val="center"/>
          </w:tcPr>
          <w:p w14:paraId="6D9ED6E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Long Bone</w:t>
            </w:r>
          </w:p>
        </w:tc>
        <w:tc>
          <w:tcPr>
            <w:tcW w:w="554" w:type="dxa"/>
            <w:tcBorders>
              <w:top w:val="nil"/>
              <w:left w:val="nil"/>
              <w:bottom w:val="single" w:color="auto" w:sz="4" w:space="0"/>
              <w:right w:val="nil"/>
            </w:tcBorders>
            <w:shd w:val="clear" w:color="auto" w:fill="auto"/>
            <w:textDirection w:val="tbRl"/>
            <w:vAlign w:val="center"/>
          </w:tcPr>
          <w:p w14:paraId="75C55CF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Long Bone epiphysis</w:t>
            </w:r>
          </w:p>
        </w:tc>
        <w:tc>
          <w:tcPr>
            <w:tcW w:w="478" w:type="dxa"/>
            <w:tcBorders>
              <w:top w:val="nil"/>
              <w:left w:val="nil"/>
              <w:bottom w:val="single" w:color="auto" w:sz="4" w:space="0"/>
              <w:right w:val="nil"/>
            </w:tcBorders>
            <w:shd w:val="clear" w:color="auto" w:fill="auto"/>
            <w:textDirection w:val="tbRl"/>
            <w:vAlign w:val="center"/>
          </w:tcPr>
          <w:p w14:paraId="3E24DE2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Flat Bone</w:t>
            </w:r>
          </w:p>
        </w:tc>
        <w:tc>
          <w:tcPr>
            <w:tcW w:w="584" w:type="dxa"/>
            <w:tcBorders>
              <w:top w:val="nil"/>
              <w:left w:val="nil"/>
              <w:bottom w:val="single" w:color="auto" w:sz="4" w:space="0"/>
              <w:right w:val="nil"/>
            </w:tcBorders>
            <w:shd w:val="clear" w:color="auto" w:fill="auto"/>
            <w:textDirection w:val="tbRl"/>
            <w:vAlign w:val="center"/>
          </w:tcPr>
          <w:p w14:paraId="22F067B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Indet</w:t>
            </w:r>
          </w:p>
        </w:tc>
        <w:tc>
          <w:tcPr>
            <w:tcW w:w="711" w:type="dxa"/>
            <w:gridSpan w:val="2"/>
            <w:tcBorders>
              <w:top w:val="nil"/>
              <w:left w:val="nil"/>
              <w:bottom w:val="single" w:color="auto" w:sz="4" w:space="0"/>
              <w:right w:val="nil"/>
            </w:tcBorders>
            <w:shd w:val="clear" w:color="auto" w:fill="auto"/>
            <w:textDirection w:val="tbRl"/>
            <w:vAlign w:val="center"/>
          </w:tcPr>
          <w:p w14:paraId="561BA6E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Total</w:t>
            </w:r>
          </w:p>
        </w:tc>
      </w:tr>
      <w:tr w14:paraId="66EBC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71" w:type="dxa"/>
            <w:tcBorders>
              <w:top w:val="single" w:color="auto" w:sz="4" w:space="0"/>
              <w:left w:val="nil"/>
              <w:bottom w:val="nil"/>
              <w:right w:val="nil"/>
            </w:tcBorders>
            <w:shd w:val="clear" w:color="auto" w:fill="auto"/>
            <w:noWrap/>
            <w:vAlign w:val="center"/>
          </w:tcPr>
          <w:p w14:paraId="02BD2A1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774" w:type="dxa"/>
            <w:tcBorders>
              <w:top w:val="single" w:color="auto" w:sz="4" w:space="0"/>
              <w:left w:val="nil"/>
              <w:bottom w:val="nil"/>
              <w:right w:val="nil"/>
            </w:tcBorders>
            <w:shd w:val="clear" w:color="auto" w:fill="auto"/>
            <w:noWrap/>
            <w:vAlign w:val="center"/>
          </w:tcPr>
          <w:p w14:paraId="23B0C42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iCs/>
                <w:color w:val="000000"/>
                <w:kern w:val="2"/>
                <w:sz w:val="20"/>
                <w:szCs w:val="20"/>
                <w:u w:val="none"/>
              </w:rPr>
            </w:pPr>
            <w:r>
              <w:rPr>
                <w:rFonts w:hint="default" w:ascii="Times New Roman" w:hAnsi="Times New Roman" w:eastAsia="宋体" w:cs="Times New Roman"/>
                <w:i/>
                <w:iCs/>
                <w:color w:val="000000"/>
                <w:kern w:val="0"/>
                <w:sz w:val="20"/>
                <w:szCs w:val="20"/>
                <w:u w:val="none"/>
                <w:lang w:val="en-US" w:eastAsia="zh-CN" w:bidi="ar"/>
              </w:rPr>
              <w:t>Cervus (Sika) nippon, Cervus elaphus, Bos(Bibos) gaurus, Bubalus sp., Rhinoceros sinensis, Sus sp., Crocuta Crocuta ultima, Felidae gen. et sp. Indet.</w:t>
            </w:r>
          </w:p>
        </w:tc>
        <w:tc>
          <w:tcPr>
            <w:tcW w:w="451" w:type="dxa"/>
            <w:tcBorders>
              <w:top w:val="single" w:color="auto" w:sz="4" w:space="0"/>
              <w:left w:val="nil"/>
              <w:bottom w:val="nil"/>
              <w:right w:val="nil"/>
            </w:tcBorders>
            <w:shd w:val="clear" w:color="auto" w:fill="auto"/>
            <w:noWrap/>
            <w:vAlign w:val="center"/>
          </w:tcPr>
          <w:p w14:paraId="11273B7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w:t>
            </w:r>
          </w:p>
        </w:tc>
        <w:tc>
          <w:tcPr>
            <w:tcW w:w="340" w:type="dxa"/>
            <w:tcBorders>
              <w:top w:val="single" w:color="auto" w:sz="4" w:space="0"/>
              <w:left w:val="nil"/>
              <w:bottom w:val="nil"/>
              <w:right w:val="nil"/>
            </w:tcBorders>
            <w:shd w:val="clear" w:color="auto" w:fill="auto"/>
            <w:noWrap/>
            <w:vAlign w:val="center"/>
          </w:tcPr>
          <w:p w14:paraId="500E421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32" w:type="dxa"/>
            <w:tcBorders>
              <w:top w:val="single" w:color="auto" w:sz="4" w:space="0"/>
              <w:left w:val="nil"/>
              <w:bottom w:val="nil"/>
              <w:right w:val="nil"/>
            </w:tcBorders>
            <w:shd w:val="clear" w:color="auto" w:fill="auto"/>
            <w:noWrap/>
            <w:vAlign w:val="center"/>
          </w:tcPr>
          <w:p w14:paraId="14D9558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68</w:t>
            </w:r>
          </w:p>
        </w:tc>
        <w:tc>
          <w:tcPr>
            <w:tcW w:w="432" w:type="dxa"/>
            <w:tcBorders>
              <w:top w:val="single" w:color="auto" w:sz="4" w:space="0"/>
              <w:left w:val="nil"/>
              <w:bottom w:val="nil"/>
              <w:right w:val="nil"/>
            </w:tcBorders>
            <w:shd w:val="clear" w:color="auto" w:fill="auto"/>
            <w:noWrap/>
            <w:vAlign w:val="center"/>
          </w:tcPr>
          <w:p w14:paraId="45E861A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w:t>
            </w:r>
          </w:p>
        </w:tc>
        <w:tc>
          <w:tcPr>
            <w:tcW w:w="660" w:type="dxa"/>
            <w:tcBorders>
              <w:top w:val="single" w:color="auto" w:sz="4" w:space="0"/>
              <w:left w:val="nil"/>
              <w:bottom w:val="nil"/>
              <w:right w:val="nil"/>
            </w:tcBorders>
            <w:shd w:val="clear" w:color="auto" w:fill="auto"/>
            <w:noWrap/>
            <w:vAlign w:val="center"/>
          </w:tcPr>
          <w:p w14:paraId="2F962B1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908</w:t>
            </w:r>
          </w:p>
        </w:tc>
        <w:tc>
          <w:tcPr>
            <w:tcW w:w="422" w:type="dxa"/>
            <w:tcBorders>
              <w:top w:val="single" w:color="auto" w:sz="4" w:space="0"/>
              <w:left w:val="nil"/>
              <w:bottom w:val="nil"/>
              <w:right w:val="nil"/>
            </w:tcBorders>
            <w:shd w:val="clear" w:color="auto" w:fill="auto"/>
            <w:noWrap/>
            <w:vAlign w:val="center"/>
          </w:tcPr>
          <w:p w14:paraId="1394CCE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490" w:type="dxa"/>
            <w:tcBorders>
              <w:top w:val="single" w:color="auto" w:sz="4" w:space="0"/>
              <w:left w:val="nil"/>
              <w:bottom w:val="nil"/>
              <w:right w:val="nil"/>
            </w:tcBorders>
            <w:shd w:val="clear" w:color="auto" w:fill="auto"/>
            <w:noWrap/>
            <w:vAlign w:val="center"/>
          </w:tcPr>
          <w:p w14:paraId="7FF9CFF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w:t>
            </w:r>
          </w:p>
        </w:tc>
        <w:tc>
          <w:tcPr>
            <w:tcW w:w="553" w:type="dxa"/>
            <w:tcBorders>
              <w:top w:val="single" w:color="auto" w:sz="4" w:space="0"/>
              <w:left w:val="nil"/>
              <w:bottom w:val="nil"/>
              <w:right w:val="nil"/>
            </w:tcBorders>
            <w:shd w:val="clear" w:color="auto" w:fill="auto"/>
            <w:noWrap/>
            <w:vAlign w:val="center"/>
          </w:tcPr>
          <w:p w14:paraId="68A42FA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53</w:t>
            </w:r>
          </w:p>
        </w:tc>
        <w:tc>
          <w:tcPr>
            <w:tcW w:w="460" w:type="dxa"/>
            <w:tcBorders>
              <w:top w:val="single" w:color="auto" w:sz="4" w:space="0"/>
              <w:left w:val="nil"/>
              <w:bottom w:val="nil"/>
              <w:right w:val="nil"/>
            </w:tcBorders>
            <w:shd w:val="clear" w:color="auto" w:fill="auto"/>
            <w:noWrap/>
            <w:vAlign w:val="center"/>
          </w:tcPr>
          <w:p w14:paraId="596B635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447" w:type="dxa"/>
            <w:tcBorders>
              <w:top w:val="single" w:color="auto" w:sz="4" w:space="0"/>
              <w:left w:val="nil"/>
              <w:bottom w:val="nil"/>
              <w:right w:val="nil"/>
            </w:tcBorders>
            <w:shd w:val="clear" w:color="auto" w:fill="auto"/>
            <w:noWrap/>
            <w:vAlign w:val="center"/>
          </w:tcPr>
          <w:p w14:paraId="521A9CD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534" w:type="dxa"/>
            <w:tcBorders>
              <w:top w:val="single" w:color="auto" w:sz="4" w:space="0"/>
              <w:left w:val="nil"/>
              <w:bottom w:val="nil"/>
              <w:right w:val="nil"/>
            </w:tcBorders>
            <w:shd w:val="clear" w:color="auto" w:fill="auto"/>
            <w:noWrap/>
            <w:vAlign w:val="center"/>
          </w:tcPr>
          <w:p w14:paraId="74F1ABE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90" w:type="dxa"/>
            <w:tcBorders>
              <w:top w:val="single" w:color="auto" w:sz="4" w:space="0"/>
              <w:left w:val="nil"/>
              <w:bottom w:val="nil"/>
              <w:right w:val="nil"/>
            </w:tcBorders>
            <w:shd w:val="clear" w:color="auto" w:fill="auto"/>
            <w:noWrap/>
            <w:vAlign w:val="center"/>
          </w:tcPr>
          <w:p w14:paraId="3D111EE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471" w:type="dxa"/>
            <w:tcBorders>
              <w:top w:val="single" w:color="auto" w:sz="4" w:space="0"/>
              <w:left w:val="nil"/>
              <w:bottom w:val="nil"/>
              <w:right w:val="nil"/>
            </w:tcBorders>
            <w:shd w:val="clear" w:color="auto" w:fill="auto"/>
            <w:noWrap/>
            <w:vAlign w:val="center"/>
          </w:tcPr>
          <w:p w14:paraId="7482E51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w:t>
            </w:r>
          </w:p>
        </w:tc>
        <w:tc>
          <w:tcPr>
            <w:tcW w:w="535" w:type="dxa"/>
            <w:tcBorders>
              <w:top w:val="single" w:color="auto" w:sz="4" w:space="0"/>
              <w:left w:val="nil"/>
              <w:bottom w:val="nil"/>
              <w:right w:val="nil"/>
            </w:tcBorders>
            <w:shd w:val="clear" w:color="auto" w:fill="auto"/>
            <w:noWrap/>
            <w:vAlign w:val="center"/>
          </w:tcPr>
          <w:p w14:paraId="4F62A81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109</w:t>
            </w:r>
          </w:p>
        </w:tc>
        <w:tc>
          <w:tcPr>
            <w:tcW w:w="447" w:type="dxa"/>
            <w:tcBorders>
              <w:top w:val="single" w:color="auto" w:sz="4" w:space="0"/>
              <w:left w:val="nil"/>
              <w:bottom w:val="nil"/>
              <w:right w:val="nil"/>
            </w:tcBorders>
            <w:shd w:val="clear" w:color="auto" w:fill="auto"/>
            <w:noWrap/>
            <w:vAlign w:val="center"/>
          </w:tcPr>
          <w:p w14:paraId="5A8C29A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w:t>
            </w:r>
          </w:p>
        </w:tc>
        <w:tc>
          <w:tcPr>
            <w:tcW w:w="283" w:type="dxa"/>
            <w:tcBorders>
              <w:top w:val="single" w:color="auto" w:sz="4" w:space="0"/>
              <w:left w:val="nil"/>
              <w:bottom w:val="nil"/>
              <w:right w:val="nil"/>
            </w:tcBorders>
            <w:shd w:val="clear" w:color="auto" w:fill="auto"/>
            <w:noWrap/>
            <w:vAlign w:val="center"/>
          </w:tcPr>
          <w:p w14:paraId="25CBBDE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471" w:type="dxa"/>
            <w:tcBorders>
              <w:top w:val="single" w:color="auto" w:sz="4" w:space="0"/>
              <w:left w:val="nil"/>
              <w:bottom w:val="nil"/>
              <w:right w:val="nil"/>
            </w:tcBorders>
            <w:shd w:val="clear" w:color="auto" w:fill="auto"/>
            <w:noWrap/>
            <w:vAlign w:val="center"/>
          </w:tcPr>
          <w:p w14:paraId="5FB6FD5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39</w:t>
            </w:r>
          </w:p>
        </w:tc>
        <w:tc>
          <w:tcPr>
            <w:tcW w:w="422" w:type="dxa"/>
            <w:tcBorders>
              <w:top w:val="single" w:color="auto" w:sz="4" w:space="0"/>
              <w:left w:val="nil"/>
              <w:bottom w:val="nil"/>
              <w:right w:val="nil"/>
            </w:tcBorders>
            <w:shd w:val="clear" w:color="auto" w:fill="auto"/>
            <w:noWrap/>
            <w:vAlign w:val="center"/>
          </w:tcPr>
          <w:p w14:paraId="79A7E88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484" w:type="dxa"/>
            <w:tcBorders>
              <w:top w:val="single" w:color="auto" w:sz="4" w:space="0"/>
              <w:left w:val="nil"/>
              <w:bottom w:val="nil"/>
              <w:right w:val="nil"/>
            </w:tcBorders>
            <w:shd w:val="clear" w:color="auto" w:fill="auto"/>
            <w:noWrap/>
            <w:vAlign w:val="center"/>
          </w:tcPr>
          <w:p w14:paraId="16F4D85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566" w:type="dxa"/>
            <w:tcBorders>
              <w:top w:val="single" w:color="auto" w:sz="4" w:space="0"/>
              <w:left w:val="nil"/>
              <w:bottom w:val="nil"/>
              <w:right w:val="nil"/>
            </w:tcBorders>
            <w:shd w:val="clear" w:color="auto" w:fill="auto"/>
            <w:noWrap/>
            <w:vAlign w:val="center"/>
          </w:tcPr>
          <w:p w14:paraId="781AEEE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311</w:t>
            </w:r>
          </w:p>
        </w:tc>
        <w:tc>
          <w:tcPr>
            <w:tcW w:w="459" w:type="dxa"/>
            <w:tcBorders>
              <w:top w:val="single" w:color="auto" w:sz="4" w:space="0"/>
              <w:left w:val="nil"/>
              <w:bottom w:val="nil"/>
              <w:right w:val="nil"/>
            </w:tcBorders>
            <w:shd w:val="clear" w:color="auto" w:fill="auto"/>
            <w:noWrap/>
            <w:vAlign w:val="center"/>
          </w:tcPr>
          <w:p w14:paraId="70BE5A1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w:t>
            </w:r>
          </w:p>
        </w:tc>
        <w:tc>
          <w:tcPr>
            <w:tcW w:w="623" w:type="dxa"/>
            <w:tcBorders>
              <w:top w:val="single" w:color="auto" w:sz="4" w:space="0"/>
              <w:left w:val="nil"/>
              <w:bottom w:val="nil"/>
              <w:right w:val="nil"/>
            </w:tcBorders>
            <w:shd w:val="clear" w:color="auto" w:fill="auto"/>
            <w:noWrap/>
            <w:vAlign w:val="center"/>
          </w:tcPr>
          <w:p w14:paraId="39C7230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2020</w:t>
            </w:r>
          </w:p>
        </w:tc>
        <w:tc>
          <w:tcPr>
            <w:tcW w:w="554" w:type="dxa"/>
            <w:tcBorders>
              <w:top w:val="single" w:color="auto" w:sz="4" w:space="0"/>
              <w:left w:val="nil"/>
              <w:bottom w:val="nil"/>
              <w:right w:val="nil"/>
            </w:tcBorders>
            <w:shd w:val="clear" w:color="auto" w:fill="auto"/>
            <w:noWrap/>
            <w:vAlign w:val="center"/>
          </w:tcPr>
          <w:p w14:paraId="5BE0BA8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57</w:t>
            </w:r>
          </w:p>
        </w:tc>
        <w:tc>
          <w:tcPr>
            <w:tcW w:w="478" w:type="dxa"/>
            <w:tcBorders>
              <w:top w:val="single" w:color="auto" w:sz="4" w:space="0"/>
              <w:left w:val="nil"/>
              <w:bottom w:val="nil"/>
              <w:right w:val="nil"/>
            </w:tcBorders>
            <w:shd w:val="clear" w:color="auto" w:fill="auto"/>
            <w:noWrap/>
            <w:vAlign w:val="center"/>
          </w:tcPr>
          <w:p w14:paraId="12B9120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w:t>
            </w:r>
          </w:p>
        </w:tc>
        <w:tc>
          <w:tcPr>
            <w:tcW w:w="584" w:type="dxa"/>
            <w:tcBorders>
              <w:top w:val="single" w:color="auto" w:sz="4" w:space="0"/>
              <w:left w:val="nil"/>
              <w:bottom w:val="nil"/>
              <w:right w:val="nil"/>
            </w:tcBorders>
            <w:shd w:val="clear" w:color="auto" w:fill="auto"/>
            <w:noWrap/>
            <w:vAlign w:val="center"/>
          </w:tcPr>
          <w:p w14:paraId="2E5692B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64</w:t>
            </w:r>
          </w:p>
        </w:tc>
        <w:tc>
          <w:tcPr>
            <w:tcW w:w="711" w:type="dxa"/>
            <w:gridSpan w:val="2"/>
            <w:tcBorders>
              <w:top w:val="single" w:color="auto" w:sz="4" w:space="0"/>
              <w:left w:val="nil"/>
              <w:bottom w:val="nil"/>
              <w:right w:val="nil"/>
            </w:tcBorders>
            <w:shd w:val="clear" w:color="auto" w:fill="auto"/>
            <w:noWrap/>
            <w:vAlign w:val="center"/>
          </w:tcPr>
          <w:p w14:paraId="3316AAB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3869</w:t>
            </w:r>
          </w:p>
        </w:tc>
      </w:tr>
      <w:tr w14:paraId="164CF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71" w:type="dxa"/>
            <w:tcBorders>
              <w:top w:val="nil"/>
              <w:left w:val="nil"/>
              <w:bottom w:val="nil"/>
              <w:right w:val="nil"/>
            </w:tcBorders>
            <w:shd w:val="clear" w:color="auto" w:fill="auto"/>
            <w:noWrap/>
            <w:vAlign w:val="center"/>
          </w:tcPr>
          <w:p w14:paraId="4A85E9E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774" w:type="dxa"/>
            <w:tcBorders>
              <w:top w:val="nil"/>
              <w:left w:val="nil"/>
              <w:bottom w:val="nil"/>
              <w:right w:val="nil"/>
            </w:tcBorders>
            <w:shd w:val="clear" w:color="auto" w:fill="auto"/>
            <w:noWrap/>
            <w:vAlign w:val="center"/>
          </w:tcPr>
          <w:p w14:paraId="6153E59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iCs/>
                <w:color w:val="000000"/>
                <w:kern w:val="2"/>
                <w:sz w:val="20"/>
                <w:szCs w:val="20"/>
                <w:u w:val="none"/>
              </w:rPr>
            </w:pPr>
            <w:r>
              <w:rPr>
                <w:rFonts w:hint="default" w:ascii="Times New Roman" w:hAnsi="Times New Roman" w:eastAsia="宋体" w:cs="Times New Roman"/>
                <w:i/>
                <w:iCs/>
                <w:color w:val="000000"/>
                <w:kern w:val="0"/>
                <w:sz w:val="20"/>
                <w:szCs w:val="20"/>
                <w:u w:val="none"/>
                <w:lang w:val="en-US" w:eastAsia="zh-CN" w:bidi="ar"/>
              </w:rPr>
              <w:t>Cervus (Sika) nippon, Cervus elaphus, Bos(Bibos) gaurus, Bubalus sp., Rhinoceros sinensis, Pseudois sp.</w:t>
            </w:r>
          </w:p>
        </w:tc>
        <w:tc>
          <w:tcPr>
            <w:tcW w:w="451" w:type="dxa"/>
            <w:tcBorders>
              <w:top w:val="nil"/>
              <w:left w:val="nil"/>
              <w:bottom w:val="nil"/>
              <w:right w:val="nil"/>
            </w:tcBorders>
            <w:shd w:val="clear" w:color="auto" w:fill="auto"/>
            <w:noWrap/>
            <w:vAlign w:val="center"/>
          </w:tcPr>
          <w:p w14:paraId="51F62B7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340" w:type="dxa"/>
            <w:tcBorders>
              <w:top w:val="nil"/>
              <w:left w:val="nil"/>
              <w:bottom w:val="nil"/>
              <w:right w:val="nil"/>
            </w:tcBorders>
            <w:shd w:val="clear" w:color="auto" w:fill="auto"/>
            <w:noWrap/>
            <w:vAlign w:val="center"/>
          </w:tcPr>
          <w:p w14:paraId="4D29122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532" w:type="dxa"/>
            <w:tcBorders>
              <w:top w:val="nil"/>
              <w:left w:val="nil"/>
              <w:bottom w:val="nil"/>
              <w:right w:val="nil"/>
            </w:tcBorders>
            <w:shd w:val="clear" w:color="auto" w:fill="auto"/>
            <w:noWrap/>
            <w:vAlign w:val="center"/>
          </w:tcPr>
          <w:p w14:paraId="1636B61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w:t>
            </w:r>
          </w:p>
        </w:tc>
        <w:tc>
          <w:tcPr>
            <w:tcW w:w="432" w:type="dxa"/>
            <w:tcBorders>
              <w:top w:val="nil"/>
              <w:left w:val="nil"/>
              <w:bottom w:val="nil"/>
              <w:right w:val="nil"/>
            </w:tcBorders>
            <w:shd w:val="clear" w:color="auto" w:fill="auto"/>
            <w:noWrap/>
            <w:vAlign w:val="center"/>
          </w:tcPr>
          <w:p w14:paraId="7797FB4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660" w:type="dxa"/>
            <w:tcBorders>
              <w:top w:val="nil"/>
              <w:left w:val="nil"/>
              <w:bottom w:val="nil"/>
              <w:right w:val="nil"/>
            </w:tcBorders>
            <w:shd w:val="clear" w:color="auto" w:fill="auto"/>
            <w:noWrap/>
            <w:vAlign w:val="center"/>
          </w:tcPr>
          <w:p w14:paraId="48C41F9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115</w:t>
            </w:r>
          </w:p>
        </w:tc>
        <w:tc>
          <w:tcPr>
            <w:tcW w:w="422" w:type="dxa"/>
            <w:tcBorders>
              <w:top w:val="nil"/>
              <w:left w:val="nil"/>
              <w:bottom w:val="nil"/>
              <w:right w:val="nil"/>
            </w:tcBorders>
            <w:shd w:val="clear" w:color="auto" w:fill="auto"/>
            <w:noWrap/>
            <w:vAlign w:val="center"/>
          </w:tcPr>
          <w:p w14:paraId="60829FC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490" w:type="dxa"/>
            <w:tcBorders>
              <w:top w:val="nil"/>
              <w:left w:val="nil"/>
              <w:bottom w:val="nil"/>
              <w:right w:val="nil"/>
            </w:tcBorders>
            <w:shd w:val="clear" w:color="auto" w:fill="auto"/>
            <w:noWrap/>
            <w:vAlign w:val="center"/>
          </w:tcPr>
          <w:p w14:paraId="54F46FC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553" w:type="dxa"/>
            <w:tcBorders>
              <w:top w:val="nil"/>
              <w:left w:val="nil"/>
              <w:bottom w:val="nil"/>
              <w:right w:val="nil"/>
            </w:tcBorders>
            <w:shd w:val="clear" w:color="auto" w:fill="auto"/>
            <w:noWrap/>
            <w:vAlign w:val="center"/>
          </w:tcPr>
          <w:p w14:paraId="3653C7C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460" w:type="dxa"/>
            <w:tcBorders>
              <w:top w:val="nil"/>
              <w:left w:val="nil"/>
              <w:bottom w:val="nil"/>
              <w:right w:val="nil"/>
            </w:tcBorders>
            <w:shd w:val="clear" w:color="auto" w:fill="auto"/>
            <w:noWrap/>
            <w:vAlign w:val="center"/>
          </w:tcPr>
          <w:p w14:paraId="3135FA1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447" w:type="dxa"/>
            <w:tcBorders>
              <w:top w:val="nil"/>
              <w:left w:val="nil"/>
              <w:bottom w:val="nil"/>
              <w:right w:val="nil"/>
            </w:tcBorders>
            <w:shd w:val="clear" w:color="auto" w:fill="auto"/>
            <w:noWrap/>
            <w:vAlign w:val="center"/>
          </w:tcPr>
          <w:p w14:paraId="4F00CA6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534" w:type="dxa"/>
            <w:tcBorders>
              <w:top w:val="nil"/>
              <w:left w:val="nil"/>
              <w:bottom w:val="nil"/>
              <w:right w:val="nil"/>
            </w:tcBorders>
            <w:shd w:val="clear" w:color="auto" w:fill="auto"/>
            <w:noWrap/>
            <w:vAlign w:val="center"/>
          </w:tcPr>
          <w:p w14:paraId="12849D3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w:t>
            </w:r>
          </w:p>
        </w:tc>
        <w:tc>
          <w:tcPr>
            <w:tcW w:w="290" w:type="dxa"/>
            <w:tcBorders>
              <w:top w:val="nil"/>
              <w:left w:val="nil"/>
              <w:bottom w:val="nil"/>
              <w:right w:val="nil"/>
            </w:tcBorders>
            <w:shd w:val="clear" w:color="auto" w:fill="auto"/>
            <w:noWrap/>
            <w:vAlign w:val="center"/>
          </w:tcPr>
          <w:p w14:paraId="1493124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71" w:type="dxa"/>
            <w:tcBorders>
              <w:top w:val="nil"/>
              <w:left w:val="nil"/>
              <w:bottom w:val="nil"/>
              <w:right w:val="nil"/>
            </w:tcBorders>
            <w:shd w:val="clear" w:color="auto" w:fill="auto"/>
            <w:noWrap/>
            <w:vAlign w:val="center"/>
          </w:tcPr>
          <w:p w14:paraId="492F221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535" w:type="dxa"/>
            <w:tcBorders>
              <w:top w:val="nil"/>
              <w:left w:val="nil"/>
              <w:bottom w:val="nil"/>
              <w:right w:val="nil"/>
            </w:tcBorders>
            <w:shd w:val="clear" w:color="auto" w:fill="auto"/>
            <w:noWrap/>
            <w:vAlign w:val="center"/>
          </w:tcPr>
          <w:p w14:paraId="16099CD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w:t>
            </w:r>
          </w:p>
        </w:tc>
        <w:tc>
          <w:tcPr>
            <w:tcW w:w="447" w:type="dxa"/>
            <w:tcBorders>
              <w:top w:val="nil"/>
              <w:left w:val="nil"/>
              <w:bottom w:val="nil"/>
              <w:right w:val="nil"/>
            </w:tcBorders>
            <w:shd w:val="clear" w:color="auto" w:fill="auto"/>
            <w:noWrap/>
            <w:vAlign w:val="center"/>
          </w:tcPr>
          <w:p w14:paraId="17E31AA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83" w:type="dxa"/>
            <w:tcBorders>
              <w:top w:val="nil"/>
              <w:left w:val="nil"/>
              <w:bottom w:val="nil"/>
              <w:right w:val="nil"/>
            </w:tcBorders>
            <w:shd w:val="clear" w:color="auto" w:fill="auto"/>
            <w:noWrap/>
            <w:vAlign w:val="center"/>
          </w:tcPr>
          <w:p w14:paraId="52C0CE1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71" w:type="dxa"/>
            <w:tcBorders>
              <w:top w:val="nil"/>
              <w:left w:val="nil"/>
              <w:bottom w:val="nil"/>
              <w:right w:val="nil"/>
            </w:tcBorders>
            <w:shd w:val="clear" w:color="auto" w:fill="auto"/>
            <w:noWrap/>
            <w:vAlign w:val="center"/>
          </w:tcPr>
          <w:p w14:paraId="2279FCC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422" w:type="dxa"/>
            <w:tcBorders>
              <w:top w:val="nil"/>
              <w:left w:val="nil"/>
              <w:bottom w:val="nil"/>
              <w:right w:val="nil"/>
            </w:tcBorders>
            <w:shd w:val="clear" w:color="auto" w:fill="auto"/>
            <w:noWrap/>
            <w:vAlign w:val="center"/>
          </w:tcPr>
          <w:p w14:paraId="515CD77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84" w:type="dxa"/>
            <w:tcBorders>
              <w:top w:val="nil"/>
              <w:left w:val="nil"/>
              <w:bottom w:val="nil"/>
              <w:right w:val="nil"/>
            </w:tcBorders>
            <w:shd w:val="clear" w:color="auto" w:fill="auto"/>
            <w:noWrap/>
            <w:vAlign w:val="center"/>
          </w:tcPr>
          <w:p w14:paraId="56008B1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566" w:type="dxa"/>
            <w:tcBorders>
              <w:top w:val="nil"/>
              <w:left w:val="nil"/>
              <w:bottom w:val="nil"/>
              <w:right w:val="nil"/>
            </w:tcBorders>
            <w:shd w:val="clear" w:color="auto" w:fill="auto"/>
            <w:noWrap/>
            <w:vAlign w:val="center"/>
          </w:tcPr>
          <w:p w14:paraId="5EAA9D9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54</w:t>
            </w:r>
          </w:p>
        </w:tc>
        <w:tc>
          <w:tcPr>
            <w:tcW w:w="459" w:type="dxa"/>
            <w:tcBorders>
              <w:top w:val="nil"/>
              <w:left w:val="nil"/>
              <w:bottom w:val="nil"/>
              <w:right w:val="nil"/>
            </w:tcBorders>
            <w:shd w:val="clear" w:color="auto" w:fill="auto"/>
            <w:noWrap/>
            <w:vAlign w:val="center"/>
          </w:tcPr>
          <w:p w14:paraId="6E3B56C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623" w:type="dxa"/>
            <w:tcBorders>
              <w:top w:val="nil"/>
              <w:left w:val="nil"/>
              <w:bottom w:val="nil"/>
              <w:right w:val="nil"/>
            </w:tcBorders>
            <w:shd w:val="clear" w:color="auto" w:fill="auto"/>
            <w:noWrap/>
            <w:vAlign w:val="center"/>
          </w:tcPr>
          <w:p w14:paraId="6BFC3B2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301</w:t>
            </w:r>
          </w:p>
        </w:tc>
        <w:tc>
          <w:tcPr>
            <w:tcW w:w="554" w:type="dxa"/>
            <w:tcBorders>
              <w:top w:val="nil"/>
              <w:left w:val="nil"/>
              <w:bottom w:val="nil"/>
              <w:right w:val="nil"/>
            </w:tcBorders>
            <w:shd w:val="clear" w:color="auto" w:fill="auto"/>
            <w:noWrap/>
            <w:vAlign w:val="center"/>
          </w:tcPr>
          <w:p w14:paraId="6FEE10B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478" w:type="dxa"/>
            <w:tcBorders>
              <w:top w:val="nil"/>
              <w:left w:val="nil"/>
              <w:bottom w:val="nil"/>
              <w:right w:val="nil"/>
            </w:tcBorders>
            <w:shd w:val="clear" w:color="auto" w:fill="auto"/>
            <w:noWrap/>
            <w:vAlign w:val="center"/>
          </w:tcPr>
          <w:p w14:paraId="31B0B41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84" w:type="dxa"/>
            <w:tcBorders>
              <w:top w:val="nil"/>
              <w:left w:val="nil"/>
              <w:bottom w:val="nil"/>
              <w:right w:val="nil"/>
            </w:tcBorders>
            <w:shd w:val="clear" w:color="auto" w:fill="auto"/>
            <w:noWrap/>
            <w:vAlign w:val="center"/>
          </w:tcPr>
          <w:p w14:paraId="662176B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711" w:type="dxa"/>
            <w:gridSpan w:val="2"/>
            <w:tcBorders>
              <w:top w:val="nil"/>
              <w:left w:val="nil"/>
              <w:bottom w:val="nil"/>
              <w:right w:val="nil"/>
            </w:tcBorders>
            <w:shd w:val="clear" w:color="auto" w:fill="auto"/>
            <w:noWrap/>
            <w:vAlign w:val="center"/>
          </w:tcPr>
          <w:p w14:paraId="7EA634E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575</w:t>
            </w:r>
          </w:p>
        </w:tc>
      </w:tr>
      <w:tr w14:paraId="278A5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71" w:type="dxa"/>
            <w:tcBorders>
              <w:top w:val="nil"/>
              <w:left w:val="nil"/>
              <w:bottom w:val="nil"/>
              <w:right w:val="nil"/>
            </w:tcBorders>
            <w:shd w:val="clear" w:color="auto" w:fill="auto"/>
            <w:noWrap/>
            <w:vAlign w:val="center"/>
          </w:tcPr>
          <w:p w14:paraId="2613A11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2774" w:type="dxa"/>
            <w:tcBorders>
              <w:top w:val="nil"/>
              <w:left w:val="nil"/>
              <w:bottom w:val="nil"/>
              <w:right w:val="nil"/>
            </w:tcBorders>
            <w:shd w:val="clear" w:color="auto" w:fill="auto"/>
            <w:noWrap/>
            <w:vAlign w:val="center"/>
          </w:tcPr>
          <w:p w14:paraId="07B1ABA7">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iCs/>
                <w:color w:val="000000"/>
                <w:kern w:val="2"/>
                <w:sz w:val="20"/>
                <w:szCs w:val="20"/>
                <w:u w:val="none"/>
              </w:rPr>
            </w:pPr>
            <w:r>
              <w:rPr>
                <w:rFonts w:hint="default" w:ascii="Times New Roman" w:hAnsi="Times New Roman" w:eastAsia="宋体" w:cs="Times New Roman"/>
                <w:i/>
                <w:iCs/>
                <w:color w:val="000000"/>
                <w:kern w:val="0"/>
                <w:sz w:val="20"/>
                <w:szCs w:val="20"/>
                <w:u w:val="none"/>
                <w:lang w:val="en-US" w:eastAsia="zh-CN" w:bidi="ar"/>
              </w:rPr>
              <w:t>Cervus (Sika) nippon, Cervus elaphus, Bos(Bibos) gaurus, Felidae gen. et sp. Indet.</w:t>
            </w:r>
          </w:p>
        </w:tc>
        <w:tc>
          <w:tcPr>
            <w:tcW w:w="451" w:type="dxa"/>
            <w:tcBorders>
              <w:top w:val="nil"/>
              <w:left w:val="nil"/>
              <w:bottom w:val="nil"/>
              <w:right w:val="nil"/>
            </w:tcBorders>
            <w:shd w:val="clear" w:color="auto" w:fill="auto"/>
            <w:noWrap/>
            <w:vAlign w:val="center"/>
          </w:tcPr>
          <w:p w14:paraId="3734EED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340" w:type="dxa"/>
            <w:tcBorders>
              <w:top w:val="nil"/>
              <w:left w:val="nil"/>
              <w:bottom w:val="nil"/>
              <w:right w:val="nil"/>
            </w:tcBorders>
            <w:shd w:val="clear" w:color="auto" w:fill="auto"/>
            <w:noWrap/>
            <w:vAlign w:val="center"/>
          </w:tcPr>
          <w:p w14:paraId="3EA6FEA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532" w:type="dxa"/>
            <w:tcBorders>
              <w:top w:val="nil"/>
              <w:left w:val="nil"/>
              <w:bottom w:val="nil"/>
              <w:right w:val="nil"/>
            </w:tcBorders>
            <w:shd w:val="clear" w:color="auto" w:fill="auto"/>
            <w:noWrap/>
            <w:vAlign w:val="center"/>
          </w:tcPr>
          <w:p w14:paraId="6C232B4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32" w:type="dxa"/>
            <w:tcBorders>
              <w:top w:val="nil"/>
              <w:left w:val="nil"/>
              <w:bottom w:val="nil"/>
              <w:right w:val="nil"/>
            </w:tcBorders>
            <w:shd w:val="clear" w:color="auto" w:fill="auto"/>
            <w:noWrap/>
            <w:vAlign w:val="center"/>
          </w:tcPr>
          <w:p w14:paraId="5E9ECC7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660" w:type="dxa"/>
            <w:tcBorders>
              <w:top w:val="nil"/>
              <w:left w:val="nil"/>
              <w:bottom w:val="nil"/>
              <w:right w:val="nil"/>
            </w:tcBorders>
            <w:shd w:val="clear" w:color="auto" w:fill="auto"/>
            <w:noWrap/>
            <w:vAlign w:val="center"/>
          </w:tcPr>
          <w:p w14:paraId="4218215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422" w:type="dxa"/>
            <w:tcBorders>
              <w:top w:val="nil"/>
              <w:left w:val="nil"/>
              <w:bottom w:val="nil"/>
              <w:right w:val="nil"/>
            </w:tcBorders>
            <w:shd w:val="clear" w:color="auto" w:fill="auto"/>
            <w:noWrap/>
            <w:vAlign w:val="center"/>
          </w:tcPr>
          <w:p w14:paraId="37FF90B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90" w:type="dxa"/>
            <w:tcBorders>
              <w:top w:val="nil"/>
              <w:left w:val="nil"/>
              <w:bottom w:val="nil"/>
              <w:right w:val="nil"/>
            </w:tcBorders>
            <w:shd w:val="clear" w:color="auto" w:fill="auto"/>
            <w:noWrap/>
            <w:vAlign w:val="center"/>
          </w:tcPr>
          <w:p w14:paraId="58967C2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553" w:type="dxa"/>
            <w:tcBorders>
              <w:top w:val="nil"/>
              <w:left w:val="nil"/>
              <w:bottom w:val="nil"/>
              <w:right w:val="nil"/>
            </w:tcBorders>
            <w:shd w:val="clear" w:color="auto" w:fill="auto"/>
            <w:noWrap/>
            <w:vAlign w:val="center"/>
          </w:tcPr>
          <w:p w14:paraId="4C0BB00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460" w:type="dxa"/>
            <w:tcBorders>
              <w:top w:val="nil"/>
              <w:left w:val="nil"/>
              <w:bottom w:val="nil"/>
              <w:right w:val="nil"/>
            </w:tcBorders>
            <w:shd w:val="clear" w:color="auto" w:fill="auto"/>
            <w:noWrap/>
            <w:vAlign w:val="center"/>
          </w:tcPr>
          <w:p w14:paraId="1CF5815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47" w:type="dxa"/>
            <w:tcBorders>
              <w:top w:val="nil"/>
              <w:left w:val="nil"/>
              <w:bottom w:val="nil"/>
              <w:right w:val="nil"/>
            </w:tcBorders>
            <w:shd w:val="clear" w:color="auto" w:fill="auto"/>
            <w:noWrap/>
            <w:vAlign w:val="center"/>
          </w:tcPr>
          <w:p w14:paraId="67F7E79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534" w:type="dxa"/>
            <w:tcBorders>
              <w:top w:val="nil"/>
              <w:left w:val="nil"/>
              <w:bottom w:val="nil"/>
              <w:right w:val="nil"/>
            </w:tcBorders>
            <w:shd w:val="clear" w:color="auto" w:fill="auto"/>
            <w:noWrap/>
            <w:vAlign w:val="center"/>
          </w:tcPr>
          <w:p w14:paraId="7B00783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290" w:type="dxa"/>
            <w:tcBorders>
              <w:top w:val="nil"/>
              <w:left w:val="nil"/>
              <w:bottom w:val="nil"/>
              <w:right w:val="nil"/>
            </w:tcBorders>
            <w:shd w:val="clear" w:color="auto" w:fill="auto"/>
            <w:noWrap/>
            <w:vAlign w:val="center"/>
          </w:tcPr>
          <w:p w14:paraId="0E6BD17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71" w:type="dxa"/>
            <w:tcBorders>
              <w:top w:val="nil"/>
              <w:left w:val="nil"/>
              <w:bottom w:val="nil"/>
              <w:right w:val="nil"/>
            </w:tcBorders>
            <w:shd w:val="clear" w:color="auto" w:fill="auto"/>
            <w:noWrap/>
            <w:vAlign w:val="center"/>
          </w:tcPr>
          <w:p w14:paraId="1C49304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535" w:type="dxa"/>
            <w:tcBorders>
              <w:top w:val="nil"/>
              <w:left w:val="nil"/>
              <w:bottom w:val="nil"/>
              <w:right w:val="nil"/>
            </w:tcBorders>
            <w:shd w:val="clear" w:color="auto" w:fill="auto"/>
            <w:noWrap/>
            <w:vAlign w:val="center"/>
          </w:tcPr>
          <w:p w14:paraId="0AC72E3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447" w:type="dxa"/>
            <w:tcBorders>
              <w:top w:val="nil"/>
              <w:left w:val="nil"/>
              <w:bottom w:val="nil"/>
              <w:right w:val="nil"/>
            </w:tcBorders>
            <w:shd w:val="clear" w:color="auto" w:fill="auto"/>
            <w:noWrap/>
            <w:vAlign w:val="center"/>
          </w:tcPr>
          <w:p w14:paraId="46176AC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283" w:type="dxa"/>
            <w:tcBorders>
              <w:top w:val="nil"/>
              <w:left w:val="nil"/>
              <w:bottom w:val="nil"/>
              <w:right w:val="nil"/>
            </w:tcBorders>
            <w:shd w:val="clear" w:color="auto" w:fill="auto"/>
            <w:noWrap/>
            <w:vAlign w:val="center"/>
          </w:tcPr>
          <w:p w14:paraId="2707C4F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71" w:type="dxa"/>
            <w:tcBorders>
              <w:top w:val="nil"/>
              <w:left w:val="nil"/>
              <w:bottom w:val="nil"/>
              <w:right w:val="nil"/>
            </w:tcBorders>
            <w:shd w:val="clear" w:color="auto" w:fill="auto"/>
            <w:noWrap/>
            <w:vAlign w:val="center"/>
          </w:tcPr>
          <w:p w14:paraId="01767AE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22" w:type="dxa"/>
            <w:tcBorders>
              <w:top w:val="nil"/>
              <w:left w:val="nil"/>
              <w:bottom w:val="nil"/>
              <w:right w:val="nil"/>
            </w:tcBorders>
            <w:shd w:val="clear" w:color="auto" w:fill="auto"/>
            <w:noWrap/>
            <w:vAlign w:val="center"/>
          </w:tcPr>
          <w:p w14:paraId="678E0CD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84" w:type="dxa"/>
            <w:tcBorders>
              <w:top w:val="nil"/>
              <w:left w:val="nil"/>
              <w:bottom w:val="nil"/>
              <w:right w:val="nil"/>
            </w:tcBorders>
            <w:shd w:val="clear" w:color="auto" w:fill="auto"/>
            <w:noWrap/>
            <w:vAlign w:val="center"/>
          </w:tcPr>
          <w:p w14:paraId="6E5901B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566" w:type="dxa"/>
            <w:tcBorders>
              <w:top w:val="nil"/>
              <w:left w:val="nil"/>
              <w:bottom w:val="nil"/>
              <w:right w:val="nil"/>
            </w:tcBorders>
            <w:shd w:val="clear" w:color="auto" w:fill="auto"/>
            <w:noWrap/>
            <w:vAlign w:val="center"/>
          </w:tcPr>
          <w:p w14:paraId="6FCC830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59" w:type="dxa"/>
            <w:tcBorders>
              <w:top w:val="nil"/>
              <w:left w:val="nil"/>
              <w:bottom w:val="nil"/>
              <w:right w:val="nil"/>
            </w:tcBorders>
            <w:shd w:val="clear" w:color="auto" w:fill="auto"/>
            <w:noWrap/>
            <w:vAlign w:val="center"/>
          </w:tcPr>
          <w:p w14:paraId="5C69EE2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623" w:type="dxa"/>
            <w:tcBorders>
              <w:top w:val="nil"/>
              <w:left w:val="nil"/>
              <w:bottom w:val="nil"/>
              <w:right w:val="nil"/>
            </w:tcBorders>
            <w:shd w:val="clear" w:color="auto" w:fill="auto"/>
            <w:noWrap/>
            <w:vAlign w:val="center"/>
          </w:tcPr>
          <w:p w14:paraId="7BB8CB4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554" w:type="dxa"/>
            <w:tcBorders>
              <w:top w:val="nil"/>
              <w:left w:val="nil"/>
              <w:bottom w:val="nil"/>
              <w:right w:val="nil"/>
            </w:tcBorders>
            <w:shd w:val="clear" w:color="auto" w:fill="auto"/>
            <w:noWrap/>
            <w:vAlign w:val="center"/>
          </w:tcPr>
          <w:p w14:paraId="7B512DD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78" w:type="dxa"/>
            <w:tcBorders>
              <w:top w:val="nil"/>
              <w:left w:val="nil"/>
              <w:bottom w:val="nil"/>
              <w:right w:val="nil"/>
            </w:tcBorders>
            <w:shd w:val="clear" w:color="auto" w:fill="auto"/>
            <w:noWrap/>
            <w:vAlign w:val="center"/>
          </w:tcPr>
          <w:p w14:paraId="32F09A3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584" w:type="dxa"/>
            <w:tcBorders>
              <w:top w:val="nil"/>
              <w:left w:val="nil"/>
              <w:bottom w:val="nil"/>
              <w:right w:val="nil"/>
            </w:tcBorders>
            <w:shd w:val="clear" w:color="auto" w:fill="auto"/>
            <w:noWrap/>
            <w:vAlign w:val="center"/>
          </w:tcPr>
          <w:p w14:paraId="6183B57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11" w:type="dxa"/>
            <w:gridSpan w:val="2"/>
            <w:tcBorders>
              <w:top w:val="nil"/>
              <w:left w:val="nil"/>
              <w:bottom w:val="nil"/>
              <w:right w:val="nil"/>
            </w:tcBorders>
            <w:shd w:val="clear" w:color="auto" w:fill="auto"/>
            <w:noWrap/>
            <w:vAlign w:val="center"/>
          </w:tcPr>
          <w:p w14:paraId="4D0F339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w:t>
            </w:r>
          </w:p>
        </w:tc>
      </w:tr>
      <w:tr w14:paraId="75CF8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71" w:type="dxa"/>
            <w:tcBorders>
              <w:top w:val="nil"/>
              <w:left w:val="nil"/>
              <w:bottom w:val="nil"/>
              <w:right w:val="nil"/>
            </w:tcBorders>
            <w:shd w:val="clear" w:color="auto" w:fill="auto"/>
            <w:noWrap/>
            <w:vAlign w:val="center"/>
          </w:tcPr>
          <w:p w14:paraId="5A25A4F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2774" w:type="dxa"/>
            <w:tcBorders>
              <w:top w:val="nil"/>
              <w:left w:val="nil"/>
              <w:bottom w:val="nil"/>
              <w:right w:val="nil"/>
            </w:tcBorders>
            <w:shd w:val="clear" w:color="auto" w:fill="auto"/>
            <w:noWrap/>
            <w:vAlign w:val="center"/>
          </w:tcPr>
          <w:p w14:paraId="2AE548E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iCs/>
                <w:color w:val="000000"/>
                <w:kern w:val="2"/>
                <w:sz w:val="20"/>
                <w:szCs w:val="20"/>
                <w:u w:val="none"/>
              </w:rPr>
            </w:pPr>
            <w:r>
              <w:rPr>
                <w:rFonts w:hint="default" w:ascii="Times New Roman" w:hAnsi="Times New Roman" w:eastAsia="宋体" w:cs="Times New Roman"/>
                <w:i/>
                <w:iCs/>
                <w:color w:val="000000"/>
                <w:kern w:val="0"/>
                <w:sz w:val="20"/>
                <w:szCs w:val="20"/>
                <w:u w:val="none"/>
                <w:lang w:val="en-US" w:eastAsia="zh-CN" w:bidi="ar"/>
              </w:rPr>
              <w:t>Cervus (Sika) nippon, Cervus elaphus, Bos(Bibos) gaurus, Bubalus sp., Pseudois sp.</w:t>
            </w:r>
          </w:p>
        </w:tc>
        <w:tc>
          <w:tcPr>
            <w:tcW w:w="451" w:type="dxa"/>
            <w:tcBorders>
              <w:top w:val="nil"/>
              <w:left w:val="nil"/>
              <w:bottom w:val="nil"/>
              <w:right w:val="nil"/>
            </w:tcBorders>
            <w:shd w:val="clear" w:color="auto" w:fill="auto"/>
            <w:noWrap/>
            <w:vAlign w:val="center"/>
          </w:tcPr>
          <w:p w14:paraId="31BE978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340" w:type="dxa"/>
            <w:tcBorders>
              <w:top w:val="nil"/>
              <w:left w:val="nil"/>
              <w:bottom w:val="nil"/>
              <w:right w:val="nil"/>
            </w:tcBorders>
            <w:shd w:val="clear" w:color="auto" w:fill="auto"/>
            <w:noWrap/>
            <w:vAlign w:val="center"/>
          </w:tcPr>
          <w:p w14:paraId="049C9B5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532" w:type="dxa"/>
            <w:tcBorders>
              <w:top w:val="nil"/>
              <w:left w:val="nil"/>
              <w:bottom w:val="nil"/>
              <w:right w:val="nil"/>
            </w:tcBorders>
            <w:shd w:val="clear" w:color="auto" w:fill="auto"/>
            <w:noWrap/>
            <w:vAlign w:val="center"/>
          </w:tcPr>
          <w:p w14:paraId="0B9D90D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37</w:t>
            </w:r>
          </w:p>
        </w:tc>
        <w:tc>
          <w:tcPr>
            <w:tcW w:w="432" w:type="dxa"/>
            <w:tcBorders>
              <w:top w:val="nil"/>
              <w:left w:val="nil"/>
              <w:bottom w:val="nil"/>
              <w:right w:val="nil"/>
            </w:tcBorders>
            <w:shd w:val="clear" w:color="auto" w:fill="auto"/>
            <w:noWrap/>
            <w:vAlign w:val="center"/>
          </w:tcPr>
          <w:p w14:paraId="2EB4AAD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660" w:type="dxa"/>
            <w:tcBorders>
              <w:top w:val="nil"/>
              <w:left w:val="nil"/>
              <w:bottom w:val="nil"/>
              <w:right w:val="nil"/>
            </w:tcBorders>
            <w:shd w:val="clear" w:color="auto" w:fill="auto"/>
            <w:noWrap/>
            <w:vAlign w:val="center"/>
          </w:tcPr>
          <w:p w14:paraId="3BAB07F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108</w:t>
            </w:r>
          </w:p>
        </w:tc>
        <w:tc>
          <w:tcPr>
            <w:tcW w:w="422" w:type="dxa"/>
            <w:tcBorders>
              <w:top w:val="nil"/>
              <w:left w:val="nil"/>
              <w:bottom w:val="nil"/>
              <w:right w:val="nil"/>
            </w:tcBorders>
            <w:shd w:val="clear" w:color="auto" w:fill="auto"/>
            <w:noWrap/>
            <w:vAlign w:val="center"/>
          </w:tcPr>
          <w:p w14:paraId="17C8722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90" w:type="dxa"/>
            <w:tcBorders>
              <w:top w:val="nil"/>
              <w:left w:val="nil"/>
              <w:bottom w:val="nil"/>
              <w:right w:val="nil"/>
            </w:tcBorders>
            <w:shd w:val="clear" w:color="auto" w:fill="auto"/>
            <w:noWrap/>
            <w:vAlign w:val="center"/>
          </w:tcPr>
          <w:p w14:paraId="54E9F15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553" w:type="dxa"/>
            <w:tcBorders>
              <w:top w:val="nil"/>
              <w:left w:val="nil"/>
              <w:bottom w:val="nil"/>
              <w:right w:val="nil"/>
            </w:tcBorders>
            <w:shd w:val="clear" w:color="auto" w:fill="auto"/>
            <w:noWrap/>
            <w:vAlign w:val="center"/>
          </w:tcPr>
          <w:p w14:paraId="5C9822A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w:t>
            </w:r>
          </w:p>
        </w:tc>
        <w:tc>
          <w:tcPr>
            <w:tcW w:w="460" w:type="dxa"/>
            <w:tcBorders>
              <w:top w:val="nil"/>
              <w:left w:val="nil"/>
              <w:bottom w:val="nil"/>
              <w:right w:val="nil"/>
            </w:tcBorders>
            <w:shd w:val="clear" w:color="auto" w:fill="auto"/>
            <w:noWrap/>
            <w:vAlign w:val="center"/>
          </w:tcPr>
          <w:p w14:paraId="4CEB061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47" w:type="dxa"/>
            <w:tcBorders>
              <w:top w:val="nil"/>
              <w:left w:val="nil"/>
              <w:bottom w:val="nil"/>
              <w:right w:val="nil"/>
            </w:tcBorders>
            <w:shd w:val="clear" w:color="auto" w:fill="auto"/>
            <w:noWrap/>
            <w:vAlign w:val="center"/>
          </w:tcPr>
          <w:p w14:paraId="5F55FBB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534" w:type="dxa"/>
            <w:tcBorders>
              <w:top w:val="nil"/>
              <w:left w:val="nil"/>
              <w:bottom w:val="nil"/>
              <w:right w:val="nil"/>
            </w:tcBorders>
            <w:shd w:val="clear" w:color="auto" w:fill="auto"/>
            <w:noWrap/>
            <w:vAlign w:val="center"/>
          </w:tcPr>
          <w:p w14:paraId="4E21411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w:t>
            </w:r>
          </w:p>
        </w:tc>
        <w:tc>
          <w:tcPr>
            <w:tcW w:w="290" w:type="dxa"/>
            <w:tcBorders>
              <w:top w:val="nil"/>
              <w:left w:val="nil"/>
              <w:bottom w:val="nil"/>
              <w:right w:val="nil"/>
            </w:tcBorders>
            <w:shd w:val="clear" w:color="auto" w:fill="auto"/>
            <w:noWrap/>
            <w:vAlign w:val="center"/>
          </w:tcPr>
          <w:p w14:paraId="42F28F5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71" w:type="dxa"/>
            <w:tcBorders>
              <w:top w:val="nil"/>
              <w:left w:val="nil"/>
              <w:bottom w:val="nil"/>
              <w:right w:val="nil"/>
            </w:tcBorders>
            <w:shd w:val="clear" w:color="auto" w:fill="auto"/>
            <w:noWrap/>
            <w:vAlign w:val="center"/>
          </w:tcPr>
          <w:p w14:paraId="26FAE8F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535" w:type="dxa"/>
            <w:tcBorders>
              <w:top w:val="nil"/>
              <w:left w:val="nil"/>
              <w:bottom w:val="nil"/>
              <w:right w:val="nil"/>
            </w:tcBorders>
            <w:shd w:val="clear" w:color="auto" w:fill="auto"/>
            <w:noWrap/>
            <w:vAlign w:val="center"/>
          </w:tcPr>
          <w:p w14:paraId="2915B57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w:t>
            </w:r>
          </w:p>
        </w:tc>
        <w:tc>
          <w:tcPr>
            <w:tcW w:w="447" w:type="dxa"/>
            <w:tcBorders>
              <w:top w:val="nil"/>
              <w:left w:val="nil"/>
              <w:bottom w:val="nil"/>
              <w:right w:val="nil"/>
            </w:tcBorders>
            <w:shd w:val="clear" w:color="auto" w:fill="auto"/>
            <w:noWrap/>
            <w:vAlign w:val="center"/>
          </w:tcPr>
          <w:p w14:paraId="4B8FE05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83" w:type="dxa"/>
            <w:tcBorders>
              <w:top w:val="nil"/>
              <w:left w:val="nil"/>
              <w:bottom w:val="nil"/>
              <w:right w:val="nil"/>
            </w:tcBorders>
            <w:shd w:val="clear" w:color="auto" w:fill="auto"/>
            <w:noWrap/>
            <w:vAlign w:val="center"/>
          </w:tcPr>
          <w:p w14:paraId="1FEA2F9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71" w:type="dxa"/>
            <w:tcBorders>
              <w:top w:val="nil"/>
              <w:left w:val="nil"/>
              <w:bottom w:val="nil"/>
              <w:right w:val="nil"/>
            </w:tcBorders>
            <w:shd w:val="clear" w:color="auto" w:fill="auto"/>
            <w:noWrap/>
            <w:vAlign w:val="center"/>
          </w:tcPr>
          <w:p w14:paraId="46B83D7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22" w:type="dxa"/>
            <w:tcBorders>
              <w:top w:val="nil"/>
              <w:left w:val="nil"/>
              <w:bottom w:val="nil"/>
              <w:right w:val="nil"/>
            </w:tcBorders>
            <w:shd w:val="clear" w:color="auto" w:fill="auto"/>
            <w:noWrap/>
            <w:vAlign w:val="center"/>
          </w:tcPr>
          <w:p w14:paraId="587CF4F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84" w:type="dxa"/>
            <w:tcBorders>
              <w:top w:val="nil"/>
              <w:left w:val="nil"/>
              <w:bottom w:val="nil"/>
              <w:right w:val="nil"/>
            </w:tcBorders>
            <w:shd w:val="clear" w:color="auto" w:fill="auto"/>
            <w:noWrap/>
            <w:vAlign w:val="center"/>
          </w:tcPr>
          <w:p w14:paraId="669B993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566" w:type="dxa"/>
            <w:tcBorders>
              <w:top w:val="nil"/>
              <w:left w:val="nil"/>
              <w:bottom w:val="nil"/>
              <w:right w:val="nil"/>
            </w:tcBorders>
            <w:shd w:val="clear" w:color="auto" w:fill="auto"/>
            <w:noWrap/>
            <w:vAlign w:val="center"/>
          </w:tcPr>
          <w:p w14:paraId="0A18D40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51</w:t>
            </w:r>
          </w:p>
        </w:tc>
        <w:tc>
          <w:tcPr>
            <w:tcW w:w="459" w:type="dxa"/>
            <w:tcBorders>
              <w:top w:val="nil"/>
              <w:left w:val="nil"/>
              <w:bottom w:val="nil"/>
              <w:right w:val="nil"/>
            </w:tcBorders>
            <w:shd w:val="clear" w:color="auto" w:fill="auto"/>
            <w:noWrap/>
            <w:vAlign w:val="center"/>
          </w:tcPr>
          <w:p w14:paraId="78E8535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623" w:type="dxa"/>
            <w:tcBorders>
              <w:top w:val="nil"/>
              <w:left w:val="nil"/>
              <w:bottom w:val="nil"/>
              <w:right w:val="nil"/>
            </w:tcBorders>
            <w:shd w:val="clear" w:color="auto" w:fill="auto"/>
            <w:noWrap/>
            <w:vAlign w:val="center"/>
          </w:tcPr>
          <w:p w14:paraId="504150B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677</w:t>
            </w:r>
          </w:p>
        </w:tc>
        <w:tc>
          <w:tcPr>
            <w:tcW w:w="554" w:type="dxa"/>
            <w:tcBorders>
              <w:top w:val="nil"/>
              <w:left w:val="nil"/>
              <w:bottom w:val="nil"/>
              <w:right w:val="nil"/>
            </w:tcBorders>
            <w:shd w:val="clear" w:color="auto" w:fill="auto"/>
            <w:noWrap/>
            <w:vAlign w:val="center"/>
          </w:tcPr>
          <w:p w14:paraId="4A4A0B9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w:t>
            </w:r>
          </w:p>
        </w:tc>
        <w:tc>
          <w:tcPr>
            <w:tcW w:w="478" w:type="dxa"/>
            <w:tcBorders>
              <w:top w:val="nil"/>
              <w:left w:val="nil"/>
              <w:bottom w:val="nil"/>
              <w:right w:val="nil"/>
            </w:tcBorders>
            <w:shd w:val="clear" w:color="auto" w:fill="auto"/>
            <w:noWrap/>
            <w:vAlign w:val="center"/>
          </w:tcPr>
          <w:p w14:paraId="02B0C7C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584" w:type="dxa"/>
            <w:tcBorders>
              <w:top w:val="nil"/>
              <w:left w:val="nil"/>
              <w:bottom w:val="nil"/>
              <w:right w:val="nil"/>
            </w:tcBorders>
            <w:shd w:val="clear" w:color="auto" w:fill="auto"/>
            <w:noWrap/>
            <w:vAlign w:val="center"/>
          </w:tcPr>
          <w:p w14:paraId="40C6BA9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101</w:t>
            </w:r>
          </w:p>
        </w:tc>
        <w:tc>
          <w:tcPr>
            <w:tcW w:w="711" w:type="dxa"/>
            <w:gridSpan w:val="2"/>
            <w:tcBorders>
              <w:top w:val="nil"/>
              <w:left w:val="nil"/>
              <w:bottom w:val="nil"/>
              <w:right w:val="nil"/>
            </w:tcBorders>
            <w:shd w:val="clear" w:color="auto" w:fill="auto"/>
            <w:noWrap/>
            <w:vAlign w:val="center"/>
          </w:tcPr>
          <w:p w14:paraId="7A73FEB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1082</w:t>
            </w:r>
          </w:p>
        </w:tc>
      </w:tr>
      <w:tr w14:paraId="4E3F9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71" w:type="dxa"/>
            <w:tcBorders>
              <w:top w:val="nil"/>
              <w:left w:val="nil"/>
              <w:bottom w:val="nil"/>
              <w:right w:val="nil"/>
            </w:tcBorders>
            <w:shd w:val="clear" w:color="auto" w:fill="auto"/>
            <w:noWrap/>
            <w:vAlign w:val="center"/>
          </w:tcPr>
          <w:p w14:paraId="215B2BB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2774" w:type="dxa"/>
            <w:tcBorders>
              <w:top w:val="nil"/>
              <w:left w:val="nil"/>
              <w:bottom w:val="nil"/>
              <w:right w:val="nil"/>
            </w:tcBorders>
            <w:shd w:val="clear" w:color="auto" w:fill="auto"/>
            <w:noWrap/>
            <w:vAlign w:val="center"/>
          </w:tcPr>
          <w:p w14:paraId="07248803">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iCs/>
                <w:color w:val="000000"/>
                <w:kern w:val="2"/>
                <w:sz w:val="20"/>
                <w:szCs w:val="20"/>
                <w:u w:val="none"/>
              </w:rPr>
            </w:pPr>
            <w:r>
              <w:rPr>
                <w:rFonts w:hint="default" w:ascii="Times New Roman" w:hAnsi="Times New Roman" w:eastAsia="宋体" w:cs="Times New Roman"/>
                <w:i/>
                <w:iCs/>
                <w:color w:val="000000"/>
                <w:kern w:val="0"/>
                <w:sz w:val="20"/>
                <w:szCs w:val="20"/>
                <w:u w:val="none"/>
                <w:lang w:val="en-US" w:eastAsia="zh-CN" w:bidi="ar"/>
              </w:rPr>
              <w:t>Cervus (Sika) nippon, Bos(Bibos) gaurus, Bubalus sp., Rhinoceros sinensis</w:t>
            </w:r>
          </w:p>
        </w:tc>
        <w:tc>
          <w:tcPr>
            <w:tcW w:w="451" w:type="dxa"/>
            <w:tcBorders>
              <w:top w:val="nil"/>
              <w:left w:val="nil"/>
              <w:bottom w:val="nil"/>
              <w:right w:val="nil"/>
            </w:tcBorders>
            <w:shd w:val="clear" w:color="auto" w:fill="auto"/>
            <w:noWrap/>
            <w:vAlign w:val="center"/>
          </w:tcPr>
          <w:p w14:paraId="7E76EFF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340" w:type="dxa"/>
            <w:tcBorders>
              <w:top w:val="nil"/>
              <w:left w:val="nil"/>
              <w:bottom w:val="nil"/>
              <w:right w:val="nil"/>
            </w:tcBorders>
            <w:shd w:val="clear" w:color="auto" w:fill="auto"/>
            <w:noWrap/>
            <w:vAlign w:val="center"/>
          </w:tcPr>
          <w:p w14:paraId="7074DEB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532" w:type="dxa"/>
            <w:tcBorders>
              <w:top w:val="nil"/>
              <w:left w:val="nil"/>
              <w:bottom w:val="nil"/>
              <w:right w:val="nil"/>
            </w:tcBorders>
            <w:shd w:val="clear" w:color="auto" w:fill="auto"/>
            <w:noWrap/>
            <w:vAlign w:val="center"/>
          </w:tcPr>
          <w:p w14:paraId="17EF2C0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32" w:type="dxa"/>
            <w:tcBorders>
              <w:top w:val="nil"/>
              <w:left w:val="nil"/>
              <w:bottom w:val="nil"/>
              <w:right w:val="nil"/>
            </w:tcBorders>
            <w:shd w:val="clear" w:color="auto" w:fill="auto"/>
            <w:noWrap/>
            <w:vAlign w:val="center"/>
          </w:tcPr>
          <w:p w14:paraId="00ECF67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660" w:type="dxa"/>
            <w:tcBorders>
              <w:top w:val="nil"/>
              <w:left w:val="nil"/>
              <w:bottom w:val="nil"/>
              <w:right w:val="nil"/>
            </w:tcBorders>
            <w:shd w:val="clear" w:color="auto" w:fill="auto"/>
            <w:noWrap/>
            <w:vAlign w:val="center"/>
          </w:tcPr>
          <w:p w14:paraId="68B1CFE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w:t>
            </w:r>
          </w:p>
        </w:tc>
        <w:tc>
          <w:tcPr>
            <w:tcW w:w="422" w:type="dxa"/>
            <w:tcBorders>
              <w:top w:val="nil"/>
              <w:left w:val="nil"/>
              <w:bottom w:val="nil"/>
              <w:right w:val="nil"/>
            </w:tcBorders>
            <w:shd w:val="clear" w:color="auto" w:fill="auto"/>
            <w:noWrap/>
            <w:vAlign w:val="center"/>
          </w:tcPr>
          <w:p w14:paraId="4C30FD1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90" w:type="dxa"/>
            <w:tcBorders>
              <w:top w:val="nil"/>
              <w:left w:val="nil"/>
              <w:bottom w:val="nil"/>
              <w:right w:val="nil"/>
            </w:tcBorders>
            <w:shd w:val="clear" w:color="auto" w:fill="auto"/>
            <w:noWrap/>
            <w:vAlign w:val="center"/>
          </w:tcPr>
          <w:p w14:paraId="5D899BA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553" w:type="dxa"/>
            <w:tcBorders>
              <w:top w:val="nil"/>
              <w:left w:val="nil"/>
              <w:bottom w:val="nil"/>
              <w:right w:val="nil"/>
            </w:tcBorders>
            <w:shd w:val="clear" w:color="auto" w:fill="auto"/>
            <w:noWrap/>
            <w:vAlign w:val="center"/>
          </w:tcPr>
          <w:p w14:paraId="795C4C0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460" w:type="dxa"/>
            <w:tcBorders>
              <w:top w:val="nil"/>
              <w:left w:val="nil"/>
              <w:bottom w:val="nil"/>
              <w:right w:val="nil"/>
            </w:tcBorders>
            <w:shd w:val="clear" w:color="auto" w:fill="auto"/>
            <w:noWrap/>
            <w:vAlign w:val="center"/>
          </w:tcPr>
          <w:p w14:paraId="317419B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447" w:type="dxa"/>
            <w:tcBorders>
              <w:top w:val="nil"/>
              <w:left w:val="nil"/>
              <w:bottom w:val="nil"/>
              <w:right w:val="nil"/>
            </w:tcBorders>
            <w:shd w:val="clear" w:color="auto" w:fill="auto"/>
            <w:noWrap/>
            <w:vAlign w:val="center"/>
          </w:tcPr>
          <w:p w14:paraId="11C0F0C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34" w:type="dxa"/>
            <w:tcBorders>
              <w:top w:val="nil"/>
              <w:left w:val="nil"/>
              <w:bottom w:val="nil"/>
              <w:right w:val="nil"/>
            </w:tcBorders>
            <w:shd w:val="clear" w:color="auto" w:fill="auto"/>
            <w:noWrap/>
            <w:vAlign w:val="center"/>
          </w:tcPr>
          <w:p w14:paraId="5F7C801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290" w:type="dxa"/>
            <w:tcBorders>
              <w:top w:val="nil"/>
              <w:left w:val="nil"/>
              <w:bottom w:val="nil"/>
              <w:right w:val="nil"/>
            </w:tcBorders>
            <w:shd w:val="clear" w:color="auto" w:fill="auto"/>
            <w:noWrap/>
            <w:vAlign w:val="center"/>
          </w:tcPr>
          <w:p w14:paraId="0F805B0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71" w:type="dxa"/>
            <w:tcBorders>
              <w:top w:val="nil"/>
              <w:left w:val="nil"/>
              <w:bottom w:val="nil"/>
              <w:right w:val="nil"/>
            </w:tcBorders>
            <w:shd w:val="clear" w:color="auto" w:fill="auto"/>
            <w:noWrap/>
            <w:vAlign w:val="center"/>
          </w:tcPr>
          <w:p w14:paraId="3B5FF3C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535" w:type="dxa"/>
            <w:tcBorders>
              <w:top w:val="nil"/>
              <w:left w:val="nil"/>
              <w:bottom w:val="nil"/>
              <w:right w:val="nil"/>
            </w:tcBorders>
            <w:shd w:val="clear" w:color="auto" w:fill="auto"/>
            <w:noWrap/>
            <w:vAlign w:val="center"/>
          </w:tcPr>
          <w:p w14:paraId="78C519A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47" w:type="dxa"/>
            <w:tcBorders>
              <w:top w:val="nil"/>
              <w:left w:val="nil"/>
              <w:bottom w:val="nil"/>
              <w:right w:val="nil"/>
            </w:tcBorders>
            <w:shd w:val="clear" w:color="auto" w:fill="auto"/>
            <w:noWrap/>
            <w:vAlign w:val="center"/>
          </w:tcPr>
          <w:p w14:paraId="5E7980D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83" w:type="dxa"/>
            <w:tcBorders>
              <w:top w:val="nil"/>
              <w:left w:val="nil"/>
              <w:bottom w:val="nil"/>
              <w:right w:val="nil"/>
            </w:tcBorders>
            <w:shd w:val="clear" w:color="auto" w:fill="auto"/>
            <w:noWrap/>
            <w:vAlign w:val="center"/>
          </w:tcPr>
          <w:p w14:paraId="53FD8DE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71" w:type="dxa"/>
            <w:tcBorders>
              <w:top w:val="nil"/>
              <w:left w:val="nil"/>
              <w:bottom w:val="nil"/>
              <w:right w:val="nil"/>
            </w:tcBorders>
            <w:shd w:val="clear" w:color="auto" w:fill="auto"/>
            <w:noWrap/>
            <w:vAlign w:val="center"/>
          </w:tcPr>
          <w:p w14:paraId="788555B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22" w:type="dxa"/>
            <w:tcBorders>
              <w:top w:val="nil"/>
              <w:left w:val="nil"/>
              <w:bottom w:val="nil"/>
              <w:right w:val="nil"/>
            </w:tcBorders>
            <w:shd w:val="clear" w:color="auto" w:fill="auto"/>
            <w:noWrap/>
            <w:vAlign w:val="center"/>
          </w:tcPr>
          <w:p w14:paraId="197262E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84" w:type="dxa"/>
            <w:tcBorders>
              <w:top w:val="nil"/>
              <w:left w:val="nil"/>
              <w:bottom w:val="nil"/>
              <w:right w:val="nil"/>
            </w:tcBorders>
            <w:shd w:val="clear" w:color="auto" w:fill="auto"/>
            <w:noWrap/>
            <w:vAlign w:val="center"/>
          </w:tcPr>
          <w:p w14:paraId="0992291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566" w:type="dxa"/>
            <w:tcBorders>
              <w:top w:val="nil"/>
              <w:left w:val="nil"/>
              <w:bottom w:val="nil"/>
              <w:right w:val="nil"/>
            </w:tcBorders>
            <w:shd w:val="clear" w:color="auto" w:fill="auto"/>
            <w:noWrap/>
            <w:vAlign w:val="center"/>
          </w:tcPr>
          <w:p w14:paraId="782E4BF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459" w:type="dxa"/>
            <w:tcBorders>
              <w:top w:val="nil"/>
              <w:left w:val="nil"/>
              <w:bottom w:val="nil"/>
              <w:right w:val="nil"/>
            </w:tcBorders>
            <w:shd w:val="clear" w:color="auto" w:fill="auto"/>
            <w:noWrap/>
            <w:vAlign w:val="center"/>
          </w:tcPr>
          <w:p w14:paraId="5FAE603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623" w:type="dxa"/>
            <w:tcBorders>
              <w:top w:val="nil"/>
              <w:left w:val="nil"/>
              <w:bottom w:val="nil"/>
              <w:right w:val="nil"/>
            </w:tcBorders>
            <w:shd w:val="clear" w:color="auto" w:fill="auto"/>
            <w:noWrap/>
            <w:vAlign w:val="center"/>
          </w:tcPr>
          <w:p w14:paraId="35F8412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43</w:t>
            </w:r>
          </w:p>
        </w:tc>
        <w:tc>
          <w:tcPr>
            <w:tcW w:w="554" w:type="dxa"/>
            <w:tcBorders>
              <w:top w:val="nil"/>
              <w:left w:val="nil"/>
              <w:bottom w:val="nil"/>
              <w:right w:val="nil"/>
            </w:tcBorders>
            <w:shd w:val="clear" w:color="auto" w:fill="auto"/>
            <w:noWrap/>
            <w:vAlign w:val="center"/>
          </w:tcPr>
          <w:p w14:paraId="0D0958A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w:t>
            </w:r>
          </w:p>
        </w:tc>
        <w:tc>
          <w:tcPr>
            <w:tcW w:w="478" w:type="dxa"/>
            <w:tcBorders>
              <w:top w:val="nil"/>
              <w:left w:val="nil"/>
              <w:bottom w:val="nil"/>
              <w:right w:val="nil"/>
            </w:tcBorders>
            <w:shd w:val="clear" w:color="auto" w:fill="auto"/>
            <w:noWrap/>
            <w:vAlign w:val="center"/>
          </w:tcPr>
          <w:p w14:paraId="245AD53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584" w:type="dxa"/>
            <w:tcBorders>
              <w:top w:val="nil"/>
              <w:left w:val="nil"/>
              <w:bottom w:val="nil"/>
              <w:right w:val="nil"/>
            </w:tcBorders>
            <w:shd w:val="clear" w:color="auto" w:fill="auto"/>
            <w:noWrap/>
            <w:vAlign w:val="center"/>
          </w:tcPr>
          <w:p w14:paraId="2343D35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711" w:type="dxa"/>
            <w:gridSpan w:val="2"/>
            <w:tcBorders>
              <w:top w:val="nil"/>
              <w:left w:val="nil"/>
              <w:bottom w:val="nil"/>
              <w:right w:val="nil"/>
            </w:tcBorders>
            <w:shd w:val="clear" w:color="auto" w:fill="auto"/>
            <w:noWrap/>
            <w:vAlign w:val="center"/>
          </w:tcPr>
          <w:p w14:paraId="1675B06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89</w:t>
            </w:r>
          </w:p>
        </w:tc>
      </w:tr>
      <w:tr w14:paraId="3F823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71" w:type="dxa"/>
            <w:tcBorders>
              <w:top w:val="nil"/>
              <w:left w:val="nil"/>
              <w:bottom w:val="nil"/>
              <w:right w:val="nil"/>
            </w:tcBorders>
            <w:shd w:val="clear" w:color="auto" w:fill="auto"/>
            <w:noWrap/>
            <w:vAlign w:val="center"/>
          </w:tcPr>
          <w:p w14:paraId="4DB8B3B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w:t>
            </w:r>
          </w:p>
        </w:tc>
        <w:tc>
          <w:tcPr>
            <w:tcW w:w="2774" w:type="dxa"/>
            <w:tcBorders>
              <w:top w:val="nil"/>
              <w:left w:val="nil"/>
              <w:bottom w:val="nil"/>
              <w:right w:val="nil"/>
            </w:tcBorders>
            <w:shd w:val="clear" w:color="auto" w:fill="auto"/>
            <w:noWrap/>
            <w:vAlign w:val="center"/>
          </w:tcPr>
          <w:p w14:paraId="16A5D26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iCs/>
                <w:color w:val="000000"/>
                <w:kern w:val="2"/>
                <w:sz w:val="20"/>
                <w:szCs w:val="20"/>
                <w:u w:val="none"/>
              </w:rPr>
            </w:pPr>
            <w:r>
              <w:rPr>
                <w:rFonts w:hint="default" w:ascii="Times New Roman" w:hAnsi="Times New Roman" w:eastAsia="宋体" w:cs="Times New Roman"/>
                <w:i/>
                <w:iCs/>
                <w:color w:val="000000"/>
                <w:kern w:val="0"/>
                <w:sz w:val="20"/>
                <w:szCs w:val="20"/>
                <w:u w:val="none"/>
                <w:lang w:val="en-US" w:eastAsia="zh-CN" w:bidi="ar"/>
              </w:rPr>
              <w:t>Cervus (Sika) nippon, Cervus elaphus, Bos(Bibos) gaurus, Bubalus sp., Rhinoceros sinensis, Capra sp., Crocuta Crocuta ultima</w:t>
            </w:r>
          </w:p>
        </w:tc>
        <w:tc>
          <w:tcPr>
            <w:tcW w:w="451" w:type="dxa"/>
            <w:tcBorders>
              <w:top w:val="nil"/>
              <w:left w:val="nil"/>
              <w:bottom w:val="nil"/>
              <w:right w:val="nil"/>
            </w:tcBorders>
            <w:shd w:val="clear" w:color="auto" w:fill="auto"/>
            <w:noWrap/>
            <w:vAlign w:val="center"/>
          </w:tcPr>
          <w:p w14:paraId="35839ED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340" w:type="dxa"/>
            <w:tcBorders>
              <w:top w:val="nil"/>
              <w:left w:val="nil"/>
              <w:bottom w:val="nil"/>
              <w:right w:val="nil"/>
            </w:tcBorders>
            <w:shd w:val="clear" w:color="auto" w:fill="auto"/>
            <w:noWrap/>
            <w:vAlign w:val="center"/>
          </w:tcPr>
          <w:p w14:paraId="421C7EB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532" w:type="dxa"/>
            <w:tcBorders>
              <w:top w:val="nil"/>
              <w:left w:val="nil"/>
              <w:bottom w:val="nil"/>
              <w:right w:val="nil"/>
            </w:tcBorders>
            <w:shd w:val="clear" w:color="auto" w:fill="auto"/>
            <w:noWrap/>
            <w:vAlign w:val="center"/>
          </w:tcPr>
          <w:p w14:paraId="43D5537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w:t>
            </w:r>
          </w:p>
        </w:tc>
        <w:tc>
          <w:tcPr>
            <w:tcW w:w="432" w:type="dxa"/>
            <w:tcBorders>
              <w:top w:val="nil"/>
              <w:left w:val="nil"/>
              <w:bottom w:val="nil"/>
              <w:right w:val="nil"/>
            </w:tcBorders>
            <w:shd w:val="clear" w:color="auto" w:fill="auto"/>
            <w:noWrap/>
            <w:vAlign w:val="center"/>
          </w:tcPr>
          <w:p w14:paraId="1132127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660" w:type="dxa"/>
            <w:tcBorders>
              <w:top w:val="nil"/>
              <w:left w:val="nil"/>
              <w:bottom w:val="nil"/>
              <w:right w:val="nil"/>
            </w:tcBorders>
            <w:shd w:val="clear" w:color="auto" w:fill="auto"/>
            <w:noWrap/>
            <w:vAlign w:val="center"/>
          </w:tcPr>
          <w:p w14:paraId="275FA24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200</w:t>
            </w:r>
          </w:p>
        </w:tc>
        <w:tc>
          <w:tcPr>
            <w:tcW w:w="422" w:type="dxa"/>
            <w:tcBorders>
              <w:top w:val="nil"/>
              <w:left w:val="nil"/>
              <w:bottom w:val="nil"/>
              <w:right w:val="nil"/>
            </w:tcBorders>
            <w:shd w:val="clear" w:color="auto" w:fill="auto"/>
            <w:noWrap/>
            <w:vAlign w:val="center"/>
          </w:tcPr>
          <w:p w14:paraId="0DB2BC2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490" w:type="dxa"/>
            <w:tcBorders>
              <w:top w:val="nil"/>
              <w:left w:val="nil"/>
              <w:bottom w:val="nil"/>
              <w:right w:val="nil"/>
            </w:tcBorders>
            <w:shd w:val="clear" w:color="auto" w:fill="auto"/>
            <w:noWrap/>
            <w:vAlign w:val="center"/>
          </w:tcPr>
          <w:p w14:paraId="5097E0A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24</w:t>
            </w:r>
          </w:p>
        </w:tc>
        <w:tc>
          <w:tcPr>
            <w:tcW w:w="553" w:type="dxa"/>
            <w:tcBorders>
              <w:top w:val="nil"/>
              <w:left w:val="nil"/>
              <w:bottom w:val="nil"/>
              <w:right w:val="nil"/>
            </w:tcBorders>
            <w:shd w:val="clear" w:color="auto" w:fill="auto"/>
            <w:noWrap/>
            <w:vAlign w:val="center"/>
          </w:tcPr>
          <w:p w14:paraId="43E7DDE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460" w:type="dxa"/>
            <w:tcBorders>
              <w:top w:val="nil"/>
              <w:left w:val="nil"/>
              <w:bottom w:val="nil"/>
              <w:right w:val="nil"/>
            </w:tcBorders>
            <w:shd w:val="clear" w:color="auto" w:fill="auto"/>
            <w:noWrap/>
            <w:vAlign w:val="center"/>
          </w:tcPr>
          <w:p w14:paraId="5EA8422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47" w:type="dxa"/>
            <w:tcBorders>
              <w:top w:val="nil"/>
              <w:left w:val="nil"/>
              <w:bottom w:val="nil"/>
              <w:right w:val="nil"/>
            </w:tcBorders>
            <w:shd w:val="clear" w:color="auto" w:fill="auto"/>
            <w:noWrap/>
            <w:vAlign w:val="center"/>
          </w:tcPr>
          <w:p w14:paraId="09E2E87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34" w:type="dxa"/>
            <w:tcBorders>
              <w:top w:val="nil"/>
              <w:left w:val="nil"/>
              <w:bottom w:val="nil"/>
              <w:right w:val="nil"/>
            </w:tcBorders>
            <w:shd w:val="clear" w:color="auto" w:fill="auto"/>
            <w:noWrap/>
            <w:vAlign w:val="center"/>
          </w:tcPr>
          <w:p w14:paraId="7EB817E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w:t>
            </w:r>
          </w:p>
        </w:tc>
        <w:tc>
          <w:tcPr>
            <w:tcW w:w="290" w:type="dxa"/>
            <w:tcBorders>
              <w:top w:val="nil"/>
              <w:left w:val="nil"/>
              <w:bottom w:val="nil"/>
              <w:right w:val="nil"/>
            </w:tcBorders>
            <w:shd w:val="clear" w:color="auto" w:fill="auto"/>
            <w:noWrap/>
            <w:vAlign w:val="center"/>
          </w:tcPr>
          <w:p w14:paraId="7DE55AB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71" w:type="dxa"/>
            <w:tcBorders>
              <w:top w:val="nil"/>
              <w:left w:val="nil"/>
              <w:bottom w:val="nil"/>
              <w:right w:val="nil"/>
            </w:tcBorders>
            <w:shd w:val="clear" w:color="auto" w:fill="auto"/>
            <w:noWrap/>
            <w:vAlign w:val="center"/>
          </w:tcPr>
          <w:p w14:paraId="0060236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535" w:type="dxa"/>
            <w:tcBorders>
              <w:top w:val="nil"/>
              <w:left w:val="nil"/>
              <w:bottom w:val="nil"/>
              <w:right w:val="nil"/>
            </w:tcBorders>
            <w:shd w:val="clear" w:color="auto" w:fill="auto"/>
            <w:noWrap/>
            <w:vAlign w:val="center"/>
          </w:tcPr>
          <w:p w14:paraId="4081E3C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51</w:t>
            </w:r>
          </w:p>
        </w:tc>
        <w:tc>
          <w:tcPr>
            <w:tcW w:w="447" w:type="dxa"/>
            <w:tcBorders>
              <w:top w:val="nil"/>
              <w:left w:val="nil"/>
              <w:bottom w:val="nil"/>
              <w:right w:val="nil"/>
            </w:tcBorders>
            <w:shd w:val="clear" w:color="auto" w:fill="auto"/>
            <w:noWrap/>
            <w:vAlign w:val="center"/>
          </w:tcPr>
          <w:p w14:paraId="47F8A15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83" w:type="dxa"/>
            <w:tcBorders>
              <w:top w:val="nil"/>
              <w:left w:val="nil"/>
              <w:bottom w:val="nil"/>
              <w:right w:val="nil"/>
            </w:tcBorders>
            <w:shd w:val="clear" w:color="auto" w:fill="auto"/>
            <w:noWrap/>
            <w:vAlign w:val="center"/>
          </w:tcPr>
          <w:p w14:paraId="7F85229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71" w:type="dxa"/>
            <w:tcBorders>
              <w:top w:val="nil"/>
              <w:left w:val="nil"/>
              <w:bottom w:val="nil"/>
              <w:right w:val="nil"/>
            </w:tcBorders>
            <w:shd w:val="clear" w:color="auto" w:fill="auto"/>
            <w:noWrap/>
            <w:vAlign w:val="center"/>
          </w:tcPr>
          <w:p w14:paraId="236EFE7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22" w:type="dxa"/>
            <w:tcBorders>
              <w:top w:val="nil"/>
              <w:left w:val="nil"/>
              <w:bottom w:val="nil"/>
              <w:right w:val="nil"/>
            </w:tcBorders>
            <w:shd w:val="clear" w:color="auto" w:fill="auto"/>
            <w:noWrap/>
            <w:vAlign w:val="center"/>
          </w:tcPr>
          <w:p w14:paraId="4A71699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84" w:type="dxa"/>
            <w:tcBorders>
              <w:top w:val="nil"/>
              <w:left w:val="nil"/>
              <w:bottom w:val="nil"/>
              <w:right w:val="nil"/>
            </w:tcBorders>
            <w:shd w:val="clear" w:color="auto" w:fill="auto"/>
            <w:noWrap/>
            <w:vAlign w:val="center"/>
          </w:tcPr>
          <w:p w14:paraId="5500DCE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566" w:type="dxa"/>
            <w:tcBorders>
              <w:top w:val="nil"/>
              <w:left w:val="nil"/>
              <w:bottom w:val="nil"/>
              <w:right w:val="nil"/>
            </w:tcBorders>
            <w:shd w:val="clear" w:color="auto" w:fill="auto"/>
            <w:noWrap/>
            <w:vAlign w:val="center"/>
          </w:tcPr>
          <w:p w14:paraId="1FAB922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w:t>
            </w:r>
          </w:p>
        </w:tc>
        <w:tc>
          <w:tcPr>
            <w:tcW w:w="459" w:type="dxa"/>
            <w:tcBorders>
              <w:top w:val="nil"/>
              <w:left w:val="nil"/>
              <w:bottom w:val="nil"/>
              <w:right w:val="nil"/>
            </w:tcBorders>
            <w:shd w:val="clear" w:color="auto" w:fill="auto"/>
            <w:noWrap/>
            <w:vAlign w:val="center"/>
          </w:tcPr>
          <w:p w14:paraId="332746F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623" w:type="dxa"/>
            <w:tcBorders>
              <w:top w:val="nil"/>
              <w:left w:val="nil"/>
              <w:bottom w:val="nil"/>
              <w:right w:val="nil"/>
            </w:tcBorders>
            <w:shd w:val="clear" w:color="auto" w:fill="auto"/>
            <w:noWrap/>
            <w:vAlign w:val="center"/>
          </w:tcPr>
          <w:p w14:paraId="7CE1932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503</w:t>
            </w:r>
          </w:p>
        </w:tc>
        <w:tc>
          <w:tcPr>
            <w:tcW w:w="554" w:type="dxa"/>
            <w:tcBorders>
              <w:top w:val="nil"/>
              <w:left w:val="nil"/>
              <w:bottom w:val="nil"/>
              <w:right w:val="nil"/>
            </w:tcBorders>
            <w:shd w:val="clear" w:color="auto" w:fill="auto"/>
            <w:noWrap/>
            <w:vAlign w:val="center"/>
          </w:tcPr>
          <w:p w14:paraId="0122915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39</w:t>
            </w:r>
          </w:p>
        </w:tc>
        <w:tc>
          <w:tcPr>
            <w:tcW w:w="478" w:type="dxa"/>
            <w:tcBorders>
              <w:top w:val="nil"/>
              <w:left w:val="nil"/>
              <w:bottom w:val="nil"/>
              <w:right w:val="nil"/>
            </w:tcBorders>
            <w:shd w:val="clear" w:color="auto" w:fill="auto"/>
            <w:noWrap/>
            <w:vAlign w:val="center"/>
          </w:tcPr>
          <w:p w14:paraId="04AE4C1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w:t>
            </w:r>
          </w:p>
        </w:tc>
        <w:tc>
          <w:tcPr>
            <w:tcW w:w="584" w:type="dxa"/>
            <w:tcBorders>
              <w:top w:val="nil"/>
              <w:left w:val="nil"/>
              <w:bottom w:val="nil"/>
              <w:right w:val="nil"/>
            </w:tcBorders>
            <w:shd w:val="clear" w:color="auto" w:fill="auto"/>
            <w:noWrap/>
            <w:vAlign w:val="center"/>
          </w:tcPr>
          <w:p w14:paraId="3B483DC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83</w:t>
            </w:r>
          </w:p>
        </w:tc>
        <w:tc>
          <w:tcPr>
            <w:tcW w:w="711" w:type="dxa"/>
            <w:gridSpan w:val="2"/>
            <w:tcBorders>
              <w:top w:val="nil"/>
              <w:left w:val="nil"/>
              <w:bottom w:val="nil"/>
              <w:right w:val="nil"/>
            </w:tcBorders>
            <w:shd w:val="clear" w:color="auto" w:fill="auto"/>
            <w:noWrap/>
            <w:vAlign w:val="center"/>
          </w:tcPr>
          <w:p w14:paraId="4AFDC85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1036</w:t>
            </w:r>
          </w:p>
        </w:tc>
      </w:tr>
      <w:tr w14:paraId="1781E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71" w:type="dxa"/>
            <w:tcBorders>
              <w:top w:val="nil"/>
              <w:left w:val="nil"/>
              <w:bottom w:val="nil"/>
              <w:right w:val="nil"/>
            </w:tcBorders>
            <w:shd w:val="clear" w:color="auto" w:fill="auto"/>
            <w:noWrap/>
            <w:vAlign w:val="center"/>
          </w:tcPr>
          <w:p w14:paraId="2440D25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2774" w:type="dxa"/>
            <w:tcBorders>
              <w:top w:val="nil"/>
              <w:left w:val="nil"/>
              <w:bottom w:val="nil"/>
              <w:right w:val="nil"/>
            </w:tcBorders>
            <w:shd w:val="clear" w:color="auto" w:fill="auto"/>
            <w:noWrap/>
            <w:vAlign w:val="center"/>
          </w:tcPr>
          <w:p w14:paraId="0BD1C73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iCs/>
                <w:color w:val="000000"/>
                <w:kern w:val="2"/>
                <w:sz w:val="20"/>
                <w:szCs w:val="20"/>
                <w:u w:val="none"/>
              </w:rPr>
            </w:pPr>
            <w:r>
              <w:rPr>
                <w:rFonts w:hint="default" w:ascii="Times New Roman" w:hAnsi="Times New Roman" w:eastAsia="宋体" w:cs="Times New Roman"/>
                <w:i/>
                <w:iCs/>
                <w:color w:val="000000"/>
                <w:kern w:val="0"/>
                <w:sz w:val="20"/>
                <w:szCs w:val="20"/>
                <w:u w:val="none"/>
                <w:lang w:val="en-US" w:eastAsia="zh-CN" w:bidi="ar"/>
              </w:rPr>
              <w:t>Cervus (Sika) nippon, Cervus elaphus, Bos(Bibos) gaurus, Bubalus sp.</w:t>
            </w:r>
          </w:p>
        </w:tc>
        <w:tc>
          <w:tcPr>
            <w:tcW w:w="451" w:type="dxa"/>
            <w:tcBorders>
              <w:top w:val="nil"/>
              <w:left w:val="nil"/>
              <w:bottom w:val="nil"/>
              <w:right w:val="nil"/>
            </w:tcBorders>
            <w:shd w:val="clear" w:color="auto" w:fill="auto"/>
            <w:noWrap/>
            <w:vAlign w:val="center"/>
          </w:tcPr>
          <w:p w14:paraId="4A37AB8F">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340" w:type="dxa"/>
            <w:tcBorders>
              <w:top w:val="nil"/>
              <w:left w:val="nil"/>
              <w:bottom w:val="nil"/>
              <w:right w:val="nil"/>
            </w:tcBorders>
            <w:shd w:val="clear" w:color="auto" w:fill="auto"/>
            <w:noWrap/>
            <w:vAlign w:val="center"/>
          </w:tcPr>
          <w:p w14:paraId="1F9DD83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532" w:type="dxa"/>
            <w:tcBorders>
              <w:top w:val="nil"/>
              <w:left w:val="nil"/>
              <w:bottom w:val="nil"/>
              <w:right w:val="nil"/>
            </w:tcBorders>
            <w:shd w:val="clear" w:color="auto" w:fill="auto"/>
            <w:noWrap/>
            <w:vAlign w:val="center"/>
          </w:tcPr>
          <w:p w14:paraId="56B753C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32" w:type="dxa"/>
            <w:tcBorders>
              <w:top w:val="nil"/>
              <w:left w:val="nil"/>
              <w:bottom w:val="nil"/>
              <w:right w:val="nil"/>
            </w:tcBorders>
            <w:shd w:val="clear" w:color="auto" w:fill="auto"/>
            <w:noWrap/>
            <w:vAlign w:val="center"/>
          </w:tcPr>
          <w:p w14:paraId="05A3641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660" w:type="dxa"/>
            <w:tcBorders>
              <w:top w:val="nil"/>
              <w:left w:val="nil"/>
              <w:bottom w:val="nil"/>
              <w:right w:val="nil"/>
            </w:tcBorders>
            <w:shd w:val="clear" w:color="auto" w:fill="auto"/>
            <w:noWrap/>
            <w:vAlign w:val="center"/>
          </w:tcPr>
          <w:p w14:paraId="2EAF4FC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w:t>
            </w:r>
          </w:p>
        </w:tc>
        <w:tc>
          <w:tcPr>
            <w:tcW w:w="422" w:type="dxa"/>
            <w:tcBorders>
              <w:top w:val="nil"/>
              <w:left w:val="nil"/>
              <w:bottom w:val="nil"/>
              <w:right w:val="nil"/>
            </w:tcBorders>
            <w:shd w:val="clear" w:color="auto" w:fill="auto"/>
            <w:noWrap/>
            <w:vAlign w:val="center"/>
          </w:tcPr>
          <w:p w14:paraId="6456526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90" w:type="dxa"/>
            <w:tcBorders>
              <w:top w:val="nil"/>
              <w:left w:val="nil"/>
              <w:bottom w:val="nil"/>
              <w:right w:val="nil"/>
            </w:tcBorders>
            <w:shd w:val="clear" w:color="auto" w:fill="auto"/>
            <w:noWrap/>
            <w:vAlign w:val="center"/>
          </w:tcPr>
          <w:p w14:paraId="34947D7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53" w:type="dxa"/>
            <w:tcBorders>
              <w:top w:val="nil"/>
              <w:left w:val="nil"/>
              <w:bottom w:val="nil"/>
              <w:right w:val="nil"/>
            </w:tcBorders>
            <w:shd w:val="clear" w:color="auto" w:fill="auto"/>
            <w:noWrap/>
            <w:vAlign w:val="center"/>
          </w:tcPr>
          <w:p w14:paraId="2E36663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460" w:type="dxa"/>
            <w:tcBorders>
              <w:top w:val="nil"/>
              <w:left w:val="nil"/>
              <w:bottom w:val="nil"/>
              <w:right w:val="nil"/>
            </w:tcBorders>
            <w:shd w:val="clear" w:color="auto" w:fill="auto"/>
            <w:noWrap/>
            <w:vAlign w:val="center"/>
          </w:tcPr>
          <w:p w14:paraId="3D29CF3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47" w:type="dxa"/>
            <w:tcBorders>
              <w:top w:val="nil"/>
              <w:left w:val="nil"/>
              <w:bottom w:val="nil"/>
              <w:right w:val="nil"/>
            </w:tcBorders>
            <w:shd w:val="clear" w:color="auto" w:fill="auto"/>
            <w:noWrap/>
            <w:vAlign w:val="center"/>
          </w:tcPr>
          <w:p w14:paraId="2CABE74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534" w:type="dxa"/>
            <w:tcBorders>
              <w:top w:val="nil"/>
              <w:left w:val="nil"/>
              <w:bottom w:val="nil"/>
              <w:right w:val="nil"/>
            </w:tcBorders>
            <w:shd w:val="clear" w:color="auto" w:fill="auto"/>
            <w:noWrap/>
            <w:vAlign w:val="center"/>
          </w:tcPr>
          <w:p w14:paraId="6805CA2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290" w:type="dxa"/>
            <w:tcBorders>
              <w:top w:val="nil"/>
              <w:left w:val="nil"/>
              <w:bottom w:val="nil"/>
              <w:right w:val="nil"/>
            </w:tcBorders>
            <w:shd w:val="clear" w:color="auto" w:fill="auto"/>
            <w:noWrap/>
            <w:vAlign w:val="center"/>
          </w:tcPr>
          <w:p w14:paraId="78CA530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71" w:type="dxa"/>
            <w:tcBorders>
              <w:top w:val="nil"/>
              <w:left w:val="nil"/>
              <w:bottom w:val="nil"/>
              <w:right w:val="nil"/>
            </w:tcBorders>
            <w:shd w:val="clear" w:color="auto" w:fill="auto"/>
            <w:noWrap/>
            <w:vAlign w:val="center"/>
          </w:tcPr>
          <w:p w14:paraId="6685FBD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535" w:type="dxa"/>
            <w:tcBorders>
              <w:top w:val="nil"/>
              <w:left w:val="nil"/>
              <w:bottom w:val="nil"/>
              <w:right w:val="nil"/>
            </w:tcBorders>
            <w:shd w:val="clear" w:color="auto" w:fill="auto"/>
            <w:noWrap/>
            <w:vAlign w:val="center"/>
          </w:tcPr>
          <w:p w14:paraId="28E71B9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447" w:type="dxa"/>
            <w:tcBorders>
              <w:top w:val="nil"/>
              <w:left w:val="nil"/>
              <w:bottom w:val="nil"/>
              <w:right w:val="nil"/>
            </w:tcBorders>
            <w:shd w:val="clear" w:color="auto" w:fill="auto"/>
            <w:noWrap/>
            <w:vAlign w:val="center"/>
          </w:tcPr>
          <w:p w14:paraId="205CAFF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283" w:type="dxa"/>
            <w:tcBorders>
              <w:top w:val="nil"/>
              <w:left w:val="nil"/>
              <w:bottom w:val="nil"/>
              <w:right w:val="nil"/>
            </w:tcBorders>
            <w:shd w:val="clear" w:color="auto" w:fill="auto"/>
            <w:noWrap/>
            <w:vAlign w:val="center"/>
          </w:tcPr>
          <w:p w14:paraId="4B4E56E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71" w:type="dxa"/>
            <w:tcBorders>
              <w:top w:val="nil"/>
              <w:left w:val="nil"/>
              <w:bottom w:val="nil"/>
              <w:right w:val="nil"/>
            </w:tcBorders>
            <w:shd w:val="clear" w:color="auto" w:fill="auto"/>
            <w:noWrap/>
            <w:vAlign w:val="center"/>
          </w:tcPr>
          <w:p w14:paraId="7F307A8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22" w:type="dxa"/>
            <w:tcBorders>
              <w:top w:val="nil"/>
              <w:left w:val="nil"/>
              <w:bottom w:val="nil"/>
              <w:right w:val="nil"/>
            </w:tcBorders>
            <w:shd w:val="clear" w:color="auto" w:fill="auto"/>
            <w:noWrap/>
            <w:vAlign w:val="center"/>
          </w:tcPr>
          <w:p w14:paraId="349153A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84" w:type="dxa"/>
            <w:tcBorders>
              <w:top w:val="nil"/>
              <w:left w:val="nil"/>
              <w:bottom w:val="nil"/>
              <w:right w:val="nil"/>
            </w:tcBorders>
            <w:shd w:val="clear" w:color="auto" w:fill="auto"/>
            <w:noWrap/>
            <w:vAlign w:val="center"/>
          </w:tcPr>
          <w:p w14:paraId="2AEED94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566" w:type="dxa"/>
            <w:tcBorders>
              <w:top w:val="nil"/>
              <w:left w:val="nil"/>
              <w:bottom w:val="nil"/>
              <w:right w:val="nil"/>
            </w:tcBorders>
            <w:shd w:val="clear" w:color="auto" w:fill="auto"/>
            <w:noWrap/>
            <w:vAlign w:val="center"/>
          </w:tcPr>
          <w:p w14:paraId="20B79C8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459" w:type="dxa"/>
            <w:tcBorders>
              <w:top w:val="nil"/>
              <w:left w:val="nil"/>
              <w:bottom w:val="nil"/>
              <w:right w:val="nil"/>
            </w:tcBorders>
            <w:shd w:val="clear" w:color="auto" w:fill="auto"/>
            <w:noWrap/>
            <w:vAlign w:val="center"/>
          </w:tcPr>
          <w:p w14:paraId="5D12568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623" w:type="dxa"/>
            <w:tcBorders>
              <w:top w:val="nil"/>
              <w:left w:val="nil"/>
              <w:bottom w:val="nil"/>
              <w:right w:val="nil"/>
            </w:tcBorders>
            <w:shd w:val="clear" w:color="auto" w:fill="auto"/>
            <w:noWrap/>
            <w:vAlign w:val="center"/>
          </w:tcPr>
          <w:p w14:paraId="5710600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36</w:t>
            </w:r>
          </w:p>
        </w:tc>
        <w:tc>
          <w:tcPr>
            <w:tcW w:w="554" w:type="dxa"/>
            <w:tcBorders>
              <w:top w:val="nil"/>
              <w:left w:val="nil"/>
              <w:bottom w:val="nil"/>
              <w:right w:val="nil"/>
            </w:tcBorders>
            <w:shd w:val="clear" w:color="auto" w:fill="auto"/>
            <w:noWrap/>
            <w:vAlign w:val="center"/>
          </w:tcPr>
          <w:p w14:paraId="7D568F7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478" w:type="dxa"/>
            <w:tcBorders>
              <w:top w:val="nil"/>
              <w:left w:val="nil"/>
              <w:bottom w:val="nil"/>
              <w:right w:val="nil"/>
            </w:tcBorders>
            <w:shd w:val="clear" w:color="auto" w:fill="auto"/>
            <w:noWrap/>
            <w:vAlign w:val="center"/>
          </w:tcPr>
          <w:p w14:paraId="0CBC678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584" w:type="dxa"/>
            <w:tcBorders>
              <w:top w:val="nil"/>
              <w:left w:val="nil"/>
              <w:bottom w:val="nil"/>
              <w:right w:val="nil"/>
            </w:tcBorders>
            <w:shd w:val="clear" w:color="auto" w:fill="auto"/>
            <w:noWrap/>
            <w:vAlign w:val="center"/>
          </w:tcPr>
          <w:p w14:paraId="1867347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711" w:type="dxa"/>
            <w:gridSpan w:val="2"/>
            <w:tcBorders>
              <w:top w:val="nil"/>
              <w:left w:val="nil"/>
              <w:bottom w:val="nil"/>
              <w:right w:val="nil"/>
            </w:tcBorders>
            <w:shd w:val="clear" w:color="auto" w:fill="auto"/>
            <w:noWrap/>
            <w:vAlign w:val="center"/>
          </w:tcPr>
          <w:p w14:paraId="3A8850B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90</w:t>
            </w:r>
          </w:p>
        </w:tc>
      </w:tr>
      <w:tr w14:paraId="62673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71" w:type="dxa"/>
            <w:tcBorders>
              <w:top w:val="nil"/>
              <w:left w:val="nil"/>
              <w:bottom w:val="nil"/>
              <w:right w:val="nil"/>
            </w:tcBorders>
            <w:shd w:val="clear" w:color="auto" w:fill="auto"/>
            <w:noWrap/>
            <w:vAlign w:val="center"/>
          </w:tcPr>
          <w:p w14:paraId="3FBF165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w:t>
            </w:r>
          </w:p>
        </w:tc>
        <w:tc>
          <w:tcPr>
            <w:tcW w:w="2774" w:type="dxa"/>
            <w:tcBorders>
              <w:top w:val="nil"/>
              <w:left w:val="nil"/>
              <w:bottom w:val="nil"/>
              <w:right w:val="nil"/>
            </w:tcBorders>
            <w:shd w:val="clear" w:color="auto" w:fill="auto"/>
            <w:noWrap/>
            <w:vAlign w:val="center"/>
          </w:tcPr>
          <w:p w14:paraId="07C295C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iCs/>
                <w:color w:val="000000"/>
                <w:kern w:val="2"/>
                <w:sz w:val="20"/>
                <w:szCs w:val="20"/>
                <w:u w:val="none"/>
              </w:rPr>
            </w:pPr>
            <w:r>
              <w:rPr>
                <w:rFonts w:hint="default" w:ascii="Times New Roman" w:hAnsi="Times New Roman" w:eastAsia="宋体" w:cs="Times New Roman"/>
                <w:i/>
                <w:iCs/>
                <w:color w:val="000000"/>
                <w:kern w:val="0"/>
                <w:sz w:val="20"/>
                <w:szCs w:val="20"/>
                <w:u w:val="none"/>
                <w:lang w:val="en-US" w:eastAsia="zh-CN" w:bidi="ar"/>
              </w:rPr>
              <w:t>Cervus (Sika) nippon, Cervus elaphus, Bos(Bibos) gaurus, Bubalus sp., Rhinoceros sinensis, Crocuta Crocuta ultima</w:t>
            </w:r>
          </w:p>
        </w:tc>
        <w:tc>
          <w:tcPr>
            <w:tcW w:w="451" w:type="dxa"/>
            <w:tcBorders>
              <w:top w:val="nil"/>
              <w:left w:val="nil"/>
              <w:bottom w:val="nil"/>
              <w:right w:val="nil"/>
            </w:tcBorders>
            <w:shd w:val="clear" w:color="auto" w:fill="auto"/>
            <w:noWrap/>
            <w:vAlign w:val="center"/>
          </w:tcPr>
          <w:p w14:paraId="0C707333">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340" w:type="dxa"/>
            <w:tcBorders>
              <w:top w:val="nil"/>
              <w:left w:val="nil"/>
              <w:bottom w:val="nil"/>
              <w:right w:val="nil"/>
            </w:tcBorders>
            <w:shd w:val="clear" w:color="auto" w:fill="auto"/>
            <w:noWrap/>
            <w:vAlign w:val="center"/>
          </w:tcPr>
          <w:p w14:paraId="37BA41B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532" w:type="dxa"/>
            <w:tcBorders>
              <w:top w:val="nil"/>
              <w:left w:val="nil"/>
              <w:bottom w:val="nil"/>
              <w:right w:val="nil"/>
            </w:tcBorders>
            <w:shd w:val="clear" w:color="auto" w:fill="auto"/>
            <w:noWrap/>
            <w:vAlign w:val="center"/>
          </w:tcPr>
          <w:p w14:paraId="1AA687E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w:t>
            </w:r>
          </w:p>
        </w:tc>
        <w:tc>
          <w:tcPr>
            <w:tcW w:w="432" w:type="dxa"/>
            <w:tcBorders>
              <w:top w:val="nil"/>
              <w:left w:val="nil"/>
              <w:bottom w:val="nil"/>
              <w:right w:val="nil"/>
            </w:tcBorders>
            <w:shd w:val="clear" w:color="auto" w:fill="auto"/>
            <w:noWrap/>
            <w:vAlign w:val="center"/>
          </w:tcPr>
          <w:p w14:paraId="158E176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660" w:type="dxa"/>
            <w:tcBorders>
              <w:top w:val="nil"/>
              <w:left w:val="nil"/>
              <w:bottom w:val="nil"/>
              <w:right w:val="nil"/>
            </w:tcBorders>
            <w:shd w:val="clear" w:color="auto" w:fill="auto"/>
            <w:noWrap/>
            <w:vAlign w:val="center"/>
          </w:tcPr>
          <w:p w14:paraId="6A0B0CF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93</w:t>
            </w:r>
          </w:p>
        </w:tc>
        <w:tc>
          <w:tcPr>
            <w:tcW w:w="422" w:type="dxa"/>
            <w:tcBorders>
              <w:top w:val="nil"/>
              <w:left w:val="nil"/>
              <w:bottom w:val="nil"/>
              <w:right w:val="nil"/>
            </w:tcBorders>
            <w:shd w:val="clear" w:color="auto" w:fill="auto"/>
            <w:noWrap/>
            <w:vAlign w:val="center"/>
          </w:tcPr>
          <w:p w14:paraId="6319814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90" w:type="dxa"/>
            <w:tcBorders>
              <w:top w:val="nil"/>
              <w:left w:val="nil"/>
              <w:bottom w:val="nil"/>
              <w:right w:val="nil"/>
            </w:tcBorders>
            <w:shd w:val="clear" w:color="auto" w:fill="auto"/>
            <w:noWrap/>
            <w:vAlign w:val="center"/>
          </w:tcPr>
          <w:p w14:paraId="6D0182A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553" w:type="dxa"/>
            <w:tcBorders>
              <w:top w:val="nil"/>
              <w:left w:val="nil"/>
              <w:bottom w:val="nil"/>
              <w:right w:val="nil"/>
            </w:tcBorders>
            <w:shd w:val="clear" w:color="auto" w:fill="auto"/>
            <w:noWrap/>
            <w:vAlign w:val="center"/>
          </w:tcPr>
          <w:p w14:paraId="71733A4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460" w:type="dxa"/>
            <w:tcBorders>
              <w:top w:val="nil"/>
              <w:left w:val="nil"/>
              <w:bottom w:val="nil"/>
              <w:right w:val="nil"/>
            </w:tcBorders>
            <w:shd w:val="clear" w:color="auto" w:fill="auto"/>
            <w:noWrap/>
            <w:vAlign w:val="center"/>
          </w:tcPr>
          <w:p w14:paraId="20536C8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47" w:type="dxa"/>
            <w:tcBorders>
              <w:top w:val="nil"/>
              <w:left w:val="nil"/>
              <w:bottom w:val="nil"/>
              <w:right w:val="nil"/>
            </w:tcBorders>
            <w:shd w:val="clear" w:color="auto" w:fill="auto"/>
            <w:noWrap/>
            <w:vAlign w:val="center"/>
          </w:tcPr>
          <w:p w14:paraId="5A3887E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534" w:type="dxa"/>
            <w:tcBorders>
              <w:top w:val="nil"/>
              <w:left w:val="nil"/>
              <w:bottom w:val="nil"/>
              <w:right w:val="nil"/>
            </w:tcBorders>
            <w:shd w:val="clear" w:color="auto" w:fill="auto"/>
            <w:noWrap/>
            <w:vAlign w:val="center"/>
          </w:tcPr>
          <w:p w14:paraId="73DDF69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90" w:type="dxa"/>
            <w:tcBorders>
              <w:top w:val="nil"/>
              <w:left w:val="nil"/>
              <w:bottom w:val="nil"/>
              <w:right w:val="nil"/>
            </w:tcBorders>
            <w:shd w:val="clear" w:color="auto" w:fill="auto"/>
            <w:noWrap/>
            <w:vAlign w:val="center"/>
          </w:tcPr>
          <w:p w14:paraId="541888C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71" w:type="dxa"/>
            <w:tcBorders>
              <w:top w:val="nil"/>
              <w:left w:val="nil"/>
              <w:bottom w:val="nil"/>
              <w:right w:val="nil"/>
            </w:tcBorders>
            <w:shd w:val="clear" w:color="auto" w:fill="auto"/>
            <w:noWrap/>
            <w:vAlign w:val="center"/>
          </w:tcPr>
          <w:p w14:paraId="68EA158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35" w:type="dxa"/>
            <w:tcBorders>
              <w:top w:val="nil"/>
              <w:left w:val="nil"/>
              <w:bottom w:val="nil"/>
              <w:right w:val="nil"/>
            </w:tcBorders>
            <w:shd w:val="clear" w:color="auto" w:fill="auto"/>
            <w:noWrap/>
            <w:vAlign w:val="center"/>
          </w:tcPr>
          <w:p w14:paraId="724A1C2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w:t>
            </w:r>
          </w:p>
        </w:tc>
        <w:tc>
          <w:tcPr>
            <w:tcW w:w="447" w:type="dxa"/>
            <w:tcBorders>
              <w:top w:val="nil"/>
              <w:left w:val="nil"/>
              <w:bottom w:val="nil"/>
              <w:right w:val="nil"/>
            </w:tcBorders>
            <w:shd w:val="clear" w:color="auto" w:fill="auto"/>
            <w:noWrap/>
            <w:vAlign w:val="center"/>
          </w:tcPr>
          <w:p w14:paraId="6536ECB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83" w:type="dxa"/>
            <w:tcBorders>
              <w:top w:val="nil"/>
              <w:left w:val="nil"/>
              <w:bottom w:val="nil"/>
              <w:right w:val="nil"/>
            </w:tcBorders>
            <w:shd w:val="clear" w:color="auto" w:fill="auto"/>
            <w:noWrap/>
            <w:vAlign w:val="center"/>
          </w:tcPr>
          <w:p w14:paraId="52D8CB7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71" w:type="dxa"/>
            <w:tcBorders>
              <w:top w:val="nil"/>
              <w:left w:val="nil"/>
              <w:bottom w:val="nil"/>
              <w:right w:val="nil"/>
            </w:tcBorders>
            <w:shd w:val="clear" w:color="auto" w:fill="auto"/>
            <w:noWrap/>
            <w:vAlign w:val="center"/>
          </w:tcPr>
          <w:p w14:paraId="0CEE384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22" w:type="dxa"/>
            <w:tcBorders>
              <w:top w:val="nil"/>
              <w:left w:val="nil"/>
              <w:bottom w:val="nil"/>
              <w:right w:val="nil"/>
            </w:tcBorders>
            <w:shd w:val="clear" w:color="auto" w:fill="auto"/>
            <w:noWrap/>
            <w:vAlign w:val="center"/>
          </w:tcPr>
          <w:p w14:paraId="28334E9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484" w:type="dxa"/>
            <w:tcBorders>
              <w:top w:val="nil"/>
              <w:left w:val="nil"/>
              <w:bottom w:val="nil"/>
              <w:right w:val="nil"/>
            </w:tcBorders>
            <w:shd w:val="clear" w:color="auto" w:fill="auto"/>
            <w:noWrap/>
            <w:vAlign w:val="center"/>
          </w:tcPr>
          <w:p w14:paraId="61EDEEE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566" w:type="dxa"/>
            <w:tcBorders>
              <w:top w:val="nil"/>
              <w:left w:val="nil"/>
              <w:bottom w:val="nil"/>
              <w:right w:val="nil"/>
            </w:tcBorders>
            <w:shd w:val="clear" w:color="auto" w:fill="auto"/>
            <w:noWrap/>
            <w:vAlign w:val="center"/>
          </w:tcPr>
          <w:p w14:paraId="28D5589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w:t>
            </w:r>
          </w:p>
        </w:tc>
        <w:tc>
          <w:tcPr>
            <w:tcW w:w="459" w:type="dxa"/>
            <w:tcBorders>
              <w:top w:val="nil"/>
              <w:left w:val="nil"/>
              <w:bottom w:val="nil"/>
              <w:right w:val="nil"/>
            </w:tcBorders>
            <w:shd w:val="clear" w:color="auto" w:fill="auto"/>
            <w:noWrap/>
            <w:vAlign w:val="center"/>
          </w:tcPr>
          <w:p w14:paraId="070EC0D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623" w:type="dxa"/>
            <w:tcBorders>
              <w:top w:val="nil"/>
              <w:left w:val="nil"/>
              <w:bottom w:val="nil"/>
              <w:right w:val="nil"/>
            </w:tcBorders>
            <w:shd w:val="clear" w:color="auto" w:fill="auto"/>
            <w:noWrap/>
            <w:vAlign w:val="center"/>
          </w:tcPr>
          <w:p w14:paraId="458490F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134</w:t>
            </w:r>
          </w:p>
        </w:tc>
        <w:tc>
          <w:tcPr>
            <w:tcW w:w="554" w:type="dxa"/>
            <w:tcBorders>
              <w:top w:val="nil"/>
              <w:left w:val="nil"/>
              <w:bottom w:val="nil"/>
              <w:right w:val="nil"/>
            </w:tcBorders>
            <w:shd w:val="clear" w:color="auto" w:fill="auto"/>
            <w:noWrap/>
            <w:vAlign w:val="center"/>
          </w:tcPr>
          <w:p w14:paraId="683EBCF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w:t>
            </w:r>
          </w:p>
        </w:tc>
        <w:tc>
          <w:tcPr>
            <w:tcW w:w="478" w:type="dxa"/>
            <w:tcBorders>
              <w:top w:val="nil"/>
              <w:left w:val="nil"/>
              <w:bottom w:val="nil"/>
              <w:right w:val="nil"/>
            </w:tcBorders>
            <w:shd w:val="clear" w:color="auto" w:fill="auto"/>
            <w:noWrap/>
            <w:vAlign w:val="center"/>
          </w:tcPr>
          <w:p w14:paraId="5B88E7E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584" w:type="dxa"/>
            <w:tcBorders>
              <w:top w:val="nil"/>
              <w:left w:val="nil"/>
              <w:bottom w:val="nil"/>
              <w:right w:val="nil"/>
            </w:tcBorders>
            <w:shd w:val="clear" w:color="auto" w:fill="auto"/>
            <w:noWrap/>
            <w:vAlign w:val="center"/>
          </w:tcPr>
          <w:p w14:paraId="1B387FE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w:t>
            </w:r>
          </w:p>
        </w:tc>
        <w:tc>
          <w:tcPr>
            <w:tcW w:w="711" w:type="dxa"/>
            <w:gridSpan w:val="2"/>
            <w:tcBorders>
              <w:top w:val="nil"/>
              <w:left w:val="nil"/>
              <w:bottom w:val="nil"/>
              <w:right w:val="nil"/>
            </w:tcBorders>
            <w:shd w:val="clear" w:color="auto" w:fill="auto"/>
            <w:noWrap/>
            <w:vAlign w:val="center"/>
          </w:tcPr>
          <w:p w14:paraId="39F3192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315</w:t>
            </w:r>
          </w:p>
        </w:tc>
      </w:tr>
      <w:tr w14:paraId="714F0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71" w:type="dxa"/>
            <w:tcBorders>
              <w:top w:val="nil"/>
              <w:left w:val="nil"/>
              <w:bottom w:val="nil"/>
              <w:right w:val="nil"/>
            </w:tcBorders>
            <w:shd w:val="clear" w:color="auto" w:fill="auto"/>
            <w:noWrap/>
            <w:vAlign w:val="center"/>
          </w:tcPr>
          <w:p w14:paraId="441C1FC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w:t>
            </w:r>
          </w:p>
        </w:tc>
        <w:tc>
          <w:tcPr>
            <w:tcW w:w="2774" w:type="dxa"/>
            <w:tcBorders>
              <w:top w:val="nil"/>
              <w:left w:val="nil"/>
              <w:bottom w:val="nil"/>
              <w:right w:val="nil"/>
            </w:tcBorders>
            <w:shd w:val="clear" w:color="auto" w:fill="auto"/>
            <w:noWrap/>
            <w:vAlign w:val="center"/>
          </w:tcPr>
          <w:p w14:paraId="2FA77C91">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iCs/>
                <w:color w:val="000000"/>
                <w:kern w:val="2"/>
                <w:sz w:val="20"/>
                <w:szCs w:val="20"/>
                <w:u w:val="none"/>
              </w:rPr>
            </w:pPr>
            <w:r>
              <w:rPr>
                <w:rFonts w:hint="default" w:ascii="Times New Roman" w:hAnsi="Times New Roman" w:eastAsia="宋体" w:cs="Times New Roman"/>
                <w:i/>
                <w:iCs/>
                <w:color w:val="000000"/>
                <w:kern w:val="0"/>
                <w:sz w:val="20"/>
                <w:szCs w:val="20"/>
                <w:u w:val="none"/>
                <w:lang w:val="en-US" w:eastAsia="zh-CN" w:bidi="ar"/>
              </w:rPr>
              <w:t>Cervus (Sika) nippon, Cervus elaphus, Bos(Bibos) gaurus, Bubalus sp., Rhinoceros sinensis, Ursus thibetanus, Crocuta Crocuta ultima</w:t>
            </w:r>
          </w:p>
        </w:tc>
        <w:tc>
          <w:tcPr>
            <w:tcW w:w="451" w:type="dxa"/>
            <w:tcBorders>
              <w:top w:val="nil"/>
              <w:left w:val="nil"/>
              <w:bottom w:val="nil"/>
              <w:right w:val="nil"/>
            </w:tcBorders>
            <w:shd w:val="clear" w:color="auto" w:fill="auto"/>
            <w:noWrap/>
            <w:vAlign w:val="center"/>
          </w:tcPr>
          <w:p w14:paraId="11CEE6F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340" w:type="dxa"/>
            <w:tcBorders>
              <w:top w:val="nil"/>
              <w:left w:val="nil"/>
              <w:bottom w:val="nil"/>
              <w:right w:val="nil"/>
            </w:tcBorders>
            <w:shd w:val="clear" w:color="auto" w:fill="auto"/>
            <w:noWrap/>
            <w:vAlign w:val="center"/>
          </w:tcPr>
          <w:p w14:paraId="4E7814A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532" w:type="dxa"/>
            <w:tcBorders>
              <w:top w:val="nil"/>
              <w:left w:val="nil"/>
              <w:bottom w:val="nil"/>
              <w:right w:val="nil"/>
            </w:tcBorders>
            <w:shd w:val="clear" w:color="auto" w:fill="auto"/>
            <w:noWrap/>
            <w:vAlign w:val="center"/>
          </w:tcPr>
          <w:p w14:paraId="02C3020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32" w:type="dxa"/>
            <w:tcBorders>
              <w:top w:val="nil"/>
              <w:left w:val="nil"/>
              <w:bottom w:val="nil"/>
              <w:right w:val="nil"/>
            </w:tcBorders>
            <w:shd w:val="clear" w:color="auto" w:fill="auto"/>
            <w:noWrap/>
            <w:vAlign w:val="center"/>
          </w:tcPr>
          <w:p w14:paraId="16C4D96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660" w:type="dxa"/>
            <w:tcBorders>
              <w:top w:val="nil"/>
              <w:left w:val="nil"/>
              <w:bottom w:val="nil"/>
              <w:right w:val="nil"/>
            </w:tcBorders>
            <w:shd w:val="clear" w:color="auto" w:fill="auto"/>
            <w:noWrap/>
            <w:vAlign w:val="center"/>
          </w:tcPr>
          <w:p w14:paraId="4247F71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171</w:t>
            </w:r>
          </w:p>
        </w:tc>
        <w:tc>
          <w:tcPr>
            <w:tcW w:w="422" w:type="dxa"/>
            <w:tcBorders>
              <w:top w:val="nil"/>
              <w:left w:val="nil"/>
              <w:bottom w:val="nil"/>
              <w:right w:val="nil"/>
            </w:tcBorders>
            <w:shd w:val="clear" w:color="auto" w:fill="auto"/>
            <w:noWrap/>
            <w:vAlign w:val="center"/>
          </w:tcPr>
          <w:p w14:paraId="3E4CEAF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490" w:type="dxa"/>
            <w:tcBorders>
              <w:top w:val="nil"/>
              <w:left w:val="nil"/>
              <w:bottom w:val="nil"/>
              <w:right w:val="nil"/>
            </w:tcBorders>
            <w:shd w:val="clear" w:color="auto" w:fill="auto"/>
            <w:noWrap/>
            <w:vAlign w:val="center"/>
          </w:tcPr>
          <w:p w14:paraId="6E3E338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553" w:type="dxa"/>
            <w:tcBorders>
              <w:top w:val="nil"/>
              <w:left w:val="nil"/>
              <w:bottom w:val="nil"/>
              <w:right w:val="nil"/>
            </w:tcBorders>
            <w:shd w:val="clear" w:color="auto" w:fill="auto"/>
            <w:noWrap/>
            <w:vAlign w:val="center"/>
          </w:tcPr>
          <w:p w14:paraId="3BFEF45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460" w:type="dxa"/>
            <w:tcBorders>
              <w:top w:val="nil"/>
              <w:left w:val="nil"/>
              <w:bottom w:val="nil"/>
              <w:right w:val="nil"/>
            </w:tcBorders>
            <w:shd w:val="clear" w:color="auto" w:fill="auto"/>
            <w:noWrap/>
            <w:vAlign w:val="center"/>
          </w:tcPr>
          <w:p w14:paraId="0035FB4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47" w:type="dxa"/>
            <w:tcBorders>
              <w:top w:val="nil"/>
              <w:left w:val="nil"/>
              <w:bottom w:val="nil"/>
              <w:right w:val="nil"/>
            </w:tcBorders>
            <w:shd w:val="clear" w:color="auto" w:fill="auto"/>
            <w:noWrap/>
            <w:vAlign w:val="center"/>
          </w:tcPr>
          <w:p w14:paraId="5638426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534" w:type="dxa"/>
            <w:tcBorders>
              <w:top w:val="nil"/>
              <w:left w:val="nil"/>
              <w:bottom w:val="nil"/>
              <w:right w:val="nil"/>
            </w:tcBorders>
            <w:shd w:val="clear" w:color="auto" w:fill="auto"/>
            <w:noWrap/>
            <w:vAlign w:val="center"/>
          </w:tcPr>
          <w:p w14:paraId="4782801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290" w:type="dxa"/>
            <w:tcBorders>
              <w:top w:val="nil"/>
              <w:left w:val="nil"/>
              <w:bottom w:val="nil"/>
              <w:right w:val="nil"/>
            </w:tcBorders>
            <w:shd w:val="clear" w:color="auto" w:fill="auto"/>
            <w:noWrap/>
            <w:vAlign w:val="center"/>
          </w:tcPr>
          <w:p w14:paraId="2EF2433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71" w:type="dxa"/>
            <w:tcBorders>
              <w:top w:val="nil"/>
              <w:left w:val="nil"/>
              <w:bottom w:val="nil"/>
              <w:right w:val="nil"/>
            </w:tcBorders>
            <w:shd w:val="clear" w:color="auto" w:fill="auto"/>
            <w:noWrap/>
            <w:vAlign w:val="center"/>
          </w:tcPr>
          <w:p w14:paraId="6606C23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535" w:type="dxa"/>
            <w:tcBorders>
              <w:top w:val="nil"/>
              <w:left w:val="nil"/>
              <w:bottom w:val="nil"/>
              <w:right w:val="nil"/>
            </w:tcBorders>
            <w:shd w:val="clear" w:color="auto" w:fill="auto"/>
            <w:noWrap/>
            <w:vAlign w:val="center"/>
          </w:tcPr>
          <w:p w14:paraId="4EF856A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447" w:type="dxa"/>
            <w:tcBorders>
              <w:top w:val="nil"/>
              <w:left w:val="nil"/>
              <w:bottom w:val="nil"/>
              <w:right w:val="nil"/>
            </w:tcBorders>
            <w:shd w:val="clear" w:color="auto" w:fill="auto"/>
            <w:noWrap/>
            <w:vAlign w:val="center"/>
          </w:tcPr>
          <w:p w14:paraId="0CF9965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283" w:type="dxa"/>
            <w:tcBorders>
              <w:top w:val="nil"/>
              <w:left w:val="nil"/>
              <w:bottom w:val="nil"/>
              <w:right w:val="nil"/>
            </w:tcBorders>
            <w:shd w:val="clear" w:color="auto" w:fill="auto"/>
            <w:noWrap/>
            <w:vAlign w:val="center"/>
          </w:tcPr>
          <w:p w14:paraId="3BF85A3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471" w:type="dxa"/>
            <w:tcBorders>
              <w:top w:val="nil"/>
              <w:left w:val="nil"/>
              <w:bottom w:val="nil"/>
              <w:right w:val="nil"/>
            </w:tcBorders>
            <w:shd w:val="clear" w:color="auto" w:fill="auto"/>
            <w:noWrap/>
            <w:vAlign w:val="center"/>
          </w:tcPr>
          <w:p w14:paraId="4168100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22" w:type="dxa"/>
            <w:tcBorders>
              <w:top w:val="nil"/>
              <w:left w:val="nil"/>
              <w:bottom w:val="nil"/>
              <w:right w:val="nil"/>
            </w:tcBorders>
            <w:shd w:val="clear" w:color="auto" w:fill="auto"/>
            <w:noWrap/>
            <w:vAlign w:val="center"/>
          </w:tcPr>
          <w:p w14:paraId="1E20D92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484" w:type="dxa"/>
            <w:tcBorders>
              <w:top w:val="nil"/>
              <w:left w:val="nil"/>
              <w:bottom w:val="nil"/>
              <w:right w:val="nil"/>
            </w:tcBorders>
            <w:shd w:val="clear" w:color="auto" w:fill="auto"/>
            <w:noWrap/>
            <w:vAlign w:val="center"/>
          </w:tcPr>
          <w:p w14:paraId="6386349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566" w:type="dxa"/>
            <w:tcBorders>
              <w:top w:val="nil"/>
              <w:left w:val="nil"/>
              <w:bottom w:val="nil"/>
              <w:right w:val="nil"/>
            </w:tcBorders>
            <w:shd w:val="clear" w:color="auto" w:fill="auto"/>
            <w:noWrap/>
            <w:vAlign w:val="center"/>
          </w:tcPr>
          <w:p w14:paraId="2EBC201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459" w:type="dxa"/>
            <w:tcBorders>
              <w:top w:val="nil"/>
              <w:left w:val="nil"/>
              <w:bottom w:val="nil"/>
              <w:right w:val="nil"/>
            </w:tcBorders>
            <w:shd w:val="clear" w:color="auto" w:fill="auto"/>
            <w:noWrap/>
            <w:vAlign w:val="center"/>
          </w:tcPr>
          <w:p w14:paraId="2BE28C4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623" w:type="dxa"/>
            <w:tcBorders>
              <w:top w:val="nil"/>
              <w:left w:val="nil"/>
              <w:bottom w:val="nil"/>
              <w:right w:val="nil"/>
            </w:tcBorders>
            <w:shd w:val="clear" w:color="auto" w:fill="auto"/>
            <w:noWrap/>
            <w:vAlign w:val="center"/>
          </w:tcPr>
          <w:p w14:paraId="5D0703F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w:t>
            </w:r>
          </w:p>
        </w:tc>
        <w:tc>
          <w:tcPr>
            <w:tcW w:w="554" w:type="dxa"/>
            <w:tcBorders>
              <w:top w:val="nil"/>
              <w:left w:val="nil"/>
              <w:bottom w:val="nil"/>
              <w:right w:val="nil"/>
            </w:tcBorders>
            <w:shd w:val="clear" w:color="auto" w:fill="auto"/>
            <w:noWrap/>
            <w:vAlign w:val="center"/>
          </w:tcPr>
          <w:p w14:paraId="00CBFD8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w:t>
            </w:r>
          </w:p>
        </w:tc>
        <w:tc>
          <w:tcPr>
            <w:tcW w:w="478" w:type="dxa"/>
            <w:tcBorders>
              <w:top w:val="nil"/>
              <w:left w:val="nil"/>
              <w:bottom w:val="nil"/>
              <w:right w:val="nil"/>
            </w:tcBorders>
            <w:shd w:val="clear" w:color="auto" w:fill="auto"/>
            <w:noWrap/>
            <w:vAlign w:val="center"/>
          </w:tcPr>
          <w:p w14:paraId="31F8B6F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584" w:type="dxa"/>
            <w:tcBorders>
              <w:top w:val="nil"/>
              <w:left w:val="nil"/>
              <w:bottom w:val="nil"/>
              <w:right w:val="nil"/>
            </w:tcBorders>
            <w:shd w:val="clear" w:color="auto" w:fill="auto"/>
            <w:noWrap/>
            <w:vAlign w:val="center"/>
          </w:tcPr>
          <w:p w14:paraId="193771C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711" w:type="dxa"/>
            <w:gridSpan w:val="2"/>
            <w:tcBorders>
              <w:top w:val="nil"/>
              <w:left w:val="nil"/>
              <w:bottom w:val="nil"/>
              <w:right w:val="nil"/>
            </w:tcBorders>
            <w:shd w:val="clear" w:color="auto" w:fill="auto"/>
            <w:noWrap/>
            <w:vAlign w:val="center"/>
          </w:tcPr>
          <w:p w14:paraId="209F214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251</w:t>
            </w:r>
          </w:p>
        </w:tc>
      </w:tr>
      <w:tr w14:paraId="6EBFB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445" w:type="dxa"/>
            <w:gridSpan w:val="2"/>
            <w:tcBorders>
              <w:top w:val="nil"/>
              <w:left w:val="nil"/>
              <w:bottom w:val="single" w:color="auto" w:sz="4" w:space="0"/>
              <w:right w:val="nil"/>
            </w:tcBorders>
            <w:shd w:val="clear" w:color="auto" w:fill="auto"/>
            <w:vAlign w:val="center"/>
          </w:tcPr>
          <w:p w14:paraId="2DF36DC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Total</w:t>
            </w:r>
          </w:p>
        </w:tc>
        <w:tc>
          <w:tcPr>
            <w:tcW w:w="451" w:type="dxa"/>
            <w:tcBorders>
              <w:top w:val="nil"/>
              <w:left w:val="nil"/>
              <w:bottom w:val="single" w:color="auto" w:sz="4" w:space="0"/>
              <w:right w:val="nil"/>
            </w:tcBorders>
            <w:shd w:val="clear" w:color="auto" w:fill="auto"/>
            <w:vAlign w:val="center"/>
          </w:tcPr>
          <w:p w14:paraId="2182F26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30</w:t>
            </w:r>
          </w:p>
        </w:tc>
        <w:tc>
          <w:tcPr>
            <w:tcW w:w="340" w:type="dxa"/>
            <w:tcBorders>
              <w:top w:val="nil"/>
              <w:left w:val="nil"/>
              <w:bottom w:val="single" w:color="auto" w:sz="4" w:space="0"/>
              <w:right w:val="nil"/>
            </w:tcBorders>
            <w:shd w:val="clear" w:color="auto" w:fill="auto"/>
            <w:vAlign w:val="center"/>
          </w:tcPr>
          <w:p w14:paraId="77D73A2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3</w:t>
            </w:r>
          </w:p>
        </w:tc>
        <w:tc>
          <w:tcPr>
            <w:tcW w:w="532" w:type="dxa"/>
            <w:tcBorders>
              <w:top w:val="nil"/>
              <w:left w:val="nil"/>
              <w:bottom w:val="single" w:color="auto" w:sz="4" w:space="0"/>
              <w:right w:val="nil"/>
            </w:tcBorders>
            <w:shd w:val="clear" w:color="auto" w:fill="auto"/>
            <w:vAlign w:val="center"/>
          </w:tcPr>
          <w:p w14:paraId="0184464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151</w:t>
            </w:r>
          </w:p>
        </w:tc>
        <w:tc>
          <w:tcPr>
            <w:tcW w:w="432" w:type="dxa"/>
            <w:tcBorders>
              <w:top w:val="nil"/>
              <w:left w:val="nil"/>
              <w:bottom w:val="single" w:color="auto" w:sz="4" w:space="0"/>
              <w:right w:val="nil"/>
            </w:tcBorders>
            <w:shd w:val="clear" w:color="auto" w:fill="auto"/>
            <w:vAlign w:val="center"/>
          </w:tcPr>
          <w:p w14:paraId="2926591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15</w:t>
            </w:r>
          </w:p>
        </w:tc>
        <w:tc>
          <w:tcPr>
            <w:tcW w:w="660" w:type="dxa"/>
            <w:tcBorders>
              <w:top w:val="nil"/>
              <w:left w:val="nil"/>
              <w:bottom w:val="single" w:color="auto" w:sz="4" w:space="0"/>
              <w:right w:val="nil"/>
            </w:tcBorders>
            <w:shd w:val="clear" w:color="auto" w:fill="auto"/>
            <w:vAlign w:val="center"/>
          </w:tcPr>
          <w:p w14:paraId="560C7A3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1645</w:t>
            </w:r>
          </w:p>
        </w:tc>
        <w:tc>
          <w:tcPr>
            <w:tcW w:w="422" w:type="dxa"/>
            <w:tcBorders>
              <w:top w:val="nil"/>
              <w:left w:val="nil"/>
              <w:bottom w:val="single" w:color="auto" w:sz="4" w:space="0"/>
              <w:right w:val="nil"/>
            </w:tcBorders>
            <w:shd w:val="clear" w:color="auto" w:fill="auto"/>
            <w:vAlign w:val="center"/>
          </w:tcPr>
          <w:p w14:paraId="558FA0C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30</w:t>
            </w:r>
          </w:p>
        </w:tc>
        <w:tc>
          <w:tcPr>
            <w:tcW w:w="490" w:type="dxa"/>
            <w:tcBorders>
              <w:top w:val="nil"/>
              <w:left w:val="nil"/>
              <w:bottom w:val="single" w:color="auto" w:sz="4" w:space="0"/>
              <w:right w:val="nil"/>
            </w:tcBorders>
            <w:shd w:val="clear" w:color="auto" w:fill="auto"/>
            <w:vAlign w:val="center"/>
          </w:tcPr>
          <w:p w14:paraId="1D02020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83</w:t>
            </w:r>
          </w:p>
        </w:tc>
        <w:tc>
          <w:tcPr>
            <w:tcW w:w="553" w:type="dxa"/>
            <w:tcBorders>
              <w:top w:val="nil"/>
              <w:left w:val="nil"/>
              <w:bottom w:val="single" w:color="auto" w:sz="4" w:space="0"/>
              <w:right w:val="nil"/>
            </w:tcBorders>
            <w:shd w:val="clear" w:color="auto" w:fill="auto"/>
            <w:vAlign w:val="center"/>
          </w:tcPr>
          <w:p w14:paraId="62CDE6E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109</w:t>
            </w:r>
          </w:p>
        </w:tc>
        <w:tc>
          <w:tcPr>
            <w:tcW w:w="460" w:type="dxa"/>
            <w:tcBorders>
              <w:top w:val="nil"/>
              <w:left w:val="nil"/>
              <w:bottom w:val="single" w:color="auto" w:sz="4" w:space="0"/>
              <w:right w:val="nil"/>
            </w:tcBorders>
            <w:shd w:val="clear" w:color="auto" w:fill="auto"/>
            <w:vAlign w:val="center"/>
          </w:tcPr>
          <w:p w14:paraId="0BEF8EA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15</w:t>
            </w:r>
          </w:p>
        </w:tc>
        <w:tc>
          <w:tcPr>
            <w:tcW w:w="447" w:type="dxa"/>
            <w:tcBorders>
              <w:top w:val="nil"/>
              <w:left w:val="nil"/>
              <w:bottom w:val="single" w:color="auto" w:sz="4" w:space="0"/>
              <w:right w:val="nil"/>
            </w:tcBorders>
            <w:shd w:val="clear" w:color="auto" w:fill="auto"/>
            <w:vAlign w:val="center"/>
          </w:tcPr>
          <w:p w14:paraId="3EF5CD4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12</w:t>
            </w:r>
          </w:p>
        </w:tc>
        <w:tc>
          <w:tcPr>
            <w:tcW w:w="534" w:type="dxa"/>
            <w:tcBorders>
              <w:top w:val="nil"/>
              <w:left w:val="nil"/>
              <w:bottom w:val="single" w:color="auto" w:sz="4" w:space="0"/>
              <w:right w:val="nil"/>
            </w:tcBorders>
            <w:shd w:val="clear" w:color="auto" w:fill="auto"/>
            <w:vAlign w:val="center"/>
          </w:tcPr>
          <w:p w14:paraId="3BA952B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100</w:t>
            </w:r>
          </w:p>
        </w:tc>
        <w:tc>
          <w:tcPr>
            <w:tcW w:w="290" w:type="dxa"/>
            <w:tcBorders>
              <w:top w:val="nil"/>
              <w:left w:val="nil"/>
              <w:bottom w:val="single" w:color="auto" w:sz="4" w:space="0"/>
              <w:right w:val="nil"/>
            </w:tcBorders>
            <w:shd w:val="clear" w:color="auto" w:fill="auto"/>
            <w:vAlign w:val="center"/>
          </w:tcPr>
          <w:p w14:paraId="1D8ABF7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4</w:t>
            </w:r>
          </w:p>
        </w:tc>
        <w:tc>
          <w:tcPr>
            <w:tcW w:w="471" w:type="dxa"/>
            <w:tcBorders>
              <w:top w:val="nil"/>
              <w:left w:val="nil"/>
              <w:bottom w:val="single" w:color="auto" w:sz="4" w:space="0"/>
              <w:right w:val="nil"/>
            </w:tcBorders>
            <w:shd w:val="clear" w:color="auto" w:fill="auto"/>
            <w:vAlign w:val="center"/>
          </w:tcPr>
          <w:p w14:paraId="36EAB49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33</w:t>
            </w:r>
          </w:p>
        </w:tc>
        <w:tc>
          <w:tcPr>
            <w:tcW w:w="535" w:type="dxa"/>
            <w:tcBorders>
              <w:top w:val="nil"/>
              <w:left w:val="nil"/>
              <w:bottom w:val="single" w:color="auto" w:sz="4" w:space="0"/>
              <w:right w:val="nil"/>
            </w:tcBorders>
            <w:shd w:val="clear" w:color="auto" w:fill="auto"/>
            <w:vAlign w:val="center"/>
          </w:tcPr>
          <w:p w14:paraId="3C3A287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229</w:t>
            </w:r>
          </w:p>
        </w:tc>
        <w:tc>
          <w:tcPr>
            <w:tcW w:w="447" w:type="dxa"/>
            <w:tcBorders>
              <w:top w:val="nil"/>
              <w:left w:val="nil"/>
              <w:bottom w:val="single" w:color="auto" w:sz="4" w:space="0"/>
              <w:right w:val="nil"/>
            </w:tcBorders>
            <w:shd w:val="clear" w:color="auto" w:fill="auto"/>
            <w:vAlign w:val="center"/>
          </w:tcPr>
          <w:p w14:paraId="3D46F3B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30</w:t>
            </w:r>
          </w:p>
        </w:tc>
        <w:tc>
          <w:tcPr>
            <w:tcW w:w="283" w:type="dxa"/>
            <w:tcBorders>
              <w:top w:val="nil"/>
              <w:left w:val="nil"/>
              <w:bottom w:val="single" w:color="auto" w:sz="4" w:space="0"/>
              <w:right w:val="nil"/>
            </w:tcBorders>
            <w:shd w:val="clear" w:color="auto" w:fill="auto"/>
            <w:vAlign w:val="center"/>
          </w:tcPr>
          <w:p w14:paraId="4F124A7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4</w:t>
            </w:r>
          </w:p>
        </w:tc>
        <w:tc>
          <w:tcPr>
            <w:tcW w:w="471" w:type="dxa"/>
            <w:tcBorders>
              <w:top w:val="nil"/>
              <w:left w:val="nil"/>
              <w:bottom w:val="single" w:color="auto" w:sz="4" w:space="0"/>
              <w:right w:val="nil"/>
            </w:tcBorders>
            <w:shd w:val="clear" w:color="auto" w:fill="auto"/>
            <w:vAlign w:val="center"/>
          </w:tcPr>
          <w:p w14:paraId="7D2F4CF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44</w:t>
            </w:r>
          </w:p>
        </w:tc>
        <w:tc>
          <w:tcPr>
            <w:tcW w:w="422" w:type="dxa"/>
            <w:tcBorders>
              <w:top w:val="nil"/>
              <w:left w:val="nil"/>
              <w:bottom w:val="single" w:color="auto" w:sz="4" w:space="0"/>
              <w:right w:val="nil"/>
            </w:tcBorders>
            <w:shd w:val="clear" w:color="auto" w:fill="auto"/>
            <w:vAlign w:val="center"/>
          </w:tcPr>
          <w:p w14:paraId="6D5B4FF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16</w:t>
            </w:r>
          </w:p>
        </w:tc>
        <w:tc>
          <w:tcPr>
            <w:tcW w:w="484" w:type="dxa"/>
            <w:tcBorders>
              <w:top w:val="nil"/>
              <w:left w:val="nil"/>
              <w:bottom w:val="single" w:color="auto" w:sz="4" w:space="0"/>
              <w:right w:val="nil"/>
            </w:tcBorders>
            <w:shd w:val="clear" w:color="auto" w:fill="auto"/>
            <w:vAlign w:val="center"/>
          </w:tcPr>
          <w:p w14:paraId="2A3CB38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11</w:t>
            </w:r>
          </w:p>
        </w:tc>
        <w:tc>
          <w:tcPr>
            <w:tcW w:w="566" w:type="dxa"/>
            <w:tcBorders>
              <w:top w:val="nil"/>
              <w:left w:val="nil"/>
              <w:bottom w:val="single" w:color="auto" w:sz="4" w:space="0"/>
              <w:right w:val="nil"/>
            </w:tcBorders>
            <w:shd w:val="clear" w:color="auto" w:fill="auto"/>
            <w:vAlign w:val="center"/>
          </w:tcPr>
          <w:p w14:paraId="3760CEE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481</w:t>
            </w:r>
          </w:p>
        </w:tc>
        <w:tc>
          <w:tcPr>
            <w:tcW w:w="459" w:type="dxa"/>
            <w:tcBorders>
              <w:top w:val="nil"/>
              <w:left w:val="nil"/>
              <w:bottom w:val="single" w:color="auto" w:sz="4" w:space="0"/>
              <w:right w:val="nil"/>
            </w:tcBorders>
            <w:shd w:val="clear" w:color="auto" w:fill="auto"/>
            <w:vAlign w:val="center"/>
          </w:tcPr>
          <w:p w14:paraId="1C31685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18</w:t>
            </w:r>
          </w:p>
        </w:tc>
        <w:tc>
          <w:tcPr>
            <w:tcW w:w="623" w:type="dxa"/>
            <w:tcBorders>
              <w:top w:val="nil"/>
              <w:left w:val="nil"/>
              <w:bottom w:val="single" w:color="auto" w:sz="4" w:space="0"/>
              <w:right w:val="nil"/>
            </w:tcBorders>
            <w:shd w:val="clear" w:color="auto" w:fill="auto"/>
            <w:vAlign w:val="center"/>
          </w:tcPr>
          <w:p w14:paraId="7A36C6A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3758</w:t>
            </w:r>
          </w:p>
        </w:tc>
        <w:tc>
          <w:tcPr>
            <w:tcW w:w="554" w:type="dxa"/>
            <w:tcBorders>
              <w:top w:val="nil"/>
              <w:left w:val="nil"/>
              <w:bottom w:val="single" w:color="auto" w:sz="4" w:space="0"/>
              <w:right w:val="nil"/>
            </w:tcBorders>
            <w:shd w:val="clear" w:color="auto" w:fill="auto"/>
            <w:vAlign w:val="center"/>
          </w:tcPr>
          <w:p w14:paraId="6F45589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179</w:t>
            </w:r>
          </w:p>
        </w:tc>
        <w:tc>
          <w:tcPr>
            <w:tcW w:w="478" w:type="dxa"/>
            <w:tcBorders>
              <w:top w:val="nil"/>
              <w:left w:val="nil"/>
              <w:bottom w:val="single" w:color="auto" w:sz="4" w:space="0"/>
              <w:right w:val="nil"/>
            </w:tcBorders>
            <w:shd w:val="clear" w:color="auto" w:fill="auto"/>
            <w:vAlign w:val="center"/>
          </w:tcPr>
          <w:p w14:paraId="0B390DE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45</w:t>
            </w:r>
          </w:p>
        </w:tc>
        <w:tc>
          <w:tcPr>
            <w:tcW w:w="584" w:type="dxa"/>
            <w:tcBorders>
              <w:top w:val="nil"/>
              <w:left w:val="nil"/>
              <w:bottom w:val="single" w:color="auto" w:sz="4" w:space="0"/>
              <w:right w:val="nil"/>
            </w:tcBorders>
            <w:shd w:val="clear" w:color="auto" w:fill="auto"/>
            <w:vAlign w:val="center"/>
          </w:tcPr>
          <w:p w14:paraId="212A0F7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278</w:t>
            </w:r>
          </w:p>
        </w:tc>
        <w:tc>
          <w:tcPr>
            <w:tcW w:w="711" w:type="dxa"/>
            <w:gridSpan w:val="2"/>
            <w:tcBorders>
              <w:top w:val="nil"/>
              <w:left w:val="nil"/>
              <w:bottom w:val="single" w:color="auto" w:sz="4" w:space="0"/>
              <w:right w:val="nil"/>
            </w:tcBorders>
            <w:shd w:val="clear" w:color="auto" w:fill="auto"/>
            <w:vAlign w:val="center"/>
          </w:tcPr>
          <w:p w14:paraId="5815D3B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7323</w:t>
            </w:r>
          </w:p>
        </w:tc>
      </w:tr>
    </w:tbl>
    <w:p w14:paraId="6426B358">
      <w:pPr>
        <w:widowControl w:val="0"/>
        <w:spacing w:after="0" w:line="240" w:lineRule="auto"/>
        <w:ind w:firstLine="0"/>
        <w:jc w:val="both"/>
        <w:rPr>
          <w:rFonts w:asciiTheme="minorHAnsi" w:hAnsiTheme="minorHAnsi" w:eastAsiaTheme="minorEastAsia" w:cstheme="minorBidi"/>
          <w:kern w:val="2"/>
          <w:sz w:val="21"/>
        </w:rPr>
      </w:pPr>
    </w:p>
    <w:p w14:paraId="10033462">
      <w:pPr>
        <w:ind w:firstLine="0"/>
        <w:jc w:val="both"/>
        <w:rPr>
          <w:rFonts w:asciiTheme="majorBidi" w:hAnsiTheme="majorBidi" w:cstheme="majorBidi"/>
        </w:rPr>
      </w:pPr>
    </w:p>
    <w:p w14:paraId="218A2A02">
      <w:pPr>
        <w:ind w:firstLine="0"/>
        <w:jc w:val="both"/>
        <w:rPr>
          <w:rFonts w:asciiTheme="majorBidi" w:hAnsiTheme="majorBidi" w:cstheme="majorBidi"/>
        </w:rPr>
      </w:pPr>
    </w:p>
    <w:p w14:paraId="7CDDDE05">
      <w:pPr>
        <w:ind w:firstLine="0"/>
        <w:jc w:val="both"/>
        <w:rPr>
          <w:rFonts w:asciiTheme="majorBidi" w:hAnsiTheme="majorBidi" w:cstheme="majorBidi"/>
        </w:rPr>
      </w:pPr>
    </w:p>
    <w:p w14:paraId="5C79F565">
      <w:pPr>
        <w:ind w:firstLine="0"/>
        <w:jc w:val="both"/>
        <w:rPr>
          <w:rFonts w:asciiTheme="majorBidi" w:hAnsiTheme="majorBidi" w:cstheme="majorBidi"/>
        </w:rPr>
      </w:pPr>
    </w:p>
    <w:p w14:paraId="7E35967E">
      <w:pPr>
        <w:ind w:firstLine="0"/>
        <w:jc w:val="both"/>
        <w:rPr>
          <w:rFonts w:asciiTheme="majorBidi" w:hAnsiTheme="majorBidi" w:cstheme="majorBidi"/>
        </w:rPr>
      </w:pPr>
    </w:p>
    <w:p w14:paraId="20DE2DFB">
      <w:pPr>
        <w:ind w:firstLine="0"/>
        <w:jc w:val="both"/>
        <w:rPr>
          <w:rFonts w:asciiTheme="majorBidi" w:hAnsiTheme="majorBidi" w:cstheme="majorBidi"/>
        </w:rPr>
      </w:pPr>
    </w:p>
    <w:p w14:paraId="0996BA7D">
      <w:pPr>
        <w:ind w:firstLine="0"/>
        <w:jc w:val="both"/>
        <w:rPr>
          <w:rFonts w:asciiTheme="majorBidi" w:hAnsiTheme="majorBidi" w:cstheme="majorBidi"/>
        </w:rPr>
      </w:pPr>
    </w:p>
    <w:p w14:paraId="359BD8A3">
      <w:pPr>
        <w:ind w:firstLine="0"/>
        <w:jc w:val="both"/>
        <w:rPr>
          <w:rFonts w:asciiTheme="majorBidi" w:hAnsiTheme="majorBidi" w:cstheme="majorBidi"/>
        </w:rPr>
      </w:pPr>
    </w:p>
    <w:p w14:paraId="49F048BE">
      <w:pPr>
        <w:ind w:firstLine="0"/>
        <w:jc w:val="both"/>
        <w:rPr>
          <w:rFonts w:asciiTheme="majorBidi" w:hAnsiTheme="majorBidi" w:cstheme="majorBidi"/>
        </w:rPr>
      </w:pPr>
    </w:p>
    <w:p w14:paraId="4952DF3C">
      <w:pPr>
        <w:keepNext w:val="0"/>
        <w:keepLines w:val="0"/>
        <w:pageBreakBefore w:val="0"/>
        <w:widowControl/>
        <w:kinsoku/>
        <w:wordWrap/>
        <w:overflowPunct/>
        <w:topLinePunct w:val="0"/>
        <w:autoSpaceDE/>
        <w:autoSpaceDN/>
        <w:bidi w:val="0"/>
        <w:adjustRightInd/>
        <w:snapToGrid/>
        <w:spacing w:after="60" w:line="240" w:lineRule="auto"/>
        <w:ind w:firstLine="0"/>
        <w:jc w:val="both"/>
        <w:textAlignment w:val="auto"/>
        <w:rPr>
          <w:rFonts w:hint="eastAsia" w:asciiTheme="minorHAnsi" w:hAnsiTheme="minorHAnsi" w:eastAsiaTheme="minorEastAsia" w:cstheme="minorBidi"/>
          <w:kern w:val="2"/>
          <w:sz w:val="21"/>
          <w:lang w:val="en-US" w:eastAsia="zh-CN"/>
        </w:rPr>
      </w:pPr>
      <w:r>
        <w:rPr>
          <w:rFonts w:hint="eastAsia" w:ascii="Times New Roman" w:hAnsi="Times New Roman" w:cs="Times New Roman" w:eastAsiaTheme="minorEastAsia"/>
          <w:b/>
          <w:bCs/>
          <w:kern w:val="2"/>
          <w:sz w:val="24"/>
          <w:szCs w:val="24"/>
          <w:lang w:val="en-US" w:eastAsia="zh-CN"/>
        </w:rPr>
        <w:t>Supplementary Table 2</w:t>
      </w:r>
      <w:r>
        <w:rPr>
          <w:rFonts w:hint="eastAsia" w:cs="Times New Roman" w:eastAsiaTheme="minorEastAsia"/>
          <w:b/>
          <w:bCs/>
          <w:kern w:val="2"/>
          <w:sz w:val="24"/>
          <w:szCs w:val="24"/>
          <w:lang w:val="en-US" w:eastAsia="zh-CN"/>
        </w:rPr>
        <w:t>7</w:t>
      </w:r>
      <w:r>
        <w:t xml:space="preserve"> |</w:t>
      </w:r>
      <w:r>
        <w:rPr>
          <w:rFonts w:hint="eastAsia" w:ascii="Times New Roman" w:hAnsi="Times New Roman" w:cs="Times New Roman" w:eastAsiaTheme="minorEastAsia"/>
          <w:b/>
          <w:bCs/>
          <w:kern w:val="2"/>
          <w:sz w:val="24"/>
          <w:szCs w:val="24"/>
          <w:lang w:val="en-US" w:eastAsia="zh-CN"/>
        </w:rPr>
        <w:t xml:space="preserve"> </w:t>
      </w:r>
      <w:r>
        <w:rPr>
          <w:rFonts w:hint="eastAsia" w:ascii="Times New Roman" w:hAnsi="Times New Roman" w:cs="Times New Roman" w:eastAsiaTheme="minorEastAsia"/>
          <w:b w:val="0"/>
          <w:bCs w:val="0"/>
          <w:kern w:val="2"/>
          <w:sz w:val="24"/>
          <w:szCs w:val="24"/>
        </w:rPr>
        <w:t xml:space="preserve">Taxonomic distribution of </w:t>
      </w:r>
      <w:r>
        <w:rPr>
          <w:rFonts w:hint="eastAsia" w:cs="Times New Roman" w:eastAsiaTheme="minorEastAsia"/>
          <w:b w:val="0"/>
          <w:bCs w:val="0"/>
          <w:kern w:val="2"/>
          <w:sz w:val="24"/>
          <w:szCs w:val="24"/>
          <w:lang w:val="en-US" w:eastAsia="zh-CN"/>
        </w:rPr>
        <w:t>animal teeth</w:t>
      </w:r>
      <w:r>
        <w:rPr>
          <w:rFonts w:hint="eastAsia" w:ascii="Times New Roman" w:hAnsi="Times New Roman" w:cs="Times New Roman" w:eastAsiaTheme="minorEastAsia"/>
          <w:b w:val="0"/>
          <w:bCs w:val="0"/>
          <w:kern w:val="2"/>
          <w:sz w:val="24"/>
          <w:szCs w:val="24"/>
        </w:rPr>
        <w:t xml:space="preserve"> by stratigraphic layer (NISP and %)</w:t>
      </w:r>
      <w:r>
        <w:rPr>
          <w:rFonts w:hint="eastAsia" w:cs="Times New Roman" w:eastAsiaTheme="minorEastAsia"/>
          <w:b w:val="0"/>
          <w:bCs w:val="0"/>
          <w:kern w:val="2"/>
          <w:sz w:val="24"/>
          <w:szCs w:val="24"/>
          <w:lang w:val="en-US" w:eastAsia="zh-CN"/>
        </w:rPr>
        <w:t xml:space="preserve"> as well as the size class distribution of faunal remains by layer </w:t>
      </w:r>
      <w:r>
        <w:rPr>
          <w:rFonts w:hint="eastAsia" w:ascii="Times New Roman" w:hAnsi="Times New Roman" w:cs="Times New Roman" w:eastAsiaTheme="minorEastAsia"/>
          <w:b w:val="0"/>
          <w:bCs w:val="0"/>
          <w:kern w:val="2"/>
          <w:sz w:val="24"/>
          <w:szCs w:val="24"/>
        </w:rPr>
        <w:t xml:space="preserve">at </w:t>
      </w:r>
      <w:r>
        <w:rPr>
          <w:rFonts w:hint="eastAsia" w:cs="Times New Roman" w:eastAsiaTheme="minorEastAsia"/>
          <w:b w:val="0"/>
          <w:bCs w:val="0"/>
          <w:kern w:val="2"/>
          <w:sz w:val="24"/>
          <w:szCs w:val="24"/>
          <w:lang w:val="en-US" w:eastAsia="zh-CN"/>
        </w:rPr>
        <w:t xml:space="preserve">the </w:t>
      </w:r>
      <w:r>
        <w:rPr>
          <w:rFonts w:hint="eastAsia" w:ascii="Times New Roman" w:hAnsi="Times New Roman" w:cs="Times New Roman" w:eastAsiaTheme="minorEastAsia"/>
          <w:b w:val="0"/>
          <w:bCs w:val="0"/>
          <w:kern w:val="2"/>
          <w:sz w:val="24"/>
          <w:szCs w:val="24"/>
          <w:lang w:val="en-US" w:eastAsia="zh-CN"/>
        </w:rPr>
        <w:t>Bianfu Cave.</w:t>
      </w:r>
    </w:p>
    <w:tbl>
      <w:tblPr>
        <w:tblStyle w:val="24"/>
        <w:tblW w:w="155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3"/>
        <w:gridCol w:w="763"/>
        <w:gridCol w:w="755"/>
        <w:gridCol w:w="763"/>
        <w:gridCol w:w="756"/>
        <w:gridCol w:w="763"/>
        <w:gridCol w:w="756"/>
        <w:gridCol w:w="763"/>
        <w:gridCol w:w="756"/>
        <w:gridCol w:w="763"/>
        <w:gridCol w:w="756"/>
        <w:gridCol w:w="763"/>
        <w:gridCol w:w="756"/>
        <w:gridCol w:w="763"/>
        <w:gridCol w:w="668"/>
        <w:gridCol w:w="763"/>
        <w:gridCol w:w="668"/>
        <w:gridCol w:w="763"/>
        <w:gridCol w:w="668"/>
        <w:gridCol w:w="791"/>
      </w:tblGrid>
      <w:tr w14:paraId="79D2B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blHeader/>
          <w:jc w:val="center"/>
        </w:trPr>
        <w:tc>
          <w:tcPr>
            <w:tcW w:w="0" w:type="auto"/>
            <w:vMerge w:val="restart"/>
            <w:tcBorders>
              <w:top w:val="single" w:color="000000" w:sz="4" w:space="0"/>
              <w:left w:val="nil"/>
              <w:bottom w:val="single" w:color="000000" w:sz="4" w:space="0"/>
              <w:right w:val="nil"/>
            </w:tcBorders>
            <w:shd w:val="clear" w:color="auto" w:fill="auto"/>
            <w:vAlign w:val="center"/>
          </w:tcPr>
          <w:p w14:paraId="21F0D0B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Taxon</w:t>
            </w:r>
          </w:p>
        </w:tc>
        <w:tc>
          <w:tcPr>
            <w:tcW w:w="1518" w:type="dxa"/>
            <w:gridSpan w:val="2"/>
            <w:tcBorders>
              <w:top w:val="single" w:color="000000" w:sz="4" w:space="0"/>
              <w:left w:val="nil"/>
              <w:bottom w:val="single" w:color="auto" w:sz="4" w:space="0"/>
              <w:right w:val="nil"/>
            </w:tcBorders>
            <w:shd w:val="clear" w:color="auto" w:fill="auto"/>
            <w:vAlign w:val="center"/>
          </w:tcPr>
          <w:p w14:paraId="6161E79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Layer 3</w:t>
            </w:r>
          </w:p>
        </w:tc>
        <w:tc>
          <w:tcPr>
            <w:tcW w:w="1519" w:type="dxa"/>
            <w:gridSpan w:val="2"/>
            <w:tcBorders>
              <w:top w:val="single" w:color="000000" w:sz="4" w:space="0"/>
              <w:left w:val="nil"/>
              <w:bottom w:val="single" w:color="auto" w:sz="4" w:space="0"/>
              <w:right w:val="nil"/>
            </w:tcBorders>
            <w:shd w:val="clear" w:color="auto" w:fill="auto"/>
            <w:vAlign w:val="center"/>
          </w:tcPr>
          <w:p w14:paraId="3ED7589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Layer 4</w:t>
            </w:r>
          </w:p>
        </w:tc>
        <w:tc>
          <w:tcPr>
            <w:tcW w:w="1519" w:type="dxa"/>
            <w:gridSpan w:val="2"/>
            <w:tcBorders>
              <w:top w:val="single" w:color="000000" w:sz="4" w:space="0"/>
              <w:left w:val="nil"/>
              <w:bottom w:val="single" w:color="auto" w:sz="4" w:space="0"/>
              <w:right w:val="nil"/>
            </w:tcBorders>
            <w:shd w:val="clear" w:color="auto" w:fill="auto"/>
            <w:vAlign w:val="center"/>
          </w:tcPr>
          <w:p w14:paraId="693670F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Layer 6</w:t>
            </w:r>
          </w:p>
        </w:tc>
        <w:tc>
          <w:tcPr>
            <w:tcW w:w="1519" w:type="dxa"/>
            <w:gridSpan w:val="2"/>
            <w:tcBorders>
              <w:top w:val="single" w:color="000000" w:sz="4" w:space="0"/>
              <w:left w:val="nil"/>
              <w:bottom w:val="single" w:color="auto" w:sz="4" w:space="0"/>
              <w:right w:val="nil"/>
            </w:tcBorders>
            <w:shd w:val="clear" w:color="auto" w:fill="auto"/>
            <w:vAlign w:val="center"/>
          </w:tcPr>
          <w:p w14:paraId="04B4BD0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Layer 7</w:t>
            </w:r>
          </w:p>
        </w:tc>
        <w:tc>
          <w:tcPr>
            <w:tcW w:w="1519" w:type="dxa"/>
            <w:gridSpan w:val="2"/>
            <w:tcBorders>
              <w:top w:val="single" w:color="000000" w:sz="4" w:space="0"/>
              <w:left w:val="nil"/>
              <w:bottom w:val="single" w:color="auto" w:sz="4" w:space="0"/>
              <w:right w:val="nil"/>
            </w:tcBorders>
            <w:shd w:val="clear" w:color="auto" w:fill="auto"/>
            <w:vAlign w:val="center"/>
          </w:tcPr>
          <w:p w14:paraId="603F718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Layer 8</w:t>
            </w:r>
          </w:p>
        </w:tc>
        <w:tc>
          <w:tcPr>
            <w:tcW w:w="1519" w:type="dxa"/>
            <w:gridSpan w:val="2"/>
            <w:tcBorders>
              <w:top w:val="single" w:color="000000" w:sz="4" w:space="0"/>
              <w:left w:val="nil"/>
              <w:bottom w:val="single" w:color="auto" w:sz="4" w:space="0"/>
              <w:right w:val="nil"/>
            </w:tcBorders>
            <w:shd w:val="clear" w:color="auto" w:fill="auto"/>
            <w:vAlign w:val="center"/>
          </w:tcPr>
          <w:p w14:paraId="12EE363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Layer 9</w:t>
            </w:r>
          </w:p>
        </w:tc>
        <w:tc>
          <w:tcPr>
            <w:tcW w:w="0" w:type="auto"/>
            <w:gridSpan w:val="2"/>
            <w:tcBorders>
              <w:top w:val="single" w:color="000000" w:sz="4" w:space="0"/>
              <w:left w:val="nil"/>
              <w:bottom w:val="single" w:color="auto" w:sz="4" w:space="0"/>
              <w:right w:val="nil"/>
            </w:tcBorders>
            <w:shd w:val="clear" w:color="auto" w:fill="auto"/>
            <w:vAlign w:val="center"/>
          </w:tcPr>
          <w:p w14:paraId="5FFAB8B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Layer 10</w:t>
            </w:r>
          </w:p>
        </w:tc>
        <w:tc>
          <w:tcPr>
            <w:tcW w:w="0" w:type="auto"/>
            <w:gridSpan w:val="2"/>
            <w:tcBorders>
              <w:top w:val="single" w:color="000000" w:sz="4" w:space="0"/>
              <w:left w:val="nil"/>
              <w:bottom w:val="single" w:color="auto" w:sz="4" w:space="0"/>
              <w:right w:val="nil"/>
            </w:tcBorders>
            <w:shd w:val="clear" w:color="auto" w:fill="auto"/>
            <w:vAlign w:val="center"/>
          </w:tcPr>
          <w:p w14:paraId="13BDE49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Layer 11</w:t>
            </w:r>
          </w:p>
        </w:tc>
        <w:tc>
          <w:tcPr>
            <w:tcW w:w="0" w:type="auto"/>
            <w:gridSpan w:val="2"/>
            <w:tcBorders>
              <w:top w:val="single" w:color="000000" w:sz="4" w:space="0"/>
              <w:left w:val="nil"/>
              <w:bottom w:val="single" w:color="auto" w:sz="4" w:space="0"/>
              <w:right w:val="nil"/>
            </w:tcBorders>
            <w:shd w:val="clear" w:color="auto" w:fill="auto"/>
            <w:vAlign w:val="center"/>
          </w:tcPr>
          <w:p w14:paraId="55DC09A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Layer 12</w:t>
            </w:r>
          </w:p>
        </w:tc>
        <w:tc>
          <w:tcPr>
            <w:tcW w:w="791" w:type="dxa"/>
            <w:vMerge w:val="restart"/>
            <w:tcBorders>
              <w:top w:val="single" w:color="000000" w:sz="4" w:space="0"/>
              <w:left w:val="nil"/>
              <w:bottom w:val="single" w:color="000000" w:sz="4" w:space="0"/>
              <w:right w:val="nil"/>
            </w:tcBorders>
            <w:shd w:val="clear" w:color="auto" w:fill="auto"/>
            <w:noWrap/>
            <w:vAlign w:val="center"/>
          </w:tcPr>
          <w:p w14:paraId="63EA0DC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Total</w:t>
            </w:r>
          </w:p>
        </w:tc>
      </w:tr>
      <w:tr w14:paraId="0B452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6" w:hRule="atLeast"/>
          <w:tblHeader/>
          <w:jc w:val="center"/>
        </w:trPr>
        <w:tc>
          <w:tcPr>
            <w:tcW w:w="0" w:type="auto"/>
            <w:vMerge w:val="continue"/>
            <w:tcBorders>
              <w:top w:val="single" w:color="000000" w:sz="4" w:space="0"/>
              <w:left w:val="nil"/>
              <w:bottom w:val="single" w:color="000000" w:sz="4" w:space="0"/>
              <w:right w:val="nil"/>
            </w:tcBorders>
            <w:shd w:val="clear" w:color="auto" w:fill="auto"/>
            <w:vAlign w:val="center"/>
          </w:tcPr>
          <w:p w14:paraId="1F76302A">
            <w:pPr>
              <w:keepNext w:val="0"/>
              <w:keepLines w:val="0"/>
              <w:widowControl w:val="0"/>
              <w:suppressLineNumbers w:val="0"/>
              <w:snapToGrid w:val="0"/>
              <w:spacing w:before="0" w:beforeAutospacing="0" w:after="0" w:afterAutospacing="0" w:line="240" w:lineRule="auto"/>
              <w:ind w:left="0" w:leftChars="0" w:right="0" w:rightChars="0" w:firstLine="0" w:firstLineChars="0"/>
              <w:jc w:val="left"/>
              <w:rPr>
                <w:rFonts w:hint="default" w:ascii="Times New Roman" w:hAnsi="Times New Roman" w:eastAsia="宋体" w:cs="Times New Roman"/>
                <w:b w:val="0"/>
                <w:bCs w:val="0"/>
                <w:i w:val="0"/>
                <w:iCs w:val="0"/>
                <w:color w:val="000000"/>
                <w:kern w:val="2"/>
                <w:sz w:val="24"/>
                <w:szCs w:val="24"/>
                <w:u w:val="none"/>
              </w:rPr>
            </w:pPr>
          </w:p>
        </w:tc>
        <w:tc>
          <w:tcPr>
            <w:tcW w:w="0" w:type="auto"/>
            <w:tcBorders>
              <w:top w:val="single" w:color="auto" w:sz="4" w:space="0"/>
              <w:left w:val="nil"/>
              <w:bottom w:val="single" w:color="auto" w:sz="4" w:space="0"/>
              <w:right w:val="nil"/>
            </w:tcBorders>
            <w:shd w:val="clear" w:color="auto" w:fill="auto"/>
            <w:vAlign w:val="center"/>
          </w:tcPr>
          <w:p w14:paraId="574002F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NISP</w:t>
            </w:r>
          </w:p>
        </w:tc>
        <w:tc>
          <w:tcPr>
            <w:tcW w:w="755" w:type="dxa"/>
            <w:tcBorders>
              <w:top w:val="single" w:color="auto" w:sz="4" w:space="0"/>
              <w:left w:val="nil"/>
              <w:bottom w:val="single" w:color="auto" w:sz="4" w:space="0"/>
              <w:right w:val="nil"/>
            </w:tcBorders>
            <w:shd w:val="clear" w:color="auto" w:fill="auto"/>
            <w:vAlign w:val="center"/>
          </w:tcPr>
          <w:p w14:paraId="13FB779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w:t>
            </w:r>
          </w:p>
        </w:tc>
        <w:tc>
          <w:tcPr>
            <w:tcW w:w="0" w:type="auto"/>
            <w:tcBorders>
              <w:top w:val="single" w:color="auto" w:sz="4" w:space="0"/>
              <w:left w:val="nil"/>
              <w:bottom w:val="single" w:color="auto" w:sz="4" w:space="0"/>
              <w:right w:val="nil"/>
            </w:tcBorders>
            <w:shd w:val="clear" w:color="auto" w:fill="auto"/>
            <w:vAlign w:val="center"/>
          </w:tcPr>
          <w:p w14:paraId="196CE49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NISP</w:t>
            </w:r>
          </w:p>
        </w:tc>
        <w:tc>
          <w:tcPr>
            <w:tcW w:w="756" w:type="dxa"/>
            <w:tcBorders>
              <w:top w:val="single" w:color="auto" w:sz="4" w:space="0"/>
              <w:left w:val="nil"/>
              <w:bottom w:val="single" w:color="auto" w:sz="4" w:space="0"/>
              <w:right w:val="nil"/>
            </w:tcBorders>
            <w:shd w:val="clear" w:color="auto" w:fill="auto"/>
            <w:vAlign w:val="center"/>
          </w:tcPr>
          <w:p w14:paraId="742AEDC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w:t>
            </w:r>
          </w:p>
        </w:tc>
        <w:tc>
          <w:tcPr>
            <w:tcW w:w="0" w:type="auto"/>
            <w:tcBorders>
              <w:top w:val="single" w:color="auto" w:sz="4" w:space="0"/>
              <w:left w:val="nil"/>
              <w:bottom w:val="single" w:color="auto" w:sz="4" w:space="0"/>
              <w:right w:val="nil"/>
            </w:tcBorders>
            <w:shd w:val="clear" w:color="auto" w:fill="auto"/>
            <w:vAlign w:val="center"/>
          </w:tcPr>
          <w:p w14:paraId="382B1D3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NISP</w:t>
            </w:r>
          </w:p>
        </w:tc>
        <w:tc>
          <w:tcPr>
            <w:tcW w:w="756" w:type="dxa"/>
            <w:tcBorders>
              <w:top w:val="single" w:color="auto" w:sz="4" w:space="0"/>
              <w:left w:val="nil"/>
              <w:bottom w:val="single" w:color="auto" w:sz="4" w:space="0"/>
              <w:right w:val="nil"/>
            </w:tcBorders>
            <w:shd w:val="clear" w:color="auto" w:fill="auto"/>
            <w:vAlign w:val="center"/>
          </w:tcPr>
          <w:p w14:paraId="7D34846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w:t>
            </w:r>
          </w:p>
        </w:tc>
        <w:tc>
          <w:tcPr>
            <w:tcW w:w="763" w:type="dxa"/>
            <w:tcBorders>
              <w:top w:val="single" w:color="auto" w:sz="4" w:space="0"/>
              <w:left w:val="nil"/>
              <w:bottom w:val="single" w:color="auto" w:sz="4" w:space="0"/>
              <w:right w:val="nil"/>
            </w:tcBorders>
            <w:shd w:val="clear" w:color="auto" w:fill="auto"/>
            <w:vAlign w:val="center"/>
          </w:tcPr>
          <w:p w14:paraId="22FBD42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NISP</w:t>
            </w:r>
          </w:p>
        </w:tc>
        <w:tc>
          <w:tcPr>
            <w:tcW w:w="756" w:type="dxa"/>
            <w:tcBorders>
              <w:top w:val="single" w:color="auto" w:sz="4" w:space="0"/>
              <w:left w:val="nil"/>
              <w:bottom w:val="single" w:color="auto" w:sz="4" w:space="0"/>
              <w:right w:val="nil"/>
            </w:tcBorders>
            <w:shd w:val="clear" w:color="auto" w:fill="auto"/>
            <w:vAlign w:val="center"/>
          </w:tcPr>
          <w:p w14:paraId="51A7BBA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w:t>
            </w:r>
          </w:p>
        </w:tc>
        <w:tc>
          <w:tcPr>
            <w:tcW w:w="0" w:type="auto"/>
            <w:tcBorders>
              <w:top w:val="single" w:color="auto" w:sz="4" w:space="0"/>
              <w:left w:val="nil"/>
              <w:bottom w:val="single" w:color="auto" w:sz="4" w:space="0"/>
              <w:right w:val="nil"/>
            </w:tcBorders>
            <w:shd w:val="clear" w:color="auto" w:fill="auto"/>
            <w:vAlign w:val="center"/>
          </w:tcPr>
          <w:p w14:paraId="1EDA7C6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NISP</w:t>
            </w:r>
          </w:p>
        </w:tc>
        <w:tc>
          <w:tcPr>
            <w:tcW w:w="756" w:type="dxa"/>
            <w:tcBorders>
              <w:top w:val="single" w:color="auto" w:sz="4" w:space="0"/>
              <w:left w:val="nil"/>
              <w:bottom w:val="single" w:color="auto" w:sz="4" w:space="0"/>
              <w:right w:val="nil"/>
            </w:tcBorders>
            <w:shd w:val="clear" w:color="auto" w:fill="auto"/>
            <w:vAlign w:val="center"/>
          </w:tcPr>
          <w:p w14:paraId="24E6DBC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w:t>
            </w:r>
          </w:p>
        </w:tc>
        <w:tc>
          <w:tcPr>
            <w:tcW w:w="0" w:type="auto"/>
            <w:tcBorders>
              <w:top w:val="single" w:color="auto" w:sz="4" w:space="0"/>
              <w:left w:val="nil"/>
              <w:bottom w:val="single" w:color="auto" w:sz="4" w:space="0"/>
              <w:right w:val="nil"/>
            </w:tcBorders>
            <w:shd w:val="clear" w:color="auto" w:fill="auto"/>
            <w:vAlign w:val="center"/>
          </w:tcPr>
          <w:p w14:paraId="3BF8D25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NISP</w:t>
            </w:r>
          </w:p>
        </w:tc>
        <w:tc>
          <w:tcPr>
            <w:tcW w:w="756" w:type="dxa"/>
            <w:tcBorders>
              <w:top w:val="single" w:color="auto" w:sz="4" w:space="0"/>
              <w:left w:val="nil"/>
              <w:bottom w:val="single" w:color="auto" w:sz="4" w:space="0"/>
              <w:right w:val="nil"/>
            </w:tcBorders>
            <w:shd w:val="clear" w:color="auto" w:fill="auto"/>
            <w:vAlign w:val="center"/>
          </w:tcPr>
          <w:p w14:paraId="5553E5F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w:t>
            </w:r>
          </w:p>
        </w:tc>
        <w:tc>
          <w:tcPr>
            <w:tcW w:w="0" w:type="auto"/>
            <w:tcBorders>
              <w:top w:val="single" w:color="auto" w:sz="4" w:space="0"/>
              <w:left w:val="nil"/>
              <w:bottom w:val="single" w:color="auto" w:sz="4" w:space="0"/>
              <w:right w:val="nil"/>
            </w:tcBorders>
            <w:shd w:val="clear" w:color="auto" w:fill="auto"/>
            <w:vAlign w:val="center"/>
          </w:tcPr>
          <w:p w14:paraId="79BE8BC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NISP</w:t>
            </w:r>
          </w:p>
        </w:tc>
        <w:tc>
          <w:tcPr>
            <w:tcW w:w="0" w:type="auto"/>
            <w:tcBorders>
              <w:top w:val="single" w:color="auto" w:sz="4" w:space="0"/>
              <w:left w:val="nil"/>
              <w:bottom w:val="single" w:color="auto" w:sz="4" w:space="0"/>
              <w:right w:val="nil"/>
            </w:tcBorders>
            <w:shd w:val="clear" w:color="auto" w:fill="auto"/>
            <w:vAlign w:val="center"/>
          </w:tcPr>
          <w:p w14:paraId="75E34E4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w:t>
            </w:r>
          </w:p>
        </w:tc>
        <w:tc>
          <w:tcPr>
            <w:tcW w:w="0" w:type="auto"/>
            <w:tcBorders>
              <w:top w:val="single" w:color="auto" w:sz="4" w:space="0"/>
              <w:left w:val="nil"/>
              <w:bottom w:val="single" w:color="auto" w:sz="4" w:space="0"/>
              <w:right w:val="nil"/>
            </w:tcBorders>
            <w:shd w:val="clear" w:color="auto" w:fill="auto"/>
            <w:vAlign w:val="center"/>
          </w:tcPr>
          <w:p w14:paraId="0BFEE89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NISP</w:t>
            </w:r>
          </w:p>
        </w:tc>
        <w:tc>
          <w:tcPr>
            <w:tcW w:w="0" w:type="auto"/>
            <w:tcBorders>
              <w:top w:val="single" w:color="auto" w:sz="4" w:space="0"/>
              <w:left w:val="nil"/>
              <w:bottom w:val="single" w:color="auto" w:sz="4" w:space="0"/>
              <w:right w:val="nil"/>
            </w:tcBorders>
            <w:shd w:val="clear" w:color="auto" w:fill="auto"/>
            <w:vAlign w:val="center"/>
          </w:tcPr>
          <w:p w14:paraId="2DEAAB0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w:t>
            </w:r>
          </w:p>
        </w:tc>
        <w:tc>
          <w:tcPr>
            <w:tcW w:w="0" w:type="auto"/>
            <w:tcBorders>
              <w:top w:val="single" w:color="auto" w:sz="4" w:space="0"/>
              <w:left w:val="nil"/>
              <w:bottom w:val="single" w:color="auto" w:sz="4" w:space="0"/>
              <w:right w:val="nil"/>
            </w:tcBorders>
            <w:shd w:val="clear" w:color="auto" w:fill="auto"/>
            <w:vAlign w:val="center"/>
          </w:tcPr>
          <w:p w14:paraId="355330E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NISP</w:t>
            </w:r>
          </w:p>
        </w:tc>
        <w:tc>
          <w:tcPr>
            <w:tcW w:w="0" w:type="auto"/>
            <w:tcBorders>
              <w:top w:val="single" w:color="auto" w:sz="4" w:space="0"/>
              <w:left w:val="nil"/>
              <w:bottom w:val="single" w:color="auto" w:sz="4" w:space="0"/>
              <w:right w:val="nil"/>
            </w:tcBorders>
            <w:shd w:val="clear" w:color="auto" w:fill="auto"/>
            <w:vAlign w:val="center"/>
          </w:tcPr>
          <w:p w14:paraId="3964A55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w:t>
            </w:r>
          </w:p>
        </w:tc>
        <w:tc>
          <w:tcPr>
            <w:tcW w:w="791" w:type="dxa"/>
            <w:vMerge w:val="continue"/>
            <w:tcBorders>
              <w:top w:val="single" w:color="000000" w:sz="4" w:space="0"/>
              <w:left w:val="nil"/>
              <w:bottom w:val="single" w:color="000000" w:sz="4" w:space="0"/>
              <w:right w:val="nil"/>
            </w:tcBorders>
            <w:shd w:val="clear" w:color="auto" w:fill="auto"/>
            <w:noWrap/>
            <w:vAlign w:val="center"/>
          </w:tcPr>
          <w:p w14:paraId="486111F2">
            <w:pPr>
              <w:keepNext w:val="0"/>
              <w:keepLines w:val="0"/>
              <w:widowControl w:val="0"/>
              <w:suppressLineNumbers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i w:val="0"/>
                <w:iCs w:val="0"/>
                <w:color w:val="000000"/>
                <w:kern w:val="2"/>
                <w:sz w:val="20"/>
                <w:szCs w:val="22"/>
                <w:u w:val="none"/>
              </w:rPr>
            </w:pPr>
          </w:p>
        </w:tc>
      </w:tr>
      <w:tr w14:paraId="1A710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jc w:val="center"/>
        </w:trPr>
        <w:tc>
          <w:tcPr>
            <w:tcW w:w="0" w:type="auto"/>
            <w:tcBorders>
              <w:top w:val="nil"/>
              <w:left w:val="nil"/>
              <w:bottom w:val="nil"/>
              <w:right w:val="nil"/>
            </w:tcBorders>
            <w:shd w:val="clear" w:color="auto" w:fill="auto"/>
            <w:vAlign w:val="center"/>
          </w:tcPr>
          <w:p w14:paraId="7153EF17">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iCs/>
                <w:color w:val="000000"/>
                <w:kern w:val="2"/>
                <w:sz w:val="20"/>
                <w:szCs w:val="20"/>
                <w:u w:val="none"/>
              </w:rPr>
            </w:pPr>
            <w:r>
              <w:rPr>
                <w:rFonts w:hint="default" w:ascii="Times New Roman" w:hAnsi="Times New Roman" w:eastAsia="宋体" w:cs="Times New Roman"/>
                <w:i/>
                <w:iCs/>
                <w:color w:val="000000"/>
                <w:kern w:val="0"/>
                <w:sz w:val="20"/>
                <w:szCs w:val="20"/>
                <w:u w:val="none"/>
                <w:lang w:val="en-US" w:eastAsia="zh-CN" w:bidi="ar"/>
              </w:rPr>
              <w:t>Cervus (Sika) nippon</w:t>
            </w:r>
          </w:p>
        </w:tc>
        <w:tc>
          <w:tcPr>
            <w:tcW w:w="0" w:type="auto"/>
            <w:tcBorders>
              <w:top w:val="single" w:color="auto" w:sz="4" w:space="0"/>
              <w:left w:val="nil"/>
              <w:bottom w:val="nil"/>
              <w:right w:val="nil"/>
            </w:tcBorders>
            <w:shd w:val="clear" w:color="auto" w:fill="auto"/>
            <w:vAlign w:val="center"/>
          </w:tcPr>
          <w:p w14:paraId="43F7542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739</w:t>
            </w:r>
          </w:p>
        </w:tc>
        <w:tc>
          <w:tcPr>
            <w:tcW w:w="755" w:type="dxa"/>
            <w:tcBorders>
              <w:top w:val="single" w:color="auto" w:sz="4" w:space="0"/>
              <w:left w:val="nil"/>
              <w:bottom w:val="nil"/>
              <w:right w:val="nil"/>
            </w:tcBorders>
            <w:shd w:val="clear" w:color="auto" w:fill="auto"/>
            <w:vAlign w:val="center"/>
          </w:tcPr>
          <w:p w14:paraId="3101BE9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80.8</w:t>
            </w:r>
          </w:p>
        </w:tc>
        <w:tc>
          <w:tcPr>
            <w:tcW w:w="0" w:type="auto"/>
            <w:tcBorders>
              <w:top w:val="single" w:color="auto" w:sz="4" w:space="0"/>
              <w:left w:val="nil"/>
              <w:bottom w:val="nil"/>
              <w:right w:val="nil"/>
            </w:tcBorders>
            <w:shd w:val="clear" w:color="auto" w:fill="auto"/>
            <w:vAlign w:val="center"/>
          </w:tcPr>
          <w:p w14:paraId="5C8D0DB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83</w:t>
            </w:r>
          </w:p>
        </w:tc>
        <w:tc>
          <w:tcPr>
            <w:tcW w:w="756" w:type="dxa"/>
            <w:tcBorders>
              <w:top w:val="single" w:color="auto" w:sz="4" w:space="0"/>
              <w:left w:val="nil"/>
              <w:bottom w:val="nil"/>
              <w:right w:val="nil"/>
            </w:tcBorders>
            <w:shd w:val="clear" w:color="auto" w:fill="auto"/>
            <w:vAlign w:val="center"/>
          </w:tcPr>
          <w:p w14:paraId="1BFA671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68.6</w:t>
            </w:r>
          </w:p>
        </w:tc>
        <w:tc>
          <w:tcPr>
            <w:tcW w:w="0" w:type="auto"/>
            <w:tcBorders>
              <w:top w:val="single" w:color="auto" w:sz="4" w:space="0"/>
              <w:left w:val="nil"/>
              <w:bottom w:val="nil"/>
              <w:right w:val="nil"/>
            </w:tcBorders>
            <w:shd w:val="clear" w:color="auto" w:fill="auto"/>
            <w:vAlign w:val="center"/>
          </w:tcPr>
          <w:p w14:paraId="0FD502F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756" w:type="dxa"/>
            <w:tcBorders>
              <w:top w:val="single" w:color="auto" w:sz="4" w:space="0"/>
              <w:left w:val="nil"/>
              <w:bottom w:val="nil"/>
              <w:right w:val="nil"/>
            </w:tcBorders>
            <w:shd w:val="clear" w:color="auto" w:fill="auto"/>
            <w:vAlign w:val="center"/>
          </w:tcPr>
          <w:p w14:paraId="7615517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28.6</w:t>
            </w:r>
          </w:p>
        </w:tc>
        <w:tc>
          <w:tcPr>
            <w:tcW w:w="763" w:type="dxa"/>
            <w:tcBorders>
              <w:top w:val="single" w:color="auto" w:sz="4" w:space="0"/>
              <w:left w:val="nil"/>
              <w:bottom w:val="nil"/>
              <w:right w:val="nil"/>
            </w:tcBorders>
            <w:shd w:val="clear" w:color="auto" w:fill="auto"/>
            <w:vAlign w:val="center"/>
          </w:tcPr>
          <w:p w14:paraId="0A6F6E6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59</w:t>
            </w:r>
          </w:p>
        </w:tc>
        <w:tc>
          <w:tcPr>
            <w:tcW w:w="756" w:type="dxa"/>
            <w:tcBorders>
              <w:top w:val="single" w:color="auto" w:sz="4" w:space="0"/>
              <w:left w:val="nil"/>
              <w:bottom w:val="nil"/>
              <w:right w:val="nil"/>
            </w:tcBorders>
            <w:shd w:val="clear" w:color="auto" w:fill="auto"/>
            <w:vAlign w:val="center"/>
          </w:tcPr>
          <w:p w14:paraId="6167A4E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57.3</w:t>
            </w:r>
          </w:p>
        </w:tc>
        <w:tc>
          <w:tcPr>
            <w:tcW w:w="0" w:type="auto"/>
            <w:tcBorders>
              <w:top w:val="single" w:color="auto" w:sz="4" w:space="0"/>
              <w:left w:val="nil"/>
              <w:bottom w:val="nil"/>
              <w:right w:val="nil"/>
            </w:tcBorders>
            <w:shd w:val="clear" w:color="auto" w:fill="auto"/>
            <w:vAlign w:val="center"/>
          </w:tcPr>
          <w:p w14:paraId="205FFF2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756" w:type="dxa"/>
            <w:tcBorders>
              <w:top w:val="single" w:color="auto" w:sz="4" w:space="0"/>
              <w:left w:val="nil"/>
              <w:bottom w:val="nil"/>
              <w:right w:val="nil"/>
            </w:tcBorders>
            <w:shd w:val="clear" w:color="auto" w:fill="auto"/>
            <w:vAlign w:val="center"/>
          </w:tcPr>
          <w:p w14:paraId="088698F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5.9</w:t>
            </w:r>
          </w:p>
        </w:tc>
        <w:tc>
          <w:tcPr>
            <w:tcW w:w="763" w:type="dxa"/>
            <w:tcBorders>
              <w:top w:val="single" w:color="auto" w:sz="4" w:space="0"/>
              <w:left w:val="nil"/>
              <w:bottom w:val="nil"/>
              <w:right w:val="nil"/>
            </w:tcBorders>
            <w:shd w:val="clear" w:color="auto" w:fill="auto"/>
            <w:vAlign w:val="center"/>
          </w:tcPr>
          <w:p w14:paraId="0078EA6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92</w:t>
            </w:r>
          </w:p>
        </w:tc>
        <w:tc>
          <w:tcPr>
            <w:tcW w:w="756" w:type="dxa"/>
            <w:tcBorders>
              <w:top w:val="single" w:color="auto" w:sz="4" w:space="0"/>
              <w:left w:val="nil"/>
              <w:bottom w:val="nil"/>
              <w:right w:val="nil"/>
            </w:tcBorders>
            <w:shd w:val="clear" w:color="auto" w:fill="auto"/>
            <w:vAlign w:val="center"/>
          </w:tcPr>
          <w:p w14:paraId="5B105F6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46.7</w:t>
            </w:r>
          </w:p>
        </w:tc>
        <w:tc>
          <w:tcPr>
            <w:tcW w:w="0" w:type="auto"/>
            <w:tcBorders>
              <w:top w:val="single" w:color="auto" w:sz="4" w:space="0"/>
              <w:left w:val="nil"/>
              <w:bottom w:val="nil"/>
              <w:right w:val="nil"/>
            </w:tcBorders>
            <w:shd w:val="clear" w:color="auto" w:fill="auto"/>
            <w:vAlign w:val="center"/>
          </w:tcPr>
          <w:p w14:paraId="361B5CE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w:t>
            </w:r>
          </w:p>
        </w:tc>
        <w:tc>
          <w:tcPr>
            <w:tcW w:w="0" w:type="auto"/>
            <w:tcBorders>
              <w:top w:val="single" w:color="auto" w:sz="4" w:space="0"/>
              <w:left w:val="nil"/>
              <w:bottom w:val="nil"/>
              <w:right w:val="nil"/>
            </w:tcBorders>
            <w:shd w:val="clear" w:color="auto" w:fill="auto"/>
            <w:vAlign w:val="center"/>
          </w:tcPr>
          <w:p w14:paraId="3ADE47B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55.2</w:t>
            </w:r>
          </w:p>
        </w:tc>
        <w:tc>
          <w:tcPr>
            <w:tcW w:w="0" w:type="auto"/>
            <w:tcBorders>
              <w:top w:val="single" w:color="auto" w:sz="4" w:space="0"/>
              <w:left w:val="nil"/>
              <w:bottom w:val="nil"/>
              <w:right w:val="nil"/>
            </w:tcBorders>
            <w:shd w:val="clear" w:color="auto" w:fill="auto"/>
            <w:vAlign w:val="center"/>
          </w:tcPr>
          <w:p w14:paraId="480C4EE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w:t>
            </w:r>
          </w:p>
        </w:tc>
        <w:tc>
          <w:tcPr>
            <w:tcW w:w="0" w:type="auto"/>
            <w:tcBorders>
              <w:top w:val="single" w:color="auto" w:sz="4" w:space="0"/>
              <w:left w:val="nil"/>
              <w:bottom w:val="nil"/>
              <w:right w:val="nil"/>
            </w:tcBorders>
            <w:shd w:val="clear" w:color="auto" w:fill="auto"/>
            <w:vAlign w:val="center"/>
          </w:tcPr>
          <w:p w14:paraId="2EB711C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37.2</w:t>
            </w:r>
          </w:p>
        </w:tc>
        <w:tc>
          <w:tcPr>
            <w:tcW w:w="0" w:type="auto"/>
            <w:tcBorders>
              <w:top w:val="single" w:color="auto" w:sz="4" w:space="0"/>
              <w:left w:val="nil"/>
              <w:bottom w:val="nil"/>
              <w:right w:val="nil"/>
            </w:tcBorders>
            <w:shd w:val="clear" w:color="auto" w:fill="auto"/>
            <w:vAlign w:val="center"/>
          </w:tcPr>
          <w:p w14:paraId="04F135A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83</w:t>
            </w:r>
          </w:p>
        </w:tc>
        <w:tc>
          <w:tcPr>
            <w:tcW w:w="0" w:type="auto"/>
            <w:tcBorders>
              <w:top w:val="single" w:color="auto" w:sz="4" w:space="0"/>
              <w:left w:val="nil"/>
              <w:bottom w:val="nil"/>
              <w:right w:val="nil"/>
            </w:tcBorders>
            <w:shd w:val="clear" w:color="auto" w:fill="auto"/>
            <w:vAlign w:val="center"/>
          </w:tcPr>
          <w:p w14:paraId="3DA4B52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48.5</w:t>
            </w:r>
          </w:p>
        </w:tc>
        <w:tc>
          <w:tcPr>
            <w:tcW w:w="791" w:type="dxa"/>
            <w:tcBorders>
              <w:top w:val="nil"/>
              <w:left w:val="nil"/>
              <w:bottom w:val="nil"/>
              <w:right w:val="nil"/>
            </w:tcBorders>
            <w:shd w:val="clear" w:color="auto" w:fill="auto"/>
            <w:noWrap/>
            <w:vAlign w:val="center"/>
          </w:tcPr>
          <w:p w14:paraId="7C291DF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1110</w:t>
            </w:r>
          </w:p>
        </w:tc>
      </w:tr>
      <w:tr w14:paraId="13BF7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jc w:val="center"/>
        </w:trPr>
        <w:tc>
          <w:tcPr>
            <w:tcW w:w="0" w:type="auto"/>
            <w:tcBorders>
              <w:top w:val="nil"/>
              <w:left w:val="nil"/>
              <w:bottom w:val="nil"/>
              <w:right w:val="nil"/>
            </w:tcBorders>
            <w:shd w:val="clear" w:color="auto" w:fill="auto"/>
            <w:vAlign w:val="center"/>
          </w:tcPr>
          <w:p w14:paraId="4222FD7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iCs/>
                <w:color w:val="000000"/>
                <w:kern w:val="2"/>
                <w:sz w:val="20"/>
                <w:szCs w:val="20"/>
                <w:u w:val="none"/>
              </w:rPr>
            </w:pPr>
            <w:r>
              <w:rPr>
                <w:rFonts w:hint="default" w:ascii="Times New Roman" w:hAnsi="Times New Roman" w:eastAsia="宋体" w:cs="Times New Roman"/>
                <w:i/>
                <w:iCs/>
                <w:color w:val="000000"/>
                <w:kern w:val="0"/>
                <w:sz w:val="20"/>
                <w:szCs w:val="20"/>
                <w:u w:val="none"/>
                <w:lang w:val="en-US" w:eastAsia="zh-CN" w:bidi="ar"/>
              </w:rPr>
              <w:t>Cervus elaphus</w:t>
            </w:r>
          </w:p>
        </w:tc>
        <w:tc>
          <w:tcPr>
            <w:tcW w:w="0" w:type="auto"/>
            <w:tcBorders>
              <w:top w:val="nil"/>
              <w:left w:val="nil"/>
              <w:bottom w:val="nil"/>
              <w:right w:val="nil"/>
            </w:tcBorders>
            <w:shd w:val="clear" w:color="auto" w:fill="auto"/>
            <w:vAlign w:val="center"/>
          </w:tcPr>
          <w:p w14:paraId="416724F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54</w:t>
            </w:r>
          </w:p>
        </w:tc>
        <w:tc>
          <w:tcPr>
            <w:tcW w:w="755" w:type="dxa"/>
            <w:tcBorders>
              <w:top w:val="nil"/>
              <w:left w:val="nil"/>
              <w:bottom w:val="nil"/>
              <w:right w:val="nil"/>
            </w:tcBorders>
            <w:shd w:val="clear" w:color="auto" w:fill="auto"/>
            <w:vAlign w:val="center"/>
          </w:tcPr>
          <w:p w14:paraId="337224A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5.9</w:t>
            </w:r>
          </w:p>
        </w:tc>
        <w:tc>
          <w:tcPr>
            <w:tcW w:w="0" w:type="auto"/>
            <w:tcBorders>
              <w:top w:val="nil"/>
              <w:left w:val="nil"/>
              <w:bottom w:val="nil"/>
              <w:right w:val="nil"/>
            </w:tcBorders>
            <w:shd w:val="clear" w:color="auto" w:fill="auto"/>
            <w:vAlign w:val="center"/>
          </w:tcPr>
          <w:p w14:paraId="6594A87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756" w:type="dxa"/>
            <w:tcBorders>
              <w:top w:val="nil"/>
              <w:left w:val="nil"/>
              <w:bottom w:val="nil"/>
              <w:right w:val="nil"/>
            </w:tcBorders>
            <w:shd w:val="clear" w:color="auto" w:fill="auto"/>
            <w:vAlign w:val="center"/>
          </w:tcPr>
          <w:p w14:paraId="3F8E264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0" w:type="auto"/>
            <w:tcBorders>
              <w:top w:val="nil"/>
              <w:left w:val="nil"/>
              <w:bottom w:val="nil"/>
              <w:right w:val="nil"/>
            </w:tcBorders>
            <w:shd w:val="clear" w:color="auto" w:fill="auto"/>
            <w:vAlign w:val="center"/>
          </w:tcPr>
          <w:p w14:paraId="4CC8293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756" w:type="dxa"/>
            <w:tcBorders>
              <w:top w:val="nil"/>
              <w:left w:val="nil"/>
              <w:bottom w:val="nil"/>
              <w:right w:val="nil"/>
            </w:tcBorders>
            <w:shd w:val="clear" w:color="auto" w:fill="auto"/>
            <w:vAlign w:val="center"/>
          </w:tcPr>
          <w:p w14:paraId="61EE998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14.3</w:t>
            </w:r>
          </w:p>
        </w:tc>
        <w:tc>
          <w:tcPr>
            <w:tcW w:w="763" w:type="dxa"/>
            <w:tcBorders>
              <w:top w:val="nil"/>
              <w:left w:val="nil"/>
              <w:bottom w:val="nil"/>
              <w:right w:val="nil"/>
            </w:tcBorders>
            <w:shd w:val="clear" w:color="auto" w:fill="auto"/>
            <w:vAlign w:val="center"/>
          </w:tcPr>
          <w:p w14:paraId="086A6E4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756" w:type="dxa"/>
            <w:tcBorders>
              <w:top w:val="nil"/>
              <w:left w:val="nil"/>
              <w:bottom w:val="nil"/>
              <w:right w:val="nil"/>
            </w:tcBorders>
            <w:shd w:val="clear" w:color="auto" w:fill="auto"/>
            <w:vAlign w:val="center"/>
          </w:tcPr>
          <w:p w14:paraId="3B42084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5.8</w:t>
            </w:r>
          </w:p>
        </w:tc>
        <w:tc>
          <w:tcPr>
            <w:tcW w:w="0" w:type="auto"/>
            <w:tcBorders>
              <w:top w:val="nil"/>
              <w:left w:val="nil"/>
              <w:bottom w:val="nil"/>
              <w:right w:val="nil"/>
            </w:tcBorders>
            <w:shd w:val="clear" w:color="auto" w:fill="auto"/>
            <w:vAlign w:val="center"/>
          </w:tcPr>
          <w:p w14:paraId="5985524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56" w:type="dxa"/>
            <w:tcBorders>
              <w:top w:val="nil"/>
              <w:left w:val="nil"/>
              <w:bottom w:val="nil"/>
              <w:right w:val="nil"/>
            </w:tcBorders>
            <w:shd w:val="clear" w:color="auto" w:fill="auto"/>
            <w:vAlign w:val="center"/>
          </w:tcPr>
          <w:p w14:paraId="02D05E5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763" w:type="dxa"/>
            <w:tcBorders>
              <w:top w:val="nil"/>
              <w:left w:val="nil"/>
              <w:bottom w:val="nil"/>
              <w:right w:val="nil"/>
            </w:tcBorders>
            <w:shd w:val="clear" w:color="auto" w:fill="auto"/>
            <w:vAlign w:val="center"/>
          </w:tcPr>
          <w:p w14:paraId="50789B6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756" w:type="dxa"/>
            <w:tcBorders>
              <w:top w:val="nil"/>
              <w:left w:val="nil"/>
              <w:bottom w:val="nil"/>
              <w:right w:val="nil"/>
            </w:tcBorders>
            <w:shd w:val="clear" w:color="auto" w:fill="auto"/>
            <w:vAlign w:val="center"/>
          </w:tcPr>
          <w:p w14:paraId="5A5E5E3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w:t>
            </w:r>
          </w:p>
        </w:tc>
        <w:tc>
          <w:tcPr>
            <w:tcW w:w="0" w:type="auto"/>
            <w:tcBorders>
              <w:top w:val="nil"/>
              <w:left w:val="nil"/>
              <w:bottom w:val="nil"/>
              <w:right w:val="nil"/>
            </w:tcBorders>
            <w:shd w:val="clear" w:color="auto" w:fill="auto"/>
            <w:vAlign w:val="center"/>
          </w:tcPr>
          <w:p w14:paraId="1FDE592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0" w:type="auto"/>
            <w:tcBorders>
              <w:top w:val="nil"/>
              <w:left w:val="nil"/>
              <w:bottom w:val="nil"/>
              <w:right w:val="nil"/>
            </w:tcBorders>
            <w:shd w:val="clear" w:color="auto" w:fill="auto"/>
            <w:vAlign w:val="center"/>
          </w:tcPr>
          <w:p w14:paraId="5AC5C71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17.2</w:t>
            </w:r>
          </w:p>
        </w:tc>
        <w:tc>
          <w:tcPr>
            <w:tcW w:w="0" w:type="auto"/>
            <w:tcBorders>
              <w:top w:val="nil"/>
              <w:left w:val="nil"/>
              <w:bottom w:val="nil"/>
              <w:right w:val="nil"/>
            </w:tcBorders>
            <w:shd w:val="clear" w:color="auto" w:fill="auto"/>
            <w:vAlign w:val="center"/>
          </w:tcPr>
          <w:p w14:paraId="4EB9B65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0" w:type="auto"/>
            <w:tcBorders>
              <w:top w:val="nil"/>
              <w:left w:val="nil"/>
              <w:bottom w:val="nil"/>
              <w:right w:val="nil"/>
            </w:tcBorders>
            <w:shd w:val="clear" w:color="auto" w:fill="auto"/>
            <w:vAlign w:val="center"/>
          </w:tcPr>
          <w:p w14:paraId="4771D4D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7.4</w:t>
            </w:r>
          </w:p>
        </w:tc>
        <w:tc>
          <w:tcPr>
            <w:tcW w:w="0" w:type="auto"/>
            <w:tcBorders>
              <w:top w:val="nil"/>
              <w:left w:val="nil"/>
              <w:bottom w:val="nil"/>
              <w:right w:val="nil"/>
            </w:tcBorders>
            <w:shd w:val="clear" w:color="auto" w:fill="auto"/>
            <w:vAlign w:val="center"/>
          </w:tcPr>
          <w:p w14:paraId="2B83A52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w:t>
            </w:r>
          </w:p>
        </w:tc>
        <w:tc>
          <w:tcPr>
            <w:tcW w:w="0" w:type="auto"/>
            <w:tcBorders>
              <w:top w:val="nil"/>
              <w:left w:val="nil"/>
              <w:bottom w:val="nil"/>
              <w:right w:val="nil"/>
            </w:tcBorders>
            <w:shd w:val="clear" w:color="auto" w:fill="auto"/>
            <w:vAlign w:val="center"/>
          </w:tcPr>
          <w:p w14:paraId="367013D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13.5</w:t>
            </w:r>
          </w:p>
        </w:tc>
        <w:tc>
          <w:tcPr>
            <w:tcW w:w="791" w:type="dxa"/>
            <w:tcBorders>
              <w:top w:val="nil"/>
              <w:left w:val="nil"/>
              <w:bottom w:val="nil"/>
              <w:right w:val="nil"/>
            </w:tcBorders>
            <w:shd w:val="clear" w:color="auto" w:fill="auto"/>
            <w:noWrap/>
            <w:vAlign w:val="center"/>
          </w:tcPr>
          <w:p w14:paraId="541E999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105</w:t>
            </w:r>
          </w:p>
        </w:tc>
      </w:tr>
      <w:tr w14:paraId="55F0F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jc w:val="center"/>
        </w:trPr>
        <w:tc>
          <w:tcPr>
            <w:tcW w:w="0" w:type="auto"/>
            <w:tcBorders>
              <w:top w:val="nil"/>
              <w:left w:val="nil"/>
              <w:bottom w:val="nil"/>
              <w:right w:val="nil"/>
            </w:tcBorders>
            <w:shd w:val="clear" w:color="auto" w:fill="auto"/>
            <w:vAlign w:val="center"/>
          </w:tcPr>
          <w:p w14:paraId="6C13D63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iCs/>
                <w:color w:val="000000"/>
                <w:kern w:val="2"/>
                <w:sz w:val="20"/>
                <w:szCs w:val="20"/>
                <w:u w:val="none"/>
              </w:rPr>
            </w:pPr>
            <w:r>
              <w:rPr>
                <w:rFonts w:hint="default" w:ascii="Times New Roman" w:hAnsi="Times New Roman" w:eastAsia="宋体" w:cs="Times New Roman"/>
                <w:i/>
                <w:iCs/>
                <w:color w:val="000000"/>
                <w:kern w:val="0"/>
                <w:sz w:val="20"/>
                <w:szCs w:val="20"/>
                <w:u w:val="none"/>
                <w:lang w:val="en-US" w:eastAsia="zh-CN" w:bidi="ar"/>
              </w:rPr>
              <w:t>Bos(Bibos) gaurus</w:t>
            </w:r>
          </w:p>
        </w:tc>
        <w:tc>
          <w:tcPr>
            <w:tcW w:w="0" w:type="auto"/>
            <w:tcBorders>
              <w:top w:val="nil"/>
              <w:left w:val="nil"/>
              <w:bottom w:val="nil"/>
              <w:right w:val="nil"/>
            </w:tcBorders>
            <w:shd w:val="clear" w:color="auto" w:fill="auto"/>
            <w:vAlign w:val="center"/>
          </w:tcPr>
          <w:p w14:paraId="4E44533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43</w:t>
            </w:r>
          </w:p>
        </w:tc>
        <w:tc>
          <w:tcPr>
            <w:tcW w:w="755" w:type="dxa"/>
            <w:tcBorders>
              <w:top w:val="nil"/>
              <w:left w:val="nil"/>
              <w:bottom w:val="nil"/>
              <w:right w:val="nil"/>
            </w:tcBorders>
            <w:shd w:val="clear" w:color="auto" w:fill="auto"/>
            <w:vAlign w:val="center"/>
          </w:tcPr>
          <w:p w14:paraId="4F04C02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4.7</w:t>
            </w:r>
          </w:p>
        </w:tc>
        <w:tc>
          <w:tcPr>
            <w:tcW w:w="0" w:type="auto"/>
            <w:tcBorders>
              <w:top w:val="nil"/>
              <w:left w:val="nil"/>
              <w:bottom w:val="nil"/>
              <w:right w:val="nil"/>
            </w:tcBorders>
            <w:shd w:val="clear" w:color="auto" w:fill="auto"/>
            <w:vAlign w:val="center"/>
          </w:tcPr>
          <w:p w14:paraId="3ED42D3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w:t>
            </w:r>
          </w:p>
        </w:tc>
        <w:tc>
          <w:tcPr>
            <w:tcW w:w="756" w:type="dxa"/>
            <w:tcBorders>
              <w:top w:val="nil"/>
              <w:left w:val="nil"/>
              <w:bottom w:val="nil"/>
              <w:right w:val="nil"/>
            </w:tcBorders>
            <w:shd w:val="clear" w:color="auto" w:fill="auto"/>
            <w:vAlign w:val="center"/>
          </w:tcPr>
          <w:p w14:paraId="4DEB15B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11.6</w:t>
            </w:r>
          </w:p>
        </w:tc>
        <w:tc>
          <w:tcPr>
            <w:tcW w:w="0" w:type="auto"/>
            <w:tcBorders>
              <w:top w:val="nil"/>
              <w:left w:val="nil"/>
              <w:bottom w:val="nil"/>
              <w:right w:val="nil"/>
            </w:tcBorders>
            <w:shd w:val="clear" w:color="auto" w:fill="auto"/>
            <w:vAlign w:val="center"/>
          </w:tcPr>
          <w:p w14:paraId="2832227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756" w:type="dxa"/>
            <w:tcBorders>
              <w:top w:val="nil"/>
              <w:left w:val="nil"/>
              <w:bottom w:val="nil"/>
              <w:right w:val="nil"/>
            </w:tcBorders>
            <w:shd w:val="clear" w:color="auto" w:fill="auto"/>
            <w:vAlign w:val="center"/>
          </w:tcPr>
          <w:p w14:paraId="1BBF13E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28.6</w:t>
            </w:r>
          </w:p>
        </w:tc>
        <w:tc>
          <w:tcPr>
            <w:tcW w:w="763" w:type="dxa"/>
            <w:tcBorders>
              <w:top w:val="nil"/>
              <w:left w:val="nil"/>
              <w:bottom w:val="nil"/>
              <w:right w:val="nil"/>
            </w:tcBorders>
            <w:shd w:val="clear" w:color="auto" w:fill="auto"/>
            <w:vAlign w:val="center"/>
          </w:tcPr>
          <w:p w14:paraId="7A06DE7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w:t>
            </w:r>
          </w:p>
        </w:tc>
        <w:tc>
          <w:tcPr>
            <w:tcW w:w="756" w:type="dxa"/>
            <w:tcBorders>
              <w:top w:val="nil"/>
              <w:left w:val="nil"/>
              <w:bottom w:val="nil"/>
              <w:right w:val="nil"/>
            </w:tcBorders>
            <w:shd w:val="clear" w:color="auto" w:fill="auto"/>
            <w:vAlign w:val="center"/>
          </w:tcPr>
          <w:p w14:paraId="0B75412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15.5</w:t>
            </w:r>
          </w:p>
        </w:tc>
        <w:tc>
          <w:tcPr>
            <w:tcW w:w="0" w:type="auto"/>
            <w:tcBorders>
              <w:top w:val="nil"/>
              <w:left w:val="nil"/>
              <w:bottom w:val="nil"/>
              <w:right w:val="nil"/>
            </w:tcBorders>
            <w:shd w:val="clear" w:color="auto" w:fill="auto"/>
            <w:vAlign w:val="center"/>
          </w:tcPr>
          <w:p w14:paraId="6D9890F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756" w:type="dxa"/>
            <w:tcBorders>
              <w:top w:val="nil"/>
              <w:left w:val="nil"/>
              <w:bottom w:val="nil"/>
              <w:right w:val="nil"/>
            </w:tcBorders>
            <w:shd w:val="clear" w:color="auto" w:fill="auto"/>
            <w:vAlign w:val="center"/>
          </w:tcPr>
          <w:p w14:paraId="0776BFA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23.5</w:t>
            </w:r>
          </w:p>
        </w:tc>
        <w:tc>
          <w:tcPr>
            <w:tcW w:w="763" w:type="dxa"/>
            <w:tcBorders>
              <w:top w:val="nil"/>
              <w:left w:val="nil"/>
              <w:bottom w:val="nil"/>
              <w:right w:val="nil"/>
            </w:tcBorders>
            <w:shd w:val="clear" w:color="auto" w:fill="auto"/>
            <w:vAlign w:val="center"/>
          </w:tcPr>
          <w:p w14:paraId="2CE66DB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55</w:t>
            </w:r>
          </w:p>
        </w:tc>
        <w:tc>
          <w:tcPr>
            <w:tcW w:w="756" w:type="dxa"/>
            <w:tcBorders>
              <w:top w:val="nil"/>
              <w:left w:val="nil"/>
              <w:bottom w:val="nil"/>
              <w:right w:val="nil"/>
            </w:tcBorders>
            <w:shd w:val="clear" w:color="auto" w:fill="auto"/>
            <w:vAlign w:val="center"/>
          </w:tcPr>
          <w:p w14:paraId="397A827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27.9</w:t>
            </w:r>
          </w:p>
        </w:tc>
        <w:tc>
          <w:tcPr>
            <w:tcW w:w="0" w:type="auto"/>
            <w:tcBorders>
              <w:top w:val="nil"/>
              <w:left w:val="nil"/>
              <w:bottom w:val="nil"/>
              <w:right w:val="nil"/>
            </w:tcBorders>
            <w:shd w:val="clear" w:color="auto" w:fill="auto"/>
            <w:vAlign w:val="center"/>
          </w:tcPr>
          <w:p w14:paraId="6A99EEF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0" w:type="auto"/>
            <w:tcBorders>
              <w:top w:val="nil"/>
              <w:left w:val="nil"/>
              <w:bottom w:val="nil"/>
              <w:right w:val="nil"/>
            </w:tcBorders>
            <w:shd w:val="clear" w:color="auto" w:fill="auto"/>
            <w:vAlign w:val="center"/>
          </w:tcPr>
          <w:p w14:paraId="15A43BF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17.2</w:t>
            </w:r>
          </w:p>
        </w:tc>
        <w:tc>
          <w:tcPr>
            <w:tcW w:w="0" w:type="auto"/>
            <w:tcBorders>
              <w:top w:val="nil"/>
              <w:left w:val="nil"/>
              <w:bottom w:val="nil"/>
              <w:right w:val="nil"/>
            </w:tcBorders>
            <w:shd w:val="clear" w:color="auto" w:fill="auto"/>
            <w:vAlign w:val="center"/>
          </w:tcPr>
          <w:p w14:paraId="5907AA5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0" w:type="auto"/>
            <w:tcBorders>
              <w:top w:val="nil"/>
              <w:left w:val="nil"/>
              <w:bottom w:val="nil"/>
              <w:right w:val="nil"/>
            </w:tcBorders>
            <w:shd w:val="clear" w:color="auto" w:fill="auto"/>
            <w:vAlign w:val="center"/>
          </w:tcPr>
          <w:p w14:paraId="5E5858D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26.6</w:t>
            </w:r>
          </w:p>
        </w:tc>
        <w:tc>
          <w:tcPr>
            <w:tcW w:w="0" w:type="auto"/>
            <w:tcBorders>
              <w:top w:val="nil"/>
              <w:left w:val="nil"/>
              <w:bottom w:val="nil"/>
              <w:right w:val="nil"/>
            </w:tcBorders>
            <w:shd w:val="clear" w:color="auto" w:fill="auto"/>
            <w:vAlign w:val="center"/>
          </w:tcPr>
          <w:p w14:paraId="4F8EB4F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47</w:t>
            </w:r>
          </w:p>
        </w:tc>
        <w:tc>
          <w:tcPr>
            <w:tcW w:w="0" w:type="auto"/>
            <w:tcBorders>
              <w:top w:val="nil"/>
              <w:left w:val="nil"/>
              <w:bottom w:val="nil"/>
              <w:right w:val="nil"/>
            </w:tcBorders>
            <w:shd w:val="clear" w:color="auto" w:fill="auto"/>
            <w:vAlign w:val="center"/>
          </w:tcPr>
          <w:p w14:paraId="0BCC350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27.5</w:t>
            </w:r>
          </w:p>
        </w:tc>
        <w:tc>
          <w:tcPr>
            <w:tcW w:w="791" w:type="dxa"/>
            <w:tcBorders>
              <w:top w:val="nil"/>
              <w:left w:val="nil"/>
              <w:bottom w:val="nil"/>
              <w:right w:val="nil"/>
            </w:tcBorders>
            <w:shd w:val="clear" w:color="auto" w:fill="auto"/>
            <w:noWrap/>
            <w:vAlign w:val="center"/>
          </w:tcPr>
          <w:p w14:paraId="49374FF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211</w:t>
            </w:r>
          </w:p>
        </w:tc>
      </w:tr>
      <w:tr w14:paraId="0E787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jc w:val="center"/>
        </w:trPr>
        <w:tc>
          <w:tcPr>
            <w:tcW w:w="0" w:type="auto"/>
            <w:tcBorders>
              <w:top w:val="nil"/>
              <w:left w:val="nil"/>
              <w:bottom w:val="nil"/>
              <w:right w:val="nil"/>
            </w:tcBorders>
            <w:shd w:val="clear" w:color="auto" w:fill="auto"/>
            <w:vAlign w:val="center"/>
          </w:tcPr>
          <w:p w14:paraId="313A349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iCs/>
                <w:color w:val="000000"/>
                <w:kern w:val="2"/>
                <w:sz w:val="20"/>
                <w:szCs w:val="20"/>
                <w:u w:val="none"/>
              </w:rPr>
            </w:pPr>
            <w:r>
              <w:rPr>
                <w:rStyle w:val="65"/>
                <w:rFonts w:eastAsia="宋体"/>
                <w:kern w:val="2"/>
                <w:lang w:val="en-US" w:eastAsia="zh-CN" w:bidi="ar"/>
              </w:rPr>
              <w:t xml:space="preserve">Bubalus </w:t>
            </w:r>
            <w:r>
              <w:rPr>
                <w:rStyle w:val="66"/>
                <w:rFonts w:eastAsia="宋体"/>
                <w:kern w:val="2"/>
                <w:lang w:val="en-US" w:eastAsia="zh-CN" w:bidi="ar"/>
              </w:rPr>
              <w:t>sp</w:t>
            </w:r>
            <w:r>
              <w:rPr>
                <w:rStyle w:val="65"/>
                <w:rFonts w:eastAsia="宋体"/>
                <w:kern w:val="2"/>
                <w:lang w:val="en-US" w:eastAsia="zh-CN" w:bidi="ar"/>
              </w:rPr>
              <w:t>.</w:t>
            </w:r>
          </w:p>
        </w:tc>
        <w:tc>
          <w:tcPr>
            <w:tcW w:w="0" w:type="auto"/>
            <w:tcBorders>
              <w:top w:val="nil"/>
              <w:left w:val="nil"/>
              <w:bottom w:val="nil"/>
              <w:right w:val="nil"/>
            </w:tcBorders>
            <w:shd w:val="clear" w:color="auto" w:fill="auto"/>
            <w:vAlign w:val="center"/>
          </w:tcPr>
          <w:p w14:paraId="75665EA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57</w:t>
            </w:r>
          </w:p>
        </w:tc>
        <w:tc>
          <w:tcPr>
            <w:tcW w:w="755" w:type="dxa"/>
            <w:tcBorders>
              <w:top w:val="nil"/>
              <w:left w:val="nil"/>
              <w:bottom w:val="nil"/>
              <w:right w:val="nil"/>
            </w:tcBorders>
            <w:shd w:val="clear" w:color="auto" w:fill="auto"/>
            <w:vAlign w:val="center"/>
          </w:tcPr>
          <w:p w14:paraId="2CA9CD7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6.2</w:t>
            </w:r>
          </w:p>
        </w:tc>
        <w:tc>
          <w:tcPr>
            <w:tcW w:w="0" w:type="auto"/>
            <w:tcBorders>
              <w:top w:val="nil"/>
              <w:left w:val="nil"/>
              <w:bottom w:val="nil"/>
              <w:right w:val="nil"/>
            </w:tcBorders>
            <w:shd w:val="clear" w:color="auto" w:fill="auto"/>
            <w:vAlign w:val="center"/>
          </w:tcPr>
          <w:p w14:paraId="661FC1F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w:t>
            </w:r>
          </w:p>
        </w:tc>
        <w:tc>
          <w:tcPr>
            <w:tcW w:w="756" w:type="dxa"/>
            <w:tcBorders>
              <w:top w:val="nil"/>
              <w:left w:val="nil"/>
              <w:bottom w:val="nil"/>
              <w:right w:val="nil"/>
            </w:tcBorders>
            <w:shd w:val="clear" w:color="auto" w:fill="auto"/>
            <w:vAlign w:val="center"/>
          </w:tcPr>
          <w:p w14:paraId="6CB6B2E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14.0</w:t>
            </w:r>
          </w:p>
        </w:tc>
        <w:tc>
          <w:tcPr>
            <w:tcW w:w="0" w:type="auto"/>
            <w:tcBorders>
              <w:top w:val="nil"/>
              <w:left w:val="nil"/>
              <w:bottom w:val="nil"/>
              <w:right w:val="nil"/>
            </w:tcBorders>
            <w:shd w:val="clear" w:color="auto" w:fill="auto"/>
            <w:vAlign w:val="center"/>
          </w:tcPr>
          <w:p w14:paraId="4C0F011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756" w:type="dxa"/>
            <w:tcBorders>
              <w:top w:val="nil"/>
              <w:left w:val="nil"/>
              <w:bottom w:val="nil"/>
              <w:right w:val="nil"/>
            </w:tcBorders>
            <w:shd w:val="clear" w:color="auto" w:fill="auto"/>
            <w:vAlign w:val="center"/>
          </w:tcPr>
          <w:p w14:paraId="21CDB49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14.3</w:t>
            </w:r>
          </w:p>
        </w:tc>
        <w:tc>
          <w:tcPr>
            <w:tcW w:w="763" w:type="dxa"/>
            <w:tcBorders>
              <w:top w:val="nil"/>
              <w:left w:val="nil"/>
              <w:bottom w:val="nil"/>
              <w:right w:val="nil"/>
            </w:tcBorders>
            <w:shd w:val="clear" w:color="auto" w:fill="auto"/>
            <w:vAlign w:val="center"/>
          </w:tcPr>
          <w:p w14:paraId="579B3E7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w:t>
            </w:r>
          </w:p>
        </w:tc>
        <w:tc>
          <w:tcPr>
            <w:tcW w:w="756" w:type="dxa"/>
            <w:tcBorders>
              <w:top w:val="nil"/>
              <w:left w:val="nil"/>
              <w:bottom w:val="nil"/>
              <w:right w:val="nil"/>
            </w:tcBorders>
            <w:shd w:val="clear" w:color="auto" w:fill="auto"/>
            <w:vAlign w:val="center"/>
          </w:tcPr>
          <w:p w14:paraId="3ACE15B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17.5</w:t>
            </w:r>
          </w:p>
        </w:tc>
        <w:tc>
          <w:tcPr>
            <w:tcW w:w="0" w:type="auto"/>
            <w:tcBorders>
              <w:top w:val="nil"/>
              <w:left w:val="nil"/>
              <w:bottom w:val="nil"/>
              <w:right w:val="nil"/>
            </w:tcBorders>
            <w:shd w:val="clear" w:color="auto" w:fill="auto"/>
            <w:vAlign w:val="center"/>
          </w:tcPr>
          <w:p w14:paraId="7EFC1A9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756" w:type="dxa"/>
            <w:tcBorders>
              <w:top w:val="nil"/>
              <w:left w:val="nil"/>
              <w:bottom w:val="nil"/>
              <w:right w:val="nil"/>
            </w:tcBorders>
            <w:shd w:val="clear" w:color="auto" w:fill="auto"/>
            <w:vAlign w:val="center"/>
          </w:tcPr>
          <w:p w14:paraId="492CC90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17.6</w:t>
            </w:r>
          </w:p>
        </w:tc>
        <w:tc>
          <w:tcPr>
            <w:tcW w:w="763" w:type="dxa"/>
            <w:tcBorders>
              <w:top w:val="nil"/>
              <w:left w:val="nil"/>
              <w:bottom w:val="nil"/>
              <w:right w:val="nil"/>
            </w:tcBorders>
            <w:shd w:val="clear" w:color="auto" w:fill="auto"/>
            <w:vAlign w:val="center"/>
          </w:tcPr>
          <w:p w14:paraId="39BDD33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w:t>
            </w:r>
          </w:p>
        </w:tc>
        <w:tc>
          <w:tcPr>
            <w:tcW w:w="756" w:type="dxa"/>
            <w:tcBorders>
              <w:top w:val="nil"/>
              <w:left w:val="nil"/>
              <w:bottom w:val="nil"/>
              <w:right w:val="nil"/>
            </w:tcBorders>
            <w:shd w:val="clear" w:color="auto" w:fill="auto"/>
            <w:vAlign w:val="center"/>
          </w:tcPr>
          <w:p w14:paraId="6D1E443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9.1</w:t>
            </w:r>
          </w:p>
        </w:tc>
        <w:tc>
          <w:tcPr>
            <w:tcW w:w="0" w:type="auto"/>
            <w:tcBorders>
              <w:top w:val="nil"/>
              <w:left w:val="nil"/>
              <w:bottom w:val="nil"/>
              <w:right w:val="nil"/>
            </w:tcBorders>
            <w:shd w:val="clear" w:color="auto" w:fill="auto"/>
            <w:vAlign w:val="center"/>
          </w:tcPr>
          <w:p w14:paraId="0318A65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0" w:type="auto"/>
            <w:tcBorders>
              <w:top w:val="nil"/>
              <w:left w:val="nil"/>
              <w:bottom w:val="nil"/>
              <w:right w:val="nil"/>
            </w:tcBorders>
            <w:shd w:val="clear" w:color="auto" w:fill="auto"/>
            <w:vAlign w:val="center"/>
          </w:tcPr>
          <w:p w14:paraId="15EF133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10.3</w:t>
            </w:r>
          </w:p>
        </w:tc>
        <w:tc>
          <w:tcPr>
            <w:tcW w:w="0" w:type="auto"/>
            <w:tcBorders>
              <w:top w:val="nil"/>
              <w:left w:val="nil"/>
              <w:bottom w:val="nil"/>
              <w:right w:val="nil"/>
            </w:tcBorders>
            <w:shd w:val="clear" w:color="auto" w:fill="auto"/>
            <w:vAlign w:val="center"/>
          </w:tcPr>
          <w:p w14:paraId="6E3E49E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0" w:type="auto"/>
            <w:tcBorders>
              <w:top w:val="nil"/>
              <w:left w:val="nil"/>
              <w:bottom w:val="nil"/>
              <w:right w:val="nil"/>
            </w:tcBorders>
            <w:shd w:val="clear" w:color="auto" w:fill="auto"/>
            <w:vAlign w:val="center"/>
          </w:tcPr>
          <w:p w14:paraId="111F279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7.4</w:t>
            </w:r>
          </w:p>
        </w:tc>
        <w:tc>
          <w:tcPr>
            <w:tcW w:w="0" w:type="auto"/>
            <w:tcBorders>
              <w:top w:val="nil"/>
              <w:left w:val="nil"/>
              <w:bottom w:val="nil"/>
              <w:right w:val="nil"/>
            </w:tcBorders>
            <w:shd w:val="clear" w:color="auto" w:fill="auto"/>
            <w:vAlign w:val="center"/>
          </w:tcPr>
          <w:p w14:paraId="53A08AB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w:t>
            </w:r>
          </w:p>
        </w:tc>
        <w:tc>
          <w:tcPr>
            <w:tcW w:w="0" w:type="auto"/>
            <w:tcBorders>
              <w:top w:val="nil"/>
              <w:left w:val="nil"/>
              <w:bottom w:val="nil"/>
              <w:right w:val="nil"/>
            </w:tcBorders>
            <w:shd w:val="clear" w:color="auto" w:fill="auto"/>
            <w:vAlign w:val="center"/>
          </w:tcPr>
          <w:p w14:paraId="0D05FB1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7.6</w:t>
            </w:r>
          </w:p>
        </w:tc>
        <w:tc>
          <w:tcPr>
            <w:tcW w:w="791" w:type="dxa"/>
            <w:tcBorders>
              <w:top w:val="nil"/>
              <w:left w:val="nil"/>
              <w:bottom w:val="nil"/>
              <w:right w:val="nil"/>
            </w:tcBorders>
            <w:shd w:val="clear" w:color="auto" w:fill="auto"/>
            <w:noWrap/>
            <w:vAlign w:val="center"/>
          </w:tcPr>
          <w:p w14:paraId="3238E72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w:t>
            </w:r>
          </w:p>
        </w:tc>
      </w:tr>
      <w:tr w14:paraId="3796E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jc w:val="center"/>
        </w:trPr>
        <w:tc>
          <w:tcPr>
            <w:tcW w:w="0" w:type="auto"/>
            <w:tcBorders>
              <w:top w:val="nil"/>
              <w:left w:val="nil"/>
              <w:bottom w:val="nil"/>
              <w:right w:val="nil"/>
            </w:tcBorders>
            <w:shd w:val="clear" w:color="auto" w:fill="auto"/>
            <w:vAlign w:val="center"/>
          </w:tcPr>
          <w:p w14:paraId="55CC4A67">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iCs/>
                <w:color w:val="000000"/>
                <w:kern w:val="2"/>
                <w:sz w:val="20"/>
                <w:szCs w:val="20"/>
                <w:u w:val="none"/>
              </w:rPr>
            </w:pPr>
            <w:r>
              <w:rPr>
                <w:rFonts w:hint="default" w:ascii="Times New Roman" w:hAnsi="Times New Roman" w:eastAsia="宋体" w:cs="Times New Roman"/>
                <w:i/>
                <w:iCs/>
                <w:color w:val="000000"/>
                <w:kern w:val="0"/>
                <w:sz w:val="20"/>
                <w:szCs w:val="20"/>
                <w:u w:val="none"/>
                <w:lang w:val="en-US" w:eastAsia="zh-CN" w:bidi="ar"/>
              </w:rPr>
              <w:t>Rhinoceros sinensis</w:t>
            </w:r>
          </w:p>
        </w:tc>
        <w:tc>
          <w:tcPr>
            <w:tcW w:w="0" w:type="auto"/>
            <w:tcBorders>
              <w:top w:val="nil"/>
              <w:left w:val="nil"/>
              <w:bottom w:val="nil"/>
              <w:right w:val="nil"/>
            </w:tcBorders>
            <w:shd w:val="clear" w:color="auto" w:fill="auto"/>
            <w:vAlign w:val="center"/>
          </w:tcPr>
          <w:p w14:paraId="547A0D0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w:t>
            </w:r>
          </w:p>
        </w:tc>
        <w:tc>
          <w:tcPr>
            <w:tcW w:w="755" w:type="dxa"/>
            <w:tcBorders>
              <w:top w:val="nil"/>
              <w:left w:val="nil"/>
              <w:bottom w:val="nil"/>
              <w:right w:val="nil"/>
            </w:tcBorders>
            <w:shd w:val="clear" w:color="auto" w:fill="auto"/>
            <w:vAlign w:val="center"/>
          </w:tcPr>
          <w:p w14:paraId="7571981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w:t>
            </w:r>
          </w:p>
        </w:tc>
        <w:tc>
          <w:tcPr>
            <w:tcW w:w="0" w:type="auto"/>
            <w:tcBorders>
              <w:top w:val="nil"/>
              <w:left w:val="nil"/>
              <w:bottom w:val="nil"/>
              <w:right w:val="nil"/>
            </w:tcBorders>
            <w:shd w:val="clear" w:color="auto" w:fill="auto"/>
            <w:vAlign w:val="center"/>
          </w:tcPr>
          <w:p w14:paraId="67E8337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756" w:type="dxa"/>
            <w:tcBorders>
              <w:top w:val="nil"/>
              <w:left w:val="nil"/>
              <w:bottom w:val="nil"/>
              <w:right w:val="nil"/>
            </w:tcBorders>
            <w:shd w:val="clear" w:color="auto" w:fill="auto"/>
            <w:vAlign w:val="center"/>
          </w:tcPr>
          <w:p w14:paraId="5B8CA7B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0" w:type="auto"/>
            <w:tcBorders>
              <w:top w:val="nil"/>
              <w:left w:val="nil"/>
              <w:bottom w:val="nil"/>
              <w:right w:val="nil"/>
            </w:tcBorders>
            <w:shd w:val="clear" w:color="auto" w:fill="auto"/>
            <w:vAlign w:val="center"/>
          </w:tcPr>
          <w:p w14:paraId="7047658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56" w:type="dxa"/>
            <w:tcBorders>
              <w:top w:val="nil"/>
              <w:left w:val="nil"/>
              <w:bottom w:val="nil"/>
              <w:right w:val="nil"/>
            </w:tcBorders>
            <w:shd w:val="clear" w:color="auto" w:fill="auto"/>
            <w:vAlign w:val="center"/>
          </w:tcPr>
          <w:p w14:paraId="3036385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763" w:type="dxa"/>
            <w:tcBorders>
              <w:top w:val="nil"/>
              <w:left w:val="nil"/>
              <w:bottom w:val="nil"/>
              <w:right w:val="nil"/>
            </w:tcBorders>
            <w:shd w:val="clear" w:color="auto" w:fill="auto"/>
            <w:vAlign w:val="center"/>
          </w:tcPr>
          <w:p w14:paraId="0343C36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56" w:type="dxa"/>
            <w:tcBorders>
              <w:top w:val="nil"/>
              <w:left w:val="nil"/>
              <w:bottom w:val="nil"/>
              <w:right w:val="nil"/>
            </w:tcBorders>
            <w:shd w:val="clear" w:color="auto" w:fill="auto"/>
            <w:vAlign w:val="center"/>
          </w:tcPr>
          <w:p w14:paraId="005238D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0" w:type="auto"/>
            <w:tcBorders>
              <w:top w:val="nil"/>
              <w:left w:val="nil"/>
              <w:bottom w:val="nil"/>
              <w:right w:val="nil"/>
            </w:tcBorders>
            <w:shd w:val="clear" w:color="auto" w:fill="auto"/>
            <w:vAlign w:val="center"/>
          </w:tcPr>
          <w:p w14:paraId="19ECA3D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w:t>
            </w:r>
          </w:p>
        </w:tc>
        <w:tc>
          <w:tcPr>
            <w:tcW w:w="756" w:type="dxa"/>
            <w:tcBorders>
              <w:top w:val="nil"/>
              <w:left w:val="nil"/>
              <w:bottom w:val="nil"/>
              <w:right w:val="nil"/>
            </w:tcBorders>
            <w:shd w:val="clear" w:color="auto" w:fill="auto"/>
            <w:vAlign w:val="center"/>
          </w:tcPr>
          <w:p w14:paraId="5DBEBD1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52.9</w:t>
            </w:r>
          </w:p>
        </w:tc>
        <w:tc>
          <w:tcPr>
            <w:tcW w:w="763" w:type="dxa"/>
            <w:tcBorders>
              <w:top w:val="nil"/>
              <w:left w:val="nil"/>
              <w:bottom w:val="nil"/>
              <w:right w:val="nil"/>
            </w:tcBorders>
            <w:shd w:val="clear" w:color="auto" w:fill="auto"/>
            <w:vAlign w:val="center"/>
          </w:tcPr>
          <w:p w14:paraId="57049EC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756" w:type="dxa"/>
            <w:tcBorders>
              <w:top w:val="nil"/>
              <w:left w:val="nil"/>
              <w:bottom w:val="nil"/>
              <w:right w:val="nil"/>
            </w:tcBorders>
            <w:shd w:val="clear" w:color="auto" w:fill="auto"/>
            <w:vAlign w:val="center"/>
          </w:tcPr>
          <w:p w14:paraId="46B3E93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0" w:type="auto"/>
            <w:tcBorders>
              <w:top w:val="nil"/>
              <w:left w:val="nil"/>
              <w:bottom w:val="nil"/>
              <w:right w:val="nil"/>
            </w:tcBorders>
            <w:shd w:val="clear" w:color="auto" w:fill="auto"/>
            <w:vAlign w:val="center"/>
          </w:tcPr>
          <w:p w14:paraId="65FE79C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0" w:type="auto"/>
            <w:tcBorders>
              <w:top w:val="nil"/>
              <w:left w:val="nil"/>
              <w:bottom w:val="nil"/>
              <w:right w:val="nil"/>
            </w:tcBorders>
            <w:shd w:val="clear" w:color="auto" w:fill="auto"/>
            <w:vAlign w:val="center"/>
          </w:tcPr>
          <w:p w14:paraId="44C350C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0" w:type="auto"/>
            <w:tcBorders>
              <w:top w:val="nil"/>
              <w:left w:val="nil"/>
              <w:bottom w:val="nil"/>
              <w:right w:val="nil"/>
            </w:tcBorders>
            <w:shd w:val="clear" w:color="auto" w:fill="auto"/>
            <w:vAlign w:val="center"/>
          </w:tcPr>
          <w:p w14:paraId="128B4A0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0" w:type="auto"/>
            <w:tcBorders>
              <w:top w:val="nil"/>
              <w:left w:val="nil"/>
              <w:bottom w:val="nil"/>
              <w:right w:val="nil"/>
            </w:tcBorders>
            <w:shd w:val="clear" w:color="auto" w:fill="auto"/>
            <w:vAlign w:val="center"/>
          </w:tcPr>
          <w:p w14:paraId="5593585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7.4</w:t>
            </w:r>
          </w:p>
        </w:tc>
        <w:tc>
          <w:tcPr>
            <w:tcW w:w="0" w:type="auto"/>
            <w:tcBorders>
              <w:top w:val="nil"/>
              <w:left w:val="nil"/>
              <w:bottom w:val="nil"/>
              <w:right w:val="nil"/>
            </w:tcBorders>
            <w:shd w:val="clear" w:color="auto" w:fill="auto"/>
            <w:vAlign w:val="center"/>
          </w:tcPr>
          <w:p w14:paraId="2DA1624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0" w:type="auto"/>
            <w:tcBorders>
              <w:top w:val="nil"/>
              <w:left w:val="nil"/>
              <w:bottom w:val="nil"/>
              <w:right w:val="nil"/>
            </w:tcBorders>
            <w:shd w:val="clear" w:color="auto" w:fill="auto"/>
            <w:vAlign w:val="center"/>
          </w:tcPr>
          <w:p w14:paraId="3AB2CBA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w:t>
            </w:r>
          </w:p>
        </w:tc>
        <w:tc>
          <w:tcPr>
            <w:tcW w:w="791" w:type="dxa"/>
            <w:tcBorders>
              <w:top w:val="nil"/>
              <w:left w:val="nil"/>
              <w:bottom w:val="nil"/>
              <w:right w:val="nil"/>
            </w:tcBorders>
            <w:shd w:val="clear" w:color="auto" w:fill="auto"/>
            <w:noWrap/>
            <w:vAlign w:val="center"/>
          </w:tcPr>
          <w:p w14:paraId="595CF1E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37</w:t>
            </w:r>
          </w:p>
        </w:tc>
      </w:tr>
      <w:tr w14:paraId="6FD75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jc w:val="center"/>
        </w:trPr>
        <w:tc>
          <w:tcPr>
            <w:tcW w:w="0" w:type="auto"/>
            <w:tcBorders>
              <w:top w:val="nil"/>
              <w:left w:val="nil"/>
              <w:bottom w:val="nil"/>
              <w:right w:val="nil"/>
            </w:tcBorders>
            <w:shd w:val="clear" w:color="auto" w:fill="auto"/>
            <w:vAlign w:val="center"/>
          </w:tcPr>
          <w:p w14:paraId="3D45127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iCs/>
                <w:color w:val="000000"/>
                <w:kern w:val="2"/>
                <w:sz w:val="20"/>
                <w:szCs w:val="20"/>
                <w:u w:val="none"/>
              </w:rPr>
            </w:pPr>
            <w:r>
              <w:rPr>
                <w:rStyle w:val="65"/>
                <w:rFonts w:eastAsia="宋体"/>
                <w:kern w:val="2"/>
                <w:lang w:val="en-US" w:eastAsia="zh-CN" w:bidi="ar"/>
              </w:rPr>
              <w:t xml:space="preserve">Sus </w:t>
            </w:r>
            <w:r>
              <w:rPr>
                <w:rStyle w:val="66"/>
                <w:rFonts w:eastAsia="宋体"/>
                <w:kern w:val="2"/>
                <w:lang w:val="en-US" w:eastAsia="zh-CN" w:bidi="ar"/>
              </w:rPr>
              <w:t>sp</w:t>
            </w:r>
            <w:r>
              <w:rPr>
                <w:rStyle w:val="65"/>
                <w:rFonts w:eastAsia="宋体"/>
                <w:kern w:val="2"/>
                <w:lang w:val="en-US" w:eastAsia="zh-CN" w:bidi="ar"/>
              </w:rPr>
              <w:t>.</w:t>
            </w:r>
          </w:p>
        </w:tc>
        <w:tc>
          <w:tcPr>
            <w:tcW w:w="0" w:type="auto"/>
            <w:tcBorders>
              <w:top w:val="nil"/>
              <w:left w:val="nil"/>
              <w:bottom w:val="nil"/>
              <w:right w:val="nil"/>
            </w:tcBorders>
            <w:shd w:val="clear" w:color="auto" w:fill="auto"/>
            <w:vAlign w:val="center"/>
          </w:tcPr>
          <w:p w14:paraId="556E073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755" w:type="dxa"/>
            <w:tcBorders>
              <w:top w:val="nil"/>
              <w:left w:val="nil"/>
              <w:bottom w:val="nil"/>
              <w:right w:val="nil"/>
            </w:tcBorders>
            <w:shd w:val="clear" w:color="auto" w:fill="auto"/>
            <w:vAlign w:val="center"/>
          </w:tcPr>
          <w:p w14:paraId="7569472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w:t>
            </w:r>
          </w:p>
        </w:tc>
        <w:tc>
          <w:tcPr>
            <w:tcW w:w="0" w:type="auto"/>
            <w:tcBorders>
              <w:top w:val="nil"/>
              <w:left w:val="nil"/>
              <w:bottom w:val="nil"/>
              <w:right w:val="nil"/>
            </w:tcBorders>
            <w:shd w:val="clear" w:color="auto" w:fill="auto"/>
            <w:vAlign w:val="center"/>
          </w:tcPr>
          <w:p w14:paraId="554824B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56" w:type="dxa"/>
            <w:tcBorders>
              <w:top w:val="nil"/>
              <w:left w:val="nil"/>
              <w:bottom w:val="nil"/>
              <w:right w:val="nil"/>
            </w:tcBorders>
            <w:shd w:val="clear" w:color="auto" w:fill="auto"/>
            <w:vAlign w:val="center"/>
          </w:tcPr>
          <w:p w14:paraId="7D9459E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0" w:type="auto"/>
            <w:tcBorders>
              <w:top w:val="nil"/>
              <w:left w:val="nil"/>
              <w:bottom w:val="nil"/>
              <w:right w:val="nil"/>
            </w:tcBorders>
            <w:shd w:val="clear" w:color="auto" w:fill="auto"/>
            <w:vAlign w:val="center"/>
          </w:tcPr>
          <w:p w14:paraId="48C719B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56" w:type="dxa"/>
            <w:tcBorders>
              <w:top w:val="nil"/>
              <w:left w:val="nil"/>
              <w:bottom w:val="nil"/>
              <w:right w:val="nil"/>
            </w:tcBorders>
            <w:shd w:val="clear" w:color="auto" w:fill="auto"/>
            <w:vAlign w:val="center"/>
          </w:tcPr>
          <w:p w14:paraId="1256872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763" w:type="dxa"/>
            <w:tcBorders>
              <w:top w:val="nil"/>
              <w:left w:val="nil"/>
              <w:bottom w:val="nil"/>
              <w:right w:val="nil"/>
            </w:tcBorders>
            <w:shd w:val="clear" w:color="auto" w:fill="auto"/>
            <w:vAlign w:val="center"/>
          </w:tcPr>
          <w:p w14:paraId="283D06B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56" w:type="dxa"/>
            <w:tcBorders>
              <w:top w:val="nil"/>
              <w:left w:val="nil"/>
              <w:bottom w:val="nil"/>
              <w:right w:val="nil"/>
            </w:tcBorders>
            <w:shd w:val="clear" w:color="auto" w:fill="auto"/>
            <w:vAlign w:val="center"/>
          </w:tcPr>
          <w:p w14:paraId="1180831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0" w:type="auto"/>
            <w:tcBorders>
              <w:top w:val="nil"/>
              <w:left w:val="nil"/>
              <w:bottom w:val="nil"/>
              <w:right w:val="nil"/>
            </w:tcBorders>
            <w:shd w:val="clear" w:color="auto" w:fill="auto"/>
            <w:vAlign w:val="center"/>
          </w:tcPr>
          <w:p w14:paraId="031997C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56" w:type="dxa"/>
            <w:tcBorders>
              <w:top w:val="nil"/>
              <w:left w:val="nil"/>
              <w:bottom w:val="nil"/>
              <w:right w:val="nil"/>
            </w:tcBorders>
            <w:shd w:val="clear" w:color="auto" w:fill="auto"/>
            <w:vAlign w:val="center"/>
          </w:tcPr>
          <w:p w14:paraId="1277123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763" w:type="dxa"/>
            <w:tcBorders>
              <w:top w:val="nil"/>
              <w:left w:val="nil"/>
              <w:bottom w:val="nil"/>
              <w:right w:val="nil"/>
            </w:tcBorders>
            <w:shd w:val="clear" w:color="auto" w:fill="auto"/>
            <w:vAlign w:val="center"/>
          </w:tcPr>
          <w:p w14:paraId="2FDD0D2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56" w:type="dxa"/>
            <w:tcBorders>
              <w:top w:val="nil"/>
              <w:left w:val="nil"/>
              <w:bottom w:val="nil"/>
              <w:right w:val="nil"/>
            </w:tcBorders>
            <w:shd w:val="clear" w:color="auto" w:fill="auto"/>
            <w:vAlign w:val="center"/>
          </w:tcPr>
          <w:p w14:paraId="7AED5E6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0" w:type="auto"/>
            <w:tcBorders>
              <w:top w:val="nil"/>
              <w:left w:val="nil"/>
              <w:bottom w:val="nil"/>
              <w:right w:val="nil"/>
            </w:tcBorders>
            <w:shd w:val="clear" w:color="auto" w:fill="auto"/>
            <w:vAlign w:val="center"/>
          </w:tcPr>
          <w:p w14:paraId="4E54615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0" w:type="auto"/>
            <w:tcBorders>
              <w:top w:val="nil"/>
              <w:left w:val="nil"/>
              <w:bottom w:val="nil"/>
              <w:right w:val="nil"/>
            </w:tcBorders>
            <w:shd w:val="clear" w:color="auto" w:fill="auto"/>
            <w:vAlign w:val="center"/>
          </w:tcPr>
          <w:p w14:paraId="350FCAC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0" w:type="auto"/>
            <w:tcBorders>
              <w:top w:val="nil"/>
              <w:left w:val="nil"/>
              <w:bottom w:val="nil"/>
              <w:right w:val="nil"/>
            </w:tcBorders>
            <w:shd w:val="clear" w:color="auto" w:fill="auto"/>
            <w:vAlign w:val="center"/>
          </w:tcPr>
          <w:p w14:paraId="292DED2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0" w:type="auto"/>
            <w:tcBorders>
              <w:top w:val="nil"/>
              <w:left w:val="nil"/>
              <w:bottom w:val="nil"/>
              <w:right w:val="nil"/>
            </w:tcBorders>
            <w:shd w:val="clear" w:color="auto" w:fill="auto"/>
            <w:vAlign w:val="center"/>
          </w:tcPr>
          <w:p w14:paraId="69F8FBE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0" w:type="auto"/>
            <w:tcBorders>
              <w:top w:val="nil"/>
              <w:left w:val="nil"/>
              <w:bottom w:val="nil"/>
              <w:right w:val="nil"/>
            </w:tcBorders>
            <w:shd w:val="clear" w:color="auto" w:fill="auto"/>
            <w:vAlign w:val="center"/>
          </w:tcPr>
          <w:p w14:paraId="67B135A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0" w:type="auto"/>
            <w:tcBorders>
              <w:top w:val="nil"/>
              <w:left w:val="nil"/>
              <w:bottom w:val="nil"/>
              <w:right w:val="nil"/>
            </w:tcBorders>
            <w:shd w:val="clear" w:color="auto" w:fill="auto"/>
            <w:vAlign w:val="center"/>
          </w:tcPr>
          <w:p w14:paraId="675E6A3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791" w:type="dxa"/>
            <w:tcBorders>
              <w:top w:val="nil"/>
              <w:left w:val="nil"/>
              <w:bottom w:val="nil"/>
              <w:right w:val="nil"/>
            </w:tcBorders>
            <w:shd w:val="clear" w:color="auto" w:fill="auto"/>
            <w:noWrap/>
            <w:vAlign w:val="center"/>
          </w:tcPr>
          <w:p w14:paraId="58FBB44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1E7C5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jc w:val="center"/>
        </w:trPr>
        <w:tc>
          <w:tcPr>
            <w:tcW w:w="0" w:type="auto"/>
            <w:tcBorders>
              <w:top w:val="nil"/>
              <w:left w:val="nil"/>
              <w:bottom w:val="nil"/>
              <w:right w:val="nil"/>
            </w:tcBorders>
            <w:shd w:val="clear" w:color="auto" w:fill="auto"/>
            <w:vAlign w:val="center"/>
          </w:tcPr>
          <w:p w14:paraId="618DCDE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iCs/>
                <w:color w:val="000000"/>
                <w:kern w:val="2"/>
                <w:sz w:val="20"/>
                <w:szCs w:val="20"/>
                <w:u w:val="none"/>
              </w:rPr>
            </w:pPr>
            <w:r>
              <w:rPr>
                <w:rStyle w:val="65"/>
                <w:rFonts w:eastAsia="宋体"/>
                <w:kern w:val="2"/>
                <w:lang w:val="en-US" w:eastAsia="zh-CN" w:bidi="ar"/>
              </w:rPr>
              <w:t xml:space="preserve">Pseudois </w:t>
            </w:r>
            <w:r>
              <w:rPr>
                <w:rStyle w:val="66"/>
                <w:rFonts w:eastAsia="宋体"/>
                <w:kern w:val="2"/>
                <w:lang w:val="en-US" w:eastAsia="zh-CN" w:bidi="ar"/>
              </w:rPr>
              <w:t>sp</w:t>
            </w:r>
            <w:r>
              <w:rPr>
                <w:rStyle w:val="65"/>
                <w:rFonts w:eastAsia="宋体"/>
                <w:kern w:val="2"/>
                <w:lang w:val="en-US" w:eastAsia="zh-CN" w:bidi="ar"/>
              </w:rPr>
              <w:t>.</w:t>
            </w:r>
          </w:p>
        </w:tc>
        <w:tc>
          <w:tcPr>
            <w:tcW w:w="0" w:type="auto"/>
            <w:tcBorders>
              <w:top w:val="nil"/>
              <w:left w:val="nil"/>
              <w:bottom w:val="nil"/>
              <w:right w:val="nil"/>
            </w:tcBorders>
            <w:shd w:val="clear" w:color="auto" w:fill="auto"/>
            <w:vAlign w:val="center"/>
          </w:tcPr>
          <w:p w14:paraId="70AD1F0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55" w:type="dxa"/>
            <w:tcBorders>
              <w:top w:val="nil"/>
              <w:left w:val="nil"/>
              <w:bottom w:val="nil"/>
              <w:right w:val="nil"/>
            </w:tcBorders>
            <w:shd w:val="clear" w:color="auto" w:fill="auto"/>
            <w:vAlign w:val="center"/>
          </w:tcPr>
          <w:p w14:paraId="49C2752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0" w:type="auto"/>
            <w:tcBorders>
              <w:top w:val="nil"/>
              <w:left w:val="nil"/>
              <w:bottom w:val="nil"/>
              <w:right w:val="nil"/>
            </w:tcBorders>
            <w:shd w:val="clear" w:color="auto" w:fill="auto"/>
            <w:vAlign w:val="center"/>
          </w:tcPr>
          <w:p w14:paraId="3AD8D53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756" w:type="dxa"/>
            <w:tcBorders>
              <w:top w:val="nil"/>
              <w:left w:val="nil"/>
              <w:bottom w:val="nil"/>
              <w:right w:val="nil"/>
            </w:tcBorders>
            <w:shd w:val="clear" w:color="auto" w:fill="auto"/>
            <w:vAlign w:val="center"/>
          </w:tcPr>
          <w:p w14:paraId="03EC937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w:t>
            </w:r>
          </w:p>
        </w:tc>
        <w:tc>
          <w:tcPr>
            <w:tcW w:w="0" w:type="auto"/>
            <w:tcBorders>
              <w:top w:val="nil"/>
              <w:left w:val="nil"/>
              <w:bottom w:val="nil"/>
              <w:right w:val="nil"/>
            </w:tcBorders>
            <w:shd w:val="clear" w:color="auto" w:fill="auto"/>
            <w:vAlign w:val="center"/>
          </w:tcPr>
          <w:p w14:paraId="59CCFC1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56" w:type="dxa"/>
            <w:tcBorders>
              <w:top w:val="nil"/>
              <w:left w:val="nil"/>
              <w:bottom w:val="nil"/>
              <w:right w:val="nil"/>
            </w:tcBorders>
            <w:shd w:val="clear" w:color="auto" w:fill="auto"/>
            <w:vAlign w:val="center"/>
          </w:tcPr>
          <w:p w14:paraId="289FE86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763" w:type="dxa"/>
            <w:tcBorders>
              <w:top w:val="nil"/>
              <w:left w:val="nil"/>
              <w:bottom w:val="nil"/>
              <w:right w:val="nil"/>
            </w:tcBorders>
            <w:shd w:val="clear" w:color="auto" w:fill="auto"/>
            <w:vAlign w:val="center"/>
          </w:tcPr>
          <w:p w14:paraId="5D58192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756" w:type="dxa"/>
            <w:tcBorders>
              <w:top w:val="nil"/>
              <w:left w:val="nil"/>
              <w:bottom w:val="nil"/>
              <w:right w:val="nil"/>
            </w:tcBorders>
            <w:shd w:val="clear" w:color="auto" w:fill="auto"/>
            <w:vAlign w:val="center"/>
          </w:tcPr>
          <w:p w14:paraId="5661E6B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2.9</w:t>
            </w:r>
          </w:p>
        </w:tc>
        <w:tc>
          <w:tcPr>
            <w:tcW w:w="0" w:type="auto"/>
            <w:tcBorders>
              <w:top w:val="nil"/>
              <w:left w:val="nil"/>
              <w:bottom w:val="nil"/>
              <w:right w:val="nil"/>
            </w:tcBorders>
            <w:shd w:val="clear" w:color="auto" w:fill="auto"/>
            <w:vAlign w:val="center"/>
          </w:tcPr>
          <w:p w14:paraId="23E07D9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56" w:type="dxa"/>
            <w:tcBorders>
              <w:top w:val="nil"/>
              <w:left w:val="nil"/>
              <w:bottom w:val="nil"/>
              <w:right w:val="nil"/>
            </w:tcBorders>
            <w:shd w:val="clear" w:color="auto" w:fill="auto"/>
            <w:vAlign w:val="center"/>
          </w:tcPr>
          <w:p w14:paraId="334B8DF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763" w:type="dxa"/>
            <w:tcBorders>
              <w:top w:val="nil"/>
              <w:left w:val="nil"/>
              <w:bottom w:val="nil"/>
              <w:right w:val="nil"/>
            </w:tcBorders>
            <w:shd w:val="clear" w:color="auto" w:fill="auto"/>
            <w:vAlign w:val="center"/>
          </w:tcPr>
          <w:p w14:paraId="34F16C5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56" w:type="dxa"/>
            <w:tcBorders>
              <w:top w:val="nil"/>
              <w:left w:val="nil"/>
              <w:bottom w:val="nil"/>
              <w:right w:val="nil"/>
            </w:tcBorders>
            <w:shd w:val="clear" w:color="auto" w:fill="auto"/>
            <w:vAlign w:val="center"/>
          </w:tcPr>
          <w:p w14:paraId="753DD00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0" w:type="auto"/>
            <w:tcBorders>
              <w:top w:val="nil"/>
              <w:left w:val="nil"/>
              <w:bottom w:val="nil"/>
              <w:right w:val="nil"/>
            </w:tcBorders>
            <w:shd w:val="clear" w:color="auto" w:fill="auto"/>
            <w:vAlign w:val="center"/>
          </w:tcPr>
          <w:p w14:paraId="6369A59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0" w:type="auto"/>
            <w:tcBorders>
              <w:top w:val="nil"/>
              <w:left w:val="nil"/>
              <w:bottom w:val="nil"/>
              <w:right w:val="nil"/>
            </w:tcBorders>
            <w:shd w:val="clear" w:color="auto" w:fill="auto"/>
            <w:vAlign w:val="center"/>
          </w:tcPr>
          <w:p w14:paraId="4DCC12B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0" w:type="auto"/>
            <w:tcBorders>
              <w:top w:val="nil"/>
              <w:left w:val="nil"/>
              <w:bottom w:val="nil"/>
              <w:right w:val="nil"/>
            </w:tcBorders>
            <w:shd w:val="clear" w:color="auto" w:fill="auto"/>
            <w:vAlign w:val="center"/>
          </w:tcPr>
          <w:p w14:paraId="5F7A5E0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0" w:type="auto"/>
            <w:tcBorders>
              <w:top w:val="nil"/>
              <w:left w:val="nil"/>
              <w:bottom w:val="nil"/>
              <w:right w:val="nil"/>
            </w:tcBorders>
            <w:shd w:val="clear" w:color="auto" w:fill="auto"/>
            <w:vAlign w:val="center"/>
          </w:tcPr>
          <w:p w14:paraId="595EFC6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0" w:type="auto"/>
            <w:tcBorders>
              <w:top w:val="nil"/>
              <w:left w:val="nil"/>
              <w:bottom w:val="nil"/>
              <w:right w:val="nil"/>
            </w:tcBorders>
            <w:shd w:val="clear" w:color="auto" w:fill="auto"/>
            <w:vAlign w:val="center"/>
          </w:tcPr>
          <w:p w14:paraId="6C3149C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0" w:type="auto"/>
            <w:tcBorders>
              <w:top w:val="nil"/>
              <w:left w:val="nil"/>
              <w:bottom w:val="nil"/>
              <w:right w:val="nil"/>
            </w:tcBorders>
            <w:shd w:val="clear" w:color="auto" w:fill="auto"/>
            <w:vAlign w:val="center"/>
          </w:tcPr>
          <w:p w14:paraId="2270A37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791" w:type="dxa"/>
            <w:tcBorders>
              <w:top w:val="nil"/>
              <w:left w:val="nil"/>
              <w:bottom w:val="nil"/>
              <w:right w:val="nil"/>
            </w:tcBorders>
            <w:shd w:val="clear" w:color="auto" w:fill="auto"/>
            <w:noWrap/>
            <w:vAlign w:val="center"/>
          </w:tcPr>
          <w:p w14:paraId="0F21A64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r>
      <w:tr w14:paraId="062D6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jc w:val="center"/>
        </w:trPr>
        <w:tc>
          <w:tcPr>
            <w:tcW w:w="0" w:type="auto"/>
            <w:tcBorders>
              <w:top w:val="nil"/>
              <w:left w:val="nil"/>
              <w:bottom w:val="nil"/>
              <w:right w:val="nil"/>
            </w:tcBorders>
            <w:shd w:val="clear" w:color="auto" w:fill="auto"/>
            <w:vAlign w:val="center"/>
          </w:tcPr>
          <w:p w14:paraId="284EABEC">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iCs/>
                <w:color w:val="000000"/>
                <w:kern w:val="2"/>
                <w:sz w:val="20"/>
                <w:szCs w:val="20"/>
                <w:u w:val="none"/>
              </w:rPr>
            </w:pPr>
            <w:r>
              <w:rPr>
                <w:rStyle w:val="65"/>
                <w:rFonts w:eastAsia="宋体"/>
                <w:kern w:val="2"/>
                <w:lang w:val="en-US" w:eastAsia="zh-CN" w:bidi="ar"/>
              </w:rPr>
              <w:t xml:space="preserve">Capra </w:t>
            </w:r>
            <w:r>
              <w:rPr>
                <w:rStyle w:val="66"/>
                <w:rFonts w:eastAsia="宋体"/>
                <w:kern w:val="2"/>
                <w:lang w:val="en-US" w:eastAsia="zh-CN" w:bidi="ar"/>
              </w:rPr>
              <w:t>sp</w:t>
            </w:r>
            <w:r>
              <w:rPr>
                <w:rStyle w:val="65"/>
                <w:rFonts w:eastAsia="宋体"/>
                <w:kern w:val="2"/>
                <w:lang w:val="en-US" w:eastAsia="zh-CN" w:bidi="ar"/>
              </w:rPr>
              <w:t>.</w:t>
            </w:r>
          </w:p>
        </w:tc>
        <w:tc>
          <w:tcPr>
            <w:tcW w:w="0" w:type="auto"/>
            <w:tcBorders>
              <w:top w:val="nil"/>
              <w:left w:val="nil"/>
              <w:bottom w:val="nil"/>
              <w:right w:val="nil"/>
            </w:tcBorders>
            <w:shd w:val="clear" w:color="auto" w:fill="auto"/>
            <w:vAlign w:val="center"/>
          </w:tcPr>
          <w:p w14:paraId="1047BB7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55" w:type="dxa"/>
            <w:tcBorders>
              <w:top w:val="nil"/>
              <w:left w:val="nil"/>
              <w:bottom w:val="nil"/>
              <w:right w:val="nil"/>
            </w:tcBorders>
            <w:shd w:val="clear" w:color="auto" w:fill="auto"/>
            <w:vAlign w:val="center"/>
          </w:tcPr>
          <w:p w14:paraId="52DB80D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0" w:type="auto"/>
            <w:tcBorders>
              <w:top w:val="nil"/>
              <w:left w:val="nil"/>
              <w:bottom w:val="nil"/>
              <w:right w:val="nil"/>
            </w:tcBorders>
            <w:shd w:val="clear" w:color="auto" w:fill="auto"/>
            <w:vAlign w:val="center"/>
          </w:tcPr>
          <w:p w14:paraId="4F82ACE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56" w:type="dxa"/>
            <w:tcBorders>
              <w:top w:val="nil"/>
              <w:left w:val="nil"/>
              <w:bottom w:val="nil"/>
              <w:right w:val="nil"/>
            </w:tcBorders>
            <w:shd w:val="clear" w:color="auto" w:fill="auto"/>
            <w:vAlign w:val="center"/>
          </w:tcPr>
          <w:p w14:paraId="57F0CD0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0" w:type="auto"/>
            <w:tcBorders>
              <w:top w:val="nil"/>
              <w:left w:val="nil"/>
              <w:bottom w:val="nil"/>
              <w:right w:val="nil"/>
            </w:tcBorders>
            <w:shd w:val="clear" w:color="auto" w:fill="auto"/>
            <w:vAlign w:val="center"/>
          </w:tcPr>
          <w:p w14:paraId="24A9498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56" w:type="dxa"/>
            <w:tcBorders>
              <w:top w:val="nil"/>
              <w:left w:val="nil"/>
              <w:bottom w:val="nil"/>
              <w:right w:val="nil"/>
            </w:tcBorders>
            <w:shd w:val="clear" w:color="auto" w:fill="auto"/>
            <w:vAlign w:val="center"/>
          </w:tcPr>
          <w:p w14:paraId="748C51D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763" w:type="dxa"/>
            <w:tcBorders>
              <w:top w:val="nil"/>
              <w:left w:val="nil"/>
              <w:bottom w:val="nil"/>
              <w:right w:val="nil"/>
            </w:tcBorders>
            <w:shd w:val="clear" w:color="auto" w:fill="auto"/>
            <w:vAlign w:val="center"/>
          </w:tcPr>
          <w:p w14:paraId="68438BE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756" w:type="dxa"/>
            <w:tcBorders>
              <w:top w:val="nil"/>
              <w:left w:val="nil"/>
              <w:bottom w:val="nil"/>
              <w:right w:val="nil"/>
            </w:tcBorders>
            <w:shd w:val="clear" w:color="auto" w:fill="auto"/>
            <w:vAlign w:val="center"/>
          </w:tcPr>
          <w:p w14:paraId="22C516E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0" w:type="auto"/>
            <w:tcBorders>
              <w:top w:val="nil"/>
              <w:left w:val="nil"/>
              <w:bottom w:val="nil"/>
              <w:right w:val="nil"/>
            </w:tcBorders>
            <w:shd w:val="clear" w:color="auto" w:fill="auto"/>
            <w:vAlign w:val="center"/>
          </w:tcPr>
          <w:p w14:paraId="79DA01C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56" w:type="dxa"/>
            <w:tcBorders>
              <w:top w:val="nil"/>
              <w:left w:val="nil"/>
              <w:bottom w:val="nil"/>
              <w:right w:val="nil"/>
            </w:tcBorders>
            <w:shd w:val="clear" w:color="auto" w:fill="auto"/>
            <w:vAlign w:val="center"/>
          </w:tcPr>
          <w:p w14:paraId="09D602A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763" w:type="dxa"/>
            <w:tcBorders>
              <w:top w:val="nil"/>
              <w:left w:val="nil"/>
              <w:bottom w:val="nil"/>
              <w:right w:val="nil"/>
            </w:tcBorders>
            <w:shd w:val="clear" w:color="auto" w:fill="auto"/>
            <w:vAlign w:val="center"/>
          </w:tcPr>
          <w:p w14:paraId="2E604E0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w:t>
            </w:r>
          </w:p>
        </w:tc>
        <w:tc>
          <w:tcPr>
            <w:tcW w:w="756" w:type="dxa"/>
            <w:tcBorders>
              <w:top w:val="nil"/>
              <w:left w:val="nil"/>
              <w:bottom w:val="nil"/>
              <w:right w:val="nil"/>
            </w:tcBorders>
            <w:shd w:val="clear" w:color="auto" w:fill="auto"/>
            <w:vAlign w:val="center"/>
          </w:tcPr>
          <w:p w14:paraId="65EFCB8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5.6</w:t>
            </w:r>
          </w:p>
        </w:tc>
        <w:tc>
          <w:tcPr>
            <w:tcW w:w="0" w:type="auto"/>
            <w:tcBorders>
              <w:top w:val="nil"/>
              <w:left w:val="nil"/>
              <w:bottom w:val="nil"/>
              <w:right w:val="nil"/>
            </w:tcBorders>
            <w:shd w:val="clear" w:color="auto" w:fill="auto"/>
            <w:vAlign w:val="center"/>
          </w:tcPr>
          <w:p w14:paraId="38BDD05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0" w:type="auto"/>
            <w:tcBorders>
              <w:top w:val="nil"/>
              <w:left w:val="nil"/>
              <w:bottom w:val="nil"/>
              <w:right w:val="nil"/>
            </w:tcBorders>
            <w:shd w:val="clear" w:color="auto" w:fill="auto"/>
            <w:vAlign w:val="center"/>
          </w:tcPr>
          <w:p w14:paraId="7A94F0C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0" w:type="auto"/>
            <w:tcBorders>
              <w:top w:val="nil"/>
              <w:left w:val="nil"/>
              <w:bottom w:val="nil"/>
              <w:right w:val="nil"/>
            </w:tcBorders>
            <w:shd w:val="clear" w:color="auto" w:fill="auto"/>
            <w:vAlign w:val="center"/>
          </w:tcPr>
          <w:p w14:paraId="04700B2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0" w:type="auto"/>
            <w:tcBorders>
              <w:top w:val="nil"/>
              <w:left w:val="nil"/>
              <w:bottom w:val="nil"/>
              <w:right w:val="nil"/>
            </w:tcBorders>
            <w:shd w:val="clear" w:color="auto" w:fill="auto"/>
            <w:vAlign w:val="center"/>
          </w:tcPr>
          <w:p w14:paraId="74E3983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w:t>
            </w:r>
          </w:p>
        </w:tc>
        <w:tc>
          <w:tcPr>
            <w:tcW w:w="0" w:type="auto"/>
            <w:tcBorders>
              <w:top w:val="nil"/>
              <w:left w:val="nil"/>
              <w:bottom w:val="nil"/>
              <w:right w:val="nil"/>
            </w:tcBorders>
            <w:shd w:val="clear" w:color="auto" w:fill="auto"/>
            <w:vAlign w:val="center"/>
          </w:tcPr>
          <w:p w14:paraId="200BFC4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0" w:type="auto"/>
            <w:tcBorders>
              <w:top w:val="nil"/>
              <w:left w:val="nil"/>
              <w:bottom w:val="nil"/>
              <w:right w:val="nil"/>
            </w:tcBorders>
            <w:shd w:val="clear" w:color="auto" w:fill="auto"/>
            <w:vAlign w:val="center"/>
          </w:tcPr>
          <w:p w14:paraId="5B6A634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791" w:type="dxa"/>
            <w:tcBorders>
              <w:top w:val="nil"/>
              <w:left w:val="nil"/>
              <w:bottom w:val="nil"/>
              <w:right w:val="nil"/>
            </w:tcBorders>
            <w:shd w:val="clear" w:color="auto" w:fill="auto"/>
            <w:noWrap/>
            <w:vAlign w:val="center"/>
          </w:tcPr>
          <w:p w14:paraId="1899E3E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w:t>
            </w:r>
          </w:p>
        </w:tc>
      </w:tr>
      <w:tr w14:paraId="107A6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jc w:val="center"/>
        </w:trPr>
        <w:tc>
          <w:tcPr>
            <w:tcW w:w="0" w:type="auto"/>
            <w:tcBorders>
              <w:top w:val="nil"/>
              <w:left w:val="nil"/>
              <w:bottom w:val="nil"/>
              <w:right w:val="nil"/>
            </w:tcBorders>
            <w:shd w:val="clear" w:color="auto" w:fill="auto"/>
            <w:vAlign w:val="center"/>
          </w:tcPr>
          <w:p w14:paraId="22CCD5D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iCs/>
                <w:color w:val="000000"/>
                <w:kern w:val="2"/>
                <w:sz w:val="20"/>
                <w:szCs w:val="20"/>
                <w:u w:val="none"/>
              </w:rPr>
            </w:pPr>
            <w:r>
              <w:rPr>
                <w:rFonts w:hint="default" w:ascii="Times New Roman" w:hAnsi="Times New Roman" w:eastAsia="宋体" w:cs="Times New Roman"/>
                <w:i/>
                <w:iCs/>
                <w:color w:val="000000"/>
                <w:kern w:val="0"/>
                <w:sz w:val="20"/>
                <w:szCs w:val="20"/>
                <w:u w:val="none"/>
                <w:lang w:val="en-US" w:eastAsia="zh-CN" w:bidi="ar"/>
              </w:rPr>
              <w:t>Ursus thibetanus</w:t>
            </w:r>
          </w:p>
        </w:tc>
        <w:tc>
          <w:tcPr>
            <w:tcW w:w="0" w:type="auto"/>
            <w:tcBorders>
              <w:top w:val="nil"/>
              <w:left w:val="nil"/>
              <w:bottom w:val="nil"/>
              <w:right w:val="nil"/>
            </w:tcBorders>
            <w:shd w:val="clear" w:color="auto" w:fill="auto"/>
            <w:vAlign w:val="center"/>
          </w:tcPr>
          <w:p w14:paraId="6FDF85C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55" w:type="dxa"/>
            <w:tcBorders>
              <w:top w:val="nil"/>
              <w:left w:val="nil"/>
              <w:bottom w:val="nil"/>
              <w:right w:val="nil"/>
            </w:tcBorders>
            <w:shd w:val="clear" w:color="auto" w:fill="auto"/>
            <w:vAlign w:val="center"/>
          </w:tcPr>
          <w:p w14:paraId="4D27C42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0" w:type="auto"/>
            <w:tcBorders>
              <w:top w:val="nil"/>
              <w:left w:val="nil"/>
              <w:bottom w:val="nil"/>
              <w:right w:val="nil"/>
            </w:tcBorders>
            <w:shd w:val="clear" w:color="auto" w:fill="auto"/>
            <w:vAlign w:val="center"/>
          </w:tcPr>
          <w:p w14:paraId="3663F08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56" w:type="dxa"/>
            <w:tcBorders>
              <w:top w:val="nil"/>
              <w:left w:val="nil"/>
              <w:bottom w:val="nil"/>
              <w:right w:val="nil"/>
            </w:tcBorders>
            <w:shd w:val="clear" w:color="auto" w:fill="auto"/>
            <w:vAlign w:val="center"/>
          </w:tcPr>
          <w:p w14:paraId="2178506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0" w:type="auto"/>
            <w:tcBorders>
              <w:top w:val="nil"/>
              <w:left w:val="nil"/>
              <w:bottom w:val="nil"/>
              <w:right w:val="nil"/>
            </w:tcBorders>
            <w:shd w:val="clear" w:color="auto" w:fill="auto"/>
            <w:vAlign w:val="center"/>
          </w:tcPr>
          <w:p w14:paraId="7F80F8C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56" w:type="dxa"/>
            <w:tcBorders>
              <w:top w:val="nil"/>
              <w:left w:val="nil"/>
              <w:bottom w:val="nil"/>
              <w:right w:val="nil"/>
            </w:tcBorders>
            <w:shd w:val="clear" w:color="auto" w:fill="auto"/>
            <w:vAlign w:val="center"/>
          </w:tcPr>
          <w:p w14:paraId="10C9AEB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763" w:type="dxa"/>
            <w:tcBorders>
              <w:top w:val="nil"/>
              <w:left w:val="nil"/>
              <w:bottom w:val="nil"/>
              <w:right w:val="nil"/>
            </w:tcBorders>
            <w:shd w:val="clear" w:color="auto" w:fill="auto"/>
            <w:vAlign w:val="center"/>
          </w:tcPr>
          <w:p w14:paraId="2F1B590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56" w:type="dxa"/>
            <w:tcBorders>
              <w:top w:val="nil"/>
              <w:left w:val="nil"/>
              <w:bottom w:val="nil"/>
              <w:right w:val="nil"/>
            </w:tcBorders>
            <w:shd w:val="clear" w:color="auto" w:fill="auto"/>
            <w:vAlign w:val="center"/>
          </w:tcPr>
          <w:p w14:paraId="214B7E2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0" w:type="auto"/>
            <w:tcBorders>
              <w:top w:val="nil"/>
              <w:left w:val="nil"/>
              <w:bottom w:val="nil"/>
              <w:right w:val="nil"/>
            </w:tcBorders>
            <w:shd w:val="clear" w:color="auto" w:fill="auto"/>
            <w:vAlign w:val="center"/>
          </w:tcPr>
          <w:p w14:paraId="6A331CD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56" w:type="dxa"/>
            <w:tcBorders>
              <w:top w:val="nil"/>
              <w:left w:val="nil"/>
              <w:bottom w:val="nil"/>
              <w:right w:val="nil"/>
            </w:tcBorders>
            <w:shd w:val="clear" w:color="auto" w:fill="auto"/>
            <w:vAlign w:val="center"/>
          </w:tcPr>
          <w:p w14:paraId="5FF82BE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763" w:type="dxa"/>
            <w:tcBorders>
              <w:top w:val="nil"/>
              <w:left w:val="nil"/>
              <w:bottom w:val="nil"/>
              <w:right w:val="nil"/>
            </w:tcBorders>
            <w:shd w:val="clear" w:color="auto" w:fill="auto"/>
            <w:vAlign w:val="center"/>
          </w:tcPr>
          <w:p w14:paraId="1BF63DC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56" w:type="dxa"/>
            <w:tcBorders>
              <w:top w:val="nil"/>
              <w:left w:val="nil"/>
              <w:bottom w:val="nil"/>
              <w:right w:val="nil"/>
            </w:tcBorders>
            <w:shd w:val="clear" w:color="auto" w:fill="auto"/>
            <w:vAlign w:val="center"/>
          </w:tcPr>
          <w:p w14:paraId="0366E8A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0" w:type="auto"/>
            <w:tcBorders>
              <w:top w:val="nil"/>
              <w:left w:val="nil"/>
              <w:bottom w:val="nil"/>
              <w:right w:val="nil"/>
            </w:tcBorders>
            <w:shd w:val="clear" w:color="auto" w:fill="auto"/>
            <w:vAlign w:val="center"/>
          </w:tcPr>
          <w:p w14:paraId="0ADE676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0" w:type="auto"/>
            <w:tcBorders>
              <w:top w:val="nil"/>
              <w:left w:val="nil"/>
              <w:bottom w:val="nil"/>
              <w:right w:val="nil"/>
            </w:tcBorders>
            <w:shd w:val="clear" w:color="auto" w:fill="auto"/>
            <w:vAlign w:val="center"/>
          </w:tcPr>
          <w:p w14:paraId="7E676C7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0" w:type="auto"/>
            <w:tcBorders>
              <w:top w:val="nil"/>
              <w:left w:val="nil"/>
              <w:bottom w:val="nil"/>
              <w:right w:val="nil"/>
            </w:tcBorders>
            <w:shd w:val="clear" w:color="auto" w:fill="auto"/>
            <w:vAlign w:val="center"/>
          </w:tcPr>
          <w:p w14:paraId="215B76F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0" w:type="auto"/>
            <w:tcBorders>
              <w:top w:val="nil"/>
              <w:left w:val="nil"/>
              <w:bottom w:val="nil"/>
              <w:right w:val="nil"/>
            </w:tcBorders>
            <w:shd w:val="clear" w:color="auto" w:fill="auto"/>
            <w:vAlign w:val="center"/>
          </w:tcPr>
          <w:p w14:paraId="76C66CB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0" w:type="auto"/>
            <w:tcBorders>
              <w:top w:val="nil"/>
              <w:left w:val="nil"/>
              <w:bottom w:val="nil"/>
              <w:right w:val="nil"/>
            </w:tcBorders>
            <w:shd w:val="clear" w:color="auto" w:fill="auto"/>
            <w:vAlign w:val="center"/>
          </w:tcPr>
          <w:p w14:paraId="447E43B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0" w:type="auto"/>
            <w:tcBorders>
              <w:top w:val="nil"/>
              <w:left w:val="nil"/>
              <w:bottom w:val="nil"/>
              <w:right w:val="nil"/>
            </w:tcBorders>
            <w:shd w:val="clear" w:color="auto" w:fill="auto"/>
            <w:vAlign w:val="center"/>
          </w:tcPr>
          <w:p w14:paraId="0D1CB89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w:t>
            </w:r>
          </w:p>
        </w:tc>
        <w:tc>
          <w:tcPr>
            <w:tcW w:w="791" w:type="dxa"/>
            <w:tcBorders>
              <w:top w:val="nil"/>
              <w:left w:val="nil"/>
              <w:bottom w:val="nil"/>
              <w:right w:val="nil"/>
            </w:tcBorders>
            <w:shd w:val="clear" w:color="auto" w:fill="auto"/>
            <w:noWrap/>
            <w:vAlign w:val="center"/>
          </w:tcPr>
          <w:p w14:paraId="2D3CE3B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r>
      <w:tr w14:paraId="2F656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jc w:val="center"/>
        </w:trPr>
        <w:tc>
          <w:tcPr>
            <w:tcW w:w="0" w:type="auto"/>
            <w:tcBorders>
              <w:top w:val="nil"/>
              <w:left w:val="nil"/>
              <w:bottom w:val="nil"/>
              <w:right w:val="nil"/>
            </w:tcBorders>
            <w:shd w:val="clear" w:color="auto" w:fill="auto"/>
            <w:vAlign w:val="center"/>
          </w:tcPr>
          <w:p w14:paraId="7EC65D7A">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iCs/>
                <w:color w:val="000000"/>
                <w:kern w:val="2"/>
                <w:sz w:val="20"/>
                <w:szCs w:val="20"/>
                <w:u w:val="none"/>
              </w:rPr>
            </w:pPr>
            <w:r>
              <w:rPr>
                <w:rFonts w:hint="default" w:ascii="Times New Roman" w:hAnsi="Times New Roman" w:eastAsia="宋体" w:cs="Times New Roman"/>
                <w:i/>
                <w:iCs/>
                <w:color w:val="000000"/>
                <w:kern w:val="0"/>
                <w:sz w:val="20"/>
                <w:szCs w:val="20"/>
                <w:u w:val="none"/>
                <w:lang w:val="en-US" w:eastAsia="zh-CN" w:bidi="ar"/>
              </w:rPr>
              <w:t>Crocuta Crocuta ultima</w:t>
            </w:r>
          </w:p>
        </w:tc>
        <w:tc>
          <w:tcPr>
            <w:tcW w:w="0" w:type="auto"/>
            <w:tcBorders>
              <w:top w:val="nil"/>
              <w:left w:val="nil"/>
              <w:bottom w:val="nil"/>
              <w:right w:val="nil"/>
            </w:tcBorders>
            <w:shd w:val="clear" w:color="auto" w:fill="auto"/>
            <w:vAlign w:val="center"/>
          </w:tcPr>
          <w:p w14:paraId="590B247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755" w:type="dxa"/>
            <w:tcBorders>
              <w:top w:val="nil"/>
              <w:left w:val="nil"/>
              <w:bottom w:val="nil"/>
              <w:right w:val="nil"/>
            </w:tcBorders>
            <w:shd w:val="clear" w:color="auto" w:fill="auto"/>
            <w:vAlign w:val="center"/>
          </w:tcPr>
          <w:p w14:paraId="738771E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w:t>
            </w:r>
          </w:p>
        </w:tc>
        <w:tc>
          <w:tcPr>
            <w:tcW w:w="0" w:type="auto"/>
            <w:tcBorders>
              <w:top w:val="nil"/>
              <w:left w:val="nil"/>
              <w:bottom w:val="nil"/>
              <w:right w:val="nil"/>
            </w:tcBorders>
            <w:shd w:val="clear" w:color="auto" w:fill="auto"/>
            <w:vAlign w:val="center"/>
          </w:tcPr>
          <w:p w14:paraId="501BFD4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56" w:type="dxa"/>
            <w:tcBorders>
              <w:top w:val="nil"/>
              <w:left w:val="nil"/>
              <w:bottom w:val="nil"/>
              <w:right w:val="nil"/>
            </w:tcBorders>
            <w:shd w:val="clear" w:color="auto" w:fill="auto"/>
            <w:vAlign w:val="center"/>
          </w:tcPr>
          <w:p w14:paraId="4610B62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0" w:type="auto"/>
            <w:tcBorders>
              <w:top w:val="nil"/>
              <w:left w:val="nil"/>
              <w:bottom w:val="nil"/>
              <w:right w:val="nil"/>
            </w:tcBorders>
            <w:shd w:val="clear" w:color="auto" w:fill="auto"/>
            <w:vAlign w:val="center"/>
          </w:tcPr>
          <w:p w14:paraId="29CA7E8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56" w:type="dxa"/>
            <w:tcBorders>
              <w:top w:val="nil"/>
              <w:left w:val="nil"/>
              <w:bottom w:val="nil"/>
              <w:right w:val="nil"/>
            </w:tcBorders>
            <w:shd w:val="clear" w:color="auto" w:fill="auto"/>
            <w:vAlign w:val="center"/>
          </w:tcPr>
          <w:p w14:paraId="06F5ECC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763" w:type="dxa"/>
            <w:tcBorders>
              <w:top w:val="nil"/>
              <w:left w:val="nil"/>
              <w:bottom w:val="nil"/>
              <w:right w:val="nil"/>
            </w:tcBorders>
            <w:shd w:val="clear" w:color="auto" w:fill="auto"/>
            <w:vAlign w:val="center"/>
          </w:tcPr>
          <w:p w14:paraId="0FEA77A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56" w:type="dxa"/>
            <w:tcBorders>
              <w:top w:val="nil"/>
              <w:left w:val="nil"/>
              <w:bottom w:val="nil"/>
              <w:right w:val="nil"/>
            </w:tcBorders>
            <w:shd w:val="clear" w:color="auto" w:fill="auto"/>
            <w:vAlign w:val="center"/>
          </w:tcPr>
          <w:p w14:paraId="70A03FD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0" w:type="auto"/>
            <w:tcBorders>
              <w:top w:val="nil"/>
              <w:left w:val="nil"/>
              <w:bottom w:val="nil"/>
              <w:right w:val="nil"/>
            </w:tcBorders>
            <w:shd w:val="clear" w:color="auto" w:fill="auto"/>
            <w:vAlign w:val="center"/>
          </w:tcPr>
          <w:p w14:paraId="69120D6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56" w:type="dxa"/>
            <w:tcBorders>
              <w:top w:val="nil"/>
              <w:left w:val="nil"/>
              <w:bottom w:val="nil"/>
              <w:right w:val="nil"/>
            </w:tcBorders>
            <w:shd w:val="clear" w:color="auto" w:fill="auto"/>
            <w:vAlign w:val="center"/>
          </w:tcPr>
          <w:p w14:paraId="3A6308D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763" w:type="dxa"/>
            <w:tcBorders>
              <w:top w:val="nil"/>
              <w:left w:val="nil"/>
              <w:bottom w:val="nil"/>
              <w:right w:val="nil"/>
            </w:tcBorders>
            <w:shd w:val="clear" w:color="auto" w:fill="auto"/>
            <w:vAlign w:val="center"/>
          </w:tcPr>
          <w:p w14:paraId="2FAE754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756" w:type="dxa"/>
            <w:tcBorders>
              <w:top w:val="nil"/>
              <w:left w:val="nil"/>
              <w:bottom w:val="nil"/>
              <w:right w:val="nil"/>
            </w:tcBorders>
            <w:shd w:val="clear" w:color="auto" w:fill="auto"/>
            <w:vAlign w:val="center"/>
          </w:tcPr>
          <w:p w14:paraId="18837F6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5.1</w:t>
            </w:r>
          </w:p>
        </w:tc>
        <w:tc>
          <w:tcPr>
            <w:tcW w:w="0" w:type="auto"/>
            <w:tcBorders>
              <w:top w:val="nil"/>
              <w:left w:val="nil"/>
              <w:bottom w:val="nil"/>
              <w:right w:val="nil"/>
            </w:tcBorders>
            <w:shd w:val="clear" w:color="auto" w:fill="auto"/>
            <w:vAlign w:val="center"/>
          </w:tcPr>
          <w:p w14:paraId="2BBED44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0" w:type="auto"/>
            <w:tcBorders>
              <w:top w:val="nil"/>
              <w:left w:val="nil"/>
              <w:bottom w:val="nil"/>
              <w:right w:val="nil"/>
            </w:tcBorders>
            <w:shd w:val="clear" w:color="auto" w:fill="auto"/>
            <w:vAlign w:val="center"/>
          </w:tcPr>
          <w:p w14:paraId="1E1F735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0" w:type="auto"/>
            <w:tcBorders>
              <w:top w:val="nil"/>
              <w:left w:val="nil"/>
              <w:bottom w:val="nil"/>
              <w:right w:val="nil"/>
            </w:tcBorders>
            <w:shd w:val="clear" w:color="auto" w:fill="auto"/>
            <w:vAlign w:val="center"/>
          </w:tcPr>
          <w:p w14:paraId="3B3F9E5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w:t>
            </w:r>
          </w:p>
        </w:tc>
        <w:tc>
          <w:tcPr>
            <w:tcW w:w="0" w:type="auto"/>
            <w:tcBorders>
              <w:top w:val="nil"/>
              <w:left w:val="nil"/>
              <w:bottom w:val="nil"/>
              <w:right w:val="nil"/>
            </w:tcBorders>
            <w:shd w:val="clear" w:color="auto" w:fill="auto"/>
            <w:vAlign w:val="center"/>
          </w:tcPr>
          <w:p w14:paraId="3F1EE81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11.7</w:t>
            </w:r>
          </w:p>
        </w:tc>
        <w:tc>
          <w:tcPr>
            <w:tcW w:w="0" w:type="auto"/>
            <w:tcBorders>
              <w:top w:val="nil"/>
              <w:left w:val="nil"/>
              <w:bottom w:val="nil"/>
              <w:right w:val="nil"/>
            </w:tcBorders>
            <w:shd w:val="clear" w:color="auto" w:fill="auto"/>
            <w:vAlign w:val="center"/>
          </w:tcPr>
          <w:p w14:paraId="45DB91E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0" w:type="auto"/>
            <w:tcBorders>
              <w:top w:val="nil"/>
              <w:left w:val="nil"/>
              <w:bottom w:val="nil"/>
              <w:right w:val="nil"/>
            </w:tcBorders>
            <w:shd w:val="clear" w:color="auto" w:fill="auto"/>
            <w:vAlign w:val="center"/>
          </w:tcPr>
          <w:p w14:paraId="3F80D9A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w:t>
            </w:r>
          </w:p>
        </w:tc>
        <w:tc>
          <w:tcPr>
            <w:tcW w:w="791" w:type="dxa"/>
            <w:tcBorders>
              <w:top w:val="nil"/>
              <w:left w:val="nil"/>
              <w:bottom w:val="nil"/>
              <w:right w:val="nil"/>
            </w:tcBorders>
            <w:shd w:val="clear" w:color="auto" w:fill="auto"/>
            <w:noWrap/>
            <w:vAlign w:val="center"/>
          </w:tcPr>
          <w:p w14:paraId="330C91B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w:t>
            </w:r>
          </w:p>
        </w:tc>
      </w:tr>
      <w:tr w14:paraId="7501A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jc w:val="center"/>
        </w:trPr>
        <w:tc>
          <w:tcPr>
            <w:tcW w:w="0" w:type="auto"/>
            <w:tcBorders>
              <w:top w:val="nil"/>
              <w:left w:val="nil"/>
              <w:bottom w:val="nil"/>
              <w:right w:val="nil"/>
            </w:tcBorders>
            <w:shd w:val="clear" w:color="auto" w:fill="auto"/>
            <w:vAlign w:val="center"/>
          </w:tcPr>
          <w:p w14:paraId="6F013A0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Felidae gen. et sp. Indet.</w:t>
            </w:r>
          </w:p>
        </w:tc>
        <w:tc>
          <w:tcPr>
            <w:tcW w:w="0" w:type="auto"/>
            <w:tcBorders>
              <w:top w:val="nil"/>
              <w:left w:val="nil"/>
              <w:bottom w:val="nil"/>
              <w:right w:val="nil"/>
            </w:tcBorders>
            <w:shd w:val="clear" w:color="auto" w:fill="auto"/>
            <w:noWrap/>
            <w:vAlign w:val="center"/>
          </w:tcPr>
          <w:p w14:paraId="7A848F6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755" w:type="dxa"/>
            <w:tcBorders>
              <w:top w:val="nil"/>
              <w:left w:val="nil"/>
              <w:bottom w:val="nil"/>
              <w:right w:val="nil"/>
            </w:tcBorders>
            <w:shd w:val="clear" w:color="auto" w:fill="auto"/>
            <w:vAlign w:val="center"/>
          </w:tcPr>
          <w:p w14:paraId="19766D1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0.7</w:t>
            </w:r>
          </w:p>
        </w:tc>
        <w:tc>
          <w:tcPr>
            <w:tcW w:w="0" w:type="auto"/>
            <w:tcBorders>
              <w:top w:val="nil"/>
              <w:left w:val="nil"/>
              <w:bottom w:val="nil"/>
              <w:right w:val="nil"/>
            </w:tcBorders>
            <w:shd w:val="clear" w:color="auto" w:fill="auto"/>
            <w:noWrap/>
            <w:vAlign w:val="center"/>
          </w:tcPr>
          <w:p w14:paraId="79ABAEF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56" w:type="dxa"/>
            <w:tcBorders>
              <w:top w:val="nil"/>
              <w:left w:val="nil"/>
              <w:bottom w:val="nil"/>
              <w:right w:val="nil"/>
            </w:tcBorders>
            <w:shd w:val="clear" w:color="auto" w:fill="auto"/>
            <w:vAlign w:val="center"/>
          </w:tcPr>
          <w:p w14:paraId="01E5AA2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0" w:type="auto"/>
            <w:tcBorders>
              <w:top w:val="nil"/>
              <w:left w:val="nil"/>
              <w:bottom w:val="nil"/>
              <w:right w:val="nil"/>
            </w:tcBorders>
            <w:shd w:val="clear" w:color="auto" w:fill="auto"/>
            <w:noWrap/>
            <w:vAlign w:val="center"/>
          </w:tcPr>
          <w:p w14:paraId="1C812EA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756" w:type="dxa"/>
            <w:tcBorders>
              <w:top w:val="nil"/>
              <w:left w:val="nil"/>
              <w:bottom w:val="nil"/>
              <w:right w:val="nil"/>
            </w:tcBorders>
            <w:shd w:val="clear" w:color="auto" w:fill="auto"/>
            <w:vAlign w:val="center"/>
          </w:tcPr>
          <w:p w14:paraId="2893095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14.3</w:t>
            </w:r>
          </w:p>
        </w:tc>
        <w:tc>
          <w:tcPr>
            <w:tcW w:w="763" w:type="dxa"/>
            <w:tcBorders>
              <w:top w:val="nil"/>
              <w:left w:val="nil"/>
              <w:bottom w:val="nil"/>
              <w:right w:val="nil"/>
            </w:tcBorders>
            <w:shd w:val="clear" w:color="auto" w:fill="auto"/>
            <w:noWrap/>
            <w:vAlign w:val="center"/>
          </w:tcPr>
          <w:p w14:paraId="12E313A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56" w:type="dxa"/>
            <w:tcBorders>
              <w:top w:val="nil"/>
              <w:left w:val="nil"/>
              <w:bottom w:val="nil"/>
              <w:right w:val="nil"/>
            </w:tcBorders>
            <w:shd w:val="clear" w:color="auto" w:fill="auto"/>
            <w:vAlign w:val="center"/>
          </w:tcPr>
          <w:p w14:paraId="267A6C1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0" w:type="auto"/>
            <w:tcBorders>
              <w:top w:val="nil"/>
              <w:left w:val="nil"/>
              <w:bottom w:val="nil"/>
              <w:right w:val="nil"/>
            </w:tcBorders>
            <w:shd w:val="clear" w:color="auto" w:fill="auto"/>
            <w:noWrap/>
            <w:vAlign w:val="center"/>
          </w:tcPr>
          <w:p w14:paraId="78E1D66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56" w:type="dxa"/>
            <w:tcBorders>
              <w:top w:val="nil"/>
              <w:left w:val="nil"/>
              <w:bottom w:val="nil"/>
              <w:right w:val="nil"/>
            </w:tcBorders>
            <w:shd w:val="clear" w:color="auto" w:fill="auto"/>
            <w:vAlign w:val="center"/>
          </w:tcPr>
          <w:p w14:paraId="1530E9A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763" w:type="dxa"/>
            <w:tcBorders>
              <w:top w:val="nil"/>
              <w:left w:val="nil"/>
              <w:bottom w:val="nil"/>
              <w:right w:val="nil"/>
            </w:tcBorders>
            <w:shd w:val="clear" w:color="auto" w:fill="auto"/>
            <w:noWrap/>
            <w:vAlign w:val="center"/>
          </w:tcPr>
          <w:p w14:paraId="75CAA44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56" w:type="dxa"/>
            <w:tcBorders>
              <w:top w:val="nil"/>
              <w:left w:val="nil"/>
              <w:bottom w:val="nil"/>
              <w:right w:val="nil"/>
            </w:tcBorders>
            <w:shd w:val="clear" w:color="auto" w:fill="auto"/>
            <w:vAlign w:val="center"/>
          </w:tcPr>
          <w:p w14:paraId="7B97D4E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0" w:type="auto"/>
            <w:tcBorders>
              <w:top w:val="nil"/>
              <w:left w:val="nil"/>
              <w:bottom w:val="nil"/>
              <w:right w:val="nil"/>
            </w:tcBorders>
            <w:shd w:val="clear" w:color="auto" w:fill="auto"/>
            <w:noWrap/>
            <w:vAlign w:val="center"/>
          </w:tcPr>
          <w:p w14:paraId="77C2F44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0" w:type="auto"/>
            <w:tcBorders>
              <w:top w:val="nil"/>
              <w:left w:val="nil"/>
              <w:bottom w:val="nil"/>
              <w:right w:val="nil"/>
            </w:tcBorders>
            <w:shd w:val="clear" w:color="auto" w:fill="auto"/>
            <w:vAlign w:val="center"/>
          </w:tcPr>
          <w:p w14:paraId="50660A2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0" w:type="auto"/>
            <w:tcBorders>
              <w:top w:val="nil"/>
              <w:left w:val="nil"/>
              <w:bottom w:val="nil"/>
              <w:right w:val="nil"/>
            </w:tcBorders>
            <w:shd w:val="clear" w:color="auto" w:fill="auto"/>
            <w:noWrap/>
            <w:vAlign w:val="center"/>
          </w:tcPr>
          <w:p w14:paraId="255B2FA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0" w:type="auto"/>
            <w:tcBorders>
              <w:top w:val="nil"/>
              <w:left w:val="nil"/>
              <w:bottom w:val="nil"/>
              <w:right w:val="nil"/>
            </w:tcBorders>
            <w:shd w:val="clear" w:color="auto" w:fill="auto"/>
            <w:vAlign w:val="center"/>
          </w:tcPr>
          <w:p w14:paraId="27881D9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0" w:type="auto"/>
            <w:tcBorders>
              <w:top w:val="nil"/>
              <w:left w:val="nil"/>
              <w:bottom w:val="nil"/>
              <w:right w:val="nil"/>
            </w:tcBorders>
            <w:shd w:val="clear" w:color="auto" w:fill="auto"/>
            <w:noWrap/>
            <w:vAlign w:val="center"/>
          </w:tcPr>
          <w:p w14:paraId="503BF27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0" w:type="auto"/>
            <w:tcBorders>
              <w:top w:val="nil"/>
              <w:left w:val="nil"/>
              <w:bottom w:val="nil"/>
              <w:right w:val="nil"/>
            </w:tcBorders>
            <w:shd w:val="clear" w:color="auto" w:fill="auto"/>
            <w:vAlign w:val="center"/>
          </w:tcPr>
          <w:p w14:paraId="5C917AC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w:t>
            </w:r>
          </w:p>
        </w:tc>
        <w:tc>
          <w:tcPr>
            <w:tcW w:w="791" w:type="dxa"/>
            <w:tcBorders>
              <w:top w:val="nil"/>
              <w:left w:val="nil"/>
              <w:bottom w:val="nil"/>
              <w:right w:val="nil"/>
            </w:tcBorders>
            <w:shd w:val="clear" w:color="auto" w:fill="auto"/>
            <w:noWrap/>
            <w:vAlign w:val="center"/>
          </w:tcPr>
          <w:p w14:paraId="5932813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2"/>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r>
      <w:tr w14:paraId="59A3C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jc w:val="center"/>
        </w:trPr>
        <w:tc>
          <w:tcPr>
            <w:tcW w:w="1323" w:type="dxa"/>
            <w:tcBorders>
              <w:top w:val="nil"/>
              <w:left w:val="nil"/>
              <w:bottom w:val="single" w:color="auto" w:sz="4" w:space="0"/>
              <w:right w:val="nil"/>
            </w:tcBorders>
            <w:shd w:val="clear" w:color="auto" w:fill="auto"/>
            <w:noWrap/>
            <w:vAlign w:val="center"/>
          </w:tcPr>
          <w:p w14:paraId="2156A80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bCs/>
                <w:i w:val="0"/>
                <w:iCs w:val="0"/>
                <w:color w:val="000000"/>
                <w:kern w:val="2"/>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Total</w:t>
            </w:r>
          </w:p>
        </w:tc>
        <w:tc>
          <w:tcPr>
            <w:tcW w:w="763" w:type="dxa"/>
            <w:tcBorders>
              <w:top w:val="nil"/>
              <w:left w:val="nil"/>
              <w:bottom w:val="single" w:color="auto" w:sz="4" w:space="0"/>
              <w:right w:val="nil"/>
            </w:tcBorders>
            <w:shd w:val="clear" w:color="auto" w:fill="auto"/>
            <w:noWrap/>
            <w:vAlign w:val="center"/>
          </w:tcPr>
          <w:p w14:paraId="33C3BDC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915</w:t>
            </w:r>
          </w:p>
        </w:tc>
        <w:tc>
          <w:tcPr>
            <w:tcW w:w="755" w:type="dxa"/>
            <w:tcBorders>
              <w:top w:val="nil"/>
              <w:left w:val="nil"/>
              <w:bottom w:val="single" w:color="auto" w:sz="4" w:space="0"/>
              <w:right w:val="nil"/>
            </w:tcBorders>
            <w:shd w:val="clear" w:color="auto" w:fill="auto"/>
            <w:vAlign w:val="center"/>
          </w:tcPr>
          <w:p w14:paraId="4C60FEA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100.0</w:t>
            </w:r>
          </w:p>
        </w:tc>
        <w:tc>
          <w:tcPr>
            <w:tcW w:w="763" w:type="dxa"/>
            <w:tcBorders>
              <w:top w:val="nil"/>
              <w:left w:val="nil"/>
              <w:bottom w:val="single" w:color="auto" w:sz="4" w:space="0"/>
              <w:right w:val="nil"/>
            </w:tcBorders>
            <w:shd w:val="clear" w:color="auto" w:fill="auto"/>
            <w:noWrap/>
            <w:vAlign w:val="center"/>
          </w:tcPr>
          <w:p w14:paraId="3AA7081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121</w:t>
            </w:r>
          </w:p>
        </w:tc>
        <w:tc>
          <w:tcPr>
            <w:tcW w:w="756" w:type="dxa"/>
            <w:tcBorders>
              <w:top w:val="nil"/>
              <w:left w:val="nil"/>
              <w:bottom w:val="single" w:color="auto" w:sz="4" w:space="0"/>
              <w:right w:val="nil"/>
            </w:tcBorders>
            <w:shd w:val="clear" w:color="auto" w:fill="auto"/>
            <w:vAlign w:val="center"/>
          </w:tcPr>
          <w:p w14:paraId="5BE8D80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100.0</w:t>
            </w:r>
          </w:p>
        </w:tc>
        <w:tc>
          <w:tcPr>
            <w:tcW w:w="763" w:type="dxa"/>
            <w:tcBorders>
              <w:top w:val="nil"/>
              <w:left w:val="nil"/>
              <w:bottom w:val="single" w:color="auto" w:sz="4" w:space="0"/>
              <w:right w:val="nil"/>
            </w:tcBorders>
            <w:shd w:val="clear" w:color="auto" w:fill="auto"/>
            <w:noWrap/>
            <w:vAlign w:val="center"/>
          </w:tcPr>
          <w:p w14:paraId="5A99616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7</w:t>
            </w:r>
          </w:p>
        </w:tc>
        <w:tc>
          <w:tcPr>
            <w:tcW w:w="756" w:type="dxa"/>
            <w:tcBorders>
              <w:top w:val="nil"/>
              <w:left w:val="nil"/>
              <w:bottom w:val="single" w:color="auto" w:sz="4" w:space="0"/>
              <w:right w:val="nil"/>
            </w:tcBorders>
            <w:shd w:val="clear" w:color="auto" w:fill="auto"/>
            <w:vAlign w:val="center"/>
          </w:tcPr>
          <w:p w14:paraId="352D26D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100.0</w:t>
            </w:r>
          </w:p>
        </w:tc>
        <w:tc>
          <w:tcPr>
            <w:tcW w:w="763" w:type="dxa"/>
            <w:tcBorders>
              <w:top w:val="nil"/>
              <w:left w:val="nil"/>
              <w:bottom w:val="single" w:color="auto" w:sz="4" w:space="0"/>
              <w:right w:val="nil"/>
            </w:tcBorders>
            <w:shd w:val="clear" w:color="auto" w:fill="auto"/>
            <w:noWrap/>
            <w:vAlign w:val="center"/>
          </w:tcPr>
          <w:p w14:paraId="183BDB1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103</w:t>
            </w:r>
          </w:p>
        </w:tc>
        <w:tc>
          <w:tcPr>
            <w:tcW w:w="756" w:type="dxa"/>
            <w:tcBorders>
              <w:top w:val="nil"/>
              <w:left w:val="nil"/>
              <w:bottom w:val="single" w:color="auto" w:sz="4" w:space="0"/>
              <w:right w:val="nil"/>
            </w:tcBorders>
            <w:shd w:val="clear" w:color="auto" w:fill="auto"/>
            <w:vAlign w:val="center"/>
          </w:tcPr>
          <w:p w14:paraId="764ADB4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100.0</w:t>
            </w:r>
          </w:p>
        </w:tc>
        <w:tc>
          <w:tcPr>
            <w:tcW w:w="763" w:type="dxa"/>
            <w:tcBorders>
              <w:top w:val="nil"/>
              <w:left w:val="nil"/>
              <w:bottom w:val="single" w:color="auto" w:sz="4" w:space="0"/>
              <w:right w:val="nil"/>
            </w:tcBorders>
            <w:shd w:val="clear" w:color="auto" w:fill="auto"/>
            <w:noWrap/>
            <w:vAlign w:val="center"/>
          </w:tcPr>
          <w:p w14:paraId="0F197C8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17</w:t>
            </w:r>
          </w:p>
        </w:tc>
        <w:tc>
          <w:tcPr>
            <w:tcW w:w="756" w:type="dxa"/>
            <w:tcBorders>
              <w:top w:val="nil"/>
              <w:left w:val="nil"/>
              <w:bottom w:val="single" w:color="auto" w:sz="4" w:space="0"/>
              <w:right w:val="nil"/>
            </w:tcBorders>
            <w:shd w:val="clear" w:color="auto" w:fill="auto"/>
            <w:vAlign w:val="center"/>
          </w:tcPr>
          <w:p w14:paraId="428FFC4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100.0</w:t>
            </w:r>
          </w:p>
        </w:tc>
        <w:tc>
          <w:tcPr>
            <w:tcW w:w="763" w:type="dxa"/>
            <w:tcBorders>
              <w:top w:val="nil"/>
              <w:left w:val="nil"/>
              <w:bottom w:val="single" w:color="auto" w:sz="4" w:space="0"/>
              <w:right w:val="nil"/>
            </w:tcBorders>
            <w:shd w:val="clear" w:color="auto" w:fill="auto"/>
            <w:noWrap/>
            <w:vAlign w:val="center"/>
          </w:tcPr>
          <w:p w14:paraId="33774D7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197</w:t>
            </w:r>
          </w:p>
        </w:tc>
        <w:tc>
          <w:tcPr>
            <w:tcW w:w="756" w:type="dxa"/>
            <w:tcBorders>
              <w:top w:val="nil"/>
              <w:left w:val="nil"/>
              <w:bottom w:val="single" w:color="auto" w:sz="4" w:space="0"/>
              <w:right w:val="nil"/>
            </w:tcBorders>
            <w:shd w:val="clear" w:color="auto" w:fill="auto"/>
            <w:vAlign w:val="center"/>
          </w:tcPr>
          <w:p w14:paraId="779DF60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100.0</w:t>
            </w:r>
          </w:p>
        </w:tc>
        <w:tc>
          <w:tcPr>
            <w:tcW w:w="763" w:type="dxa"/>
            <w:tcBorders>
              <w:top w:val="nil"/>
              <w:left w:val="nil"/>
              <w:bottom w:val="single" w:color="auto" w:sz="4" w:space="0"/>
              <w:right w:val="nil"/>
            </w:tcBorders>
            <w:shd w:val="clear" w:color="auto" w:fill="auto"/>
            <w:noWrap/>
            <w:vAlign w:val="center"/>
          </w:tcPr>
          <w:p w14:paraId="64513BD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29</w:t>
            </w:r>
          </w:p>
        </w:tc>
        <w:tc>
          <w:tcPr>
            <w:tcW w:w="668" w:type="dxa"/>
            <w:tcBorders>
              <w:top w:val="nil"/>
              <w:left w:val="nil"/>
              <w:bottom w:val="single" w:color="auto" w:sz="4" w:space="0"/>
              <w:right w:val="nil"/>
            </w:tcBorders>
            <w:shd w:val="clear" w:color="auto" w:fill="auto"/>
            <w:vAlign w:val="center"/>
          </w:tcPr>
          <w:p w14:paraId="1D7D447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100.0</w:t>
            </w:r>
          </w:p>
        </w:tc>
        <w:tc>
          <w:tcPr>
            <w:tcW w:w="763" w:type="dxa"/>
            <w:tcBorders>
              <w:top w:val="nil"/>
              <w:left w:val="nil"/>
              <w:bottom w:val="single" w:color="auto" w:sz="4" w:space="0"/>
              <w:right w:val="nil"/>
            </w:tcBorders>
            <w:shd w:val="clear" w:color="auto" w:fill="auto"/>
            <w:noWrap/>
            <w:vAlign w:val="center"/>
          </w:tcPr>
          <w:p w14:paraId="3905E71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94</w:t>
            </w:r>
          </w:p>
        </w:tc>
        <w:tc>
          <w:tcPr>
            <w:tcW w:w="668" w:type="dxa"/>
            <w:tcBorders>
              <w:top w:val="nil"/>
              <w:left w:val="nil"/>
              <w:bottom w:val="single" w:color="auto" w:sz="4" w:space="0"/>
              <w:right w:val="nil"/>
            </w:tcBorders>
            <w:shd w:val="clear" w:color="auto" w:fill="auto"/>
            <w:vAlign w:val="center"/>
          </w:tcPr>
          <w:p w14:paraId="653F174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100.0</w:t>
            </w:r>
          </w:p>
        </w:tc>
        <w:tc>
          <w:tcPr>
            <w:tcW w:w="763" w:type="dxa"/>
            <w:tcBorders>
              <w:top w:val="nil"/>
              <w:left w:val="nil"/>
              <w:bottom w:val="single" w:color="auto" w:sz="4" w:space="0"/>
              <w:right w:val="nil"/>
            </w:tcBorders>
            <w:shd w:val="clear" w:color="auto" w:fill="auto"/>
            <w:noWrap/>
            <w:vAlign w:val="center"/>
          </w:tcPr>
          <w:p w14:paraId="7356D05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171</w:t>
            </w:r>
          </w:p>
        </w:tc>
        <w:tc>
          <w:tcPr>
            <w:tcW w:w="668" w:type="dxa"/>
            <w:tcBorders>
              <w:top w:val="nil"/>
              <w:left w:val="nil"/>
              <w:bottom w:val="single" w:color="auto" w:sz="4" w:space="0"/>
              <w:right w:val="nil"/>
            </w:tcBorders>
            <w:shd w:val="clear" w:color="auto" w:fill="auto"/>
            <w:vAlign w:val="center"/>
          </w:tcPr>
          <w:p w14:paraId="225DA3D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100.0</w:t>
            </w:r>
          </w:p>
        </w:tc>
        <w:tc>
          <w:tcPr>
            <w:tcW w:w="791" w:type="dxa"/>
            <w:tcBorders>
              <w:top w:val="nil"/>
              <w:left w:val="nil"/>
              <w:bottom w:val="single" w:color="auto" w:sz="4" w:space="0"/>
              <w:right w:val="nil"/>
            </w:tcBorders>
            <w:shd w:val="clear" w:color="auto" w:fill="auto"/>
            <w:noWrap/>
            <w:vAlign w:val="center"/>
          </w:tcPr>
          <w:p w14:paraId="42282A0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0"/>
                <w:szCs w:val="20"/>
                <w:u w:val="none"/>
              </w:rPr>
            </w:pPr>
            <w:r>
              <w:rPr>
                <w:rFonts w:hint="default" w:ascii="Times New Roman" w:hAnsi="Times New Roman" w:eastAsia="宋体" w:cs="Times New Roman"/>
                <w:b w:val="0"/>
                <w:bCs/>
                <w:i w:val="0"/>
                <w:iCs w:val="0"/>
                <w:color w:val="000000"/>
                <w:kern w:val="0"/>
                <w:sz w:val="20"/>
                <w:szCs w:val="20"/>
                <w:u w:val="none"/>
                <w:lang w:val="en-US" w:eastAsia="zh-CN" w:bidi="ar"/>
              </w:rPr>
              <w:t>1654</w:t>
            </w:r>
          </w:p>
        </w:tc>
      </w:tr>
      <w:tr w14:paraId="3AB65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jc w:val="center"/>
        </w:trPr>
        <w:tc>
          <w:tcPr>
            <w:tcW w:w="1323" w:type="dxa"/>
            <w:tcBorders>
              <w:top w:val="single" w:color="auto" w:sz="4" w:space="0"/>
              <w:left w:val="nil"/>
              <w:bottom w:val="single" w:color="auto" w:sz="4" w:space="0"/>
              <w:right w:val="nil"/>
            </w:tcBorders>
            <w:shd w:val="clear" w:color="auto" w:fill="auto"/>
            <w:noWrap/>
            <w:vAlign w:val="center"/>
          </w:tcPr>
          <w:p w14:paraId="5AAA5089">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eastAsia" w:cs="Times New Roman"/>
                <w:b/>
                <w:bCs/>
                <w:i w:val="0"/>
                <w:iCs w:val="0"/>
                <w:color w:val="000000"/>
                <w:kern w:val="0"/>
                <w:sz w:val="20"/>
                <w:szCs w:val="20"/>
                <w:u w:val="none"/>
                <w:lang w:val="en-US" w:eastAsia="zh-CN" w:bidi="ar"/>
              </w:rPr>
              <w:t>Size Class</w:t>
            </w:r>
          </w:p>
        </w:tc>
        <w:tc>
          <w:tcPr>
            <w:tcW w:w="763" w:type="dxa"/>
            <w:tcBorders>
              <w:top w:val="single" w:color="auto" w:sz="4" w:space="0"/>
              <w:left w:val="nil"/>
              <w:bottom w:val="single" w:color="auto" w:sz="4" w:space="0"/>
              <w:right w:val="nil"/>
            </w:tcBorders>
            <w:shd w:val="clear" w:color="auto" w:fill="auto"/>
            <w:noWrap/>
            <w:vAlign w:val="center"/>
          </w:tcPr>
          <w:p w14:paraId="225C686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755" w:type="dxa"/>
            <w:tcBorders>
              <w:top w:val="single" w:color="auto" w:sz="4" w:space="0"/>
              <w:left w:val="nil"/>
              <w:bottom w:val="single" w:color="auto" w:sz="4" w:space="0"/>
              <w:right w:val="nil"/>
            </w:tcBorders>
            <w:shd w:val="clear" w:color="auto" w:fill="auto"/>
            <w:vAlign w:val="center"/>
          </w:tcPr>
          <w:p w14:paraId="217AB82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763" w:type="dxa"/>
            <w:tcBorders>
              <w:top w:val="single" w:color="auto" w:sz="4" w:space="0"/>
              <w:left w:val="nil"/>
              <w:bottom w:val="single" w:color="auto" w:sz="4" w:space="0"/>
              <w:right w:val="nil"/>
            </w:tcBorders>
            <w:shd w:val="clear" w:color="auto" w:fill="auto"/>
            <w:noWrap/>
            <w:vAlign w:val="center"/>
          </w:tcPr>
          <w:p w14:paraId="49AEDC4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756" w:type="dxa"/>
            <w:tcBorders>
              <w:top w:val="single" w:color="auto" w:sz="4" w:space="0"/>
              <w:left w:val="nil"/>
              <w:bottom w:val="single" w:color="auto" w:sz="4" w:space="0"/>
              <w:right w:val="nil"/>
            </w:tcBorders>
            <w:shd w:val="clear" w:color="auto" w:fill="auto"/>
            <w:vAlign w:val="center"/>
          </w:tcPr>
          <w:p w14:paraId="3B10F45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763" w:type="dxa"/>
            <w:tcBorders>
              <w:top w:val="single" w:color="auto" w:sz="4" w:space="0"/>
              <w:left w:val="nil"/>
              <w:bottom w:val="single" w:color="auto" w:sz="4" w:space="0"/>
              <w:right w:val="nil"/>
            </w:tcBorders>
            <w:shd w:val="clear" w:color="auto" w:fill="auto"/>
            <w:noWrap/>
            <w:vAlign w:val="center"/>
          </w:tcPr>
          <w:p w14:paraId="73FB4DC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756" w:type="dxa"/>
            <w:tcBorders>
              <w:top w:val="single" w:color="auto" w:sz="4" w:space="0"/>
              <w:left w:val="nil"/>
              <w:bottom w:val="single" w:color="auto" w:sz="4" w:space="0"/>
              <w:right w:val="nil"/>
            </w:tcBorders>
            <w:shd w:val="clear" w:color="auto" w:fill="auto"/>
            <w:vAlign w:val="center"/>
          </w:tcPr>
          <w:p w14:paraId="459B6DE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763" w:type="dxa"/>
            <w:tcBorders>
              <w:top w:val="single" w:color="auto" w:sz="4" w:space="0"/>
              <w:left w:val="nil"/>
              <w:bottom w:val="single" w:color="auto" w:sz="4" w:space="0"/>
              <w:right w:val="nil"/>
            </w:tcBorders>
            <w:shd w:val="clear" w:color="auto" w:fill="auto"/>
            <w:noWrap/>
            <w:vAlign w:val="center"/>
          </w:tcPr>
          <w:p w14:paraId="740EBB2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756" w:type="dxa"/>
            <w:tcBorders>
              <w:top w:val="single" w:color="auto" w:sz="4" w:space="0"/>
              <w:left w:val="nil"/>
              <w:bottom w:val="single" w:color="auto" w:sz="4" w:space="0"/>
              <w:right w:val="nil"/>
            </w:tcBorders>
            <w:shd w:val="clear" w:color="auto" w:fill="auto"/>
            <w:vAlign w:val="center"/>
          </w:tcPr>
          <w:p w14:paraId="341B664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763" w:type="dxa"/>
            <w:tcBorders>
              <w:top w:val="single" w:color="auto" w:sz="4" w:space="0"/>
              <w:left w:val="nil"/>
              <w:bottom w:val="single" w:color="auto" w:sz="4" w:space="0"/>
              <w:right w:val="nil"/>
            </w:tcBorders>
            <w:shd w:val="clear" w:color="auto" w:fill="auto"/>
            <w:noWrap/>
            <w:vAlign w:val="center"/>
          </w:tcPr>
          <w:p w14:paraId="5330BC5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756" w:type="dxa"/>
            <w:tcBorders>
              <w:top w:val="single" w:color="auto" w:sz="4" w:space="0"/>
              <w:left w:val="nil"/>
              <w:bottom w:val="single" w:color="auto" w:sz="4" w:space="0"/>
              <w:right w:val="nil"/>
            </w:tcBorders>
            <w:shd w:val="clear" w:color="auto" w:fill="auto"/>
            <w:vAlign w:val="center"/>
          </w:tcPr>
          <w:p w14:paraId="645FBDA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763" w:type="dxa"/>
            <w:tcBorders>
              <w:top w:val="single" w:color="auto" w:sz="4" w:space="0"/>
              <w:left w:val="nil"/>
              <w:bottom w:val="single" w:color="auto" w:sz="4" w:space="0"/>
              <w:right w:val="nil"/>
            </w:tcBorders>
            <w:shd w:val="clear" w:color="auto" w:fill="auto"/>
            <w:noWrap/>
            <w:vAlign w:val="center"/>
          </w:tcPr>
          <w:p w14:paraId="2D0B234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756" w:type="dxa"/>
            <w:tcBorders>
              <w:top w:val="single" w:color="auto" w:sz="4" w:space="0"/>
              <w:left w:val="nil"/>
              <w:bottom w:val="single" w:color="auto" w:sz="4" w:space="0"/>
              <w:right w:val="nil"/>
            </w:tcBorders>
            <w:shd w:val="clear" w:color="auto" w:fill="auto"/>
            <w:vAlign w:val="center"/>
          </w:tcPr>
          <w:p w14:paraId="1FA2719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763" w:type="dxa"/>
            <w:tcBorders>
              <w:top w:val="single" w:color="auto" w:sz="4" w:space="0"/>
              <w:left w:val="nil"/>
              <w:bottom w:val="single" w:color="auto" w:sz="4" w:space="0"/>
              <w:right w:val="nil"/>
            </w:tcBorders>
            <w:shd w:val="clear" w:color="auto" w:fill="auto"/>
            <w:noWrap/>
            <w:vAlign w:val="center"/>
          </w:tcPr>
          <w:p w14:paraId="6D320CA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668" w:type="dxa"/>
            <w:tcBorders>
              <w:top w:val="single" w:color="auto" w:sz="4" w:space="0"/>
              <w:left w:val="nil"/>
              <w:bottom w:val="single" w:color="auto" w:sz="4" w:space="0"/>
              <w:right w:val="nil"/>
            </w:tcBorders>
            <w:shd w:val="clear" w:color="auto" w:fill="auto"/>
            <w:vAlign w:val="center"/>
          </w:tcPr>
          <w:p w14:paraId="43DFD22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763" w:type="dxa"/>
            <w:tcBorders>
              <w:top w:val="single" w:color="auto" w:sz="4" w:space="0"/>
              <w:left w:val="nil"/>
              <w:bottom w:val="single" w:color="auto" w:sz="4" w:space="0"/>
              <w:right w:val="nil"/>
            </w:tcBorders>
            <w:shd w:val="clear" w:color="auto" w:fill="auto"/>
            <w:noWrap/>
            <w:vAlign w:val="center"/>
          </w:tcPr>
          <w:p w14:paraId="09FA410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668" w:type="dxa"/>
            <w:tcBorders>
              <w:top w:val="single" w:color="auto" w:sz="4" w:space="0"/>
              <w:left w:val="nil"/>
              <w:bottom w:val="single" w:color="auto" w:sz="4" w:space="0"/>
              <w:right w:val="nil"/>
            </w:tcBorders>
            <w:shd w:val="clear" w:color="auto" w:fill="auto"/>
            <w:vAlign w:val="center"/>
          </w:tcPr>
          <w:p w14:paraId="546AA97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763" w:type="dxa"/>
            <w:tcBorders>
              <w:top w:val="single" w:color="auto" w:sz="4" w:space="0"/>
              <w:left w:val="nil"/>
              <w:bottom w:val="single" w:color="auto" w:sz="4" w:space="0"/>
              <w:right w:val="nil"/>
            </w:tcBorders>
            <w:shd w:val="clear" w:color="auto" w:fill="auto"/>
            <w:noWrap/>
            <w:vAlign w:val="center"/>
          </w:tcPr>
          <w:p w14:paraId="157EC62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668" w:type="dxa"/>
            <w:tcBorders>
              <w:top w:val="single" w:color="auto" w:sz="4" w:space="0"/>
              <w:left w:val="nil"/>
              <w:bottom w:val="single" w:color="auto" w:sz="4" w:space="0"/>
              <w:right w:val="nil"/>
            </w:tcBorders>
            <w:shd w:val="clear" w:color="auto" w:fill="auto"/>
            <w:vAlign w:val="center"/>
          </w:tcPr>
          <w:p w14:paraId="09C72CC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c>
          <w:tcPr>
            <w:tcW w:w="791" w:type="dxa"/>
            <w:tcBorders>
              <w:top w:val="single" w:color="auto" w:sz="4" w:space="0"/>
              <w:left w:val="nil"/>
              <w:bottom w:val="single" w:color="auto" w:sz="4" w:space="0"/>
              <w:right w:val="nil"/>
            </w:tcBorders>
            <w:shd w:val="clear" w:color="auto" w:fill="auto"/>
            <w:noWrap/>
            <w:vAlign w:val="center"/>
          </w:tcPr>
          <w:p w14:paraId="02BCA51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0"/>
                <w:szCs w:val="20"/>
                <w:u w:val="none"/>
                <w:lang w:val="en-US" w:eastAsia="zh-CN" w:bidi="ar"/>
              </w:rPr>
            </w:pPr>
          </w:p>
        </w:tc>
      </w:tr>
      <w:tr w14:paraId="48881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jc w:val="center"/>
        </w:trPr>
        <w:tc>
          <w:tcPr>
            <w:tcW w:w="1323" w:type="dxa"/>
            <w:tcBorders>
              <w:top w:val="single" w:color="auto" w:sz="4" w:space="0"/>
              <w:left w:val="nil"/>
              <w:bottom w:val="nil"/>
              <w:right w:val="nil"/>
            </w:tcBorders>
            <w:shd w:val="clear" w:color="auto" w:fill="auto"/>
            <w:noWrap/>
            <w:vAlign w:val="center"/>
          </w:tcPr>
          <w:p w14:paraId="11018513">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Size 2 (50-250 kg)</w:t>
            </w:r>
          </w:p>
        </w:tc>
        <w:tc>
          <w:tcPr>
            <w:tcW w:w="763" w:type="dxa"/>
            <w:tcBorders>
              <w:top w:val="single" w:color="auto" w:sz="4" w:space="0"/>
              <w:left w:val="nil"/>
              <w:bottom w:val="nil"/>
              <w:right w:val="nil"/>
            </w:tcBorders>
            <w:shd w:val="clear" w:color="auto" w:fill="auto"/>
            <w:noWrap/>
            <w:vAlign w:val="center"/>
          </w:tcPr>
          <w:p w14:paraId="168C26A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17 </w:t>
            </w:r>
          </w:p>
        </w:tc>
        <w:tc>
          <w:tcPr>
            <w:tcW w:w="755" w:type="dxa"/>
            <w:tcBorders>
              <w:top w:val="single" w:color="auto" w:sz="4" w:space="0"/>
              <w:left w:val="nil"/>
              <w:bottom w:val="nil"/>
              <w:right w:val="nil"/>
            </w:tcBorders>
            <w:shd w:val="clear" w:color="auto" w:fill="auto"/>
            <w:vAlign w:val="center"/>
          </w:tcPr>
          <w:p w14:paraId="56E9C68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0.6 </w:t>
            </w:r>
          </w:p>
        </w:tc>
        <w:tc>
          <w:tcPr>
            <w:tcW w:w="763" w:type="dxa"/>
            <w:tcBorders>
              <w:top w:val="single" w:color="auto" w:sz="4" w:space="0"/>
              <w:left w:val="nil"/>
              <w:bottom w:val="nil"/>
              <w:right w:val="nil"/>
            </w:tcBorders>
            <w:shd w:val="clear" w:color="auto" w:fill="auto"/>
            <w:noWrap/>
            <w:vAlign w:val="center"/>
          </w:tcPr>
          <w:p w14:paraId="1AD2FEA9">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 </w:t>
            </w:r>
          </w:p>
        </w:tc>
        <w:tc>
          <w:tcPr>
            <w:tcW w:w="756" w:type="dxa"/>
            <w:tcBorders>
              <w:top w:val="single" w:color="auto" w:sz="4" w:space="0"/>
              <w:left w:val="nil"/>
              <w:bottom w:val="nil"/>
              <w:right w:val="nil"/>
            </w:tcBorders>
            <w:shd w:val="clear" w:color="auto" w:fill="auto"/>
            <w:vAlign w:val="center"/>
          </w:tcPr>
          <w:p w14:paraId="572482C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0.5 </w:t>
            </w:r>
          </w:p>
        </w:tc>
        <w:tc>
          <w:tcPr>
            <w:tcW w:w="763" w:type="dxa"/>
            <w:tcBorders>
              <w:top w:val="single" w:color="auto" w:sz="4" w:space="0"/>
              <w:left w:val="nil"/>
              <w:bottom w:val="nil"/>
              <w:right w:val="nil"/>
            </w:tcBorders>
            <w:shd w:val="clear" w:color="auto" w:fill="auto"/>
            <w:noWrap/>
            <w:vAlign w:val="center"/>
          </w:tcPr>
          <w:p w14:paraId="5B917F9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 </w:t>
            </w:r>
          </w:p>
        </w:tc>
        <w:tc>
          <w:tcPr>
            <w:tcW w:w="756" w:type="dxa"/>
            <w:tcBorders>
              <w:top w:val="single" w:color="auto" w:sz="4" w:space="0"/>
              <w:left w:val="nil"/>
              <w:bottom w:val="nil"/>
              <w:right w:val="nil"/>
            </w:tcBorders>
            <w:shd w:val="clear" w:color="auto" w:fill="auto"/>
            <w:vAlign w:val="center"/>
          </w:tcPr>
          <w:p w14:paraId="58B3BDEC">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0.0 </w:t>
            </w:r>
          </w:p>
        </w:tc>
        <w:tc>
          <w:tcPr>
            <w:tcW w:w="763" w:type="dxa"/>
            <w:tcBorders>
              <w:top w:val="single" w:color="auto" w:sz="4" w:space="0"/>
              <w:left w:val="nil"/>
              <w:bottom w:val="nil"/>
              <w:right w:val="nil"/>
            </w:tcBorders>
            <w:shd w:val="clear" w:color="auto" w:fill="auto"/>
            <w:noWrap/>
            <w:vAlign w:val="center"/>
          </w:tcPr>
          <w:p w14:paraId="61B13A2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 </w:t>
            </w:r>
          </w:p>
        </w:tc>
        <w:tc>
          <w:tcPr>
            <w:tcW w:w="756" w:type="dxa"/>
            <w:tcBorders>
              <w:top w:val="single" w:color="auto" w:sz="4" w:space="0"/>
              <w:left w:val="nil"/>
              <w:bottom w:val="nil"/>
              <w:right w:val="nil"/>
            </w:tcBorders>
            <w:shd w:val="clear" w:color="auto" w:fill="auto"/>
            <w:vAlign w:val="center"/>
          </w:tcPr>
          <w:p w14:paraId="00AE3E1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0.0 </w:t>
            </w:r>
          </w:p>
        </w:tc>
        <w:tc>
          <w:tcPr>
            <w:tcW w:w="763" w:type="dxa"/>
            <w:tcBorders>
              <w:top w:val="single" w:color="auto" w:sz="4" w:space="0"/>
              <w:left w:val="nil"/>
              <w:bottom w:val="nil"/>
              <w:right w:val="nil"/>
            </w:tcBorders>
            <w:shd w:val="clear" w:color="auto" w:fill="auto"/>
            <w:noWrap/>
            <w:vAlign w:val="center"/>
          </w:tcPr>
          <w:p w14:paraId="2A611929">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 </w:t>
            </w:r>
          </w:p>
        </w:tc>
        <w:tc>
          <w:tcPr>
            <w:tcW w:w="756" w:type="dxa"/>
            <w:tcBorders>
              <w:top w:val="single" w:color="auto" w:sz="4" w:space="0"/>
              <w:left w:val="nil"/>
              <w:bottom w:val="nil"/>
              <w:right w:val="nil"/>
            </w:tcBorders>
            <w:shd w:val="clear" w:color="auto" w:fill="auto"/>
            <w:vAlign w:val="center"/>
          </w:tcPr>
          <w:p w14:paraId="6F29B57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0.0 </w:t>
            </w:r>
          </w:p>
        </w:tc>
        <w:tc>
          <w:tcPr>
            <w:tcW w:w="763" w:type="dxa"/>
            <w:tcBorders>
              <w:top w:val="single" w:color="auto" w:sz="4" w:space="0"/>
              <w:left w:val="nil"/>
              <w:bottom w:val="nil"/>
              <w:right w:val="nil"/>
            </w:tcBorders>
            <w:shd w:val="clear" w:color="auto" w:fill="auto"/>
            <w:noWrap/>
            <w:vAlign w:val="center"/>
          </w:tcPr>
          <w:p w14:paraId="32A029DC">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4 </w:t>
            </w:r>
          </w:p>
        </w:tc>
        <w:tc>
          <w:tcPr>
            <w:tcW w:w="756" w:type="dxa"/>
            <w:tcBorders>
              <w:top w:val="single" w:color="auto" w:sz="4" w:space="0"/>
              <w:left w:val="nil"/>
              <w:bottom w:val="nil"/>
              <w:right w:val="nil"/>
            </w:tcBorders>
            <w:shd w:val="clear" w:color="auto" w:fill="auto"/>
            <w:vAlign w:val="center"/>
          </w:tcPr>
          <w:p w14:paraId="423D1E1C">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0.5 </w:t>
            </w:r>
          </w:p>
        </w:tc>
        <w:tc>
          <w:tcPr>
            <w:tcW w:w="763" w:type="dxa"/>
            <w:tcBorders>
              <w:top w:val="single" w:color="auto" w:sz="4" w:space="0"/>
              <w:left w:val="nil"/>
              <w:bottom w:val="nil"/>
              <w:right w:val="nil"/>
            </w:tcBorders>
            <w:shd w:val="clear" w:color="auto" w:fill="auto"/>
            <w:noWrap/>
            <w:vAlign w:val="center"/>
          </w:tcPr>
          <w:p w14:paraId="31C7E26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 </w:t>
            </w:r>
          </w:p>
        </w:tc>
        <w:tc>
          <w:tcPr>
            <w:tcW w:w="668" w:type="dxa"/>
            <w:tcBorders>
              <w:top w:val="single" w:color="auto" w:sz="4" w:space="0"/>
              <w:left w:val="nil"/>
              <w:bottom w:val="nil"/>
              <w:right w:val="nil"/>
            </w:tcBorders>
            <w:shd w:val="clear" w:color="auto" w:fill="auto"/>
            <w:vAlign w:val="center"/>
          </w:tcPr>
          <w:p w14:paraId="5F504BAC">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0.0 </w:t>
            </w:r>
          </w:p>
        </w:tc>
        <w:tc>
          <w:tcPr>
            <w:tcW w:w="763" w:type="dxa"/>
            <w:tcBorders>
              <w:top w:val="single" w:color="auto" w:sz="4" w:space="0"/>
              <w:left w:val="nil"/>
              <w:bottom w:val="nil"/>
              <w:right w:val="nil"/>
            </w:tcBorders>
            <w:shd w:val="clear" w:color="auto" w:fill="auto"/>
            <w:noWrap/>
            <w:vAlign w:val="center"/>
          </w:tcPr>
          <w:p w14:paraId="4B3E1C57">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 </w:t>
            </w:r>
          </w:p>
        </w:tc>
        <w:tc>
          <w:tcPr>
            <w:tcW w:w="668" w:type="dxa"/>
            <w:tcBorders>
              <w:top w:val="single" w:color="auto" w:sz="4" w:space="0"/>
              <w:left w:val="nil"/>
              <w:bottom w:val="nil"/>
              <w:right w:val="nil"/>
            </w:tcBorders>
            <w:shd w:val="clear" w:color="auto" w:fill="auto"/>
            <w:vAlign w:val="center"/>
          </w:tcPr>
          <w:p w14:paraId="005993EA">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0.5 </w:t>
            </w:r>
          </w:p>
        </w:tc>
        <w:tc>
          <w:tcPr>
            <w:tcW w:w="763" w:type="dxa"/>
            <w:tcBorders>
              <w:top w:val="single" w:color="auto" w:sz="4" w:space="0"/>
              <w:left w:val="nil"/>
              <w:bottom w:val="nil"/>
              <w:right w:val="nil"/>
            </w:tcBorders>
            <w:shd w:val="clear" w:color="auto" w:fill="auto"/>
            <w:noWrap/>
            <w:vAlign w:val="center"/>
          </w:tcPr>
          <w:p w14:paraId="461B482F">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 </w:t>
            </w:r>
          </w:p>
        </w:tc>
        <w:tc>
          <w:tcPr>
            <w:tcW w:w="668" w:type="dxa"/>
            <w:tcBorders>
              <w:top w:val="single" w:color="auto" w:sz="4" w:space="0"/>
              <w:left w:val="nil"/>
              <w:bottom w:val="nil"/>
              <w:right w:val="nil"/>
            </w:tcBorders>
            <w:shd w:val="clear" w:color="auto" w:fill="auto"/>
            <w:vAlign w:val="center"/>
          </w:tcPr>
          <w:p w14:paraId="6E2F0A4A">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0.0 </w:t>
            </w:r>
          </w:p>
        </w:tc>
        <w:tc>
          <w:tcPr>
            <w:tcW w:w="791" w:type="dxa"/>
            <w:tcBorders>
              <w:top w:val="single" w:color="auto" w:sz="4" w:space="0"/>
              <w:left w:val="nil"/>
              <w:bottom w:val="nil"/>
              <w:right w:val="nil"/>
            </w:tcBorders>
            <w:shd w:val="clear" w:color="auto" w:fill="auto"/>
            <w:noWrap/>
            <w:vAlign w:val="center"/>
          </w:tcPr>
          <w:p w14:paraId="51484003">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24</w:t>
            </w:r>
          </w:p>
        </w:tc>
      </w:tr>
      <w:tr w14:paraId="5C198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jc w:val="center"/>
        </w:trPr>
        <w:tc>
          <w:tcPr>
            <w:tcW w:w="1323" w:type="dxa"/>
            <w:tcBorders>
              <w:top w:val="nil"/>
              <w:left w:val="nil"/>
              <w:bottom w:val="nil"/>
              <w:right w:val="nil"/>
            </w:tcBorders>
            <w:shd w:val="clear" w:color="auto" w:fill="auto"/>
            <w:noWrap/>
            <w:vAlign w:val="center"/>
          </w:tcPr>
          <w:p w14:paraId="54541F63">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Size 2-3</w:t>
            </w:r>
          </w:p>
        </w:tc>
        <w:tc>
          <w:tcPr>
            <w:tcW w:w="763" w:type="dxa"/>
            <w:tcBorders>
              <w:top w:val="nil"/>
              <w:left w:val="nil"/>
              <w:bottom w:val="nil"/>
              <w:right w:val="nil"/>
            </w:tcBorders>
            <w:shd w:val="clear" w:color="auto" w:fill="auto"/>
            <w:noWrap/>
            <w:vAlign w:val="center"/>
          </w:tcPr>
          <w:p w14:paraId="1F81B44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17 </w:t>
            </w:r>
          </w:p>
        </w:tc>
        <w:tc>
          <w:tcPr>
            <w:tcW w:w="755" w:type="dxa"/>
            <w:tcBorders>
              <w:top w:val="nil"/>
              <w:left w:val="nil"/>
              <w:bottom w:val="nil"/>
              <w:right w:val="nil"/>
            </w:tcBorders>
            <w:shd w:val="clear" w:color="auto" w:fill="auto"/>
            <w:vAlign w:val="center"/>
          </w:tcPr>
          <w:p w14:paraId="458345F7">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0.6 </w:t>
            </w:r>
          </w:p>
        </w:tc>
        <w:tc>
          <w:tcPr>
            <w:tcW w:w="763" w:type="dxa"/>
            <w:tcBorders>
              <w:top w:val="nil"/>
              <w:left w:val="nil"/>
              <w:bottom w:val="nil"/>
              <w:right w:val="nil"/>
            </w:tcBorders>
            <w:shd w:val="clear" w:color="auto" w:fill="auto"/>
            <w:noWrap/>
            <w:vAlign w:val="center"/>
          </w:tcPr>
          <w:p w14:paraId="5A563C1F">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 </w:t>
            </w:r>
          </w:p>
        </w:tc>
        <w:tc>
          <w:tcPr>
            <w:tcW w:w="756" w:type="dxa"/>
            <w:tcBorders>
              <w:top w:val="nil"/>
              <w:left w:val="nil"/>
              <w:bottom w:val="nil"/>
              <w:right w:val="nil"/>
            </w:tcBorders>
            <w:shd w:val="clear" w:color="auto" w:fill="auto"/>
            <w:vAlign w:val="center"/>
          </w:tcPr>
          <w:p w14:paraId="36B5861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0.2 </w:t>
            </w:r>
          </w:p>
        </w:tc>
        <w:tc>
          <w:tcPr>
            <w:tcW w:w="763" w:type="dxa"/>
            <w:tcBorders>
              <w:top w:val="nil"/>
              <w:left w:val="nil"/>
              <w:bottom w:val="nil"/>
              <w:right w:val="nil"/>
            </w:tcBorders>
            <w:shd w:val="clear" w:color="auto" w:fill="auto"/>
            <w:noWrap/>
            <w:vAlign w:val="center"/>
          </w:tcPr>
          <w:p w14:paraId="471ADE4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 </w:t>
            </w:r>
          </w:p>
        </w:tc>
        <w:tc>
          <w:tcPr>
            <w:tcW w:w="756" w:type="dxa"/>
            <w:tcBorders>
              <w:top w:val="nil"/>
              <w:left w:val="nil"/>
              <w:bottom w:val="nil"/>
              <w:right w:val="nil"/>
            </w:tcBorders>
            <w:shd w:val="clear" w:color="auto" w:fill="auto"/>
            <w:vAlign w:val="center"/>
          </w:tcPr>
          <w:p w14:paraId="623F7BD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0.0 </w:t>
            </w:r>
          </w:p>
        </w:tc>
        <w:tc>
          <w:tcPr>
            <w:tcW w:w="763" w:type="dxa"/>
            <w:tcBorders>
              <w:top w:val="nil"/>
              <w:left w:val="nil"/>
              <w:bottom w:val="nil"/>
              <w:right w:val="nil"/>
            </w:tcBorders>
            <w:shd w:val="clear" w:color="auto" w:fill="auto"/>
            <w:noWrap/>
            <w:vAlign w:val="center"/>
          </w:tcPr>
          <w:p w14:paraId="03CE5798">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 </w:t>
            </w:r>
          </w:p>
        </w:tc>
        <w:tc>
          <w:tcPr>
            <w:tcW w:w="756" w:type="dxa"/>
            <w:tcBorders>
              <w:top w:val="nil"/>
              <w:left w:val="nil"/>
              <w:bottom w:val="nil"/>
              <w:right w:val="nil"/>
            </w:tcBorders>
            <w:shd w:val="clear" w:color="auto" w:fill="auto"/>
            <w:vAlign w:val="center"/>
          </w:tcPr>
          <w:p w14:paraId="1289BC39">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0.2 </w:t>
            </w:r>
          </w:p>
        </w:tc>
        <w:tc>
          <w:tcPr>
            <w:tcW w:w="763" w:type="dxa"/>
            <w:tcBorders>
              <w:top w:val="nil"/>
              <w:left w:val="nil"/>
              <w:bottom w:val="nil"/>
              <w:right w:val="nil"/>
            </w:tcBorders>
            <w:shd w:val="clear" w:color="auto" w:fill="auto"/>
            <w:noWrap/>
            <w:vAlign w:val="center"/>
          </w:tcPr>
          <w:p w14:paraId="7A0A1A0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 </w:t>
            </w:r>
          </w:p>
        </w:tc>
        <w:tc>
          <w:tcPr>
            <w:tcW w:w="756" w:type="dxa"/>
            <w:tcBorders>
              <w:top w:val="nil"/>
              <w:left w:val="nil"/>
              <w:bottom w:val="nil"/>
              <w:right w:val="nil"/>
            </w:tcBorders>
            <w:shd w:val="clear" w:color="auto" w:fill="auto"/>
            <w:vAlign w:val="center"/>
          </w:tcPr>
          <w:p w14:paraId="6D74132C">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0.0 </w:t>
            </w:r>
          </w:p>
        </w:tc>
        <w:tc>
          <w:tcPr>
            <w:tcW w:w="763" w:type="dxa"/>
            <w:tcBorders>
              <w:top w:val="nil"/>
              <w:left w:val="nil"/>
              <w:bottom w:val="nil"/>
              <w:right w:val="nil"/>
            </w:tcBorders>
            <w:shd w:val="clear" w:color="auto" w:fill="auto"/>
            <w:noWrap/>
            <w:vAlign w:val="center"/>
          </w:tcPr>
          <w:p w14:paraId="5FA4D207">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 </w:t>
            </w:r>
          </w:p>
        </w:tc>
        <w:tc>
          <w:tcPr>
            <w:tcW w:w="756" w:type="dxa"/>
            <w:tcBorders>
              <w:top w:val="nil"/>
              <w:left w:val="nil"/>
              <w:bottom w:val="nil"/>
              <w:right w:val="nil"/>
            </w:tcBorders>
            <w:shd w:val="clear" w:color="auto" w:fill="auto"/>
            <w:vAlign w:val="center"/>
          </w:tcPr>
          <w:p w14:paraId="22E53B5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0.0 </w:t>
            </w:r>
          </w:p>
        </w:tc>
        <w:tc>
          <w:tcPr>
            <w:tcW w:w="763" w:type="dxa"/>
            <w:tcBorders>
              <w:top w:val="nil"/>
              <w:left w:val="nil"/>
              <w:bottom w:val="nil"/>
              <w:right w:val="nil"/>
            </w:tcBorders>
            <w:shd w:val="clear" w:color="auto" w:fill="auto"/>
            <w:noWrap/>
            <w:vAlign w:val="center"/>
          </w:tcPr>
          <w:p w14:paraId="6198532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 </w:t>
            </w:r>
          </w:p>
        </w:tc>
        <w:tc>
          <w:tcPr>
            <w:tcW w:w="668" w:type="dxa"/>
            <w:tcBorders>
              <w:top w:val="nil"/>
              <w:left w:val="nil"/>
              <w:bottom w:val="nil"/>
              <w:right w:val="nil"/>
            </w:tcBorders>
            <w:shd w:val="clear" w:color="auto" w:fill="auto"/>
            <w:vAlign w:val="center"/>
          </w:tcPr>
          <w:p w14:paraId="3FE27F1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0.0 </w:t>
            </w:r>
          </w:p>
        </w:tc>
        <w:tc>
          <w:tcPr>
            <w:tcW w:w="763" w:type="dxa"/>
            <w:tcBorders>
              <w:top w:val="nil"/>
              <w:left w:val="nil"/>
              <w:bottom w:val="nil"/>
              <w:right w:val="nil"/>
            </w:tcBorders>
            <w:shd w:val="clear" w:color="auto" w:fill="auto"/>
            <w:noWrap/>
            <w:vAlign w:val="center"/>
          </w:tcPr>
          <w:p w14:paraId="45ABE50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 </w:t>
            </w:r>
          </w:p>
        </w:tc>
        <w:tc>
          <w:tcPr>
            <w:tcW w:w="668" w:type="dxa"/>
            <w:tcBorders>
              <w:top w:val="nil"/>
              <w:left w:val="nil"/>
              <w:bottom w:val="nil"/>
              <w:right w:val="nil"/>
            </w:tcBorders>
            <w:shd w:val="clear" w:color="auto" w:fill="auto"/>
            <w:vAlign w:val="center"/>
          </w:tcPr>
          <w:p w14:paraId="32F3E581">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0.9 </w:t>
            </w:r>
          </w:p>
        </w:tc>
        <w:tc>
          <w:tcPr>
            <w:tcW w:w="763" w:type="dxa"/>
            <w:tcBorders>
              <w:top w:val="nil"/>
              <w:left w:val="nil"/>
              <w:bottom w:val="nil"/>
              <w:right w:val="nil"/>
            </w:tcBorders>
            <w:shd w:val="clear" w:color="auto" w:fill="auto"/>
            <w:noWrap/>
            <w:vAlign w:val="center"/>
          </w:tcPr>
          <w:p w14:paraId="76A6F06C">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 </w:t>
            </w:r>
          </w:p>
        </w:tc>
        <w:tc>
          <w:tcPr>
            <w:tcW w:w="668" w:type="dxa"/>
            <w:tcBorders>
              <w:top w:val="nil"/>
              <w:left w:val="nil"/>
              <w:bottom w:val="nil"/>
              <w:right w:val="nil"/>
            </w:tcBorders>
            <w:shd w:val="clear" w:color="auto" w:fill="auto"/>
            <w:vAlign w:val="center"/>
          </w:tcPr>
          <w:p w14:paraId="44DB5867">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0.0 </w:t>
            </w:r>
          </w:p>
        </w:tc>
        <w:tc>
          <w:tcPr>
            <w:tcW w:w="791" w:type="dxa"/>
            <w:tcBorders>
              <w:top w:val="nil"/>
              <w:left w:val="nil"/>
              <w:bottom w:val="nil"/>
              <w:right w:val="nil"/>
            </w:tcBorders>
            <w:shd w:val="clear" w:color="auto" w:fill="auto"/>
            <w:noWrap/>
            <w:vAlign w:val="center"/>
          </w:tcPr>
          <w:p w14:paraId="5D5D5F3A">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22</w:t>
            </w:r>
          </w:p>
        </w:tc>
      </w:tr>
      <w:tr w14:paraId="4A891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jc w:val="center"/>
        </w:trPr>
        <w:tc>
          <w:tcPr>
            <w:tcW w:w="1323" w:type="dxa"/>
            <w:tcBorders>
              <w:top w:val="nil"/>
              <w:left w:val="nil"/>
              <w:bottom w:val="nil"/>
              <w:right w:val="nil"/>
            </w:tcBorders>
            <w:shd w:val="clear" w:color="auto" w:fill="auto"/>
            <w:noWrap/>
            <w:vAlign w:val="center"/>
          </w:tcPr>
          <w:p w14:paraId="05474578">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Size 3 (250-750 kg)</w:t>
            </w:r>
          </w:p>
        </w:tc>
        <w:tc>
          <w:tcPr>
            <w:tcW w:w="763" w:type="dxa"/>
            <w:tcBorders>
              <w:top w:val="nil"/>
              <w:left w:val="nil"/>
              <w:bottom w:val="nil"/>
              <w:right w:val="nil"/>
            </w:tcBorders>
            <w:shd w:val="clear" w:color="auto" w:fill="auto"/>
            <w:noWrap/>
            <w:vAlign w:val="center"/>
          </w:tcPr>
          <w:p w14:paraId="6C4C4ED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2297 </w:t>
            </w:r>
          </w:p>
        </w:tc>
        <w:tc>
          <w:tcPr>
            <w:tcW w:w="755" w:type="dxa"/>
            <w:tcBorders>
              <w:top w:val="nil"/>
              <w:left w:val="nil"/>
              <w:bottom w:val="nil"/>
              <w:right w:val="nil"/>
            </w:tcBorders>
            <w:shd w:val="clear" w:color="auto" w:fill="auto"/>
            <w:vAlign w:val="center"/>
          </w:tcPr>
          <w:p w14:paraId="2842C62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82.3 </w:t>
            </w:r>
          </w:p>
        </w:tc>
        <w:tc>
          <w:tcPr>
            <w:tcW w:w="763" w:type="dxa"/>
            <w:tcBorders>
              <w:top w:val="nil"/>
              <w:left w:val="nil"/>
              <w:bottom w:val="nil"/>
              <w:right w:val="nil"/>
            </w:tcBorders>
            <w:shd w:val="clear" w:color="auto" w:fill="auto"/>
            <w:noWrap/>
            <w:vAlign w:val="center"/>
          </w:tcPr>
          <w:p w14:paraId="550D72C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291 </w:t>
            </w:r>
          </w:p>
        </w:tc>
        <w:tc>
          <w:tcPr>
            <w:tcW w:w="756" w:type="dxa"/>
            <w:tcBorders>
              <w:top w:val="nil"/>
              <w:left w:val="nil"/>
              <w:bottom w:val="nil"/>
              <w:right w:val="nil"/>
            </w:tcBorders>
            <w:shd w:val="clear" w:color="auto" w:fill="auto"/>
            <w:vAlign w:val="center"/>
          </w:tcPr>
          <w:p w14:paraId="3023856F">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66.3 </w:t>
            </w:r>
          </w:p>
        </w:tc>
        <w:tc>
          <w:tcPr>
            <w:tcW w:w="763" w:type="dxa"/>
            <w:tcBorders>
              <w:top w:val="nil"/>
              <w:left w:val="nil"/>
              <w:bottom w:val="nil"/>
              <w:right w:val="nil"/>
            </w:tcBorders>
            <w:shd w:val="clear" w:color="auto" w:fill="auto"/>
            <w:noWrap/>
            <w:vAlign w:val="center"/>
          </w:tcPr>
          <w:p w14:paraId="7D9D298F">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6 </w:t>
            </w:r>
          </w:p>
        </w:tc>
        <w:tc>
          <w:tcPr>
            <w:tcW w:w="756" w:type="dxa"/>
            <w:tcBorders>
              <w:top w:val="nil"/>
              <w:left w:val="nil"/>
              <w:bottom w:val="nil"/>
              <w:right w:val="nil"/>
            </w:tcBorders>
            <w:shd w:val="clear" w:color="auto" w:fill="auto"/>
            <w:vAlign w:val="center"/>
          </w:tcPr>
          <w:p w14:paraId="2CA633B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66.7 </w:t>
            </w:r>
          </w:p>
        </w:tc>
        <w:tc>
          <w:tcPr>
            <w:tcW w:w="763" w:type="dxa"/>
            <w:tcBorders>
              <w:top w:val="nil"/>
              <w:left w:val="nil"/>
              <w:bottom w:val="nil"/>
              <w:right w:val="nil"/>
            </w:tcBorders>
            <w:shd w:val="clear" w:color="auto" w:fill="auto"/>
            <w:noWrap/>
            <w:vAlign w:val="center"/>
          </w:tcPr>
          <w:p w14:paraId="16C7C30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595 </w:t>
            </w:r>
          </w:p>
        </w:tc>
        <w:tc>
          <w:tcPr>
            <w:tcW w:w="756" w:type="dxa"/>
            <w:tcBorders>
              <w:top w:val="nil"/>
              <w:left w:val="nil"/>
              <w:bottom w:val="nil"/>
              <w:right w:val="nil"/>
            </w:tcBorders>
            <w:shd w:val="clear" w:color="auto" w:fill="auto"/>
            <w:vAlign w:val="center"/>
          </w:tcPr>
          <w:p w14:paraId="75C9318F">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62.0 </w:t>
            </w:r>
          </w:p>
        </w:tc>
        <w:tc>
          <w:tcPr>
            <w:tcW w:w="763" w:type="dxa"/>
            <w:tcBorders>
              <w:top w:val="nil"/>
              <w:left w:val="nil"/>
              <w:bottom w:val="nil"/>
              <w:right w:val="nil"/>
            </w:tcBorders>
            <w:shd w:val="clear" w:color="auto" w:fill="auto"/>
            <w:noWrap/>
            <w:vAlign w:val="center"/>
          </w:tcPr>
          <w:p w14:paraId="2173B477">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26 </w:t>
            </w:r>
          </w:p>
        </w:tc>
        <w:tc>
          <w:tcPr>
            <w:tcW w:w="756" w:type="dxa"/>
            <w:tcBorders>
              <w:top w:val="nil"/>
              <w:left w:val="nil"/>
              <w:bottom w:val="nil"/>
              <w:right w:val="nil"/>
            </w:tcBorders>
            <w:shd w:val="clear" w:color="auto" w:fill="auto"/>
            <w:vAlign w:val="center"/>
          </w:tcPr>
          <w:p w14:paraId="16CECA2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39.4 </w:t>
            </w:r>
          </w:p>
        </w:tc>
        <w:tc>
          <w:tcPr>
            <w:tcW w:w="763" w:type="dxa"/>
            <w:tcBorders>
              <w:top w:val="nil"/>
              <w:left w:val="nil"/>
              <w:bottom w:val="nil"/>
              <w:right w:val="nil"/>
            </w:tcBorders>
            <w:shd w:val="clear" w:color="auto" w:fill="auto"/>
            <w:noWrap/>
            <w:vAlign w:val="center"/>
          </w:tcPr>
          <w:p w14:paraId="25D14D2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493 </w:t>
            </w:r>
          </w:p>
        </w:tc>
        <w:tc>
          <w:tcPr>
            <w:tcW w:w="756" w:type="dxa"/>
            <w:tcBorders>
              <w:top w:val="nil"/>
              <w:left w:val="nil"/>
              <w:bottom w:val="nil"/>
              <w:right w:val="nil"/>
            </w:tcBorders>
            <w:shd w:val="clear" w:color="auto" w:fill="auto"/>
            <w:vAlign w:val="center"/>
          </w:tcPr>
          <w:p w14:paraId="7DCC504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59.9 </w:t>
            </w:r>
          </w:p>
        </w:tc>
        <w:tc>
          <w:tcPr>
            <w:tcW w:w="763" w:type="dxa"/>
            <w:tcBorders>
              <w:top w:val="nil"/>
              <w:left w:val="nil"/>
              <w:bottom w:val="nil"/>
              <w:right w:val="nil"/>
            </w:tcBorders>
            <w:shd w:val="clear" w:color="auto" w:fill="auto"/>
            <w:noWrap/>
            <w:vAlign w:val="center"/>
          </w:tcPr>
          <w:p w14:paraId="3BB5B7BF">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33 </w:t>
            </w:r>
          </w:p>
        </w:tc>
        <w:tc>
          <w:tcPr>
            <w:tcW w:w="668" w:type="dxa"/>
            <w:tcBorders>
              <w:top w:val="nil"/>
              <w:left w:val="nil"/>
              <w:bottom w:val="nil"/>
              <w:right w:val="nil"/>
            </w:tcBorders>
            <w:shd w:val="clear" w:color="auto" w:fill="auto"/>
            <w:vAlign w:val="center"/>
          </w:tcPr>
          <w:p w14:paraId="3E7F5F68">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55.0 </w:t>
            </w:r>
          </w:p>
        </w:tc>
        <w:tc>
          <w:tcPr>
            <w:tcW w:w="763" w:type="dxa"/>
            <w:tcBorders>
              <w:top w:val="nil"/>
              <w:left w:val="nil"/>
              <w:bottom w:val="nil"/>
              <w:right w:val="nil"/>
            </w:tcBorders>
            <w:shd w:val="clear" w:color="auto" w:fill="auto"/>
            <w:noWrap/>
            <w:vAlign w:val="center"/>
          </w:tcPr>
          <w:p w14:paraId="0B5AA949">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101 </w:t>
            </w:r>
          </w:p>
        </w:tc>
        <w:tc>
          <w:tcPr>
            <w:tcW w:w="668" w:type="dxa"/>
            <w:tcBorders>
              <w:top w:val="nil"/>
              <w:left w:val="nil"/>
              <w:bottom w:val="nil"/>
              <w:right w:val="nil"/>
            </w:tcBorders>
            <w:shd w:val="clear" w:color="auto" w:fill="auto"/>
            <w:vAlign w:val="center"/>
          </w:tcPr>
          <w:p w14:paraId="1C23CA0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47.9 </w:t>
            </w:r>
          </w:p>
        </w:tc>
        <w:tc>
          <w:tcPr>
            <w:tcW w:w="763" w:type="dxa"/>
            <w:tcBorders>
              <w:top w:val="nil"/>
              <w:left w:val="nil"/>
              <w:bottom w:val="nil"/>
              <w:right w:val="nil"/>
            </w:tcBorders>
            <w:shd w:val="clear" w:color="auto" w:fill="auto"/>
            <w:noWrap/>
            <w:vAlign w:val="center"/>
          </w:tcPr>
          <w:p w14:paraId="297CBBD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29 </w:t>
            </w:r>
          </w:p>
        </w:tc>
        <w:tc>
          <w:tcPr>
            <w:tcW w:w="668" w:type="dxa"/>
            <w:tcBorders>
              <w:top w:val="nil"/>
              <w:left w:val="nil"/>
              <w:bottom w:val="nil"/>
              <w:right w:val="nil"/>
            </w:tcBorders>
            <w:shd w:val="clear" w:color="auto" w:fill="auto"/>
            <w:vAlign w:val="center"/>
          </w:tcPr>
          <w:p w14:paraId="6C4B857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41.4 </w:t>
            </w:r>
          </w:p>
        </w:tc>
        <w:tc>
          <w:tcPr>
            <w:tcW w:w="791" w:type="dxa"/>
            <w:tcBorders>
              <w:top w:val="nil"/>
              <w:left w:val="nil"/>
              <w:bottom w:val="nil"/>
              <w:right w:val="nil"/>
            </w:tcBorders>
            <w:shd w:val="clear" w:color="auto" w:fill="auto"/>
            <w:noWrap/>
            <w:vAlign w:val="center"/>
          </w:tcPr>
          <w:p w14:paraId="3AF3A2E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3871</w:t>
            </w:r>
          </w:p>
        </w:tc>
      </w:tr>
      <w:tr w14:paraId="5CD6C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jc w:val="center"/>
        </w:trPr>
        <w:tc>
          <w:tcPr>
            <w:tcW w:w="1323" w:type="dxa"/>
            <w:tcBorders>
              <w:top w:val="nil"/>
              <w:left w:val="nil"/>
              <w:bottom w:val="nil"/>
              <w:right w:val="nil"/>
            </w:tcBorders>
            <w:shd w:val="clear" w:color="auto" w:fill="auto"/>
            <w:noWrap/>
            <w:vAlign w:val="center"/>
          </w:tcPr>
          <w:p w14:paraId="53C2729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Size 3-4</w:t>
            </w:r>
          </w:p>
        </w:tc>
        <w:tc>
          <w:tcPr>
            <w:tcW w:w="763" w:type="dxa"/>
            <w:tcBorders>
              <w:top w:val="nil"/>
              <w:left w:val="nil"/>
              <w:bottom w:val="nil"/>
              <w:right w:val="nil"/>
            </w:tcBorders>
            <w:shd w:val="clear" w:color="auto" w:fill="auto"/>
            <w:noWrap/>
            <w:vAlign w:val="center"/>
          </w:tcPr>
          <w:p w14:paraId="5B7A944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61 </w:t>
            </w:r>
          </w:p>
        </w:tc>
        <w:tc>
          <w:tcPr>
            <w:tcW w:w="755" w:type="dxa"/>
            <w:tcBorders>
              <w:top w:val="nil"/>
              <w:left w:val="nil"/>
              <w:bottom w:val="nil"/>
              <w:right w:val="nil"/>
            </w:tcBorders>
            <w:shd w:val="clear" w:color="auto" w:fill="auto"/>
            <w:vAlign w:val="center"/>
          </w:tcPr>
          <w:p w14:paraId="02484BC8">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2.2 </w:t>
            </w:r>
          </w:p>
        </w:tc>
        <w:tc>
          <w:tcPr>
            <w:tcW w:w="763" w:type="dxa"/>
            <w:tcBorders>
              <w:top w:val="nil"/>
              <w:left w:val="nil"/>
              <w:bottom w:val="nil"/>
              <w:right w:val="nil"/>
            </w:tcBorders>
            <w:shd w:val="clear" w:color="auto" w:fill="auto"/>
            <w:noWrap/>
            <w:vAlign w:val="center"/>
          </w:tcPr>
          <w:p w14:paraId="4C0175F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22 </w:t>
            </w:r>
          </w:p>
        </w:tc>
        <w:tc>
          <w:tcPr>
            <w:tcW w:w="756" w:type="dxa"/>
            <w:tcBorders>
              <w:top w:val="nil"/>
              <w:left w:val="nil"/>
              <w:bottom w:val="nil"/>
              <w:right w:val="nil"/>
            </w:tcBorders>
            <w:shd w:val="clear" w:color="auto" w:fill="auto"/>
            <w:vAlign w:val="center"/>
          </w:tcPr>
          <w:p w14:paraId="57098749">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5.0 </w:t>
            </w:r>
          </w:p>
        </w:tc>
        <w:tc>
          <w:tcPr>
            <w:tcW w:w="763" w:type="dxa"/>
            <w:tcBorders>
              <w:top w:val="nil"/>
              <w:left w:val="nil"/>
              <w:bottom w:val="nil"/>
              <w:right w:val="nil"/>
            </w:tcBorders>
            <w:shd w:val="clear" w:color="auto" w:fill="auto"/>
            <w:noWrap/>
            <w:vAlign w:val="center"/>
          </w:tcPr>
          <w:p w14:paraId="44B49047">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 </w:t>
            </w:r>
          </w:p>
        </w:tc>
        <w:tc>
          <w:tcPr>
            <w:tcW w:w="756" w:type="dxa"/>
            <w:tcBorders>
              <w:top w:val="nil"/>
              <w:left w:val="nil"/>
              <w:bottom w:val="nil"/>
              <w:right w:val="nil"/>
            </w:tcBorders>
            <w:shd w:val="clear" w:color="auto" w:fill="auto"/>
            <w:vAlign w:val="center"/>
          </w:tcPr>
          <w:p w14:paraId="0EEB98B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11.1 </w:t>
            </w:r>
          </w:p>
        </w:tc>
        <w:tc>
          <w:tcPr>
            <w:tcW w:w="763" w:type="dxa"/>
            <w:tcBorders>
              <w:top w:val="nil"/>
              <w:left w:val="nil"/>
              <w:bottom w:val="nil"/>
              <w:right w:val="nil"/>
            </w:tcBorders>
            <w:shd w:val="clear" w:color="auto" w:fill="auto"/>
            <w:noWrap/>
            <w:vAlign w:val="center"/>
          </w:tcPr>
          <w:p w14:paraId="01C7E62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22 </w:t>
            </w:r>
          </w:p>
        </w:tc>
        <w:tc>
          <w:tcPr>
            <w:tcW w:w="756" w:type="dxa"/>
            <w:tcBorders>
              <w:top w:val="nil"/>
              <w:left w:val="nil"/>
              <w:bottom w:val="nil"/>
              <w:right w:val="nil"/>
            </w:tcBorders>
            <w:shd w:val="clear" w:color="auto" w:fill="auto"/>
            <w:vAlign w:val="center"/>
          </w:tcPr>
          <w:p w14:paraId="5282F81A">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2.3 </w:t>
            </w:r>
          </w:p>
        </w:tc>
        <w:tc>
          <w:tcPr>
            <w:tcW w:w="763" w:type="dxa"/>
            <w:tcBorders>
              <w:top w:val="nil"/>
              <w:left w:val="nil"/>
              <w:bottom w:val="nil"/>
              <w:right w:val="nil"/>
            </w:tcBorders>
            <w:shd w:val="clear" w:color="auto" w:fill="auto"/>
            <w:noWrap/>
            <w:vAlign w:val="center"/>
          </w:tcPr>
          <w:p w14:paraId="47AC74A8">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 </w:t>
            </w:r>
          </w:p>
        </w:tc>
        <w:tc>
          <w:tcPr>
            <w:tcW w:w="756" w:type="dxa"/>
            <w:tcBorders>
              <w:top w:val="nil"/>
              <w:left w:val="nil"/>
              <w:bottom w:val="nil"/>
              <w:right w:val="nil"/>
            </w:tcBorders>
            <w:shd w:val="clear" w:color="auto" w:fill="auto"/>
            <w:vAlign w:val="center"/>
          </w:tcPr>
          <w:p w14:paraId="4C5538D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0.0 </w:t>
            </w:r>
          </w:p>
        </w:tc>
        <w:tc>
          <w:tcPr>
            <w:tcW w:w="763" w:type="dxa"/>
            <w:tcBorders>
              <w:top w:val="nil"/>
              <w:left w:val="nil"/>
              <w:bottom w:val="nil"/>
              <w:right w:val="nil"/>
            </w:tcBorders>
            <w:shd w:val="clear" w:color="auto" w:fill="auto"/>
            <w:noWrap/>
            <w:vAlign w:val="center"/>
          </w:tcPr>
          <w:p w14:paraId="1B641B8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8 </w:t>
            </w:r>
          </w:p>
        </w:tc>
        <w:tc>
          <w:tcPr>
            <w:tcW w:w="756" w:type="dxa"/>
            <w:tcBorders>
              <w:top w:val="nil"/>
              <w:left w:val="nil"/>
              <w:bottom w:val="nil"/>
              <w:right w:val="nil"/>
            </w:tcBorders>
            <w:shd w:val="clear" w:color="auto" w:fill="auto"/>
            <w:vAlign w:val="center"/>
          </w:tcPr>
          <w:p w14:paraId="5F6DAD9F">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1.0 </w:t>
            </w:r>
          </w:p>
        </w:tc>
        <w:tc>
          <w:tcPr>
            <w:tcW w:w="763" w:type="dxa"/>
            <w:tcBorders>
              <w:top w:val="nil"/>
              <w:left w:val="nil"/>
              <w:bottom w:val="nil"/>
              <w:right w:val="nil"/>
            </w:tcBorders>
            <w:shd w:val="clear" w:color="auto" w:fill="auto"/>
            <w:noWrap/>
            <w:vAlign w:val="center"/>
          </w:tcPr>
          <w:p w14:paraId="6D335DE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 </w:t>
            </w:r>
          </w:p>
        </w:tc>
        <w:tc>
          <w:tcPr>
            <w:tcW w:w="668" w:type="dxa"/>
            <w:tcBorders>
              <w:top w:val="nil"/>
              <w:left w:val="nil"/>
              <w:bottom w:val="nil"/>
              <w:right w:val="nil"/>
            </w:tcBorders>
            <w:shd w:val="clear" w:color="auto" w:fill="auto"/>
            <w:vAlign w:val="center"/>
          </w:tcPr>
          <w:p w14:paraId="6D9EC4A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0.0 </w:t>
            </w:r>
          </w:p>
        </w:tc>
        <w:tc>
          <w:tcPr>
            <w:tcW w:w="763" w:type="dxa"/>
            <w:tcBorders>
              <w:top w:val="nil"/>
              <w:left w:val="nil"/>
              <w:bottom w:val="nil"/>
              <w:right w:val="nil"/>
            </w:tcBorders>
            <w:shd w:val="clear" w:color="auto" w:fill="auto"/>
            <w:noWrap/>
            <w:vAlign w:val="center"/>
          </w:tcPr>
          <w:p w14:paraId="11A76079">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 </w:t>
            </w:r>
          </w:p>
        </w:tc>
        <w:tc>
          <w:tcPr>
            <w:tcW w:w="668" w:type="dxa"/>
            <w:tcBorders>
              <w:top w:val="nil"/>
              <w:left w:val="nil"/>
              <w:bottom w:val="nil"/>
              <w:right w:val="nil"/>
            </w:tcBorders>
            <w:shd w:val="clear" w:color="auto" w:fill="auto"/>
            <w:vAlign w:val="center"/>
          </w:tcPr>
          <w:p w14:paraId="2C5F677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0.0 </w:t>
            </w:r>
          </w:p>
        </w:tc>
        <w:tc>
          <w:tcPr>
            <w:tcW w:w="763" w:type="dxa"/>
            <w:tcBorders>
              <w:top w:val="nil"/>
              <w:left w:val="nil"/>
              <w:bottom w:val="nil"/>
              <w:right w:val="nil"/>
            </w:tcBorders>
            <w:shd w:val="clear" w:color="auto" w:fill="auto"/>
            <w:noWrap/>
            <w:vAlign w:val="center"/>
          </w:tcPr>
          <w:p w14:paraId="140190EC">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 </w:t>
            </w:r>
          </w:p>
        </w:tc>
        <w:tc>
          <w:tcPr>
            <w:tcW w:w="668" w:type="dxa"/>
            <w:tcBorders>
              <w:top w:val="nil"/>
              <w:left w:val="nil"/>
              <w:bottom w:val="nil"/>
              <w:right w:val="nil"/>
            </w:tcBorders>
            <w:shd w:val="clear" w:color="auto" w:fill="auto"/>
            <w:vAlign w:val="center"/>
          </w:tcPr>
          <w:p w14:paraId="52D1C18A">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1.4 </w:t>
            </w:r>
          </w:p>
        </w:tc>
        <w:tc>
          <w:tcPr>
            <w:tcW w:w="791" w:type="dxa"/>
            <w:tcBorders>
              <w:top w:val="nil"/>
              <w:left w:val="nil"/>
              <w:bottom w:val="nil"/>
              <w:right w:val="nil"/>
            </w:tcBorders>
            <w:shd w:val="clear" w:color="auto" w:fill="auto"/>
            <w:noWrap/>
            <w:vAlign w:val="center"/>
          </w:tcPr>
          <w:p w14:paraId="0853CB4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115</w:t>
            </w:r>
          </w:p>
        </w:tc>
      </w:tr>
      <w:tr w14:paraId="124EC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jc w:val="center"/>
        </w:trPr>
        <w:tc>
          <w:tcPr>
            <w:tcW w:w="1323" w:type="dxa"/>
            <w:tcBorders>
              <w:top w:val="nil"/>
              <w:left w:val="nil"/>
              <w:bottom w:val="nil"/>
              <w:right w:val="nil"/>
            </w:tcBorders>
            <w:shd w:val="clear" w:color="auto" w:fill="auto"/>
            <w:noWrap/>
            <w:vAlign w:val="center"/>
          </w:tcPr>
          <w:p w14:paraId="456C853A">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Size 4 (750-2000 kg)</w:t>
            </w:r>
          </w:p>
        </w:tc>
        <w:tc>
          <w:tcPr>
            <w:tcW w:w="763" w:type="dxa"/>
            <w:tcBorders>
              <w:top w:val="nil"/>
              <w:left w:val="nil"/>
              <w:bottom w:val="nil"/>
              <w:right w:val="nil"/>
            </w:tcBorders>
            <w:shd w:val="clear" w:color="auto" w:fill="auto"/>
            <w:noWrap/>
            <w:vAlign w:val="center"/>
          </w:tcPr>
          <w:p w14:paraId="4AC67D9F">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398 </w:t>
            </w:r>
          </w:p>
        </w:tc>
        <w:tc>
          <w:tcPr>
            <w:tcW w:w="755" w:type="dxa"/>
            <w:tcBorders>
              <w:top w:val="nil"/>
              <w:left w:val="nil"/>
              <w:bottom w:val="nil"/>
              <w:right w:val="nil"/>
            </w:tcBorders>
            <w:shd w:val="clear" w:color="auto" w:fill="auto"/>
            <w:vAlign w:val="center"/>
          </w:tcPr>
          <w:p w14:paraId="29BFA34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14.3 </w:t>
            </w:r>
          </w:p>
        </w:tc>
        <w:tc>
          <w:tcPr>
            <w:tcW w:w="763" w:type="dxa"/>
            <w:tcBorders>
              <w:top w:val="nil"/>
              <w:left w:val="nil"/>
              <w:bottom w:val="nil"/>
              <w:right w:val="nil"/>
            </w:tcBorders>
            <w:shd w:val="clear" w:color="auto" w:fill="auto"/>
            <w:noWrap/>
            <w:vAlign w:val="center"/>
          </w:tcPr>
          <w:p w14:paraId="3996B67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123 </w:t>
            </w:r>
          </w:p>
        </w:tc>
        <w:tc>
          <w:tcPr>
            <w:tcW w:w="756" w:type="dxa"/>
            <w:tcBorders>
              <w:top w:val="nil"/>
              <w:left w:val="nil"/>
              <w:bottom w:val="nil"/>
              <w:right w:val="nil"/>
            </w:tcBorders>
            <w:shd w:val="clear" w:color="auto" w:fill="auto"/>
            <w:vAlign w:val="center"/>
          </w:tcPr>
          <w:p w14:paraId="09453D6F">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28.0 </w:t>
            </w:r>
          </w:p>
        </w:tc>
        <w:tc>
          <w:tcPr>
            <w:tcW w:w="763" w:type="dxa"/>
            <w:tcBorders>
              <w:top w:val="nil"/>
              <w:left w:val="nil"/>
              <w:bottom w:val="nil"/>
              <w:right w:val="nil"/>
            </w:tcBorders>
            <w:shd w:val="clear" w:color="auto" w:fill="auto"/>
            <w:noWrap/>
            <w:vAlign w:val="center"/>
          </w:tcPr>
          <w:p w14:paraId="6410957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 </w:t>
            </w:r>
          </w:p>
        </w:tc>
        <w:tc>
          <w:tcPr>
            <w:tcW w:w="756" w:type="dxa"/>
            <w:tcBorders>
              <w:top w:val="nil"/>
              <w:left w:val="nil"/>
              <w:bottom w:val="nil"/>
              <w:right w:val="nil"/>
            </w:tcBorders>
            <w:shd w:val="clear" w:color="auto" w:fill="auto"/>
            <w:vAlign w:val="center"/>
          </w:tcPr>
          <w:p w14:paraId="2F1A990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22.2 </w:t>
            </w:r>
          </w:p>
        </w:tc>
        <w:tc>
          <w:tcPr>
            <w:tcW w:w="763" w:type="dxa"/>
            <w:tcBorders>
              <w:top w:val="nil"/>
              <w:left w:val="nil"/>
              <w:bottom w:val="nil"/>
              <w:right w:val="nil"/>
            </w:tcBorders>
            <w:shd w:val="clear" w:color="auto" w:fill="auto"/>
            <w:noWrap/>
            <w:vAlign w:val="center"/>
          </w:tcPr>
          <w:p w14:paraId="01EC4D6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341 </w:t>
            </w:r>
          </w:p>
        </w:tc>
        <w:tc>
          <w:tcPr>
            <w:tcW w:w="756" w:type="dxa"/>
            <w:tcBorders>
              <w:top w:val="nil"/>
              <w:left w:val="nil"/>
              <w:bottom w:val="nil"/>
              <w:right w:val="nil"/>
            </w:tcBorders>
            <w:shd w:val="clear" w:color="auto" w:fill="auto"/>
            <w:vAlign w:val="center"/>
          </w:tcPr>
          <w:p w14:paraId="68789A0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35.5 </w:t>
            </w:r>
          </w:p>
        </w:tc>
        <w:tc>
          <w:tcPr>
            <w:tcW w:w="763" w:type="dxa"/>
            <w:tcBorders>
              <w:top w:val="nil"/>
              <w:left w:val="nil"/>
              <w:bottom w:val="nil"/>
              <w:right w:val="nil"/>
            </w:tcBorders>
            <w:shd w:val="clear" w:color="auto" w:fill="auto"/>
            <w:noWrap/>
            <w:vAlign w:val="center"/>
          </w:tcPr>
          <w:p w14:paraId="6BAB2087">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40 </w:t>
            </w:r>
          </w:p>
        </w:tc>
        <w:tc>
          <w:tcPr>
            <w:tcW w:w="756" w:type="dxa"/>
            <w:tcBorders>
              <w:top w:val="nil"/>
              <w:left w:val="nil"/>
              <w:bottom w:val="nil"/>
              <w:right w:val="nil"/>
            </w:tcBorders>
            <w:shd w:val="clear" w:color="auto" w:fill="auto"/>
            <w:vAlign w:val="center"/>
          </w:tcPr>
          <w:p w14:paraId="47BE547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60.6 </w:t>
            </w:r>
          </w:p>
        </w:tc>
        <w:tc>
          <w:tcPr>
            <w:tcW w:w="763" w:type="dxa"/>
            <w:tcBorders>
              <w:top w:val="nil"/>
              <w:left w:val="nil"/>
              <w:bottom w:val="nil"/>
              <w:right w:val="nil"/>
            </w:tcBorders>
            <w:shd w:val="clear" w:color="auto" w:fill="auto"/>
            <w:noWrap/>
            <w:vAlign w:val="center"/>
          </w:tcPr>
          <w:p w14:paraId="57228B5C">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318 </w:t>
            </w:r>
          </w:p>
        </w:tc>
        <w:tc>
          <w:tcPr>
            <w:tcW w:w="756" w:type="dxa"/>
            <w:tcBorders>
              <w:top w:val="nil"/>
              <w:left w:val="nil"/>
              <w:bottom w:val="nil"/>
              <w:right w:val="nil"/>
            </w:tcBorders>
            <w:shd w:val="clear" w:color="auto" w:fill="auto"/>
            <w:vAlign w:val="center"/>
          </w:tcPr>
          <w:p w14:paraId="4BB1B11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38.6 </w:t>
            </w:r>
          </w:p>
        </w:tc>
        <w:tc>
          <w:tcPr>
            <w:tcW w:w="763" w:type="dxa"/>
            <w:tcBorders>
              <w:top w:val="nil"/>
              <w:left w:val="nil"/>
              <w:bottom w:val="nil"/>
              <w:right w:val="nil"/>
            </w:tcBorders>
            <w:shd w:val="clear" w:color="auto" w:fill="auto"/>
            <w:noWrap/>
            <w:vAlign w:val="center"/>
          </w:tcPr>
          <w:p w14:paraId="06DADDC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27 </w:t>
            </w:r>
          </w:p>
        </w:tc>
        <w:tc>
          <w:tcPr>
            <w:tcW w:w="668" w:type="dxa"/>
            <w:tcBorders>
              <w:top w:val="nil"/>
              <w:left w:val="nil"/>
              <w:bottom w:val="nil"/>
              <w:right w:val="nil"/>
            </w:tcBorders>
            <w:shd w:val="clear" w:color="auto" w:fill="auto"/>
            <w:vAlign w:val="center"/>
          </w:tcPr>
          <w:p w14:paraId="09BD407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45.0 </w:t>
            </w:r>
          </w:p>
        </w:tc>
        <w:tc>
          <w:tcPr>
            <w:tcW w:w="763" w:type="dxa"/>
            <w:tcBorders>
              <w:top w:val="nil"/>
              <w:left w:val="nil"/>
              <w:bottom w:val="nil"/>
              <w:right w:val="nil"/>
            </w:tcBorders>
            <w:shd w:val="clear" w:color="auto" w:fill="auto"/>
            <w:noWrap/>
            <w:vAlign w:val="center"/>
          </w:tcPr>
          <w:p w14:paraId="0114B401">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107 </w:t>
            </w:r>
          </w:p>
        </w:tc>
        <w:tc>
          <w:tcPr>
            <w:tcW w:w="668" w:type="dxa"/>
            <w:tcBorders>
              <w:top w:val="nil"/>
              <w:left w:val="nil"/>
              <w:bottom w:val="nil"/>
              <w:right w:val="nil"/>
            </w:tcBorders>
            <w:shd w:val="clear" w:color="auto" w:fill="auto"/>
            <w:vAlign w:val="center"/>
          </w:tcPr>
          <w:p w14:paraId="3D60B55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50.7 </w:t>
            </w:r>
          </w:p>
        </w:tc>
        <w:tc>
          <w:tcPr>
            <w:tcW w:w="763" w:type="dxa"/>
            <w:tcBorders>
              <w:top w:val="nil"/>
              <w:left w:val="nil"/>
              <w:bottom w:val="nil"/>
              <w:right w:val="nil"/>
            </w:tcBorders>
            <w:shd w:val="clear" w:color="auto" w:fill="auto"/>
            <w:noWrap/>
            <w:vAlign w:val="center"/>
          </w:tcPr>
          <w:p w14:paraId="1AEA858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40 </w:t>
            </w:r>
          </w:p>
        </w:tc>
        <w:tc>
          <w:tcPr>
            <w:tcW w:w="668" w:type="dxa"/>
            <w:tcBorders>
              <w:top w:val="nil"/>
              <w:left w:val="nil"/>
              <w:bottom w:val="nil"/>
              <w:right w:val="nil"/>
            </w:tcBorders>
            <w:shd w:val="clear" w:color="auto" w:fill="auto"/>
            <w:vAlign w:val="center"/>
          </w:tcPr>
          <w:p w14:paraId="6DD493C1">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57.1 </w:t>
            </w:r>
          </w:p>
        </w:tc>
        <w:tc>
          <w:tcPr>
            <w:tcW w:w="791" w:type="dxa"/>
            <w:tcBorders>
              <w:top w:val="nil"/>
              <w:left w:val="nil"/>
              <w:bottom w:val="nil"/>
              <w:right w:val="nil"/>
            </w:tcBorders>
            <w:shd w:val="clear" w:color="auto" w:fill="auto"/>
            <w:noWrap/>
            <w:vAlign w:val="center"/>
          </w:tcPr>
          <w:p w14:paraId="6B5DB52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1396</w:t>
            </w:r>
          </w:p>
        </w:tc>
      </w:tr>
      <w:tr w14:paraId="08EAA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jc w:val="center"/>
        </w:trPr>
        <w:tc>
          <w:tcPr>
            <w:tcW w:w="1323" w:type="dxa"/>
            <w:tcBorders>
              <w:top w:val="nil"/>
              <w:left w:val="nil"/>
              <w:bottom w:val="single" w:color="000000" w:sz="4" w:space="0"/>
              <w:right w:val="nil"/>
            </w:tcBorders>
            <w:shd w:val="clear" w:color="auto" w:fill="auto"/>
            <w:noWrap/>
            <w:vAlign w:val="center"/>
          </w:tcPr>
          <w:p w14:paraId="12FCDDA1">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bCs/>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Total</w:t>
            </w:r>
          </w:p>
        </w:tc>
        <w:tc>
          <w:tcPr>
            <w:tcW w:w="763" w:type="dxa"/>
            <w:tcBorders>
              <w:top w:val="nil"/>
              <w:left w:val="nil"/>
              <w:bottom w:val="single" w:color="000000" w:sz="4" w:space="0"/>
              <w:right w:val="nil"/>
            </w:tcBorders>
            <w:shd w:val="clear" w:color="auto" w:fill="auto"/>
            <w:noWrap/>
            <w:vAlign w:val="center"/>
          </w:tcPr>
          <w:p w14:paraId="14DDB6F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2790 </w:t>
            </w:r>
          </w:p>
        </w:tc>
        <w:tc>
          <w:tcPr>
            <w:tcW w:w="755" w:type="dxa"/>
            <w:tcBorders>
              <w:top w:val="nil"/>
              <w:left w:val="nil"/>
              <w:bottom w:val="single" w:color="000000" w:sz="4" w:space="0"/>
              <w:right w:val="nil"/>
            </w:tcBorders>
            <w:shd w:val="clear" w:color="auto" w:fill="auto"/>
            <w:vAlign w:val="center"/>
          </w:tcPr>
          <w:p w14:paraId="5F13022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100.0 </w:t>
            </w:r>
          </w:p>
        </w:tc>
        <w:tc>
          <w:tcPr>
            <w:tcW w:w="763" w:type="dxa"/>
            <w:tcBorders>
              <w:top w:val="nil"/>
              <w:left w:val="nil"/>
              <w:bottom w:val="single" w:color="000000" w:sz="4" w:space="0"/>
              <w:right w:val="nil"/>
            </w:tcBorders>
            <w:shd w:val="clear" w:color="auto" w:fill="auto"/>
            <w:noWrap/>
            <w:vAlign w:val="center"/>
          </w:tcPr>
          <w:p w14:paraId="02611AA3">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439 </w:t>
            </w:r>
          </w:p>
        </w:tc>
        <w:tc>
          <w:tcPr>
            <w:tcW w:w="756" w:type="dxa"/>
            <w:tcBorders>
              <w:top w:val="nil"/>
              <w:left w:val="nil"/>
              <w:bottom w:val="single" w:color="000000" w:sz="4" w:space="0"/>
              <w:right w:val="nil"/>
            </w:tcBorders>
            <w:shd w:val="clear" w:color="auto" w:fill="auto"/>
            <w:vAlign w:val="center"/>
          </w:tcPr>
          <w:p w14:paraId="2B55DB37">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100.0 </w:t>
            </w:r>
          </w:p>
        </w:tc>
        <w:tc>
          <w:tcPr>
            <w:tcW w:w="763" w:type="dxa"/>
            <w:tcBorders>
              <w:top w:val="nil"/>
              <w:left w:val="nil"/>
              <w:bottom w:val="single" w:color="000000" w:sz="4" w:space="0"/>
              <w:right w:val="nil"/>
            </w:tcBorders>
            <w:shd w:val="clear" w:color="auto" w:fill="auto"/>
            <w:noWrap/>
            <w:vAlign w:val="center"/>
          </w:tcPr>
          <w:p w14:paraId="450763C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9 </w:t>
            </w:r>
          </w:p>
        </w:tc>
        <w:tc>
          <w:tcPr>
            <w:tcW w:w="756" w:type="dxa"/>
            <w:tcBorders>
              <w:top w:val="nil"/>
              <w:left w:val="nil"/>
              <w:bottom w:val="single" w:color="000000" w:sz="4" w:space="0"/>
              <w:right w:val="nil"/>
            </w:tcBorders>
            <w:shd w:val="clear" w:color="auto" w:fill="auto"/>
            <w:vAlign w:val="center"/>
          </w:tcPr>
          <w:p w14:paraId="1DFA19E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100.0 </w:t>
            </w:r>
          </w:p>
        </w:tc>
        <w:tc>
          <w:tcPr>
            <w:tcW w:w="763" w:type="dxa"/>
            <w:tcBorders>
              <w:top w:val="nil"/>
              <w:left w:val="nil"/>
              <w:bottom w:val="single" w:color="000000" w:sz="4" w:space="0"/>
              <w:right w:val="nil"/>
            </w:tcBorders>
            <w:shd w:val="clear" w:color="auto" w:fill="auto"/>
            <w:noWrap/>
            <w:vAlign w:val="center"/>
          </w:tcPr>
          <w:p w14:paraId="74658948">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960 </w:t>
            </w:r>
          </w:p>
        </w:tc>
        <w:tc>
          <w:tcPr>
            <w:tcW w:w="756" w:type="dxa"/>
            <w:tcBorders>
              <w:top w:val="nil"/>
              <w:left w:val="nil"/>
              <w:bottom w:val="single" w:color="000000" w:sz="4" w:space="0"/>
              <w:right w:val="nil"/>
            </w:tcBorders>
            <w:shd w:val="clear" w:color="auto" w:fill="auto"/>
            <w:vAlign w:val="center"/>
          </w:tcPr>
          <w:p w14:paraId="6690696F">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100.0 </w:t>
            </w:r>
          </w:p>
        </w:tc>
        <w:tc>
          <w:tcPr>
            <w:tcW w:w="763" w:type="dxa"/>
            <w:tcBorders>
              <w:top w:val="nil"/>
              <w:left w:val="nil"/>
              <w:bottom w:val="single" w:color="000000" w:sz="4" w:space="0"/>
              <w:right w:val="nil"/>
            </w:tcBorders>
            <w:shd w:val="clear" w:color="auto" w:fill="auto"/>
            <w:noWrap/>
            <w:vAlign w:val="center"/>
          </w:tcPr>
          <w:p w14:paraId="1712DA9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66 </w:t>
            </w:r>
          </w:p>
        </w:tc>
        <w:tc>
          <w:tcPr>
            <w:tcW w:w="756" w:type="dxa"/>
            <w:tcBorders>
              <w:top w:val="nil"/>
              <w:left w:val="nil"/>
              <w:bottom w:val="single" w:color="000000" w:sz="4" w:space="0"/>
              <w:right w:val="nil"/>
            </w:tcBorders>
            <w:shd w:val="clear" w:color="auto" w:fill="auto"/>
            <w:vAlign w:val="center"/>
          </w:tcPr>
          <w:p w14:paraId="0BC0367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100.0 </w:t>
            </w:r>
          </w:p>
        </w:tc>
        <w:tc>
          <w:tcPr>
            <w:tcW w:w="763" w:type="dxa"/>
            <w:tcBorders>
              <w:top w:val="nil"/>
              <w:left w:val="nil"/>
              <w:bottom w:val="single" w:color="000000" w:sz="4" w:space="0"/>
              <w:right w:val="nil"/>
            </w:tcBorders>
            <w:shd w:val="clear" w:color="auto" w:fill="auto"/>
            <w:noWrap/>
            <w:vAlign w:val="center"/>
          </w:tcPr>
          <w:p w14:paraId="1F76AADA">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823 </w:t>
            </w:r>
          </w:p>
        </w:tc>
        <w:tc>
          <w:tcPr>
            <w:tcW w:w="756" w:type="dxa"/>
            <w:tcBorders>
              <w:top w:val="nil"/>
              <w:left w:val="nil"/>
              <w:bottom w:val="single" w:color="000000" w:sz="4" w:space="0"/>
              <w:right w:val="nil"/>
            </w:tcBorders>
            <w:shd w:val="clear" w:color="auto" w:fill="auto"/>
            <w:vAlign w:val="center"/>
          </w:tcPr>
          <w:p w14:paraId="042DD80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100.0 </w:t>
            </w:r>
          </w:p>
        </w:tc>
        <w:tc>
          <w:tcPr>
            <w:tcW w:w="763" w:type="dxa"/>
            <w:tcBorders>
              <w:top w:val="nil"/>
              <w:left w:val="nil"/>
              <w:bottom w:val="single" w:color="000000" w:sz="4" w:space="0"/>
              <w:right w:val="nil"/>
            </w:tcBorders>
            <w:shd w:val="clear" w:color="auto" w:fill="auto"/>
            <w:noWrap/>
            <w:vAlign w:val="center"/>
          </w:tcPr>
          <w:p w14:paraId="0AE7783C">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60 </w:t>
            </w:r>
          </w:p>
        </w:tc>
        <w:tc>
          <w:tcPr>
            <w:tcW w:w="668" w:type="dxa"/>
            <w:tcBorders>
              <w:top w:val="nil"/>
              <w:left w:val="nil"/>
              <w:bottom w:val="single" w:color="000000" w:sz="4" w:space="0"/>
              <w:right w:val="nil"/>
            </w:tcBorders>
            <w:shd w:val="clear" w:color="auto" w:fill="auto"/>
            <w:vAlign w:val="center"/>
          </w:tcPr>
          <w:p w14:paraId="1D71747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100.0 </w:t>
            </w:r>
          </w:p>
        </w:tc>
        <w:tc>
          <w:tcPr>
            <w:tcW w:w="763" w:type="dxa"/>
            <w:tcBorders>
              <w:top w:val="nil"/>
              <w:left w:val="nil"/>
              <w:bottom w:val="single" w:color="000000" w:sz="4" w:space="0"/>
              <w:right w:val="nil"/>
            </w:tcBorders>
            <w:shd w:val="clear" w:color="auto" w:fill="auto"/>
            <w:noWrap/>
            <w:vAlign w:val="center"/>
          </w:tcPr>
          <w:p w14:paraId="0E6F90B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211 </w:t>
            </w:r>
          </w:p>
        </w:tc>
        <w:tc>
          <w:tcPr>
            <w:tcW w:w="668" w:type="dxa"/>
            <w:tcBorders>
              <w:top w:val="nil"/>
              <w:left w:val="nil"/>
              <w:bottom w:val="single" w:color="000000" w:sz="4" w:space="0"/>
              <w:right w:val="nil"/>
            </w:tcBorders>
            <w:shd w:val="clear" w:color="auto" w:fill="auto"/>
            <w:vAlign w:val="center"/>
          </w:tcPr>
          <w:p w14:paraId="37DD2AD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100.0 </w:t>
            </w:r>
          </w:p>
        </w:tc>
        <w:tc>
          <w:tcPr>
            <w:tcW w:w="763" w:type="dxa"/>
            <w:tcBorders>
              <w:top w:val="nil"/>
              <w:left w:val="nil"/>
              <w:bottom w:val="single" w:color="000000" w:sz="4" w:space="0"/>
              <w:right w:val="nil"/>
            </w:tcBorders>
            <w:shd w:val="clear" w:color="auto" w:fill="auto"/>
            <w:noWrap/>
            <w:vAlign w:val="center"/>
          </w:tcPr>
          <w:p w14:paraId="1165508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70 </w:t>
            </w:r>
          </w:p>
        </w:tc>
        <w:tc>
          <w:tcPr>
            <w:tcW w:w="668" w:type="dxa"/>
            <w:tcBorders>
              <w:top w:val="nil"/>
              <w:left w:val="nil"/>
              <w:bottom w:val="single" w:color="000000" w:sz="4" w:space="0"/>
              <w:right w:val="nil"/>
            </w:tcBorders>
            <w:shd w:val="clear" w:color="auto" w:fill="auto"/>
            <w:vAlign w:val="center"/>
          </w:tcPr>
          <w:p w14:paraId="094B48BA">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100.0 </w:t>
            </w:r>
          </w:p>
        </w:tc>
        <w:tc>
          <w:tcPr>
            <w:tcW w:w="791" w:type="dxa"/>
            <w:tcBorders>
              <w:top w:val="nil"/>
              <w:left w:val="nil"/>
              <w:bottom w:val="single" w:color="000000" w:sz="4" w:space="0"/>
              <w:right w:val="nil"/>
            </w:tcBorders>
            <w:shd w:val="clear" w:color="auto" w:fill="auto"/>
            <w:noWrap/>
            <w:vAlign w:val="center"/>
          </w:tcPr>
          <w:p w14:paraId="1E27A24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5428</w:t>
            </w:r>
          </w:p>
        </w:tc>
      </w:tr>
    </w:tbl>
    <w:p w14:paraId="47364355">
      <w:pPr>
        <w:ind w:firstLine="0"/>
        <w:jc w:val="both"/>
        <w:rPr>
          <w:rFonts w:asciiTheme="majorBidi" w:hAnsiTheme="majorBidi" w:cstheme="majorBidi"/>
        </w:rPr>
      </w:pPr>
    </w:p>
    <w:p w14:paraId="679FD64C">
      <w:pPr>
        <w:keepNext w:val="0"/>
        <w:keepLines w:val="0"/>
        <w:pageBreakBefore w:val="0"/>
        <w:widowControl/>
        <w:kinsoku/>
        <w:wordWrap/>
        <w:overflowPunct/>
        <w:topLinePunct w:val="0"/>
        <w:autoSpaceDE/>
        <w:autoSpaceDN/>
        <w:bidi w:val="0"/>
        <w:adjustRightInd/>
        <w:snapToGrid/>
        <w:spacing w:line="240" w:lineRule="auto"/>
        <w:ind w:firstLine="0"/>
        <w:jc w:val="both"/>
        <w:textAlignment w:val="auto"/>
        <w:rPr>
          <w:rFonts w:asciiTheme="majorBidi" w:hAnsiTheme="majorBidi" w:cstheme="majorBidi"/>
        </w:rPr>
      </w:pPr>
      <w:r>
        <w:rPr>
          <w:rFonts w:hint="default" w:ascii="Times New Roman" w:hAnsi="Times New Roman" w:eastAsia="宋体" w:cs="Times New Roman"/>
          <w:b/>
          <w:bCs/>
          <w:color w:val="000000"/>
          <w:kern w:val="0"/>
          <w:sz w:val="24"/>
          <w:szCs w:val="24"/>
          <w:lang w:val="en-US" w:eastAsia="zh-CN" w:bidi="ar"/>
        </w:rPr>
        <w:t xml:space="preserve">Supplementary </w:t>
      </w:r>
      <w:r>
        <w:rPr>
          <w:rFonts w:hint="eastAsia" w:cs="Times New Roman"/>
          <w:b/>
          <w:bCs/>
          <w:color w:val="000000"/>
          <w:kern w:val="0"/>
          <w:sz w:val="24"/>
          <w:szCs w:val="24"/>
          <w:lang w:val="en-US" w:eastAsia="zh-CN" w:bidi="ar"/>
        </w:rPr>
        <w:t>T</w:t>
      </w:r>
      <w:r>
        <w:rPr>
          <w:rFonts w:hint="default" w:ascii="Times New Roman" w:hAnsi="Times New Roman" w:eastAsia="宋体" w:cs="Times New Roman"/>
          <w:b/>
          <w:bCs/>
          <w:color w:val="auto"/>
          <w:kern w:val="0"/>
          <w:sz w:val="24"/>
          <w:szCs w:val="24"/>
          <w:lang w:val="en-US" w:eastAsia="zh-CN" w:bidi="ar"/>
        </w:rPr>
        <w:t>able 2</w:t>
      </w:r>
      <w:r>
        <w:rPr>
          <w:rFonts w:hint="eastAsia" w:cs="Times New Roman"/>
          <w:b/>
          <w:bCs/>
          <w:color w:val="auto"/>
          <w:kern w:val="0"/>
          <w:sz w:val="24"/>
          <w:szCs w:val="24"/>
          <w:lang w:val="en-US" w:eastAsia="zh-CN" w:bidi="ar"/>
        </w:rPr>
        <w:t>8</w:t>
      </w:r>
      <w:r>
        <w:t xml:space="preserve"> |</w:t>
      </w:r>
      <w:r>
        <w:rPr>
          <w:rFonts w:hint="eastAsia"/>
        </w:rPr>
        <w:t xml:space="preserve"> </w:t>
      </w:r>
      <w:r>
        <w:rPr>
          <w:rFonts w:hint="default" w:ascii="Times New Roman" w:hAnsi="Times New Roman" w:eastAsia="宋体" w:cs="Times New Roman"/>
          <w:b w:val="0"/>
          <w:bCs w:val="0"/>
          <w:color w:val="auto"/>
          <w:kern w:val="0"/>
          <w:sz w:val="24"/>
          <w:szCs w:val="24"/>
          <w:lang w:val="en-US" w:eastAsia="zh-CN" w:bidi="ar"/>
        </w:rPr>
        <w:t>The</w:t>
      </w:r>
      <w:r>
        <w:rPr>
          <w:rFonts w:hint="default" w:ascii="Times New Roman" w:hAnsi="Times New Roman" w:eastAsia="宋体" w:cs="Times New Roman"/>
          <w:b w:val="0"/>
          <w:bCs w:val="0"/>
          <w:color w:val="000000"/>
          <w:kern w:val="0"/>
          <w:sz w:val="24"/>
          <w:szCs w:val="24"/>
          <w:lang w:val="en-US" w:eastAsia="zh-CN" w:bidi="ar"/>
        </w:rPr>
        <w:t xml:space="preserve"> numbers of each tooth type of </w:t>
      </w:r>
      <w:r>
        <w:rPr>
          <w:rFonts w:hint="eastAsia" w:cs="Times New Roman"/>
          <w:b w:val="0"/>
          <w:bCs w:val="0"/>
          <w:color w:val="000000"/>
          <w:kern w:val="0"/>
          <w:sz w:val="24"/>
          <w:szCs w:val="24"/>
          <w:lang w:val="en-US" w:eastAsia="zh-CN" w:bidi="ar"/>
        </w:rPr>
        <w:t>l</w:t>
      </w:r>
      <w:r>
        <w:rPr>
          <w:rFonts w:hint="default" w:ascii="Times New Roman" w:hAnsi="Times New Roman" w:eastAsia="宋体" w:cs="Times New Roman"/>
          <w:b w:val="0"/>
          <w:bCs w:val="0"/>
          <w:color w:val="000000"/>
          <w:kern w:val="0"/>
          <w:sz w:val="24"/>
          <w:szCs w:val="24"/>
          <w:lang w:val="en-US" w:eastAsia="zh-CN" w:bidi="ar"/>
        </w:rPr>
        <w:t>age mammal species and the minimum number of individuals (MNI)</w:t>
      </w:r>
      <w:r>
        <w:rPr>
          <w:rFonts w:hint="eastAsia" w:cs="Times New Roman"/>
          <w:b w:val="0"/>
          <w:bCs w:val="0"/>
          <w:color w:val="000000"/>
          <w:kern w:val="0"/>
          <w:sz w:val="24"/>
          <w:szCs w:val="24"/>
          <w:lang w:val="en-US" w:eastAsia="zh-CN" w:bidi="ar"/>
        </w:rPr>
        <w:t>.</w:t>
      </w:r>
    </w:p>
    <w:tbl>
      <w:tblPr>
        <w:tblStyle w:val="24"/>
        <w:tblW w:w="0" w:type="auto"/>
        <w:tblInd w:w="108"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706"/>
        <w:gridCol w:w="351"/>
        <w:gridCol w:w="363"/>
        <w:gridCol w:w="351"/>
        <w:gridCol w:w="363"/>
        <w:gridCol w:w="351"/>
        <w:gridCol w:w="363"/>
        <w:gridCol w:w="436"/>
        <w:gridCol w:w="363"/>
        <w:gridCol w:w="436"/>
        <w:gridCol w:w="436"/>
        <w:gridCol w:w="436"/>
        <w:gridCol w:w="436"/>
        <w:gridCol w:w="546"/>
        <w:gridCol w:w="546"/>
        <w:gridCol w:w="436"/>
        <w:gridCol w:w="436"/>
        <w:gridCol w:w="2056"/>
        <w:gridCol w:w="723"/>
        <w:gridCol w:w="683"/>
        <w:gridCol w:w="1919"/>
      </w:tblGrid>
      <w:tr w14:paraId="4D1257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6" w:hRule="atLeast"/>
        </w:trPr>
        <w:tc>
          <w:tcPr>
            <w:tcW w:w="0" w:type="auto"/>
            <w:vMerge w:val="restart"/>
            <w:shd w:val="clear" w:color="auto" w:fill="auto"/>
            <w:noWrap/>
            <w:vAlign w:val="center"/>
          </w:tcPr>
          <w:p w14:paraId="11A67B83">
            <w:pPr>
              <w:keepNext w:val="0"/>
              <w:keepLines w:val="0"/>
              <w:widowControl/>
              <w:suppressLineNumbers w:val="0"/>
              <w:spacing w:before="0" w:beforeAutospacing="1" w:after="0" w:afterAutospacing="0" w:line="360" w:lineRule="auto"/>
              <w:ind w:left="0" w:right="0" w:firstLine="0"/>
              <w:jc w:val="left"/>
              <w:rPr>
                <w:rFonts w:hint="default" w:ascii="Times New Roman" w:hAnsi="Times New Roman" w:eastAsia="宋体" w:cs="Times New Roman"/>
                <w:b w:val="0"/>
                <w:bCs w:val="0"/>
                <w:color w:val="000000"/>
                <w:kern w:val="0"/>
                <w:sz w:val="24"/>
                <w:szCs w:val="24"/>
              </w:rPr>
            </w:pPr>
            <w:r>
              <w:rPr>
                <w:rFonts w:hint="default" w:ascii="Times New Roman" w:hAnsi="Times New Roman" w:eastAsia="宋体" w:cs="Times New Roman"/>
                <w:b w:val="0"/>
                <w:bCs w:val="0"/>
                <w:color w:val="000000"/>
                <w:kern w:val="0"/>
                <w:sz w:val="24"/>
                <w:szCs w:val="24"/>
                <w:lang w:val="en-US" w:eastAsia="zh-CN" w:bidi="ar"/>
              </w:rPr>
              <w:t>Species</w:t>
            </w:r>
          </w:p>
        </w:tc>
        <w:tc>
          <w:tcPr>
            <w:tcW w:w="0" w:type="auto"/>
            <w:gridSpan w:val="16"/>
            <w:vMerge w:val="restart"/>
            <w:shd w:val="clear" w:color="auto" w:fill="auto"/>
            <w:noWrap/>
            <w:vAlign w:val="center"/>
          </w:tcPr>
          <w:p w14:paraId="6F5B2B5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4"/>
                <w:szCs w:val="24"/>
              </w:rPr>
            </w:pPr>
            <w:r>
              <w:rPr>
                <w:rFonts w:hint="default" w:ascii="Times New Roman" w:hAnsi="Times New Roman" w:eastAsia="宋体" w:cs="Times New Roman"/>
                <w:b w:val="0"/>
                <w:bCs w:val="0"/>
                <w:color w:val="000000"/>
                <w:kern w:val="0"/>
                <w:sz w:val="24"/>
                <w:szCs w:val="24"/>
                <w:lang w:val="en-US" w:eastAsia="zh-CN" w:bidi="ar"/>
              </w:rPr>
              <w:t>Numbers of each tooth type</w:t>
            </w:r>
          </w:p>
        </w:tc>
        <w:tc>
          <w:tcPr>
            <w:tcW w:w="0" w:type="auto"/>
            <w:vMerge w:val="restart"/>
            <w:shd w:val="clear" w:color="auto" w:fill="auto"/>
            <w:vAlign w:val="center"/>
          </w:tcPr>
          <w:p w14:paraId="7AB0A5C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4"/>
                <w:szCs w:val="24"/>
              </w:rPr>
            </w:pPr>
            <w:r>
              <w:rPr>
                <w:rFonts w:hint="default" w:ascii="Times New Roman" w:hAnsi="Times New Roman" w:eastAsia="宋体" w:cs="Times New Roman"/>
                <w:b w:val="0"/>
                <w:bCs w:val="0"/>
                <w:color w:val="000000"/>
                <w:kern w:val="0"/>
                <w:sz w:val="24"/>
                <w:szCs w:val="24"/>
                <w:lang w:val="en-US" w:eastAsia="zh-CN" w:bidi="ar"/>
              </w:rPr>
              <w:t>Number of upper and lower teeth</w:t>
            </w:r>
          </w:p>
        </w:tc>
        <w:tc>
          <w:tcPr>
            <w:tcW w:w="0" w:type="auto"/>
            <w:vMerge w:val="restart"/>
            <w:shd w:val="clear" w:color="auto" w:fill="auto"/>
            <w:noWrap/>
            <w:vAlign w:val="center"/>
          </w:tcPr>
          <w:p w14:paraId="73A86B5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4"/>
                <w:szCs w:val="24"/>
              </w:rPr>
            </w:pPr>
            <w:r>
              <w:rPr>
                <w:rFonts w:hint="default" w:ascii="Times New Roman" w:hAnsi="Times New Roman" w:eastAsia="宋体" w:cs="Times New Roman"/>
                <w:b w:val="0"/>
                <w:bCs w:val="0"/>
                <w:color w:val="000000"/>
                <w:kern w:val="0"/>
                <w:sz w:val="24"/>
                <w:szCs w:val="24"/>
                <w:lang w:val="en-US" w:eastAsia="zh-CN" w:bidi="ar"/>
              </w:rPr>
              <w:t>Total</w:t>
            </w:r>
          </w:p>
        </w:tc>
        <w:tc>
          <w:tcPr>
            <w:tcW w:w="0" w:type="auto"/>
            <w:vMerge w:val="restart"/>
            <w:shd w:val="clear" w:color="auto" w:fill="auto"/>
            <w:noWrap/>
            <w:vAlign w:val="center"/>
          </w:tcPr>
          <w:p w14:paraId="6FE5348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4"/>
                <w:szCs w:val="24"/>
              </w:rPr>
            </w:pPr>
            <w:r>
              <w:rPr>
                <w:rFonts w:hint="default" w:ascii="Times New Roman" w:hAnsi="Times New Roman" w:eastAsia="宋体" w:cs="Times New Roman"/>
                <w:b w:val="0"/>
                <w:bCs w:val="0"/>
                <w:color w:val="000000"/>
                <w:kern w:val="0"/>
                <w:sz w:val="24"/>
                <w:szCs w:val="24"/>
                <w:lang w:val="en-US" w:eastAsia="zh-CN" w:bidi="ar"/>
              </w:rPr>
              <w:t>MNI</w:t>
            </w:r>
          </w:p>
        </w:tc>
        <w:tc>
          <w:tcPr>
            <w:tcW w:w="0" w:type="auto"/>
            <w:vMerge w:val="restart"/>
            <w:shd w:val="clear" w:color="auto" w:fill="auto"/>
            <w:vAlign w:val="center"/>
          </w:tcPr>
          <w:p w14:paraId="62A3410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4"/>
                <w:szCs w:val="24"/>
              </w:rPr>
            </w:pPr>
            <w:r>
              <w:rPr>
                <w:rFonts w:hint="default" w:ascii="Times New Roman" w:hAnsi="Times New Roman" w:eastAsia="宋体" w:cs="Times New Roman"/>
                <w:b w:val="0"/>
                <w:bCs w:val="0"/>
                <w:color w:val="000000"/>
                <w:kern w:val="0"/>
                <w:sz w:val="24"/>
                <w:szCs w:val="24"/>
                <w:lang w:val="en-US" w:eastAsia="zh-CN" w:bidi="ar"/>
              </w:rPr>
              <w:t>Differential preservation</w:t>
            </w:r>
          </w:p>
        </w:tc>
      </w:tr>
      <w:tr w14:paraId="0840047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3" w:hRule="atLeast"/>
        </w:trPr>
        <w:tc>
          <w:tcPr>
            <w:tcW w:w="0" w:type="auto"/>
            <w:vMerge w:val="continue"/>
            <w:shd w:val="clear" w:color="auto" w:fill="auto"/>
            <w:noWrap/>
            <w:vAlign w:val="center"/>
          </w:tcPr>
          <w:p w14:paraId="045A51E6">
            <w:pPr>
              <w:keepNext w:val="0"/>
              <w:keepLines w:val="0"/>
              <w:widowControl/>
              <w:suppressLineNumbers w:val="0"/>
              <w:spacing w:before="0" w:beforeAutospacing="0" w:afterAutospacing="0"/>
              <w:ind w:left="0" w:right="0"/>
              <w:jc w:val="left"/>
              <w:rPr>
                <w:rFonts w:hint="default" w:ascii="Times New Roman" w:hAnsi="Times New Roman" w:cs="Times New Roman"/>
                <w:sz w:val="20"/>
                <w:szCs w:val="20"/>
              </w:rPr>
            </w:pPr>
          </w:p>
        </w:tc>
        <w:tc>
          <w:tcPr>
            <w:tcW w:w="0" w:type="auto"/>
            <w:gridSpan w:val="16"/>
            <w:vMerge w:val="continue"/>
            <w:shd w:val="clear" w:color="auto" w:fill="auto"/>
            <w:noWrap/>
            <w:vAlign w:val="center"/>
          </w:tcPr>
          <w:p w14:paraId="047DAAD6">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0" w:type="auto"/>
            <w:vMerge w:val="continue"/>
            <w:shd w:val="clear" w:color="auto" w:fill="auto"/>
            <w:vAlign w:val="center"/>
          </w:tcPr>
          <w:p w14:paraId="23ADFE3D">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0" w:type="auto"/>
            <w:vMerge w:val="continue"/>
            <w:shd w:val="clear" w:color="auto" w:fill="auto"/>
            <w:noWrap/>
            <w:vAlign w:val="center"/>
          </w:tcPr>
          <w:p w14:paraId="4AD6696E">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0" w:type="auto"/>
            <w:vMerge w:val="continue"/>
            <w:shd w:val="clear" w:color="auto" w:fill="auto"/>
            <w:noWrap/>
            <w:vAlign w:val="center"/>
          </w:tcPr>
          <w:p w14:paraId="27E78C6C">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0" w:type="auto"/>
            <w:vMerge w:val="continue"/>
            <w:shd w:val="clear" w:color="auto" w:fill="auto"/>
            <w:vAlign w:val="center"/>
          </w:tcPr>
          <w:p w14:paraId="705C9F17">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r>
      <w:tr w14:paraId="4E9CD66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7" w:hRule="atLeast"/>
        </w:trPr>
        <w:tc>
          <w:tcPr>
            <w:tcW w:w="0" w:type="auto"/>
            <w:vMerge w:val="restart"/>
            <w:shd w:val="clear" w:color="auto" w:fill="auto"/>
            <w:vAlign w:val="center"/>
          </w:tcPr>
          <w:p w14:paraId="778EA8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b w:val="0"/>
                <w:bCs w:val="0"/>
                <w:i/>
                <w:iCs/>
                <w:color w:val="000000"/>
                <w:kern w:val="0"/>
                <w:sz w:val="22"/>
                <w:szCs w:val="22"/>
              </w:rPr>
            </w:pPr>
            <w:r>
              <w:rPr>
                <w:rFonts w:hint="default" w:ascii="Times New Roman" w:hAnsi="Times New Roman" w:eastAsia="宋体" w:cs="Times New Roman"/>
                <w:b w:val="0"/>
                <w:bCs w:val="0"/>
                <w:i/>
                <w:iCs/>
                <w:color w:val="000000"/>
                <w:kern w:val="0"/>
                <w:sz w:val="22"/>
                <w:szCs w:val="22"/>
                <w:lang w:val="en-US" w:eastAsia="zh-CN" w:bidi="ar"/>
              </w:rPr>
              <w:t>Cervus (Sika) nippon</w:t>
            </w:r>
          </w:p>
        </w:tc>
        <w:tc>
          <w:tcPr>
            <w:tcW w:w="0" w:type="auto"/>
            <w:gridSpan w:val="2"/>
            <w:shd w:val="clear" w:color="auto" w:fill="auto"/>
            <w:noWrap/>
            <w:vAlign w:val="center"/>
          </w:tcPr>
          <w:p w14:paraId="659C21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perscript"/>
                <w:lang w:val="en-US" w:eastAsia="zh-CN" w:bidi="ar"/>
              </w:rPr>
              <w:t>2</w:t>
            </w:r>
          </w:p>
        </w:tc>
        <w:tc>
          <w:tcPr>
            <w:tcW w:w="0" w:type="auto"/>
            <w:gridSpan w:val="2"/>
            <w:shd w:val="clear" w:color="auto" w:fill="auto"/>
            <w:noWrap/>
            <w:vAlign w:val="center"/>
          </w:tcPr>
          <w:p w14:paraId="3C0483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perscript"/>
                <w:lang w:val="en-US" w:eastAsia="zh-CN" w:bidi="ar"/>
              </w:rPr>
              <w:t>3</w:t>
            </w:r>
          </w:p>
        </w:tc>
        <w:tc>
          <w:tcPr>
            <w:tcW w:w="0" w:type="auto"/>
            <w:gridSpan w:val="2"/>
            <w:shd w:val="clear" w:color="auto" w:fill="auto"/>
            <w:noWrap/>
            <w:vAlign w:val="center"/>
          </w:tcPr>
          <w:p w14:paraId="38F268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perscript"/>
                <w:lang w:val="en-US" w:eastAsia="zh-CN" w:bidi="ar"/>
              </w:rPr>
              <w:t>4</w:t>
            </w:r>
          </w:p>
        </w:tc>
        <w:tc>
          <w:tcPr>
            <w:tcW w:w="0" w:type="auto"/>
            <w:gridSpan w:val="2"/>
            <w:shd w:val="clear" w:color="auto" w:fill="auto"/>
            <w:noWrap/>
            <w:vAlign w:val="center"/>
          </w:tcPr>
          <w:p w14:paraId="6AA170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perscript"/>
                <w:lang w:val="en-US" w:eastAsia="zh-CN" w:bidi="ar"/>
              </w:rPr>
              <w:t>2</w:t>
            </w:r>
          </w:p>
        </w:tc>
        <w:tc>
          <w:tcPr>
            <w:tcW w:w="872" w:type="dxa"/>
            <w:gridSpan w:val="2"/>
            <w:shd w:val="clear" w:color="auto" w:fill="auto"/>
            <w:noWrap/>
            <w:vAlign w:val="center"/>
          </w:tcPr>
          <w:p w14:paraId="6C2FB3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perscript"/>
                <w:lang w:val="en-US" w:eastAsia="zh-CN" w:bidi="ar"/>
              </w:rPr>
              <w:t>3</w:t>
            </w:r>
          </w:p>
        </w:tc>
        <w:tc>
          <w:tcPr>
            <w:tcW w:w="872" w:type="dxa"/>
            <w:gridSpan w:val="2"/>
            <w:shd w:val="clear" w:color="auto" w:fill="auto"/>
            <w:noWrap/>
            <w:vAlign w:val="center"/>
          </w:tcPr>
          <w:p w14:paraId="2F5EFA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perscript"/>
                <w:lang w:val="en-US" w:eastAsia="zh-CN" w:bidi="ar"/>
              </w:rPr>
              <w:t>4</w:t>
            </w:r>
          </w:p>
        </w:tc>
        <w:tc>
          <w:tcPr>
            <w:tcW w:w="0" w:type="auto"/>
            <w:gridSpan w:val="2"/>
            <w:shd w:val="clear" w:color="auto" w:fill="auto"/>
            <w:noWrap/>
            <w:vAlign w:val="center"/>
          </w:tcPr>
          <w:p w14:paraId="7ABAF2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perscript"/>
                <w:lang w:val="en-US" w:eastAsia="zh-CN" w:bidi="ar"/>
              </w:rPr>
              <w:t xml:space="preserve">1 </w:t>
            </w: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perscript"/>
                <w:lang w:val="en-US" w:eastAsia="zh-CN" w:bidi="ar"/>
              </w:rPr>
              <w:t>2</w:t>
            </w:r>
          </w:p>
        </w:tc>
        <w:tc>
          <w:tcPr>
            <w:tcW w:w="0" w:type="auto"/>
            <w:gridSpan w:val="2"/>
            <w:shd w:val="clear" w:color="auto" w:fill="auto"/>
            <w:noWrap/>
            <w:vAlign w:val="center"/>
          </w:tcPr>
          <w:p w14:paraId="1B1633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perscript"/>
                <w:lang w:val="en-US" w:eastAsia="zh-CN" w:bidi="ar"/>
              </w:rPr>
              <w:t>3</w:t>
            </w:r>
          </w:p>
        </w:tc>
        <w:tc>
          <w:tcPr>
            <w:tcW w:w="0" w:type="auto"/>
            <w:vMerge w:val="restart"/>
            <w:shd w:val="clear" w:color="auto" w:fill="auto"/>
            <w:vAlign w:val="center"/>
          </w:tcPr>
          <w:p w14:paraId="1905AD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Upper teeth</w:t>
            </w:r>
          </w:p>
        </w:tc>
        <w:tc>
          <w:tcPr>
            <w:tcW w:w="0" w:type="auto"/>
            <w:vMerge w:val="restart"/>
            <w:shd w:val="clear" w:color="auto" w:fill="auto"/>
            <w:noWrap/>
            <w:vAlign w:val="center"/>
          </w:tcPr>
          <w:p w14:paraId="4BC939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bCs/>
                <w:color w:val="000000"/>
                <w:kern w:val="0"/>
                <w:sz w:val="22"/>
                <w:szCs w:val="22"/>
              </w:rPr>
            </w:pPr>
            <w:r>
              <w:rPr>
                <w:rFonts w:hint="default" w:ascii="Times New Roman" w:hAnsi="Times New Roman" w:eastAsia="宋体" w:cs="Times New Roman"/>
                <w:b/>
                <w:bCs/>
                <w:color w:val="000000"/>
                <w:kern w:val="0"/>
                <w:sz w:val="22"/>
                <w:szCs w:val="22"/>
                <w:lang w:val="en-US" w:eastAsia="zh-CN" w:bidi="ar"/>
              </w:rPr>
              <w:t>1214</w:t>
            </w:r>
          </w:p>
        </w:tc>
        <w:tc>
          <w:tcPr>
            <w:tcW w:w="0" w:type="auto"/>
            <w:vMerge w:val="restart"/>
            <w:shd w:val="clear" w:color="auto" w:fill="auto"/>
            <w:noWrap/>
            <w:vAlign w:val="center"/>
          </w:tcPr>
          <w:p w14:paraId="081C31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bCs/>
                <w:color w:val="000000"/>
                <w:kern w:val="0"/>
                <w:sz w:val="22"/>
                <w:szCs w:val="22"/>
              </w:rPr>
            </w:pPr>
            <w:r>
              <w:rPr>
                <w:rFonts w:hint="default" w:ascii="Times New Roman" w:hAnsi="Times New Roman" w:eastAsia="宋体" w:cs="Times New Roman"/>
                <w:b/>
                <w:bCs/>
                <w:color w:val="000000"/>
                <w:kern w:val="0"/>
                <w:sz w:val="22"/>
                <w:szCs w:val="22"/>
                <w:lang w:val="en-US" w:eastAsia="zh-CN" w:bidi="ar"/>
              </w:rPr>
              <w:t>93</w:t>
            </w:r>
          </w:p>
        </w:tc>
        <w:tc>
          <w:tcPr>
            <w:tcW w:w="0" w:type="auto"/>
            <w:vMerge w:val="restart"/>
            <w:shd w:val="clear" w:color="auto" w:fill="auto"/>
            <w:noWrap/>
            <w:vAlign w:val="center"/>
          </w:tcPr>
          <w:p w14:paraId="0171DC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bCs/>
                <w:color w:val="000000"/>
                <w:kern w:val="0"/>
                <w:sz w:val="22"/>
                <w:szCs w:val="22"/>
              </w:rPr>
            </w:pPr>
            <w:r>
              <w:rPr>
                <w:rFonts w:hint="default" w:ascii="Times New Roman" w:hAnsi="Times New Roman" w:eastAsia="宋体" w:cs="Times New Roman"/>
                <w:b/>
                <w:bCs/>
                <w:color w:val="000000"/>
                <w:kern w:val="0"/>
                <w:sz w:val="22"/>
                <w:szCs w:val="22"/>
                <w:lang w:val="en-US" w:eastAsia="zh-CN" w:bidi="ar"/>
              </w:rPr>
              <w:t>97.4</w:t>
            </w:r>
            <w:r>
              <w:rPr>
                <w:rFonts w:hint="eastAsia" w:ascii="宋体" w:hAnsi="宋体" w:eastAsia="宋体" w:cs="宋体"/>
                <w:b/>
                <w:bCs/>
                <w:color w:val="000000"/>
                <w:kern w:val="0"/>
                <w:sz w:val="22"/>
                <w:szCs w:val="22"/>
                <w:lang w:val="en-US" w:eastAsia="zh-CN" w:bidi="ar"/>
              </w:rPr>
              <w:t>﹪</w:t>
            </w:r>
          </w:p>
        </w:tc>
      </w:tr>
      <w:tr w14:paraId="7E8DBE3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161203C6">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shd w:val="clear" w:color="auto" w:fill="auto"/>
            <w:noWrap/>
            <w:vAlign w:val="center"/>
          </w:tcPr>
          <w:p w14:paraId="2DDC0E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326B1B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6155BC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30D704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026920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3A4255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72B22A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74394C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72235C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436" w:type="dxa"/>
            <w:shd w:val="clear" w:color="auto" w:fill="auto"/>
            <w:noWrap/>
            <w:vAlign w:val="center"/>
          </w:tcPr>
          <w:p w14:paraId="68A9B8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436" w:type="dxa"/>
            <w:shd w:val="clear" w:color="auto" w:fill="auto"/>
            <w:noWrap/>
            <w:vAlign w:val="center"/>
          </w:tcPr>
          <w:p w14:paraId="3C89C2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1D6E58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1355DE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523155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2C7A3E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039B4D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vMerge w:val="continue"/>
            <w:shd w:val="clear" w:color="auto" w:fill="auto"/>
            <w:vAlign w:val="center"/>
          </w:tcPr>
          <w:p w14:paraId="44FDAEA4">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28A035E1">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01A30CD3">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76FF0E6E">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r>
      <w:tr w14:paraId="0E82DAE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29B08E35">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shd w:val="clear" w:color="auto" w:fill="auto"/>
            <w:noWrap/>
            <w:vAlign w:val="center"/>
          </w:tcPr>
          <w:p w14:paraId="21D6CE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w:t>
            </w:r>
          </w:p>
        </w:tc>
        <w:tc>
          <w:tcPr>
            <w:tcW w:w="0" w:type="auto"/>
            <w:shd w:val="clear" w:color="auto" w:fill="auto"/>
            <w:noWrap/>
            <w:vAlign w:val="center"/>
          </w:tcPr>
          <w:p w14:paraId="7D2EE2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w:t>
            </w:r>
          </w:p>
        </w:tc>
        <w:tc>
          <w:tcPr>
            <w:tcW w:w="0" w:type="auto"/>
            <w:shd w:val="clear" w:color="auto" w:fill="auto"/>
            <w:noWrap/>
            <w:vAlign w:val="center"/>
          </w:tcPr>
          <w:p w14:paraId="770953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w:t>
            </w:r>
          </w:p>
        </w:tc>
        <w:tc>
          <w:tcPr>
            <w:tcW w:w="0" w:type="auto"/>
            <w:shd w:val="clear" w:color="auto" w:fill="auto"/>
            <w:noWrap/>
            <w:vAlign w:val="center"/>
          </w:tcPr>
          <w:p w14:paraId="599CC9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w:t>
            </w:r>
          </w:p>
        </w:tc>
        <w:tc>
          <w:tcPr>
            <w:tcW w:w="0" w:type="auto"/>
            <w:shd w:val="clear" w:color="auto" w:fill="auto"/>
            <w:noWrap/>
            <w:vAlign w:val="center"/>
          </w:tcPr>
          <w:p w14:paraId="17229E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w:t>
            </w:r>
          </w:p>
        </w:tc>
        <w:tc>
          <w:tcPr>
            <w:tcW w:w="0" w:type="auto"/>
            <w:shd w:val="clear" w:color="auto" w:fill="auto"/>
            <w:noWrap/>
            <w:vAlign w:val="center"/>
          </w:tcPr>
          <w:p w14:paraId="6F3EBA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1</w:t>
            </w:r>
          </w:p>
        </w:tc>
        <w:tc>
          <w:tcPr>
            <w:tcW w:w="0" w:type="auto"/>
            <w:shd w:val="clear" w:color="auto" w:fill="auto"/>
            <w:noWrap/>
            <w:vAlign w:val="center"/>
          </w:tcPr>
          <w:p w14:paraId="302CEE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7</w:t>
            </w:r>
          </w:p>
        </w:tc>
        <w:tc>
          <w:tcPr>
            <w:tcW w:w="0" w:type="auto"/>
            <w:shd w:val="clear" w:color="auto" w:fill="auto"/>
            <w:noWrap/>
            <w:vAlign w:val="center"/>
          </w:tcPr>
          <w:p w14:paraId="6FE704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7</w:t>
            </w:r>
          </w:p>
        </w:tc>
        <w:tc>
          <w:tcPr>
            <w:tcW w:w="0" w:type="auto"/>
            <w:shd w:val="clear" w:color="auto" w:fill="auto"/>
            <w:noWrap/>
            <w:vAlign w:val="center"/>
          </w:tcPr>
          <w:p w14:paraId="085EFD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24</w:t>
            </w:r>
          </w:p>
        </w:tc>
        <w:tc>
          <w:tcPr>
            <w:tcW w:w="436" w:type="dxa"/>
            <w:shd w:val="clear" w:color="auto" w:fill="auto"/>
            <w:noWrap/>
            <w:vAlign w:val="center"/>
          </w:tcPr>
          <w:p w14:paraId="71F487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28</w:t>
            </w:r>
          </w:p>
        </w:tc>
        <w:tc>
          <w:tcPr>
            <w:tcW w:w="436" w:type="dxa"/>
            <w:shd w:val="clear" w:color="auto" w:fill="auto"/>
            <w:noWrap/>
            <w:vAlign w:val="center"/>
          </w:tcPr>
          <w:p w14:paraId="2D58C0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27</w:t>
            </w:r>
          </w:p>
        </w:tc>
        <w:tc>
          <w:tcPr>
            <w:tcW w:w="0" w:type="auto"/>
            <w:shd w:val="clear" w:color="auto" w:fill="auto"/>
            <w:noWrap/>
            <w:vAlign w:val="center"/>
          </w:tcPr>
          <w:p w14:paraId="18B03B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28</w:t>
            </w:r>
          </w:p>
        </w:tc>
        <w:tc>
          <w:tcPr>
            <w:tcW w:w="0" w:type="auto"/>
            <w:shd w:val="clear" w:color="auto" w:fill="auto"/>
            <w:noWrap/>
            <w:vAlign w:val="center"/>
          </w:tcPr>
          <w:p w14:paraId="19F7CF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94</w:t>
            </w:r>
          </w:p>
        </w:tc>
        <w:tc>
          <w:tcPr>
            <w:tcW w:w="0" w:type="auto"/>
            <w:shd w:val="clear" w:color="auto" w:fill="auto"/>
            <w:noWrap/>
            <w:vAlign w:val="center"/>
          </w:tcPr>
          <w:p w14:paraId="470139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108</w:t>
            </w:r>
          </w:p>
        </w:tc>
        <w:tc>
          <w:tcPr>
            <w:tcW w:w="0" w:type="auto"/>
            <w:shd w:val="clear" w:color="auto" w:fill="auto"/>
            <w:noWrap/>
            <w:vAlign w:val="center"/>
          </w:tcPr>
          <w:p w14:paraId="136389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67</w:t>
            </w:r>
          </w:p>
        </w:tc>
        <w:tc>
          <w:tcPr>
            <w:tcW w:w="0" w:type="auto"/>
            <w:shd w:val="clear" w:color="auto" w:fill="auto"/>
            <w:noWrap/>
            <w:vAlign w:val="center"/>
          </w:tcPr>
          <w:p w14:paraId="0B1DB2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80</w:t>
            </w:r>
          </w:p>
        </w:tc>
        <w:tc>
          <w:tcPr>
            <w:tcW w:w="0" w:type="auto"/>
            <w:shd w:val="clear" w:color="auto" w:fill="auto"/>
            <w:noWrap/>
            <w:vAlign w:val="center"/>
          </w:tcPr>
          <w:p w14:paraId="6507EC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480</w:t>
            </w:r>
          </w:p>
        </w:tc>
        <w:tc>
          <w:tcPr>
            <w:tcW w:w="0" w:type="auto"/>
            <w:vMerge w:val="continue"/>
            <w:shd w:val="clear" w:color="auto" w:fill="auto"/>
            <w:noWrap/>
            <w:vAlign w:val="center"/>
          </w:tcPr>
          <w:p w14:paraId="5C49B28C">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66FB774C">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4BA9C88D">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r>
      <w:tr w14:paraId="2E84F62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25897FE5">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gridSpan w:val="2"/>
            <w:shd w:val="clear" w:color="auto" w:fill="auto"/>
            <w:noWrap/>
            <w:vAlign w:val="center"/>
          </w:tcPr>
          <w:p w14:paraId="156C46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bscript"/>
                <w:lang w:val="en-US" w:eastAsia="zh-CN" w:bidi="ar"/>
              </w:rPr>
              <w:t>2</w:t>
            </w:r>
          </w:p>
        </w:tc>
        <w:tc>
          <w:tcPr>
            <w:tcW w:w="0" w:type="auto"/>
            <w:gridSpan w:val="2"/>
            <w:shd w:val="clear" w:color="auto" w:fill="auto"/>
            <w:noWrap/>
            <w:vAlign w:val="center"/>
          </w:tcPr>
          <w:p w14:paraId="2A9233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bscript"/>
                <w:lang w:val="en-US" w:eastAsia="zh-CN" w:bidi="ar"/>
              </w:rPr>
              <w:t>3</w:t>
            </w:r>
          </w:p>
        </w:tc>
        <w:tc>
          <w:tcPr>
            <w:tcW w:w="0" w:type="auto"/>
            <w:gridSpan w:val="2"/>
            <w:shd w:val="clear" w:color="auto" w:fill="auto"/>
            <w:noWrap/>
            <w:vAlign w:val="center"/>
          </w:tcPr>
          <w:p w14:paraId="0F5970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DP</w:t>
            </w:r>
            <w:r>
              <w:rPr>
                <w:rFonts w:hint="default" w:ascii="Times New Roman" w:hAnsi="Times New Roman" w:eastAsia="宋体" w:cs="Times New Roman"/>
                <w:b w:val="0"/>
                <w:bCs w:val="0"/>
                <w:color w:val="000000"/>
                <w:kern w:val="0"/>
                <w:sz w:val="22"/>
                <w:szCs w:val="22"/>
                <w:vertAlign w:val="subscript"/>
                <w:lang w:val="en-US" w:eastAsia="zh-CN" w:bidi="ar"/>
              </w:rPr>
              <w:t>4</w:t>
            </w:r>
          </w:p>
        </w:tc>
        <w:tc>
          <w:tcPr>
            <w:tcW w:w="0" w:type="auto"/>
            <w:gridSpan w:val="2"/>
            <w:shd w:val="clear" w:color="auto" w:fill="auto"/>
            <w:noWrap/>
            <w:vAlign w:val="center"/>
          </w:tcPr>
          <w:p w14:paraId="63B790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P</w:t>
            </w:r>
            <w:r>
              <w:rPr>
                <w:rFonts w:hint="default" w:ascii="Times New Roman" w:hAnsi="Times New Roman" w:eastAsia="宋体" w:cs="Times New Roman"/>
                <w:b w:val="0"/>
                <w:bCs w:val="0"/>
                <w:color w:val="000000"/>
                <w:kern w:val="0"/>
                <w:sz w:val="22"/>
                <w:szCs w:val="22"/>
                <w:vertAlign w:val="subscript"/>
                <w:lang w:val="en-US" w:eastAsia="zh-CN" w:bidi="ar"/>
              </w:rPr>
              <w:t>2</w:t>
            </w:r>
          </w:p>
        </w:tc>
        <w:tc>
          <w:tcPr>
            <w:tcW w:w="872" w:type="dxa"/>
            <w:gridSpan w:val="2"/>
            <w:shd w:val="clear" w:color="auto" w:fill="auto"/>
            <w:noWrap/>
            <w:vAlign w:val="center"/>
          </w:tcPr>
          <w:p w14:paraId="31D2DC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bscript"/>
                <w:lang w:val="en-US" w:eastAsia="zh-CN" w:bidi="ar"/>
              </w:rPr>
              <w:t>3</w:t>
            </w:r>
          </w:p>
        </w:tc>
        <w:tc>
          <w:tcPr>
            <w:tcW w:w="872" w:type="dxa"/>
            <w:gridSpan w:val="2"/>
            <w:shd w:val="clear" w:color="auto" w:fill="auto"/>
            <w:noWrap/>
            <w:vAlign w:val="center"/>
          </w:tcPr>
          <w:p w14:paraId="0BCC70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bscript"/>
                <w:lang w:val="en-US" w:eastAsia="zh-CN" w:bidi="ar"/>
              </w:rPr>
              <w:t>4</w:t>
            </w:r>
          </w:p>
        </w:tc>
        <w:tc>
          <w:tcPr>
            <w:tcW w:w="0" w:type="auto"/>
            <w:gridSpan w:val="2"/>
            <w:shd w:val="clear" w:color="auto" w:fill="auto"/>
            <w:noWrap/>
            <w:vAlign w:val="center"/>
          </w:tcPr>
          <w:p w14:paraId="16E48C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bscript"/>
                <w:lang w:val="en-US" w:eastAsia="zh-CN" w:bidi="ar"/>
              </w:rPr>
              <w:t>1</w:t>
            </w:r>
            <w:r>
              <w:rPr>
                <w:rFonts w:hint="default" w:ascii="Times New Roman" w:hAnsi="Times New Roman" w:eastAsia="宋体" w:cs="Times New Roman"/>
                <w:color w:val="000000"/>
                <w:kern w:val="0"/>
                <w:sz w:val="22"/>
                <w:szCs w:val="22"/>
                <w:vertAlign w:val="superscript"/>
                <w:lang w:val="en-US" w:eastAsia="zh-CN" w:bidi="ar"/>
              </w:rPr>
              <w:t xml:space="preserve"> </w:t>
            </w: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bscript"/>
                <w:lang w:val="en-US" w:eastAsia="zh-CN" w:bidi="ar"/>
              </w:rPr>
              <w:t>2</w:t>
            </w:r>
          </w:p>
        </w:tc>
        <w:tc>
          <w:tcPr>
            <w:tcW w:w="0" w:type="auto"/>
            <w:gridSpan w:val="2"/>
            <w:shd w:val="clear" w:color="auto" w:fill="auto"/>
            <w:noWrap/>
            <w:vAlign w:val="center"/>
          </w:tcPr>
          <w:p w14:paraId="710108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bscript"/>
                <w:lang w:val="en-US" w:eastAsia="zh-CN" w:bidi="ar"/>
              </w:rPr>
              <w:t>3</w:t>
            </w:r>
          </w:p>
        </w:tc>
        <w:tc>
          <w:tcPr>
            <w:tcW w:w="0" w:type="auto"/>
            <w:vMerge w:val="restart"/>
            <w:shd w:val="clear" w:color="auto" w:fill="auto"/>
            <w:vAlign w:val="center"/>
          </w:tcPr>
          <w:p w14:paraId="0E5D4E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Lower teeth</w:t>
            </w:r>
          </w:p>
        </w:tc>
        <w:tc>
          <w:tcPr>
            <w:tcW w:w="0" w:type="auto"/>
            <w:vMerge w:val="continue"/>
            <w:shd w:val="clear" w:color="auto" w:fill="auto"/>
            <w:noWrap/>
            <w:vAlign w:val="center"/>
          </w:tcPr>
          <w:p w14:paraId="425877B4">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740110BE">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1F0985F2">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r>
      <w:tr w14:paraId="6830114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7BE93F7D">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shd w:val="clear" w:color="auto" w:fill="auto"/>
            <w:noWrap/>
            <w:vAlign w:val="center"/>
          </w:tcPr>
          <w:p w14:paraId="611397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40F7B1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18A657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5AEE8A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5639F0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671CD9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R</w:t>
            </w:r>
          </w:p>
        </w:tc>
        <w:tc>
          <w:tcPr>
            <w:tcW w:w="0" w:type="auto"/>
            <w:shd w:val="clear" w:color="auto" w:fill="auto"/>
            <w:noWrap/>
            <w:vAlign w:val="center"/>
          </w:tcPr>
          <w:p w14:paraId="2E56E6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L</w:t>
            </w:r>
          </w:p>
        </w:tc>
        <w:tc>
          <w:tcPr>
            <w:tcW w:w="0" w:type="auto"/>
            <w:shd w:val="clear" w:color="auto" w:fill="auto"/>
            <w:noWrap/>
            <w:vAlign w:val="center"/>
          </w:tcPr>
          <w:p w14:paraId="2EBD23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171A79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436" w:type="dxa"/>
            <w:shd w:val="clear" w:color="auto" w:fill="auto"/>
            <w:noWrap/>
            <w:vAlign w:val="center"/>
          </w:tcPr>
          <w:p w14:paraId="2818BF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436" w:type="dxa"/>
            <w:shd w:val="clear" w:color="auto" w:fill="auto"/>
            <w:noWrap/>
            <w:vAlign w:val="center"/>
          </w:tcPr>
          <w:p w14:paraId="78DB01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1980C1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7FDB4D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4F8313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175BC6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47F192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vMerge w:val="continue"/>
            <w:shd w:val="clear" w:color="auto" w:fill="auto"/>
            <w:vAlign w:val="center"/>
          </w:tcPr>
          <w:p w14:paraId="561D2AE6">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0A29F4F0">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0BD8D1D2">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261A7968">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r>
      <w:tr w14:paraId="2AE6867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45F09307">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shd w:val="clear" w:color="auto" w:fill="auto"/>
            <w:noWrap/>
            <w:vAlign w:val="center"/>
          </w:tcPr>
          <w:p w14:paraId="4DFE54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520611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w:t>
            </w:r>
          </w:p>
        </w:tc>
        <w:tc>
          <w:tcPr>
            <w:tcW w:w="0" w:type="auto"/>
            <w:shd w:val="clear" w:color="auto" w:fill="auto"/>
            <w:noWrap/>
            <w:vAlign w:val="center"/>
          </w:tcPr>
          <w:p w14:paraId="187BF0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68F132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w:t>
            </w:r>
          </w:p>
        </w:tc>
        <w:tc>
          <w:tcPr>
            <w:tcW w:w="0" w:type="auto"/>
            <w:shd w:val="clear" w:color="auto" w:fill="auto"/>
            <w:noWrap/>
            <w:vAlign w:val="center"/>
          </w:tcPr>
          <w:p w14:paraId="7FFE99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w:t>
            </w:r>
          </w:p>
        </w:tc>
        <w:tc>
          <w:tcPr>
            <w:tcW w:w="0" w:type="auto"/>
            <w:shd w:val="clear" w:color="auto" w:fill="auto"/>
            <w:noWrap/>
            <w:vAlign w:val="center"/>
          </w:tcPr>
          <w:p w14:paraId="3910EE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4</w:t>
            </w:r>
          </w:p>
        </w:tc>
        <w:tc>
          <w:tcPr>
            <w:tcW w:w="0" w:type="auto"/>
            <w:shd w:val="clear" w:color="auto" w:fill="auto"/>
            <w:noWrap/>
            <w:vAlign w:val="center"/>
          </w:tcPr>
          <w:p w14:paraId="7C8F6A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11</w:t>
            </w:r>
          </w:p>
        </w:tc>
        <w:tc>
          <w:tcPr>
            <w:tcW w:w="0" w:type="auto"/>
            <w:shd w:val="clear" w:color="auto" w:fill="auto"/>
            <w:noWrap/>
            <w:vAlign w:val="center"/>
          </w:tcPr>
          <w:p w14:paraId="09407C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9</w:t>
            </w:r>
          </w:p>
        </w:tc>
        <w:tc>
          <w:tcPr>
            <w:tcW w:w="0" w:type="auto"/>
            <w:shd w:val="clear" w:color="auto" w:fill="auto"/>
            <w:noWrap/>
            <w:vAlign w:val="center"/>
          </w:tcPr>
          <w:p w14:paraId="503219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40</w:t>
            </w:r>
          </w:p>
        </w:tc>
        <w:tc>
          <w:tcPr>
            <w:tcW w:w="436" w:type="dxa"/>
            <w:shd w:val="clear" w:color="auto" w:fill="auto"/>
            <w:noWrap/>
            <w:vAlign w:val="center"/>
          </w:tcPr>
          <w:p w14:paraId="4CBCCA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39</w:t>
            </w:r>
          </w:p>
        </w:tc>
        <w:tc>
          <w:tcPr>
            <w:tcW w:w="436" w:type="dxa"/>
            <w:shd w:val="clear" w:color="auto" w:fill="auto"/>
            <w:noWrap/>
            <w:vAlign w:val="center"/>
          </w:tcPr>
          <w:p w14:paraId="601E6D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55</w:t>
            </w:r>
          </w:p>
        </w:tc>
        <w:tc>
          <w:tcPr>
            <w:tcW w:w="0" w:type="auto"/>
            <w:shd w:val="clear" w:color="auto" w:fill="auto"/>
            <w:noWrap/>
            <w:vAlign w:val="center"/>
          </w:tcPr>
          <w:p w14:paraId="61A864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57</w:t>
            </w:r>
          </w:p>
        </w:tc>
        <w:tc>
          <w:tcPr>
            <w:tcW w:w="0" w:type="auto"/>
            <w:shd w:val="clear" w:color="auto" w:fill="auto"/>
            <w:noWrap/>
            <w:vAlign w:val="center"/>
          </w:tcPr>
          <w:p w14:paraId="72292D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173</w:t>
            </w:r>
          </w:p>
        </w:tc>
        <w:tc>
          <w:tcPr>
            <w:tcW w:w="0" w:type="auto"/>
            <w:shd w:val="clear" w:color="auto" w:fill="auto"/>
            <w:noWrap/>
            <w:vAlign w:val="center"/>
          </w:tcPr>
          <w:p w14:paraId="34FDB9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173</w:t>
            </w:r>
          </w:p>
        </w:tc>
        <w:tc>
          <w:tcPr>
            <w:tcW w:w="0" w:type="auto"/>
            <w:shd w:val="clear" w:color="auto" w:fill="auto"/>
            <w:noWrap/>
            <w:vAlign w:val="center"/>
          </w:tcPr>
          <w:p w14:paraId="105084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89</w:t>
            </w:r>
          </w:p>
        </w:tc>
        <w:tc>
          <w:tcPr>
            <w:tcW w:w="0" w:type="auto"/>
            <w:shd w:val="clear" w:color="auto" w:fill="auto"/>
            <w:noWrap/>
            <w:vAlign w:val="center"/>
          </w:tcPr>
          <w:p w14:paraId="22F81F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81</w:t>
            </w:r>
          </w:p>
        </w:tc>
        <w:tc>
          <w:tcPr>
            <w:tcW w:w="0" w:type="auto"/>
            <w:shd w:val="clear" w:color="auto" w:fill="auto"/>
            <w:noWrap/>
            <w:vAlign w:val="center"/>
          </w:tcPr>
          <w:p w14:paraId="74ED01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734</w:t>
            </w:r>
          </w:p>
        </w:tc>
        <w:tc>
          <w:tcPr>
            <w:tcW w:w="0" w:type="auto"/>
            <w:vMerge w:val="continue"/>
            <w:shd w:val="clear" w:color="auto" w:fill="auto"/>
            <w:noWrap/>
            <w:vAlign w:val="center"/>
          </w:tcPr>
          <w:p w14:paraId="2BE6A582">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57BFB96B">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544297D7">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r>
      <w:tr w14:paraId="1DDB32F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7" w:hRule="atLeast"/>
        </w:trPr>
        <w:tc>
          <w:tcPr>
            <w:tcW w:w="0" w:type="auto"/>
            <w:vMerge w:val="restart"/>
            <w:shd w:val="clear" w:color="auto" w:fill="auto"/>
            <w:vAlign w:val="center"/>
          </w:tcPr>
          <w:p w14:paraId="626B2C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b w:val="0"/>
                <w:bCs w:val="0"/>
                <w:i/>
                <w:iCs/>
                <w:color w:val="000000"/>
                <w:kern w:val="0"/>
                <w:sz w:val="22"/>
                <w:szCs w:val="22"/>
              </w:rPr>
            </w:pPr>
            <w:r>
              <w:rPr>
                <w:rFonts w:hint="default" w:ascii="Times New Roman" w:hAnsi="Times New Roman" w:eastAsia="宋体" w:cs="Times New Roman"/>
                <w:b w:val="0"/>
                <w:bCs w:val="0"/>
                <w:i/>
                <w:iCs/>
                <w:color w:val="000000"/>
                <w:kern w:val="0"/>
                <w:sz w:val="22"/>
                <w:szCs w:val="22"/>
                <w:lang w:val="en-US" w:eastAsia="zh-CN" w:bidi="ar"/>
              </w:rPr>
              <w:t>Cervus elaphus</w:t>
            </w:r>
          </w:p>
        </w:tc>
        <w:tc>
          <w:tcPr>
            <w:tcW w:w="0" w:type="auto"/>
            <w:gridSpan w:val="2"/>
            <w:shd w:val="clear" w:color="auto" w:fill="auto"/>
            <w:noWrap/>
            <w:vAlign w:val="center"/>
          </w:tcPr>
          <w:p w14:paraId="6CFB3D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perscript"/>
                <w:lang w:val="en-US" w:eastAsia="zh-CN" w:bidi="ar"/>
              </w:rPr>
              <w:t>2</w:t>
            </w:r>
          </w:p>
        </w:tc>
        <w:tc>
          <w:tcPr>
            <w:tcW w:w="0" w:type="auto"/>
            <w:gridSpan w:val="2"/>
            <w:shd w:val="clear" w:color="auto" w:fill="auto"/>
            <w:noWrap/>
            <w:vAlign w:val="center"/>
          </w:tcPr>
          <w:p w14:paraId="0182E3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perscript"/>
                <w:lang w:val="en-US" w:eastAsia="zh-CN" w:bidi="ar"/>
              </w:rPr>
              <w:t>3</w:t>
            </w:r>
          </w:p>
        </w:tc>
        <w:tc>
          <w:tcPr>
            <w:tcW w:w="0" w:type="auto"/>
            <w:gridSpan w:val="2"/>
            <w:shd w:val="clear" w:color="auto" w:fill="auto"/>
            <w:noWrap/>
            <w:vAlign w:val="center"/>
          </w:tcPr>
          <w:p w14:paraId="5E08D8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DP</w:t>
            </w:r>
            <w:r>
              <w:rPr>
                <w:rFonts w:hint="default" w:ascii="Times New Roman" w:hAnsi="Times New Roman" w:eastAsia="宋体" w:cs="Times New Roman"/>
                <w:b w:val="0"/>
                <w:bCs w:val="0"/>
                <w:color w:val="000000"/>
                <w:kern w:val="0"/>
                <w:sz w:val="22"/>
                <w:szCs w:val="22"/>
                <w:vertAlign w:val="superscript"/>
                <w:lang w:val="en-US" w:eastAsia="zh-CN" w:bidi="ar"/>
              </w:rPr>
              <w:t>4</w:t>
            </w:r>
          </w:p>
        </w:tc>
        <w:tc>
          <w:tcPr>
            <w:tcW w:w="0" w:type="auto"/>
            <w:gridSpan w:val="2"/>
            <w:shd w:val="clear" w:color="auto" w:fill="auto"/>
            <w:noWrap/>
            <w:vAlign w:val="center"/>
          </w:tcPr>
          <w:p w14:paraId="076BA9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P</w:t>
            </w:r>
            <w:r>
              <w:rPr>
                <w:rFonts w:hint="default" w:ascii="Times New Roman" w:hAnsi="Times New Roman" w:eastAsia="宋体" w:cs="Times New Roman"/>
                <w:b w:val="0"/>
                <w:bCs w:val="0"/>
                <w:color w:val="000000"/>
                <w:kern w:val="0"/>
                <w:sz w:val="22"/>
                <w:szCs w:val="22"/>
                <w:vertAlign w:val="superscript"/>
                <w:lang w:val="en-US" w:eastAsia="zh-CN" w:bidi="ar"/>
              </w:rPr>
              <w:t>2</w:t>
            </w:r>
          </w:p>
        </w:tc>
        <w:tc>
          <w:tcPr>
            <w:tcW w:w="872" w:type="dxa"/>
            <w:gridSpan w:val="2"/>
            <w:shd w:val="clear" w:color="auto" w:fill="auto"/>
            <w:noWrap/>
            <w:vAlign w:val="center"/>
          </w:tcPr>
          <w:p w14:paraId="1DE88D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perscript"/>
                <w:lang w:val="en-US" w:eastAsia="zh-CN" w:bidi="ar"/>
              </w:rPr>
              <w:t>3</w:t>
            </w:r>
          </w:p>
        </w:tc>
        <w:tc>
          <w:tcPr>
            <w:tcW w:w="872" w:type="dxa"/>
            <w:gridSpan w:val="2"/>
            <w:shd w:val="clear" w:color="auto" w:fill="auto"/>
            <w:noWrap/>
            <w:vAlign w:val="center"/>
          </w:tcPr>
          <w:p w14:paraId="2E77F0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perscript"/>
                <w:lang w:val="en-US" w:eastAsia="zh-CN" w:bidi="ar"/>
              </w:rPr>
              <w:t>4</w:t>
            </w:r>
          </w:p>
        </w:tc>
        <w:tc>
          <w:tcPr>
            <w:tcW w:w="0" w:type="auto"/>
            <w:gridSpan w:val="2"/>
            <w:shd w:val="clear" w:color="auto" w:fill="auto"/>
            <w:noWrap/>
            <w:vAlign w:val="center"/>
          </w:tcPr>
          <w:p w14:paraId="32F064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perscript"/>
                <w:lang w:val="en-US" w:eastAsia="zh-CN" w:bidi="ar"/>
              </w:rPr>
              <w:t xml:space="preserve">1 </w:t>
            </w: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perscript"/>
                <w:lang w:val="en-US" w:eastAsia="zh-CN" w:bidi="ar"/>
              </w:rPr>
              <w:t>2</w:t>
            </w:r>
          </w:p>
        </w:tc>
        <w:tc>
          <w:tcPr>
            <w:tcW w:w="0" w:type="auto"/>
            <w:gridSpan w:val="2"/>
            <w:shd w:val="clear" w:color="auto" w:fill="auto"/>
            <w:noWrap/>
            <w:vAlign w:val="center"/>
          </w:tcPr>
          <w:p w14:paraId="60400E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M</w:t>
            </w:r>
            <w:r>
              <w:rPr>
                <w:rFonts w:hint="default" w:ascii="Times New Roman" w:hAnsi="Times New Roman" w:eastAsia="宋体" w:cs="Times New Roman"/>
                <w:b w:val="0"/>
                <w:bCs w:val="0"/>
                <w:color w:val="000000"/>
                <w:kern w:val="0"/>
                <w:sz w:val="22"/>
                <w:szCs w:val="22"/>
                <w:vertAlign w:val="superscript"/>
                <w:lang w:val="en-US" w:eastAsia="zh-CN" w:bidi="ar"/>
              </w:rPr>
              <w:t>3</w:t>
            </w:r>
          </w:p>
        </w:tc>
        <w:tc>
          <w:tcPr>
            <w:tcW w:w="0" w:type="auto"/>
            <w:vMerge w:val="restart"/>
            <w:shd w:val="clear" w:color="auto" w:fill="auto"/>
            <w:vAlign w:val="center"/>
          </w:tcPr>
          <w:p w14:paraId="6C639B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Upper teeth</w:t>
            </w:r>
          </w:p>
        </w:tc>
        <w:tc>
          <w:tcPr>
            <w:tcW w:w="0" w:type="auto"/>
            <w:vMerge w:val="restart"/>
            <w:shd w:val="clear" w:color="auto" w:fill="auto"/>
            <w:noWrap/>
            <w:vAlign w:val="center"/>
          </w:tcPr>
          <w:p w14:paraId="15CA5B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bCs/>
                <w:color w:val="000000"/>
                <w:kern w:val="0"/>
                <w:sz w:val="22"/>
                <w:szCs w:val="22"/>
              </w:rPr>
            </w:pPr>
            <w:r>
              <w:rPr>
                <w:rFonts w:hint="default" w:ascii="Times New Roman" w:hAnsi="Times New Roman" w:eastAsia="宋体" w:cs="Times New Roman"/>
                <w:b/>
                <w:bCs/>
                <w:color w:val="000000"/>
                <w:kern w:val="0"/>
                <w:sz w:val="22"/>
                <w:szCs w:val="22"/>
                <w:lang w:val="en-US" w:eastAsia="zh-CN" w:bidi="ar"/>
              </w:rPr>
              <w:t>110</w:t>
            </w:r>
          </w:p>
        </w:tc>
        <w:tc>
          <w:tcPr>
            <w:tcW w:w="0" w:type="auto"/>
            <w:vMerge w:val="restart"/>
            <w:shd w:val="clear" w:color="auto" w:fill="auto"/>
            <w:noWrap/>
            <w:vAlign w:val="center"/>
          </w:tcPr>
          <w:p w14:paraId="75C018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bCs/>
                <w:color w:val="000000"/>
                <w:kern w:val="0"/>
                <w:sz w:val="22"/>
                <w:szCs w:val="22"/>
              </w:rPr>
            </w:pPr>
            <w:r>
              <w:rPr>
                <w:rFonts w:hint="default" w:ascii="Times New Roman" w:hAnsi="Times New Roman" w:eastAsia="宋体" w:cs="Times New Roman"/>
                <w:b/>
                <w:bCs/>
                <w:color w:val="000000"/>
                <w:kern w:val="0"/>
                <w:sz w:val="22"/>
                <w:szCs w:val="22"/>
                <w:lang w:val="en-US" w:eastAsia="zh-CN" w:bidi="ar"/>
              </w:rPr>
              <w:t>10</w:t>
            </w:r>
          </w:p>
        </w:tc>
        <w:tc>
          <w:tcPr>
            <w:tcW w:w="0" w:type="auto"/>
            <w:vMerge w:val="restart"/>
            <w:shd w:val="clear" w:color="auto" w:fill="auto"/>
            <w:noWrap/>
            <w:vAlign w:val="center"/>
          </w:tcPr>
          <w:p w14:paraId="61E583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bCs/>
                <w:color w:val="000000"/>
                <w:kern w:val="0"/>
                <w:sz w:val="22"/>
                <w:szCs w:val="22"/>
              </w:rPr>
            </w:pPr>
            <w:r>
              <w:rPr>
                <w:rFonts w:hint="default" w:ascii="Times New Roman" w:hAnsi="Times New Roman" w:eastAsia="宋体" w:cs="Times New Roman"/>
                <w:b/>
                <w:bCs/>
                <w:color w:val="000000"/>
                <w:kern w:val="0"/>
                <w:sz w:val="22"/>
                <w:szCs w:val="22"/>
                <w:lang w:val="en-US" w:eastAsia="zh-CN" w:bidi="ar"/>
              </w:rPr>
              <w:t>85.9</w:t>
            </w:r>
            <w:r>
              <w:rPr>
                <w:rFonts w:hint="eastAsia" w:ascii="宋体" w:hAnsi="宋体" w:eastAsia="宋体" w:cs="宋体"/>
                <w:b/>
                <w:bCs/>
                <w:color w:val="000000"/>
                <w:kern w:val="0"/>
                <w:sz w:val="22"/>
                <w:szCs w:val="22"/>
                <w:lang w:val="en-US" w:eastAsia="zh-CN" w:bidi="ar"/>
              </w:rPr>
              <w:t>﹪</w:t>
            </w:r>
          </w:p>
        </w:tc>
      </w:tr>
      <w:tr w14:paraId="7550BE2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535CDBF4">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shd w:val="clear" w:color="auto" w:fill="auto"/>
            <w:noWrap/>
            <w:vAlign w:val="center"/>
          </w:tcPr>
          <w:p w14:paraId="4DB331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4BDD4A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09E616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5A85A2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42EE1B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4F9A0A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R</w:t>
            </w:r>
          </w:p>
        </w:tc>
        <w:tc>
          <w:tcPr>
            <w:tcW w:w="0" w:type="auto"/>
            <w:shd w:val="clear" w:color="auto" w:fill="auto"/>
            <w:noWrap/>
            <w:vAlign w:val="center"/>
          </w:tcPr>
          <w:p w14:paraId="70ABA2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L</w:t>
            </w:r>
          </w:p>
        </w:tc>
        <w:tc>
          <w:tcPr>
            <w:tcW w:w="0" w:type="auto"/>
            <w:shd w:val="clear" w:color="auto" w:fill="auto"/>
            <w:noWrap/>
            <w:vAlign w:val="center"/>
          </w:tcPr>
          <w:p w14:paraId="2D01FD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55CEEE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436" w:type="dxa"/>
            <w:shd w:val="clear" w:color="auto" w:fill="auto"/>
            <w:noWrap/>
            <w:vAlign w:val="center"/>
          </w:tcPr>
          <w:p w14:paraId="46A14F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436" w:type="dxa"/>
            <w:shd w:val="clear" w:color="auto" w:fill="auto"/>
            <w:noWrap/>
            <w:vAlign w:val="center"/>
          </w:tcPr>
          <w:p w14:paraId="0C4CC1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6C4C88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678FFB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0BC406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3236C2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L</w:t>
            </w:r>
          </w:p>
        </w:tc>
        <w:tc>
          <w:tcPr>
            <w:tcW w:w="0" w:type="auto"/>
            <w:shd w:val="clear" w:color="auto" w:fill="auto"/>
            <w:noWrap/>
            <w:vAlign w:val="center"/>
          </w:tcPr>
          <w:p w14:paraId="29CA82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R</w:t>
            </w:r>
          </w:p>
        </w:tc>
        <w:tc>
          <w:tcPr>
            <w:tcW w:w="0" w:type="auto"/>
            <w:vMerge w:val="continue"/>
            <w:shd w:val="clear" w:color="auto" w:fill="auto"/>
            <w:vAlign w:val="center"/>
          </w:tcPr>
          <w:p w14:paraId="7B5ACBFA">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7E0B8D3A">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1EC9A959">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0CBABDB5">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r>
      <w:tr w14:paraId="486B388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770E1CA3">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shd w:val="clear" w:color="auto" w:fill="auto"/>
            <w:noWrap/>
            <w:vAlign w:val="center"/>
          </w:tcPr>
          <w:p w14:paraId="45E2C9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56B2E3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w:t>
            </w:r>
          </w:p>
        </w:tc>
        <w:tc>
          <w:tcPr>
            <w:tcW w:w="0" w:type="auto"/>
            <w:shd w:val="clear" w:color="auto" w:fill="auto"/>
            <w:noWrap/>
            <w:vAlign w:val="center"/>
          </w:tcPr>
          <w:p w14:paraId="7B380D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59991E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w:t>
            </w:r>
          </w:p>
        </w:tc>
        <w:tc>
          <w:tcPr>
            <w:tcW w:w="0" w:type="auto"/>
            <w:shd w:val="clear" w:color="auto" w:fill="auto"/>
            <w:noWrap/>
            <w:vAlign w:val="center"/>
          </w:tcPr>
          <w:p w14:paraId="07B2EF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w:t>
            </w:r>
          </w:p>
        </w:tc>
        <w:tc>
          <w:tcPr>
            <w:tcW w:w="0" w:type="auto"/>
            <w:shd w:val="clear" w:color="auto" w:fill="auto"/>
            <w:noWrap/>
            <w:vAlign w:val="center"/>
          </w:tcPr>
          <w:p w14:paraId="761B08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0</w:t>
            </w:r>
          </w:p>
        </w:tc>
        <w:tc>
          <w:tcPr>
            <w:tcW w:w="0" w:type="auto"/>
            <w:shd w:val="clear" w:color="auto" w:fill="auto"/>
            <w:noWrap/>
            <w:vAlign w:val="center"/>
          </w:tcPr>
          <w:p w14:paraId="5373FC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2</w:t>
            </w:r>
          </w:p>
        </w:tc>
        <w:tc>
          <w:tcPr>
            <w:tcW w:w="0" w:type="auto"/>
            <w:shd w:val="clear" w:color="auto" w:fill="auto"/>
            <w:noWrap/>
            <w:vAlign w:val="center"/>
          </w:tcPr>
          <w:p w14:paraId="384796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w:t>
            </w:r>
          </w:p>
        </w:tc>
        <w:tc>
          <w:tcPr>
            <w:tcW w:w="0" w:type="auto"/>
            <w:shd w:val="clear" w:color="auto" w:fill="auto"/>
            <w:noWrap/>
            <w:vAlign w:val="center"/>
          </w:tcPr>
          <w:p w14:paraId="0E8098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7</w:t>
            </w:r>
          </w:p>
        </w:tc>
        <w:tc>
          <w:tcPr>
            <w:tcW w:w="436" w:type="dxa"/>
            <w:shd w:val="clear" w:color="auto" w:fill="auto"/>
            <w:noWrap/>
            <w:vAlign w:val="center"/>
          </w:tcPr>
          <w:p w14:paraId="5ECF72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w:t>
            </w:r>
          </w:p>
        </w:tc>
        <w:tc>
          <w:tcPr>
            <w:tcW w:w="436" w:type="dxa"/>
            <w:shd w:val="clear" w:color="auto" w:fill="auto"/>
            <w:noWrap/>
            <w:vAlign w:val="center"/>
          </w:tcPr>
          <w:p w14:paraId="3B028D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7</w:t>
            </w:r>
          </w:p>
        </w:tc>
        <w:tc>
          <w:tcPr>
            <w:tcW w:w="0" w:type="auto"/>
            <w:shd w:val="clear" w:color="auto" w:fill="auto"/>
            <w:noWrap/>
            <w:vAlign w:val="center"/>
          </w:tcPr>
          <w:p w14:paraId="69DB79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w:t>
            </w:r>
          </w:p>
        </w:tc>
        <w:tc>
          <w:tcPr>
            <w:tcW w:w="0" w:type="auto"/>
            <w:shd w:val="clear" w:color="auto" w:fill="auto"/>
            <w:noWrap/>
            <w:vAlign w:val="center"/>
          </w:tcPr>
          <w:p w14:paraId="27ADAB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7</w:t>
            </w:r>
          </w:p>
        </w:tc>
        <w:tc>
          <w:tcPr>
            <w:tcW w:w="0" w:type="auto"/>
            <w:shd w:val="clear" w:color="auto" w:fill="auto"/>
            <w:noWrap/>
            <w:vAlign w:val="center"/>
          </w:tcPr>
          <w:p w14:paraId="3C8543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w:t>
            </w:r>
          </w:p>
        </w:tc>
        <w:tc>
          <w:tcPr>
            <w:tcW w:w="0" w:type="auto"/>
            <w:shd w:val="clear" w:color="auto" w:fill="auto"/>
            <w:noWrap/>
            <w:vAlign w:val="center"/>
          </w:tcPr>
          <w:p w14:paraId="2981FC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10</w:t>
            </w:r>
          </w:p>
        </w:tc>
        <w:tc>
          <w:tcPr>
            <w:tcW w:w="0" w:type="auto"/>
            <w:shd w:val="clear" w:color="auto" w:fill="auto"/>
            <w:noWrap/>
            <w:vAlign w:val="center"/>
          </w:tcPr>
          <w:p w14:paraId="1CFF11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4</w:t>
            </w:r>
          </w:p>
        </w:tc>
        <w:tc>
          <w:tcPr>
            <w:tcW w:w="0" w:type="auto"/>
            <w:shd w:val="clear" w:color="auto" w:fill="auto"/>
            <w:noWrap/>
            <w:vAlign w:val="center"/>
          </w:tcPr>
          <w:p w14:paraId="77ED0B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57</w:t>
            </w:r>
          </w:p>
        </w:tc>
        <w:tc>
          <w:tcPr>
            <w:tcW w:w="0" w:type="auto"/>
            <w:vMerge w:val="continue"/>
            <w:shd w:val="clear" w:color="auto" w:fill="auto"/>
            <w:noWrap/>
            <w:vAlign w:val="center"/>
          </w:tcPr>
          <w:p w14:paraId="12BE64C8">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78C102FF">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319CD572">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r>
      <w:tr w14:paraId="3BF7B7C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12DD067A">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gridSpan w:val="2"/>
            <w:shd w:val="clear" w:color="auto" w:fill="auto"/>
            <w:noWrap/>
            <w:vAlign w:val="center"/>
          </w:tcPr>
          <w:p w14:paraId="1E4C13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bscript"/>
                <w:lang w:val="en-US" w:eastAsia="zh-CN" w:bidi="ar"/>
              </w:rPr>
              <w:t>2</w:t>
            </w:r>
          </w:p>
        </w:tc>
        <w:tc>
          <w:tcPr>
            <w:tcW w:w="0" w:type="auto"/>
            <w:gridSpan w:val="2"/>
            <w:shd w:val="clear" w:color="auto" w:fill="auto"/>
            <w:noWrap/>
            <w:vAlign w:val="center"/>
          </w:tcPr>
          <w:p w14:paraId="53ED5E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bscript"/>
                <w:lang w:val="en-US" w:eastAsia="zh-CN" w:bidi="ar"/>
              </w:rPr>
              <w:t>3</w:t>
            </w:r>
          </w:p>
        </w:tc>
        <w:tc>
          <w:tcPr>
            <w:tcW w:w="0" w:type="auto"/>
            <w:gridSpan w:val="2"/>
            <w:shd w:val="clear" w:color="auto" w:fill="auto"/>
            <w:noWrap/>
            <w:vAlign w:val="center"/>
          </w:tcPr>
          <w:p w14:paraId="441005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DP</w:t>
            </w:r>
            <w:r>
              <w:rPr>
                <w:rFonts w:hint="default" w:ascii="Times New Roman" w:hAnsi="Times New Roman" w:eastAsia="宋体" w:cs="Times New Roman"/>
                <w:b w:val="0"/>
                <w:bCs w:val="0"/>
                <w:color w:val="000000"/>
                <w:kern w:val="0"/>
                <w:sz w:val="22"/>
                <w:szCs w:val="22"/>
                <w:vertAlign w:val="subscript"/>
                <w:lang w:val="en-US" w:eastAsia="zh-CN" w:bidi="ar"/>
              </w:rPr>
              <w:t>4</w:t>
            </w:r>
          </w:p>
        </w:tc>
        <w:tc>
          <w:tcPr>
            <w:tcW w:w="0" w:type="auto"/>
            <w:gridSpan w:val="2"/>
            <w:shd w:val="clear" w:color="auto" w:fill="auto"/>
            <w:noWrap/>
            <w:vAlign w:val="center"/>
          </w:tcPr>
          <w:p w14:paraId="22EB1B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P</w:t>
            </w:r>
            <w:r>
              <w:rPr>
                <w:rFonts w:hint="default" w:ascii="Times New Roman" w:hAnsi="Times New Roman" w:eastAsia="宋体" w:cs="Times New Roman"/>
                <w:b w:val="0"/>
                <w:bCs w:val="0"/>
                <w:color w:val="000000"/>
                <w:kern w:val="0"/>
                <w:sz w:val="22"/>
                <w:szCs w:val="22"/>
                <w:vertAlign w:val="subscript"/>
                <w:lang w:val="en-US" w:eastAsia="zh-CN" w:bidi="ar"/>
              </w:rPr>
              <w:t>2</w:t>
            </w:r>
          </w:p>
        </w:tc>
        <w:tc>
          <w:tcPr>
            <w:tcW w:w="872" w:type="dxa"/>
            <w:gridSpan w:val="2"/>
            <w:shd w:val="clear" w:color="auto" w:fill="auto"/>
            <w:noWrap/>
            <w:vAlign w:val="center"/>
          </w:tcPr>
          <w:p w14:paraId="06ECE0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bscript"/>
                <w:lang w:val="en-US" w:eastAsia="zh-CN" w:bidi="ar"/>
              </w:rPr>
              <w:t>3</w:t>
            </w:r>
          </w:p>
        </w:tc>
        <w:tc>
          <w:tcPr>
            <w:tcW w:w="872" w:type="dxa"/>
            <w:gridSpan w:val="2"/>
            <w:shd w:val="clear" w:color="auto" w:fill="auto"/>
            <w:noWrap/>
            <w:vAlign w:val="center"/>
          </w:tcPr>
          <w:p w14:paraId="47D68A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bscript"/>
                <w:lang w:val="en-US" w:eastAsia="zh-CN" w:bidi="ar"/>
              </w:rPr>
              <w:t>4</w:t>
            </w:r>
          </w:p>
        </w:tc>
        <w:tc>
          <w:tcPr>
            <w:tcW w:w="0" w:type="auto"/>
            <w:gridSpan w:val="2"/>
            <w:shd w:val="clear" w:color="auto" w:fill="auto"/>
            <w:noWrap/>
            <w:vAlign w:val="center"/>
          </w:tcPr>
          <w:p w14:paraId="047CCF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bscript"/>
                <w:lang w:val="en-US" w:eastAsia="zh-CN" w:bidi="ar"/>
              </w:rPr>
              <w:t>1</w:t>
            </w:r>
            <w:r>
              <w:rPr>
                <w:rFonts w:hint="default" w:ascii="Times New Roman" w:hAnsi="Times New Roman" w:eastAsia="宋体" w:cs="Times New Roman"/>
                <w:color w:val="000000"/>
                <w:kern w:val="0"/>
                <w:sz w:val="22"/>
                <w:szCs w:val="22"/>
                <w:vertAlign w:val="superscript"/>
                <w:lang w:val="en-US" w:eastAsia="zh-CN" w:bidi="ar"/>
              </w:rPr>
              <w:t xml:space="preserve"> </w:t>
            </w: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bscript"/>
                <w:lang w:val="en-US" w:eastAsia="zh-CN" w:bidi="ar"/>
              </w:rPr>
              <w:t>2</w:t>
            </w:r>
          </w:p>
        </w:tc>
        <w:tc>
          <w:tcPr>
            <w:tcW w:w="0" w:type="auto"/>
            <w:gridSpan w:val="2"/>
            <w:shd w:val="clear" w:color="auto" w:fill="auto"/>
            <w:noWrap/>
            <w:vAlign w:val="center"/>
          </w:tcPr>
          <w:p w14:paraId="29CBC5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M</w:t>
            </w:r>
            <w:r>
              <w:rPr>
                <w:rFonts w:hint="default" w:ascii="Times New Roman" w:hAnsi="Times New Roman" w:eastAsia="宋体" w:cs="Times New Roman"/>
                <w:b w:val="0"/>
                <w:bCs w:val="0"/>
                <w:color w:val="000000"/>
                <w:kern w:val="0"/>
                <w:sz w:val="22"/>
                <w:szCs w:val="22"/>
                <w:vertAlign w:val="subscript"/>
                <w:lang w:val="en-US" w:eastAsia="zh-CN" w:bidi="ar"/>
              </w:rPr>
              <w:t>3</w:t>
            </w:r>
          </w:p>
        </w:tc>
        <w:tc>
          <w:tcPr>
            <w:tcW w:w="0" w:type="auto"/>
            <w:vMerge w:val="restart"/>
            <w:shd w:val="clear" w:color="auto" w:fill="auto"/>
            <w:vAlign w:val="center"/>
          </w:tcPr>
          <w:p w14:paraId="3740F8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Lower teeth</w:t>
            </w:r>
          </w:p>
        </w:tc>
        <w:tc>
          <w:tcPr>
            <w:tcW w:w="0" w:type="auto"/>
            <w:vMerge w:val="continue"/>
            <w:shd w:val="clear" w:color="auto" w:fill="auto"/>
            <w:noWrap/>
            <w:vAlign w:val="center"/>
          </w:tcPr>
          <w:p w14:paraId="652F23A0">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1D3079B1">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07BB2DD0">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r>
      <w:tr w14:paraId="264CEBD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15C96F7A">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shd w:val="clear" w:color="auto" w:fill="auto"/>
            <w:noWrap/>
            <w:vAlign w:val="center"/>
          </w:tcPr>
          <w:p w14:paraId="4C5842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11D8D7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6A7728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6E4CD1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658E3D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5AB5FD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R</w:t>
            </w:r>
          </w:p>
        </w:tc>
        <w:tc>
          <w:tcPr>
            <w:tcW w:w="0" w:type="auto"/>
            <w:shd w:val="clear" w:color="auto" w:fill="auto"/>
            <w:noWrap/>
            <w:vAlign w:val="center"/>
          </w:tcPr>
          <w:p w14:paraId="62F770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L</w:t>
            </w:r>
          </w:p>
        </w:tc>
        <w:tc>
          <w:tcPr>
            <w:tcW w:w="0" w:type="auto"/>
            <w:shd w:val="clear" w:color="auto" w:fill="auto"/>
            <w:noWrap/>
            <w:vAlign w:val="center"/>
          </w:tcPr>
          <w:p w14:paraId="0D120E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1E23C7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436" w:type="dxa"/>
            <w:shd w:val="clear" w:color="auto" w:fill="auto"/>
            <w:noWrap/>
            <w:vAlign w:val="center"/>
          </w:tcPr>
          <w:p w14:paraId="67E8D8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436" w:type="dxa"/>
            <w:shd w:val="clear" w:color="auto" w:fill="auto"/>
            <w:noWrap/>
            <w:vAlign w:val="center"/>
          </w:tcPr>
          <w:p w14:paraId="12F22C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1C7DA3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619F13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1ABCE1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52A9BA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L</w:t>
            </w:r>
          </w:p>
        </w:tc>
        <w:tc>
          <w:tcPr>
            <w:tcW w:w="0" w:type="auto"/>
            <w:shd w:val="clear" w:color="auto" w:fill="auto"/>
            <w:noWrap/>
            <w:vAlign w:val="center"/>
          </w:tcPr>
          <w:p w14:paraId="1A1B14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R</w:t>
            </w:r>
          </w:p>
        </w:tc>
        <w:tc>
          <w:tcPr>
            <w:tcW w:w="0" w:type="auto"/>
            <w:vMerge w:val="continue"/>
            <w:shd w:val="clear" w:color="auto" w:fill="auto"/>
            <w:vAlign w:val="center"/>
          </w:tcPr>
          <w:p w14:paraId="3D6CEED1">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62515498">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37F69E63">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0E558B75">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r>
      <w:tr w14:paraId="41CEA26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00DADB7B">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shd w:val="clear" w:color="auto" w:fill="auto"/>
            <w:noWrap/>
            <w:vAlign w:val="center"/>
          </w:tcPr>
          <w:p w14:paraId="32752B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04AA40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1EFBB9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0EBF89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06EB94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bCs/>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1</w:t>
            </w:r>
          </w:p>
        </w:tc>
        <w:tc>
          <w:tcPr>
            <w:tcW w:w="0" w:type="auto"/>
            <w:shd w:val="clear" w:color="auto" w:fill="auto"/>
            <w:noWrap/>
            <w:vAlign w:val="center"/>
          </w:tcPr>
          <w:p w14:paraId="68B484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1</w:t>
            </w:r>
          </w:p>
        </w:tc>
        <w:tc>
          <w:tcPr>
            <w:tcW w:w="0" w:type="auto"/>
            <w:shd w:val="clear" w:color="auto" w:fill="auto"/>
            <w:noWrap/>
            <w:vAlign w:val="center"/>
          </w:tcPr>
          <w:p w14:paraId="2E6736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2</w:t>
            </w:r>
          </w:p>
        </w:tc>
        <w:tc>
          <w:tcPr>
            <w:tcW w:w="0" w:type="auto"/>
            <w:shd w:val="clear" w:color="auto" w:fill="auto"/>
            <w:noWrap/>
            <w:vAlign w:val="center"/>
          </w:tcPr>
          <w:p w14:paraId="6C0798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w:t>
            </w:r>
          </w:p>
        </w:tc>
        <w:tc>
          <w:tcPr>
            <w:tcW w:w="0" w:type="auto"/>
            <w:shd w:val="clear" w:color="auto" w:fill="auto"/>
            <w:noWrap/>
            <w:vAlign w:val="center"/>
          </w:tcPr>
          <w:p w14:paraId="5790E5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w:t>
            </w:r>
          </w:p>
        </w:tc>
        <w:tc>
          <w:tcPr>
            <w:tcW w:w="436" w:type="dxa"/>
            <w:shd w:val="clear" w:color="auto" w:fill="auto"/>
            <w:noWrap/>
            <w:vAlign w:val="center"/>
          </w:tcPr>
          <w:p w14:paraId="0D8436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w:t>
            </w:r>
          </w:p>
        </w:tc>
        <w:tc>
          <w:tcPr>
            <w:tcW w:w="436" w:type="dxa"/>
            <w:shd w:val="clear" w:color="auto" w:fill="auto"/>
            <w:noWrap/>
            <w:vAlign w:val="center"/>
          </w:tcPr>
          <w:p w14:paraId="1CB4DB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w:t>
            </w:r>
          </w:p>
        </w:tc>
        <w:tc>
          <w:tcPr>
            <w:tcW w:w="0" w:type="auto"/>
            <w:shd w:val="clear" w:color="auto" w:fill="auto"/>
            <w:noWrap/>
            <w:vAlign w:val="center"/>
          </w:tcPr>
          <w:p w14:paraId="27AB8A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w:t>
            </w:r>
          </w:p>
        </w:tc>
        <w:tc>
          <w:tcPr>
            <w:tcW w:w="0" w:type="auto"/>
            <w:shd w:val="clear" w:color="auto" w:fill="auto"/>
            <w:noWrap/>
            <w:vAlign w:val="center"/>
          </w:tcPr>
          <w:p w14:paraId="0F8B53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9</w:t>
            </w:r>
          </w:p>
        </w:tc>
        <w:tc>
          <w:tcPr>
            <w:tcW w:w="0" w:type="auto"/>
            <w:shd w:val="clear" w:color="auto" w:fill="auto"/>
            <w:noWrap/>
            <w:vAlign w:val="center"/>
          </w:tcPr>
          <w:p w14:paraId="215377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8</w:t>
            </w:r>
          </w:p>
        </w:tc>
        <w:tc>
          <w:tcPr>
            <w:tcW w:w="0" w:type="auto"/>
            <w:shd w:val="clear" w:color="auto" w:fill="auto"/>
            <w:noWrap/>
            <w:vAlign w:val="center"/>
          </w:tcPr>
          <w:p w14:paraId="4CDD3F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9</w:t>
            </w:r>
          </w:p>
        </w:tc>
        <w:tc>
          <w:tcPr>
            <w:tcW w:w="0" w:type="auto"/>
            <w:shd w:val="clear" w:color="auto" w:fill="auto"/>
            <w:noWrap/>
            <w:vAlign w:val="center"/>
          </w:tcPr>
          <w:p w14:paraId="196278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3</w:t>
            </w:r>
          </w:p>
        </w:tc>
        <w:tc>
          <w:tcPr>
            <w:tcW w:w="0" w:type="auto"/>
            <w:shd w:val="clear" w:color="auto" w:fill="auto"/>
            <w:noWrap/>
            <w:vAlign w:val="center"/>
          </w:tcPr>
          <w:p w14:paraId="7C1514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53</w:t>
            </w:r>
          </w:p>
        </w:tc>
        <w:tc>
          <w:tcPr>
            <w:tcW w:w="0" w:type="auto"/>
            <w:vMerge w:val="continue"/>
            <w:shd w:val="clear" w:color="auto" w:fill="auto"/>
            <w:noWrap/>
            <w:vAlign w:val="center"/>
          </w:tcPr>
          <w:p w14:paraId="26B4400D">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6369153F">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4EE7A0A3">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r>
      <w:tr w14:paraId="3D1FC46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7" w:hRule="atLeast"/>
        </w:trPr>
        <w:tc>
          <w:tcPr>
            <w:tcW w:w="0" w:type="auto"/>
            <w:vMerge w:val="restart"/>
            <w:shd w:val="clear" w:color="auto" w:fill="auto"/>
            <w:vAlign w:val="center"/>
          </w:tcPr>
          <w:p w14:paraId="6DBAFD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b w:val="0"/>
                <w:bCs w:val="0"/>
                <w:i/>
                <w:iCs/>
                <w:color w:val="000000"/>
                <w:kern w:val="0"/>
                <w:sz w:val="22"/>
                <w:szCs w:val="22"/>
              </w:rPr>
            </w:pPr>
            <w:r>
              <w:rPr>
                <w:rFonts w:hint="default" w:ascii="Times New Roman" w:hAnsi="Times New Roman" w:eastAsia="宋体" w:cs="Times New Roman"/>
                <w:b w:val="0"/>
                <w:bCs w:val="0"/>
                <w:i/>
                <w:iCs/>
                <w:color w:val="000000"/>
                <w:kern w:val="0"/>
                <w:sz w:val="22"/>
                <w:szCs w:val="22"/>
                <w:lang w:val="en-US" w:eastAsia="zh-CN" w:bidi="ar"/>
              </w:rPr>
              <w:t>Bos(Bibos) gaurus</w:t>
            </w:r>
          </w:p>
        </w:tc>
        <w:tc>
          <w:tcPr>
            <w:tcW w:w="0" w:type="auto"/>
            <w:gridSpan w:val="2"/>
            <w:shd w:val="clear" w:color="auto" w:fill="auto"/>
            <w:noWrap/>
            <w:vAlign w:val="center"/>
          </w:tcPr>
          <w:p w14:paraId="1726C0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perscript"/>
                <w:lang w:val="en-US" w:eastAsia="zh-CN" w:bidi="ar"/>
              </w:rPr>
              <w:t>2</w:t>
            </w:r>
          </w:p>
        </w:tc>
        <w:tc>
          <w:tcPr>
            <w:tcW w:w="0" w:type="auto"/>
            <w:gridSpan w:val="2"/>
            <w:shd w:val="clear" w:color="auto" w:fill="auto"/>
            <w:noWrap/>
            <w:vAlign w:val="center"/>
          </w:tcPr>
          <w:p w14:paraId="5913BC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perscript"/>
                <w:lang w:val="en-US" w:eastAsia="zh-CN" w:bidi="ar"/>
              </w:rPr>
              <w:t>3</w:t>
            </w:r>
          </w:p>
        </w:tc>
        <w:tc>
          <w:tcPr>
            <w:tcW w:w="0" w:type="auto"/>
            <w:gridSpan w:val="2"/>
            <w:shd w:val="clear" w:color="auto" w:fill="auto"/>
            <w:noWrap/>
            <w:vAlign w:val="center"/>
          </w:tcPr>
          <w:p w14:paraId="154958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perscript"/>
                <w:lang w:val="en-US" w:eastAsia="zh-CN" w:bidi="ar"/>
              </w:rPr>
              <w:t>4</w:t>
            </w:r>
          </w:p>
        </w:tc>
        <w:tc>
          <w:tcPr>
            <w:tcW w:w="0" w:type="auto"/>
            <w:gridSpan w:val="2"/>
            <w:shd w:val="clear" w:color="auto" w:fill="auto"/>
            <w:noWrap/>
            <w:vAlign w:val="center"/>
          </w:tcPr>
          <w:p w14:paraId="56BF6F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perscript"/>
                <w:lang w:val="en-US" w:eastAsia="zh-CN" w:bidi="ar"/>
              </w:rPr>
              <w:t>2</w:t>
            </w:r>
          </w:p>
        </w:tc>
        <w:tc>
          <w:tcPr>
            <w:tcW w:w="872" w:type="dxa"/>
            <w:gridSpan w:val="2"/>
            <w:shd w:val="clear" w:color="auto" w:fill="auto"/>
            <w:noWrap/>
            <w:vAlign w:val="center"/>
          </w:tcPr>
          <w:p w14:paraId="5AD6EB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perscript"/>
                <w:lang w:val="en-US" w:eastAsia="zh-CN" w:bidi="ar"/>
              </w:rPr>
              <w:t>3</w:t>
            </w:r>
          </w:p>
        </w:tc>
        <w:tc>
          <w:tcPr>
            <w:tcW w:w="872" w:type="dxa"/>
            <w:gridSpan w:val="2"/>
            <w:shd w:val="clear" w:color="auto" w:fill="auto"/>
            <w:noWrap/>
            <w:vAlign w:val="center"/>
          </w:tcPr>
          <w:p w14:paraId="201566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perscript"/>
                <w:lang w:val="en-US" w:eastAsia="zh-CN" w:bidi="ar"/>
              </w:rPr>
              <w:t>4</w:t>
            </w:r>
          </w:p>
        </w:tc>
        <w:tc>
          <w:tcPr>
            <w:tcW w:w="0" w:type="auto"/>
            <w:gridSpan w:val="2"/>
            <w:shd w:val="clear" w:color="auto" w:fill="auto"/>
            <w:noWrap/>
            <w:vAlign w:val="center"/>
          </w:tcPr>
          <w:p w14:paraId="3EC587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perscript"/>
                <w:lang w:val="en-US" w:eastAsia="zh-CN" w:bidi="ar"/>
              </w:rPr>
              <w:t xml:space="preserve">1 </w:t>
            </w: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perscript"/>
                <w:lang w:val="en-US" w:eastAsia="zh-CN" w:bidi="ar"/>
              </w:rPr>
              <w:t>2</w:t>
            </w:r>
          </w:p>
        </w:tc>
        <w:tc>
          <w:tcPr>
            <w:tcW w:w="0" w:type="auto"/>
            <w:gridSpan w:val="2"/>
            <w:shd w:val="clear" w:color="auto" w:fill="auto"/>
            <w:noWrap/>
            <w:vAlign w:val="center"/>
          </w:tcPr>
          <w:p w14:paraId="510840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perscript"/>
                <w:lang w:val="en-US" w:eastAsia="zh-CN" w:bidi="ar"/>
              </w:rPr>
              <w:t>3</w:t>
            </w:r>
          </w:p>
        </w:tc>
        <w:tc>
          <w:tcPr>
            <w:tcW w:w="0" w:type="auto"/>
            <w:vMerge w:val="restart"/>
            <w:shd w:val="clear" w:color="auto" w:fill="auto"/>
            <w:vAlign w:val="center"/>
          </w:tcPr>
          <w:p w14:paraId="73963E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Upper teeth</w:t>
            </w:r>
          </w:p>
        </w:tc>
        <w:tc>
          <w:tcPr>
            <w:tcW w:w="0" w:type="auto"/>
            <w:vMerge w:val="restart"/>
            <w:shd w:val="clear" w:color="auto" w:fill="auto"/>
            <w:noWrap/>
            <w:vAlign w:val="center"/>
          </w:tcPr>
          <w:p w14:paraId="6F62FA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bCs/>
                <w:color w:val="000000"/>
                <w:kern w:val="0"/>
                <w:sz w:val="22"/>
                <w:szCs w:val="22"/>
              </w:rPr>
            </w:pPr>
            <w:r>
              <w:rPr>
                <w:rFonts w:hint="default" w:ascii="Times New Roman" w:hAnsi="Times New Roman" w:eastAsia="宋体" w:cs="Times New Roman"/>
                <w:b/>
                <w:bCs/>
                <w:color w:val="000000"/>
                <w:kern w:val="0"/>
                <w:sz w:val="22"/>
                <w:szCs w:val="22"/>
                <w:lang w:val="en-US" w:eastAsia="zh-CN" w:bidi="ar"/>
              </w:rPr>
              <w:t>213</w:t>
            </w:r>
          </w:p>
        </w:tc>
        <w:tc>
          <w:tcPr>
            <w:tcW w:w="0" w:type="auto"/>
            <w:vMerge w:val="restart"/>
            <w:shd w:val="clear" w:color="auto" w:fill="auto"/>
            <w:noWrap/>
            <w:vAlign w:val="center"/>
          </w:tcPr>
          <w:p w14:paraId="08B780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bCs/>
                <w:color w:val="000000"/>
                <w:kern w:val="0"/>
                <w:sz w:val="22"/>
                <w:szCs w:val="22"/>
              </w:rPr>
            </w:pPr>
            <w:r>
              <w:rPr>
                <w:rFonts w:hint="default" w:ascii="Times New Roman" w:hAnsi="Times New Roman" w:eastAsia="宋体" w:cs="Times New Roman"/>
                <w:b/>
                <w:bCs/>
                <w:color w:val="000000"/>
                <w:kern w:val="0"/>
                <w:sz w:val="22"/>
                <w:szCs w:val="22"/>
                <w:lang w:val="en-US" w:eastAsia="zh-CN" w:bidi="ar"/>
              </w:rPr>
              <w:t>15</w:t>
            </w:r>
          </w:p>
        </w:tc>
        <w:tc>
          <w:tcPr>
            <w:tcW w:w="0" w:type="auto"/>
            <w:vMerge w:val="restart"/>
            <w:shd w:val="clear" w:color="auto" w:fill="auto"/>
            <w:noWrap/>
            <w:vAlign w:val="center"/>
          </w:tcPr>
          <w:p w14:paraId="25016F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bCs/>
                <w:color w:val="000000"/>
                <w:kern w:val="0"/>
                <w:sz w:val="22"/>
                <w:szCs w:val="22"/>
              </w:rPr>
            </w:pPr>
            <w:r>
              <w:rPr>
                <w:rFonts w:hint="default" w:ascii="Times New Roman" w:hAnsi="Times New Roman" w:eastAsia="宋体" w:cs="Times New Roman"/>
                <w:b/>
                <w:bCs/>
                <w:color w:val="000000"/>
                <w:kern w:val="0"/>
                <w:sz w:val="22"/>
                <w:szCs w:val="22"/>
                <w:lang w:val="en-US" w:eastAsia="zh-CN" w:bidi="ar"/>
              </w:rPr>
              <w:t>92.6</w:t>
            </w:r>
            <w:r>
              <w:rPr>
                <w:rFonts w:hint="eastAsia" w:ascii="宋体" w:hAnsi="宋体" w:eastAsia="宋体" w:cs="宋体"/>
                <w:b/>
                <w:bCs/>
                <w:color w:val="000000"/>
                <w:kern w:val="0"/>
                <w:sz w:val="22"/>
                <w:szCs w:val="22"/>
                <w:lang w:val="en-US" w:eastAsia="zh-CN" w:bidi="ar"/>
              </w:rPr>
              <w:t>﹪</w:t>
            </w:r>
          </w:p>
        </w:tc>
      </w:tr>
      <w:tr w14:paraId="2B5C9C5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5D621FC9">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shd w:val="clear" w:color="auto" w:fill="auto"/>
            <w:noWrap/>
            <w:vAlign w:val="center"/>
          </w:tcPr>
          <w:p w14:paraId="52DA7A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7CFFCE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163E0D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1AC5A8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362FEA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4F2E39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4C3090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2FEF7F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4C4ED9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436" w:type="dxa"/>
            <w:shd w:val="clear" w:color="auto" w:fill="auto"/>
            <w:noWrap/>
            <w:vAlign w:val="center"/>
          </w:tcPr>
          <w:p w14:paraId="4DB32C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436" w:type="dxa"/>
            <w:shd w:val="clear" w:color="auto" w:fill="auto"/>
            <w:noWrap/>
            <w:vAlign w:val="center"/>
          </w:tcPr>
          <w:p w14:paraId="2AC54D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09C9AA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3D3F8F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4AB69D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3CE9A6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1CDFE3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vMerge w:val="continue"/>
            <w:shd w:val="clear" w:color="auto" w:fill="auto"/>
            <w:vAlign w:val="center"/>
          </w:tcPr>
          <w:p w14:paraId="675774E6">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6653C39B">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732DCA2A">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2F14631A">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r>
      <w:tr w14:paraId="2DE362A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7A43D731">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shd w:val="clear" w:color="auto" w:fill="auto"/>
            <w:noWrap/>
            <w:vAlign w:val="center"/>
          </w:tcPr>
          <w:p w14:paraId="2521E0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w:t>
            </w:r>
          </w:p>
        </w:tc>
        <w:tc>
          <w:tcPr>
            <w:tcW w:w="0" w:type="auto"/>
            <w:shd w:val="clear" w:color="auto" w:fill="auto"/>
            <w:noWrap/>
            <w:vAlign w:val="center"/>
          </w:tcPr>
          <w:p w14:paraId="645789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66E111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3F6472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w:t>
            </w:r>
          </w:p>
        </w:tc>
        <w:tc>
          <w:tcPr>
            <w:tcW w:w="0" w:type="auto"/>
            <w:shd w:val="clear" w:color="auto" w:fill="auto"/>
            <w:noWrap/>
            <w:vAlign w:val="center"/>
          </w:tcPr>
          <w:p w14:paraId="6DDE8E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473A47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460859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2</w:t>
            </w:r>
          </w:p>
        </w:tc>
        <w:tc>
          <w:tcPr>
            <w:tcW w:w="0" w:type="auto"/>
            <w:shd w:val="clear" w:color="auto" w:fill="auto"/>
            <w:noWrap/>
            <w:vAlign w:val="center"/>
          </w:tcPr>
          <w:p w14:paraId="178825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w:t>
            </w:r>
          </w:p>
        </w:tc>
        <w:tc>
          <w:tcPr>
            <w:tcW w:w="0" w:type="auto"/>
            <w:shd w:val="clear" w:color="auto" w:fill="auto"/>
            <w:noWrap/>
            <w:vAlign w:val="center"/>
          </w:tcPr>
          <w:p w14:paraId="40AD6D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w:t>
            </w:r>
          </w:p>
        </w:tc>
        <w:tc>
          <w:tcPr>
            <w:tcW w:w="436" w:type="dxa"/>
            <w:shd w:val="clear" w:color="auto" w:fill="auto"/>
            <w:noWrap/>
            <w:vAlign w:val="center"/>
          </w:tcPr>
          <w:p w14:paraId="2001B7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11</w:t>
            </w:r>
          </w:p>
        </w:tc>
        <w:tc>
          <w:tcPr>
            <w:tcW w:w="436" w:type="dxa"/>
            <w:shd w:val="clear" w:color="auto" w:fill="auto"/>
            <w:noWrap/>
            <w:vAlign w:val="center"/>
          </w:tcPr>
          <w:p w14:paraId="6C3C01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w:t>
            </w:r>
          </w:p>
        </w:tc>
        <w:tc>
          <w:tcPr>
            <w:tcW w:w="0" w:type="auto"/>
            <w:shd w:val="clear" w:color="auto" w:fill="auto"/>
            <w:noWrap/>
            <w:vAlign w:val="center"/>
          </w:tcPr>
          <w:p w14:paraId="7C7B82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7</w:t>
            </w:r>
          </w:p>
        </w:tc>
        <w:tc>
          <w:tcPr>
            <w:tcW w:w="0" w:type="auto"/>
            <w:shd w:val="clear" w:color="auto" w:fill="auto"/>
            <w:noWrap/>
            <w:vAlign w:val="center"/>
          </w:tcPr>
          <w:p w14:paraId="378307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21</w:t>
            </w:r>
          </w:p>
        </w:tc>
        <w:tc>
          <w:tcPr>
            <w:tcW w:w="0" w:type="auto"/>
            <w:shd w:val="clear" w:color="auto" w:fill="auto"/>
            <w:noWrap/>
            <w:vAlign w:val="center"/>
          </w:tcPr>
          <w:p w14:paraId="57E688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32</w:t>
            </w:r>
          </w:p>
        </w:tc>
        <w:tc>
          <w:tcPr>
            <w:tcW w:w="0" w:type="auto"/>
            <w:shd w:val="clear" w:color="auto" w:fill="auto"/>
            <w:noWrap/>
            <w:vAlign w:val="center"/>
          </w:tcPr>
          <w:p w14:paraId="01FCE0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7</w:t>
            </w:r>
          </w:p>
        </w:tc>
        <w:tc>
          <w:tcPr>
            <w:tcW w:w="0" w:type="auto"/>
            <w:shd w:val="clear" w:color="auto" w:fill="auto"/>
            <w:noWrap/>
            <w:vAlign w:val="center"/>
          </w:tcPr>
          <w:p w14:paraId="0FCB51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13</w:t>
            </w:r>
          </w:p>
        </w:tc>
        <w:tc>
          <w:tcPr>
            <w:tcW w:w="0" w:type="auto"/>
            <w:shd w:val="clear" w:color="auto" w:fill="auto"/>
            <w:noWrap/>
            <w:vAlign w:val="center"/>
          </w:tcPr>
          <w:p w14:paraId="0CB520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108</w:t>
            </w:r>
          </w:p>
        </w:tc>
        <w:tc>
          <w:tcPr>
            <w:tcW w:w="0" w:type="auto"/>
            <w:vMerge w:val="continue"/>
            <w:shd w:val="clear" w:color="auto" w:fill="auto"/>
            <w:noWrap/>
            <w:vAlign w:val="center"/>
          </w:tcPr>
          <w:p w14:paraId="78712462">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73ADB9FF">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3D80F502">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r>
      <w:tr w14:paraId="3A71234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342D09B5">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gridSpan w:val="2"/>
            <w:shd w:val="clear" w:color="auto" w:fill="auto"/>
            <w:noWrap/>
            <w:vAlign w:val="center"/>
          </w:tcPr>
          <w:p w14:paraId="77F1BD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bscript"/>
                <w:lang w:val="en-US" w:eastAsia="zh-CN" w:bidi="ar"/>
              </w:rPr>
              <w:t>2</w:t>
            </w:r>
          </w:p>
        </w:tc>
        <w:tc>
          <w:tcPr>
            <w:tcW w:w="0" w:type="auto"/>
            <w:gridSpan w:val="2"/>
            <w:shd w:val="clear" w:color="auto" w:fill="auto"/>
            <w:noWrap/>
            <w:vAlign w:val="center"/>
          </w:tcPr>
          <w:p w14:paraId="714AB9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bscript"/>
                <w:lang w:val="en-US" w:eastAsia="zh-CN" w:bidi="ar"/>
              </w:rPr>
              <w:t>3</w:t>
            </w:r>
          </w:p>
        </w:tc>
        <w:tc>
          <w:tcPr>
            <w:tcW w:w="0" w:type="auto"/>
            <w:gridSpan w:val="2"/>
            <w:shd w:val="clear" w:color="auto" w:fill="auto"/>
            <w:noWrap/>
            <w:vAlign w:val="center"/>
          </w:tcPr>
          <w:p w14:paraId="1B8929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bscript"/>
                <w:lang w:val="en-US" w:eastAsia="zh-CN" w:bidi="ar"/>
              </w:rPr>
              <w:t>4</w:t>
            </w:r>
          </w:p>
        </w:tc>
        <w:tc>
          <w:tcPr>
            <w:tcW w:w="0" w:type="auto"/>
            <w:gridSpan w:val="2"/>
            <w:shd w:val="clear" w:color="auto" w:fill="auto"/>
            <w:noWrap/>
            <w:vAlign w:val="center"/>
          </w:tcPr>
          <w:p w14:paraId="7CD957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bscript"/>
                <w:lang w:val="en-US" w:eastAsia="zh-CN" w:bidi="ar"/>
              </w:rPr>
              <w:t>2</w:t>
            </w:r>
          </w:p>
        </w:tc>
        <w:tc>
          <w:tcPr>
            <w:tcW w:w="872" w:type="dxa"/>
            <w:gridSpan w:val="2"/>
            <w:shd w:val="clear" w:color="auto" w:fill="auto"/>
            <w:noWrap/>
            <w:vAlign w:val="center"/>
          </w:tcPr>
          <w:p w14:paraId="1F4183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bscript"/>
                <w:lang w:val="en-US" w:eastAsia="zh-CN" w:bidi="ar"/>
              </w:rPr>
              <w:t>3</w:t>
            </w:r>
          </w:p>
        </w:tc>
        <w:tc>
          <w:tcPr>
            <w:tcW w:w="872" w:type="dxa"/>
            <w:gridSpan w:val="2"/>
            <w:shd w:val="clear" w:color="auto" w:fill="auto"/>
            <w:noWrap/>
            <w:vAlign w:val="center"/>
          </w:tcPr>
          <w:p w14:paraId="1FD49E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bscript"/>
                <w:lang w:val="en-US" w:eastAsia="zh-CN" w:bidi="ar"/>
              </w:rPr>
              <w:t>4</w:t>
            </w:r>
          </w:p>
        </w:tc>
        <w:tc>
          <w:tcPr>
            <w:tcW w:w="0" w:type="auto"/>
            <w:gridSpan w:val="2"/>
            <w:shd w:val="clear" w:color="auto" w:fill="auto"/>
            <w:noWrap/>
            <w:vAlign w:val="center"/>
          </w:tcPr>
          <w:p w14:paraId="51DB34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bscript"/>
                <w:lang w:val="en-US" w:eastAsia="zh-CN" w:bidi="ar"/>
              </w:rPr>
              <w:t>1</w:t>
            </w:r>
            <w:r>
              <w:rPr>
                <w:rFonts w:hint="default" w:ascii="Times New Roman" w:hAnsi="Times New Roman" w:eastAsia="宋体" w:cs="Times New Roman"/>
                <w:color w:val="000000"/>
                <w:kern w:val="0"/>
                <w:sz w:val="22"/>
                <w:szCs w:val="22"/>
                <w:vertAlign w:val="superscript"/>
                <w:lang w:val="en-US" w:eastAsia="zh-CN" w:bidi="ar"/>
              </w:rPr>
              <w:t xml:space="preserve"> </w:t>
            </w: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bscript"/>
                <w:lang w:val="en-US" w:eastAsia="zh-CN" w:bidi="ar"/>
              </w:rPr>
              <w:t>2</w:t>
            </w:r>
          </w:p>
        </w:tc>
        <w:tc>
          <w:tcPr>
            <w:tcW w:w="0" w:type="auto"/>
            <w:gridSpan w:val="2"/>
            <w:shd w:val="clear" w:color="auto" w:fill="auto"/>
            <w:noWrap/>
            <w:vAlign w:val="center"/>
          </w:tcPr>
          <w:p w14:paraId="3E4F3B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bscript"/>
                <w:lang w:val="en-US" w:eastAsia="zh-CN" w:bidi="ar"/>
              </w:rPr>
              <w:t>3</w:t>
            </w:r>
          </w:p>
        </w:tc>
        <w:tc>
          <w:tcPr>
            <w:tcW w:w="0" w:type="auto"/>
            <w:vMerge w:val="restart"/>
            <w:shd w:val="clear" w:color="auto" w:fill="auto"/>
            <w:vAlign w:val="center"/>
          </w:tcPr>
          <w:p w14:paraId="5132D0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Lower teeth</w:t>
            </w:r>
          </w:p>
        </w:tc>
        <w:tc>
          <w:tcPr>
            <w:tcW w:w="0" w:type="auto"/>
            <w:vMerge w:val="continue"/>
            <w:shd w:val="clear" w:color="auto" w:fill="auto"/>
            <w:noWrap/>
            <w:vAlign w:val="center"/>
          </w:tcPr>
          <w:p w14:paraId="2D7E0D45">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63EF0FFC">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3805C43B">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r>
      <w:tr w14:paraId="0592461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1E42E416">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shd w:val="clear" w:color="auto" w:fill="auto"/>
            <w:noWrap/>
            <w:vAlign w:val="center"/>
          </w:tcPr>
          <w:p w14:paraId="6C8F92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7B10FF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1921EE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484913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0512C4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5E5BB1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237295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226E3B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0ED5A4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436" w:type="dxa"/>
            <w:shd w:val="clear" w:color="auto" w:fill="auto"/>
            <w:noWrap/>
            <w:vAlign w:val="center"/>
          </w:tcPr>
          <w:p w14:paraId="7A67E9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436" w:type="dxa"/>
            <w:shd w:val="clear" w:color="auto" w:fill="auto"/>
            <w:noWrap/>
            <w:vAlign w:val="center"/>
          </w:tcPr>
          <w:p w14:paraId="0314A1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4A79B3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5E07E6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3FCD09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7D4344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4FA2DB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vMerge w:val="continue"/>
            <w:shd w:val="clear" w:color="auto" w:fill="auto"/>
            <w:vAlign w:val="center"/>
          </w:tcPr>
          <w:p w14:paraId="3F28F4D2">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30E6178A">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3665EF43">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67C0CFB2">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r>
      <w:tr w14:paraId="5F201CF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7C319956">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shd w:val="clear" w:color="auto" w:fill="auto"/>
            <w:noWrap/>
            <w:vAlign w:val="center"/>
          </w:tcPr>
          <w:p w14:paraId="7DEFE8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6AEA15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w:t>
            </w:r>
          </w:p>
        </w:tc>
        <w:tc>
          <w:tcPr>
            <w:tcW w:w="0" w:type="auto"/>
            <w:shd w:val="clear" w:color="auto" w:fill="auto"/>
            <w:noWrap/>
            <w:vAlign w:val="center"/>
          </w:tcPr>
          <w:p w14:paraId="4AEEB9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w:t>
            </w:r>
          </w:p>
        </w:tc>
        <w:tc>
          <w:tcPr>
            <w:tcW w:w="0" w:type="auto"/>
            <w:shd w:val="clear" w:color="auto" w:fill="auto"/>
            <w:noWrap/>
            <w:vAlign w:val="center"/>
          </w:tcPr>
          <w:p w14:paraId="1504C8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w:t>
            </w:r>
          </w:p>
        </w:tc>
        <w:tc>
          <w:tcPr>
            <w:tcW w:w="0" w:type="auto"/>
            <w:shd w:val="clear" w:color="auto" w:fill="auto"/>
            <w:noWrap/>
            <w:vAlign w:val="center"/>
          </w:tcPr>
          <w:p w14:paraId="4F3206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19E533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1</w:t>
            </w:r>
          </w:p>
        </w:tc>
        <w:tc>
          <w:tcPr>
            <w:tcW w:w="0" w:type="auto"/>
            <w:shd w:val="clear" w:color="auto" w:fill="auto"/>
            <w:noWrap/>
            <w:vAlign w:val="center"/>
          </w:tcPr>
          <w:p w14:paraId="4AC7C3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8</w:t>
            </w:r>
          </w:p>
        </w:tc>
        <w:tc>
          <w:tcPr>
            <w:tcW w:w="0" w:type="auto"/>
            <w:shd w:val="clear" w:color="auto" w:fill="auto"/>
            <w:noWrap/>
            <w:vAlign w:val="center"/>
          </w:tcPr>
          <w:p w14:paraId="1E3288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w:t>
            </w:r>
          </w:p>
        </w:tc>
        <w:tc>
          <w:tcPr>
            <w:tcW w:w="0" w:type="auto"/>
            <w:shd w:val="clear" w:color="auto" w:fill="auto"/>
            <w:noWrap/>
            <w:vAlign w:val="center"/>
          </w:tcPr>
          <w:p w14:paraId="5D119B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9</w:t>
            </w:r>
          </w:p>
        </w:tc>
        <w:tc>
          <w:tcPr>
            <w:tcW w:w="436" w:type="dxa"/>
            <w:shd w:val="clear" w:color="auto" w:fill="auto"/>
            <w:noWrap/>
            <w:vAlign w:val="center"/>
          </w:tcPr>
          <w:p w14:paraId="230A41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7</w:t>
            </w:r>
          </w:p>
        </w:tc>
        <w:tc>
          <w:tcPr>
            <w:tcW w:w="436" w:type="dxa"/>
            <w:shd w:val="clear" w:color="auto" w:fill="auto"/>
            <w:noWrap/>
            <w:vAlign w:val="center"/>
          </w:tcPr>
          <w:p w14:paraId="6FDAE8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11</w:t>
            </w:r>
          </w:p>
        </w:tc>
        <w:tc>
          <w:tcPr>
            <w:tcW w:w="0" w:type="auto"/>
            <w:shd w:val="clear" w:color="auto" w:fill="auto"/>
            <w:noWrap/>
            <w:vAlign w:val="center"/>
          </w:tcPr>
          <w:p w14:paraId="190BEA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10</w:t>
            </w:r>
          </w:p>
        </w:tc>
        <w:tc>
          <w:tcPr>
            <w:tcW w:w="0" w:type="auto"/>
            <w:shd w:val="clear" w:color="auto" w:fill="auto"/>
            <w:noWrap/>
            <w:vAlign w:val="center"/>
          </w:tcPr>
          <w:p w14:paraId="62C92C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16</w:t>
            </w:r>
          </w:p>
        </w:tc>
        <w:tc>
          <w:tcPr>
            <w:tcW w:w="0" w:type="auto"/>
            <w:shd w:val="clear" w:color="auto" w:fill="auto"/>
            <w:noWrap/>
            <w:vAlign w:val="center"/>
          </w:tcPr>
          <w:p w14:paraId="1CCF4C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11</w:t>
            </w:r>
          </w:p>
        </w:tc>
        <w:tc>
          <w:tcPr>
            <w:tcW w:w="0" w:type="auto"/>
            <w:shd w:val="clear" w:color="auto" w:fill="auto"/>
            <w:noWrap/>
            <w:vAlign w:val="center"/>
          </w:tcPr>
          <w:p w14:paraId="21E7DF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14</w:t>
            </w:r>
          </w:p>
        </w:tc>
        <w:tc>
          <w:tcPr>
            <w:tcW w:w="0" w:type="auto"/>
            <w:shd w:val="clear" w:color="auto" w:fill="auto"/>
            <w:noWrap/>
            <w:vAlign w:val="center"/>
          </w:tcPr>
          <w:p w14:paraId="4C2CA7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10</w:t>
            </w:r>
          </w:p>
        </w:tc>
        <w:tc>
          <w:tcPr>
            <w:tcW w:w="0" w:type="auto"/>
            <w:shd w:val="clear" w:color="auto" w:fill="auto"/>
            <w:noWrap/>
            <w:vAlign w:val="center"/>
          </w:tcPr>
          <w:p w14:paraId="2176BC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105</w:t>
            </w:r>
          </w:p>
        </w:tc>
        <w:tc>
          <w:tcPr>
            <w:tcW w:w="0" w:type="auto"/>
            <w:vMerge w:val="continue"/>
            <w:shd w:val="clear" w:color="auto" w:fill="auto"/>
            <w:noWrap/>
            <w:vAlign w:val="center"/>
          </w:tcPr>
          <w:p w14:paraId="799B626F">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6CE2D09B">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7AB62376">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r>
      <w:tr w14:paraId="39151E0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7" w:hRule="atLeast"/>
        </w:trPr>
        <w:tc>
          <w:tcPr>
            <w:tcW w:w="0" w:type="auto"/>
            <w:vMerge w:val="restart"/>
            <w:shd w:val="clear" w:color="auto" w:fill="auto"/>
            <w:vAlign w:val="center"/>
          </w:tcPr>
          <w:p w14:paraId="77713C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b w:val="0"/>
                <w:bCs w:val="0"/>
                <w:i/>
                <w:iCs/>
                <w:color w:val="000000"/>
                <w:kern w:val="0"/>
                <w:sz w:val="22"/>
                <w:szCs w:val="22"/>
              </w:rPr>
            </w:pPr>
            <w:r>
              <w:rPr>
                <w:rFonts w:hint="default" w:ascii="Times New Roman" w:hAnsi="Times New Roman" w:eastAsia="宋体" w:cs="Times New Roman"/>
                <w:b w:val="0"/>
                <w:bCs w:val="0"/>
                <w:i/>
                <w:iCs/>
                <w:color w:val="000000"/>
                <w:kern w:val="0"/>
                <w:sz w:val="22"/>
                <w:szCs w:val="22"/>
                <w:lang w:val="en-US" w:eastAsia="zh-CN" w:bidi="ar"/>
              </w:rPr>
              <w:t xml:space="preserve">Bubalus </w:t>
            </w:r>
            <w:r>
              <w:rPr>
                <w:rFonts w:hint="default" w:ascii="Times New Roman" w:hAnsi="Times New Roman" w:eastAsia="宋体" w:cs="Times New Roman"/>
                <w:b w:val="0"/>
                <w:bCs w:val="0"/>
                <w:color w:val="000000"/>
                <w:kern w:val="0"/>
                <w:sz w:val="22"/>
                <w:szCs w:val="22"/>
                <w:lang w:val="en-US" w:eastAsia="zh-CN" w:bidi="ar"/>
              </w:rPr>
              <w:t>sp.</w:t>
            </w:r>
          </w:p>
        </w:tc>
        <w:tc>
          <w:tcPr>
            <w:tcW w:w="0" w:type="auto"/>
            <w:gridSpan w:val="2"/>
            <w:shd w:val="clear" w:color="auto" w:fill="auto"/>
            <w:noWrap/>
            <w:vAlign w:val="center"/>
          </w:tcPr>
          <w:p w14:paraId="7F2EF0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perscript"/>
                <w:lang w:val="en-US" w:eastAsia="zh-CN" w:bidi="ar"/>
              </w:rPr>
              <w:t>2</w:t>
            </w:r>
          </w:p>
        </w:tc>
        <w:tc>
          <w:tcPr>
            <w:tcW w:w="0" w:type="auto"/>
            <w:gridSpan w:val="2"/>
            <w:shd w:val="clear" w:color="auto" w:fill="auto"/>
            <w:noWrap/>
            <w:vAlign w:val="center"/>
          </w:tcPr>
          <w:p w14:paraId="3680DC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perscript"/>
                <w:lang w:val="en-US" w:eastAsia="zh-CN" w:bidi="ar"/>
              </w:rPr>
              <w:t>3</w:t>
            </w:r>
          </w:p>
        </w:tc>
        <w:tc>
          <w:tcPr>
            <w:tcW w:w="0" w:type="auto"/>
            <w:gridSpan w:val="2"/>
            <w:shd w:val="clear" w:color="auto" w:fill="auto"/>
            <w:noWrap/>
            <w:vAlign w:val="center"/>
          </w:tcPr>
          <w:p w14:paraId="645E4E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perscript"/>
                <w:lang w:val="en-US" w:eastAsia="zh-CN" w:bidi="ar"/>
              </w:rPr>
              <w:t>4</w:t>
            </w:r>
          </w:p>
        </w:tc>
        <w:tc>
          <w:tcPr>
            <w:tcW w:w="0" w:type="auto"/>
            <w:gridSpan w:val="2"/>
            <w:shd w:val="clear" w:color="auto" w:fill="auto"/>
            <w:noWrap/>
            <w:vAlign w:val="center"/>
          </w:tcPr>
          <w:p w14:paraId="49CA6C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perscript"/>
                <w:lang w:val="en-US" w:eastAsia="zh-CN" w:bidi="ar"/>
              </w:rPr>
              <w:t>2</w:t>
            </w:r>
          </w:p>
        </w:tc>
        <w:tc>
          <w:tcPr>
            <w:tcW w:w="872" w:type="dxa"/>
            <w:gridSpan w:val="2"/>
            <w:shd w:val="clear" w:color="auto" w:fill="auto"/>
            <w:noWrap/>
            <w:vAlign w:val="center"/>
          </w:tcPr>
          <w:p w14:paraId="7DBCEB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perscript"/>
                <w:lang w:val="en-US" w:eastAsia="zh-CN" w:bidi="ar"/>
              </w:rPr>
              <w:t>3</w:t>
            </w:r>
          </w:p>
        </w:tc>
        <w:tc>
          <w:tcPr>
            <w:tcW w:w="872" w:type="dxa"/>
            <w:gridSpan w:val="2"/>
            <w:shd w:val="clear" w:color="auto" w:fill="auto"/>
            <w:noWrap/>
            <w:vAlign w:val="center"/>
          </w:tcPr>
          <w:p w14:paraId="47CBCC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perscript"/>
                <w:lang w:val="en-US" w:eastAsia="zh-CN" w:bidi="ar"/>
              </w:rPr>
              <w:t>4</w:t>
            </w:r>
          </w:p>
        </w:tc>
        <w:tc>
          <w:tcPr>
            <w:tcW w:w="0" w:type="auto"/>
            <w:gridSpan w:val="2"/>
            <w:shd w:val="clear" w:color="auto" w:fill="auto"/>
            <w:noWrap/>
            <w:vAlign w:val="center"/>
          </w:tcPr>
          <w:p w14:paraId="7CE7CD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perscript"/>
                <w:lang w:val="en-US" w:eastAsia="zh-CN" w:bidi="ar"/>
              </w:rPr>
              <w:t xml:space="preserve">1 </w:t>
            </w: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perscript"/>
                <w:lang w:val="en-US" w:eastAsia="zh-CN" w:bidi="ar"/>
              </w:rPr>
              <w:t>2</w:t>
            </w:r>
          </w:p>
        </w:tc>
        <w:tc>
          <w:tcPr>
            <w:tcW w:w="0" w:type="auto"/>
            <w:gridSpan w:val="2"/>
            <w:shd w:val="clear" w:color="auto" w:fill="auto"/>
            <w:noWrap/>
            <w:vAlign w:val="center"/>
          </w:tcPr>
          <w:p w14:paraId="4A5E1A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M</w:t>
            </w:r>
            <w:r>
              <w:rPr>
                <w:rFonts w:hint="default" w:ascii="Times New Roman" w:hAnsi="Times New Roman" w:eastAsia="宋体" w:cs="Times New Roman"/>
                <w:b w:val="0"/>
                <w:bCs w:val="0"/>
                <w:color w:val="000000"/>
                <w:kern w:val="0"/>
                <w:sz w:val="22"/>
                <w:szCs w:val="22"/>
                <w:vertAlign w:val="superscript"/>
                <w:lang w:val="en-US" w:eastAsia="zh-CN" w:bidi="ar"/>
              </w:rPr>
              <w:t>3</w:t>
            </w:r>
          </w:p>
        </w:tc>
        <w:tc>
          <w:tcPr>
            <w:tcW w:w="0" w:type="auto"/>
            <w:vMerge w:val="restart"/>
            <w:shd w:val="clear" w:color="auto" w:fill="auto"/>
            <w:vAlign w:val="center"/>
          </w:tcPr>
          <w:p w14:paraId="75F0AA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Upper teeth</w:t>
            </w:r>
          </w:p>
        </w:tc>
        <w:tc>
          <w:tcPr>
            <w:tcW w:w="0" w:type="auto"/>
            <w:vMerge w:val="restart"/>
            <w:shd w:val="clear" w:color="auto" w:fill="auto"/>
            <w:noWrap/>
            <w:vAlign w:val="center"/>
          </w:tcPr>
          <w:p w14:paraId="19B466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bCs/>
                <w:color w:val="000000"/>
                <w:kern w:val="0"/>
                <w:sz w:val="22"/>
                <w:szCs w:val="22"/>
              </w:rPr>
            </w:pPr>
            <w:r>
              <w:rPr>
                <w:rFonts w:hint="default" w:ascii="Times New Roman" w:hAnsi="Times New Roman" w:eastAsia="宋体" w:cs="Times New Roman"/>
                <w:b/>
                <w:bCs/>
                <w:color w:val="000000"/>
                <w:kern w:val="0"/>
                <w:sz w:val="22"/>
                <w:szCs w:val="22"/>
                <w:lang w:val="en-US" w:eastAsia="zh-CN" w:bidi="ar"/>
              </w:rPr>
              <w:t>124</w:t>
            </w:r>
          </w:p>
        </w:tc>
        <w:tc>
          <w:tcPr>
            <w:tcW w:w="0" w:type="auto"/>
            <w:vMerge w:val="restart"/>
            <w:shd w:val="clear" w:color="auto" w:fill="auto"/>
            <w:noWrap/>
            <w:vAlign w:val="center"/>
          </w:tcPr>
          <w:p w14:paraId="501C04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bCs/>
                <w:color w:val="000000"/>
                <w:kern w:val="0"/>
                <w:sz w:val="22"/>
                <w:szCs w:val="22"/>
              </w:rPr>
            </w:pPr>
            <w:r>
              <w:rPr>
                <w:rFonts w:hint="default" w:ascii="Times New Roman" w:hAnsi="Times New Roman" w:eastAsia="宋体" w:cs="Times New Roman"/>
                <w:b/>
                <w:bCs/>
                <w:color w:val="000000"/>
                <w:kern w:val="0"/>
                <w:sz w:val="22"/>
                <w:szCs w:val="22"/>
                <w:lang w:val="en-US" w:eastAsia="zh-CN" w:bidi="ar"/>
              </w:rPr>
              <w:t>14</w:t>
            </w:r>
          </w:p>
        </w:tc>
        <w:tc>
          <w:tcPr>
            <w:tcW w:w="0" w:type="auto"/>
            <w:vMerge w:val="restart"/>
            <w:shd w:val="clear" w:color="auto" w:fill="auto"/>
            <w:noWrap/>
            <w:vAlign w:val="center"/>
          </w:tcPr>
          <w:p w14:paraId="7C6421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bCs/>
                <w:color w:val="000000"/>
                <w:kern w:val="0"/>
                <w:sz w:val="22"/>
                <w:szCs w:val="22"/>
              </w:rPr>
            </w:pPr>
            <w:r>
              <w:rPr>
                <w:rFonts w:hint="default" w:ascii="Times New Roman" w:hAnsi="Times New Roman" w:eastAsia="宋体" w:cs="Times New Roman"/>
                <w:b/>
                <w:bCs/>
                <w:color w:val="000000"/>
                <w:kern w:val="0"/>
                <w:sz w:val="22"/>
                <w:szCs w:val="22"/>
                <w:lang w:val="en-US" w:eastAsia="zh-CN" w:bidi="ar"/>
              </w:rPr>
              <w:t>98.4</w:t>
            </w:r>
            <w:r>
              <w:rPr>
                <w:rFonts w:hint="eastAsia" w:ascii="宋体" w:hAnsi="宋体" w:eastAsia="宋体" w:cs="宋体"/>
                <w:b/>
                <w:bCs/>
                <w:color w:val="000000"/>
                <w:kern w:val="0"/>
                <w:sz w:val="22"/>
                <w:szCs w:val="22"/>
                <w:lang w:val="en-US" w:eastAsia="zh-CN" w:bidi="ar"/>
              </w:rPr>
              <w:t>﹪</w:t>
            </w:r>
          </w:p>
        </w:tc>
      </w:tr>
      <w:tr w14:paraId="0FF456C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43D5BBC4">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shd w:val="clear" w:color="auto" w:fill="auto"/>
            <w:noWrap/>
            <w:vAlign w:val="center"/>
          </w:tcPr>
          <w:p w14:paraId="5CDDA9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2F8D3C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6617CC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69C439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24CF7E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26748D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795658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315CAD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467341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436" w:type="dxa"/>
            <w:shd w:val="clear" w:color="auto" w:fill="auto"/>
            <w:noWrap/>
            <w:vAlign w:val="center"/>
          </w:tcPr>
          <w:p w14:paraId="7AFF36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436" w:type="dxa"/>
            <w:shd w:val="clear" w:color="auto" w:fill="auto"/>
            <w:noWrap/>
            <w:vAlign w:val="center"/>
          </w:tcPr>
          <w:p w14:paraId="52D1AE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04E80C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35B649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754EFD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12EACC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L</w:t>
            </w:r>
          </w:p>
        </w:tc>
        <w:tc>
          <w:tcPr>
            <w:tcW w:w="0" w:type="auto"/>
            <w:shd w:val="clear" w:color="auto" w:fill="auto"/>
            <w:noWrap/>
            <w:vAlign w:val="center"/>
          </w:tcPr>
          <w:p w14:paraId="6118B7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R</w:t>
            </w:r>
          </w:p>
        </w:tc>
        <w:tc>
          <w:tcPr>
            <w:tcW w:w="0" w:type="auto"/>
            <w:vMerge w:val="continue"/>
            <w:shd w:val="clear" w:color="auto" w:fill="auto"/>
            <w:vAlign w:val="center"/>
          </w:tcPr>
          <w:p w14:paraId="41F40AA7">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3AA7B6EE">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364229C3">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73E78B0F">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r>
      <w:tr w14:paraId="11F2F0C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6CBCA935">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shd w:val="clear" w:color="auto" w:fill="auto"/>
            <w:noWrap/>
            <w:vAlign w:val="center"/>
          </w:tcPr>
          <w:p w14:paraId="07C3E4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400B64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6F3329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28A6AA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w:t>
            </w:r>
          </w:p>
        </w:tc>
        <w:tc>
          <w:tcPr>
            <w:tcW w:w="0" w:type="auto"/>
            <w:shd w:val="clear" w:color="auto" w:fill="auto"/>
            <w:noWrap/>
            <w:vAlign w:val="center"/>
          </w:tcPr>
          <w:p w14:paraId="7F66CE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7BC3C1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5E960B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2</w:t>
            </w:r>
          </w:p>
        </w:tc>
        <w:tc>
          <w:tcPr>
            <w:tcW w:w="0" w:type="auto"/>
            <w:shd w:val="clear" w:color="auto" w:fill="auto"/>
            <w:noWrap/>
            <w:vAlign w:val="center"/>
          </w:tcPr>
          <w:p w14:paraId="1D0EED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w:t>
            </w:r>
          </w:p>
        </w:tc>
        <w:tc>
          <w:tcPr>
            <w:tcW w:w="0" w:type="auto"/>
            <w:shd w:val="clear" w:color="auto" w:fill="auto"/>
            <w:noWrap/>
            <w:vAlign w:val="center"/>
          </w:tcPr>
          <w:p w14:paraId="358A8F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w:t>
            </w:r>
          </w:p>
        </w:tc>
        <w:tc>
          <w:tcPr>
            <w:tcW w:w="436" w:type="dxa"/>
            <w:shd w:val="clear" w:color="auto" w:fill="auto"/>
            <w:noWrap/>
            <w:vAlign w:val="center"/>
          </w:tcPr>
          <w:p w14:paraId="4E89B0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w:t>
            </w:r>
          </w:p>
        </w:tc>
        <w:tc>
          <w:tcPr>
            <w:tcW w:w="436" w:type="dxa"/>
            <w:shd w:val="clear" w:color="auto" w:fill="auto"/>
            <w:noWrap/>
            <w:vAlign w:val="center"/>
          </w:tcPr>
          <w:p w14:paraId="65A419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w:t>
            </w:r>
          </w:p>
        </w:tc>
        <w:tc>
          <w:tcPr>
            <w:tcW w:w="0" w:type="auto"/>
            <w:shd w:val="clear" w:color="auto" w:fill="auto"/>
            <w:noWrap/>
            <w:vAlign w:val="center"/>
          </w:tcPr>
          <w:p w14:paraId="3C99F9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w:t>
            </w:r>
          </w:p>
        </w:tc>
        <w:tc>
          <w:tcPr>
            <w:tcW w:w="0" w:type="auto"/>
            <w:shd w:val="clear" w:color="auto" w:fill="auto"/>
            <w:noWrap/>
            <w:vAlign w:val="center"/>
          </w:tcPr>
          <w:p w14:paraId="3552DB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15</w:t>
            </w:r>
          </w:p>
        </w:tc>
        <w:tc>
          <w:tcPr>
            <w:tcW w:w="0" w:type="auto"/>
            <w:shd w:val="clear" w:color="auto" w:fill="auto"/>
            <w:noWrap/>
            <w:vAlign w:val="center"/>
          </w:tcPr>
          <w:p w14:paraId="0B6787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16</w:t>
            </w:r>
          </w:p>
        </w:tc>
        <w:tc>
          <w:tcPr>
            <w:tcW w:w="0" w:type="auto"/>
            <w:shd w:val="clear" w:color="auto" w:fill="auto"/>
            <w:noWrap/>
            <w:vAlign w:val="center"/>
          </w:tcPr>
          <w:p w14:paraId="7F41D7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7</w:t>
            </w:r>
          </w:p>
        </w:tc>
        <w:tc>
          <w:tcPr>
            <w:tcW w:w="0" w:type="auto"/>
            <w:shd w:val="clear" w:color="auto" w:fill="auto"/>
            <w:noWrap/>
            <w:vAlign w:val="center"/>
          </w:tcPr>
          <w:p w14:paraId="06A3A2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6</w:t>
            </w:r>
          </w:p>
        </w:tc>
        <w:tc>
          <w:tcPr>
            <w:tcW w:w="0" w:type="auto"/>
            <w:shd w:val="clear" w:color="auto" w:fill="auto"/>
            <w:noWrap/>
            <w:vAlign w:val="center"/>
          </w:tcPr>
          <w:p w14:paraId="709934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62</w:t>
            </w:r>
          </w:p>
        </w:tc>
        <w:tc>
          <w:tcPr>
            <w:tcW w:w="0" w:type="auto"/>
            <w:vMerge w:val="continue"/>
            <w:shd w:val="clear" w:color="auto" w:fill="auto"/>
            <w:noWrap/>
            <w:vAlign w:val="center"/>
          </w:tcPr>
          <w:p w14:paraId="466D3B31">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7E5E1E15">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4FB4E748">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r>
      <w:tr w14:paraId="3DBF880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202E28CE">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gridSpan w:val="2"/>
            <w:shd w:val="clear" w:color="auto" w:fill="auto"/>
            <w:noWrap/>
            <w:vAlign w:val="center"/>
          </w:tcPr>
          <w:p w14:paraId="5C6826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bscript"/>
                <w:lang w:val="en-US" w:eastAsia="zh-CN" w:bidi="ar"/>
              </w:rPr>
              <w:t>2</w:t>
            </w:r>
          </w:p>
        </w:tc>
        <w:tc>
          <w:tcPr>
            <w:tcW w:w="0" w:type="auto"/>
            <w:gridSpan w:val="2"/>
            <w:shd w:val="clear" w:color="auto" w:fill="auto"/>
            <w:noWrap/>
            <w:vAlign w:val="center"/>
          </w:tcPr>
          <w:p w14:paraId="4DCCC1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bscript"/>
                <w:lang w:val="en-US" w:eastAsia="zh-CN" w:bidi="ar"/>
              </w:rPr>
              <w:t>3</w:t>
            </w:r>
          </w:p>
        </w:tc>
        <w:tc>
          <w:tcPr>
            <w:tcW w:w="0" w:type="auto"/>
            <w:gridSpan w:val="2"/>
            <w:shd w:val="clear" w:color="auto" w:fill="auto"/>
            <w:noWrap/>
            <w:vAlign w:val="center"/>
          </w:tcPr>
          <w:p w14:paraId="0CEBA6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bscript"/>
                <w:lang w:val="en-US" w:eastAsia="zh-CN" w:bidi="ar"/>
              </w:rPr>
              <w:t>4</w:t>
            </w:r>
          </w:p>
        </w:tc>
        <w:tc>
          <w:tcPr>
            <w:tcW w:w="0" w:type="auto"/>
            <w:gridSpan w:val="2"/>
            <w:shd w:val="clear" w:color="auto" w:fill="auto"/>
            <w:noWrap/>
            <w:vAlign w:val="center"/>
          </w:tcPr>
          <w:p w14:paraId="009D26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bscript"/>
                <w:lang w:val="en-US" w:eastAsia="zh-CN" w:bidi="ar"/>
              </w:rPr>
              <w:t>2</w:t>
            </w:r>
          </w:p>
        </w:tc>
        <w:tc>
          <w:tcPr>
            <w:tcW w:w="872" w:type="dxa"/>
            <w:gridSpan w:val="2"/>
            <w:shd w:val="clear" w:color="auto" w:fill="auto"/>
            <w:noWrap/>
            <w:vAlign w:val="center"/>
          </w:tcPr>
          <w:p w14:paraId="37075B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bscript"/>
                <w:lang w:val="en-US" w:eastAsia="zh-CN" w:bidi="ar"/>
              </w:rPr>
              <w:t>3</w:t>
            </w:r>
          </w:p>
        </w:tc>
        <w:tc>
          <w:tcPr>
            <w:tcW w:w="872" w:type="dxa"/>
            <w:gridSpan w:val="2"/>
            <w:shd w:val="clear" w:color="auto" w:fill="auto"/>
            <w:noWrap/>
            <w:vAlign w:val="center"/>
          </w:tcPr>
          <w:p w14:paraId="5FBA2F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bscript"/>
                <w:lang w:val="en-US" w:eastAsia="zh-CN" w:bidi="ar"/>
              </w:rPr>
              <w:t>4</w:t>
            </w:r>
          </w:p>
        </w:tc>
        <w:tc>
          <w:tcPr>
            <w:tcW w:w="0" w:type="auto"/>
            <w:gridSpan w:val="2"/>
            <w:shd w:val="clear" w:color="auto" w:fill="auto"/>
            <w:noWrap/>
            <w:vAlign w:val="center"/>
          </w:tcPr>
          <w:p w14:paraId="392B78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bscript"/>
                <w:lang w:val="en-US" w:eastAsia="zh-CN" w:bidi="ar"/>
              </w:rPr>
              <w:t>1</w:t>
            </w:r>
            <w:r>
              <w:rPr>
                <w:rFonts w:hint="default" w:ascii="Times New Roman" w:hAnsi="Times New Roman" w:eastAsia="宋体" w:cs="Times New Roman"/>
                <w:color w:val="000000"/>
                <w:kern w:val="0"/>
                <w:sz w:val="22"/>
                <w:szCs w:val="22"/>
                <w:vertAlign w:val="superscript"/>
                <w:lang w:val="en-US" w:eastAsia="zh-CN" w:bidi="ar"/>
              </w:rPr>
              <w:t xml:space="preserve"> </w:t>
            </w: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bscript"/>
                <w:lang w:val="en-US" w:eastAsia="zh-CN" w:bidi="ar"/>
              </w:rPr>
              <w:t>2</w:t>
            </w:r>
          </w:p>
        </w:tc>
        <w:tc>
          <w:tcPr>
            <w:tcW w:w="0" w:type="auto"/>
            <w:gridSpan w:val="2"/>
            <w:shd w:val="clear" w:color="auto" w:fill="auto"/>
            <w:noWrap/>
            <w:vAlign w:val="center"/>
          </w:tcPr>
          <w:p w14:paraId="503B74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M</w:t>
            </w:r>
            <w:r>
              <w:rPr>
                <w:rFonts w:hint="default" w:ascii="Times New Roman" w:hAnsi="Times New Roman" w:eastAsia="宋体" w:cs="Times New Roman"/>
                <w:b w:val="0"/>
                <w:bCs w:val="0"/>
                <w:color w:val="000000"/>
                <w:kern w:val="0"/>
                <w:sz w:val="22"/>
                <w:szCs w:val="22"/>
                <w:vertAlign w:val="subscript"/>
                <w:lang w:val="en-US" w:eastAsia="zh-CN" w:bidi="ar"/>
              </w:rPr>
              <w:t>3</w:t>
            </w:r>
          </w:p>
        </w:tc>
        <w:tc>
          <w:tcPr>
            <w:tcW w:w="0" w:type="auto"/>
            <w:vMerge w:val="restart"/>
            <w:shd w:val="clear" w:color="auto" w:fill="auto"/>
            <w:vAlign w:val="center"/>
          </w:tcPr>
          <w:p w14:paraId="275FE0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Lower teeth</w:t>
            </w:r>
          </w:p>
        </w:tc>
        <w:tc>
          <w:tcPr>
            <w:tcW w:w="0" w:type="auto"/>
            <w:vMerge w:val="continue"/>
            <w:shd w:val="clear" w:color="auto" w:fill="auto"/>
            <w:noWrap/>
            <w:vAlign w:val="center"/>
          </w:tcPr>
          <w:p w14:paraId="69DC4EB7">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1CF0F693">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40531BC6">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r>
      <w:tr w14:paraId="1A43296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2747FDE9">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shd w:val="clear" w:color="auto" w:fill="auto"/>
            <w:noWrap/>
            <w:vAlign w:val="center"/>
          </w:tcPr>
          <w:p w14:paraId="4D1B24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4AAAFC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1463D7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2C8599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1398F0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3A1C62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0F951F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3F3BA5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7C9B96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436" w:type="dxa"/>
            <w:shd w:val="clear" w:color="auto" w:fill="auto"/>
            <w:noWrap/>
            <w:vAlign w:val="center"/>
          </w:tcPr>
          <w:p w14:paraId="743079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436" w:type="dxa"/>
            <w:shd w:val="clear" w:color="auto" w:fill="auto"/>
            <w:noWrap/>
            <w:vAlign w:val="center"/>
          </w:tcPr>
          <w:p w14:paraId="1CFA2F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2F67C9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0EDA69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473132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418ABE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L</w:t>
            </w:r>
          </w:p>
        </w:tc>
        <w:tc>
          <w:tcPr>
            <w:tcW w:w="0" w:type="auto"/>
            <w:shd w:val="clear" w:color="auto" w:fill="auto"/>
            <w:noWrap/>
            <w:vAlign w:val="center"/>
          </w:tcPr>
          <w:p w14:paraId="7398B9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R</w:t>
            </w:r>
          </w:p>
        </w:tc>
        <w:tc>
          <w:tcPr>
            <w:tcW w:w="0" w:type="auto"/>
            <w:vMerge w:val="continue"/>
            <w:shd w:val="clear" w:color="auto" w:fill="auto"/>
            <w:vAlign w:val="center"/>
          </w:tcPr>
          <w:p w14:paraId="162CF7BD">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0FF3A3B1">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661150EC">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50FFF44A">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r>
      <w:tr w14:paraId="144BA6E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61BF03B4">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shd w:val="clear" w:color="auto" w:fill="auto"/>
            <w:noWrap/>
            <w:vAlign w:val="center"/>
          </w:tcPr>
          <w:p w14:paraId="2D13C7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2317A3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4DAE04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w:t>
            </w:r>
          </w:p>
        </w:tc>
        <w:tc>
          <w:tcPr>
            <w:tcW w:w="0" w:type="auto"/>
            <w:shd w:val="clear" w:color="auto" w:fill="auto"/>
            <w:noWrap/>
            <w:vAlign w:val="center"/>
          </w:tcPr>
          <w:p w14:paraId="68595F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638760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bCs/>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1</w:t>
            </w:r>
          </w:p>
        </w:tc>
        <w:tc>
          <w:tcPr>
            <w:tcW w:w="0" w:type="auto"/>
            <w:shd w:val="clear" w:color="auto" w:fill="auto"/>
            <w:noWrap/>
            <w:vAlign w:val="center"/>
          </w:tcPr>
          <w:p w14:paraId="7C8362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5AC518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1A48BA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2</w:t>
            </w:r>
          </w:p>
        </w:tc>
        <w:tc>
          <w:tcPr>
            <w:tcW w:w="0" w:type="auto"/>
            <w:shd w:val="clear" w:color="auto" w:fill="auto"/>
            <w:noWrap/>
            <w:vAlign w:val="center"/>
          </w:tcPr>
          <w:p w14:paraId="416220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7</w:t>
            </w:r>
          </w:p>
        </w:tc>
        <w:tc>
          <w:tcPr>
            <w:tcW w:w="436" w:type="dxa"/>
            <w:shd w:val="clear" w:color="auto" w:fill="auto"/>
            <w:noWrap/>
            <w:vAlign w:val="center"/>
          </w:tcPr>
          <w:p w14:paraId="4D6991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w:t>
            </w:r>
          </w:p>
        </w:tc>
        <w:tc>
          <w:tcPr>
            <w:tcW w:w="436" w:type="dxa"/>
            <w:shd w:val="clear" w:color="auto" w:fill="auto"/>
            <w:noWrap/>
            <w:vAlign w:val="center"/>
          </w:tcPr>
          <w:p w14:paraId="63F48E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w:t>
            </w:r>
          </w:p>
        </w:tc>
        <w:tc>
          <w:tcPr>
            <w:tcW w:w="0" w:type="auto"/>
            <w:shd w:val="clear" w:color="auto" w:fill="auto"/>
            <w:noWrap/>
            <w:vAlign w:val="center"/>
          </w:tcPr>
          <w:p w14:paraId="62FF7E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w:t>
            </w:r>
          </w:p>
        </w:tc>
        <w:tc>
          <w:tcPr>
            <w:tcW w:w="0" w:type="auto"/>
            <w:shd w:val="clear" w:color="auto" w:fill="auto"/>
            <w:noWrap/>
            <w:vAlign w:val="center"/>
          </w:tcPr>
          <w:p w14:paraId="73040A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w:t>
            </w:r>
          </w:p>
        </w:tc>
        <w:tc>
          <w:tcPr>
            <w:tcW w:w="0" w:type="auto"/>
            <w:shd w:val="clear" w:color="auto" w:fill="auto"/>
            <w:noWrap/>
            <w:vAlign w:val="center"/>
          </w:tcPr>
          <w:p w14:paraId="4BC303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14</w:t>
            </w:r>
          </w:p>
        </w:tc>
        <w:tc>
          <w:tcPr>
            <w:tcW w:w="0" w:type="auto"/>
            <w:shd w:val="clear" w:color="auto" w:fill="auto"/>
            <w:noWrap/>
            <w:vAlign w:val="center"/>
          </w:tcPr>
          <w:p w14:paraId="4D3EEA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13</w:t>
            </w:r>
          </w:p>
        </w:tc>
        <w:tc>
          <w:tcPr>
            <w:tcW w:w="0" w:type="auto"/>
            <w:shd w:val="clear" w:color="auto" w:fill="auto"/>
            <w:noWrap/>
            <w:vAlign w:val="center"/>
          </w:tcPr>
          <w:p w14:paraId="11887F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8</w:t>
            </w:r>
          </w:p>
        </w:tc>
        <w:tc>
          <w:tcPr>
            <w:tcW w:w="0" w:type="auto"/>
            <w:shd w:val="clear" w:color="auto" w:fill="auto"/>
            <w:noWrap/>
            <w:vAlign w:val="center"/>
          </w:tcPr>
          <w:p w14:paraId="2F2EEB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62</w:t>
            </w:r>
          </w:p>
        </w:tc>
        <w:tc>
          <w:tcPr>
            <w:tcW w:w="0" w:type="auto"/>
            <w:vMerge w:val="continue"/>
            <w:shd w:val="clear" w:color="auto" w:fill="auto"/>
            <w:noWrap/>
            <w:vAlign w:val="center"/>
          </w:tcPr>
          <w:p w14:paraId="347756DD">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77AF5CB4">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2AFB2442">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r>
      <w:tr w14:paraId="2C364D4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7" w:hRule="atLeast"/>
        </w:trPr>
        <w:tc>
          <w:tcPr>
            <w:tcW w:w="0" w:type="auto"/>
            <w:vMerge w:val="restart"/>
            <w:shd w:val="clear" w:color="auto" w:fill="auto"/>
            <w:vAlign w:val="center"/>
          </w:tcPr>
          <w:p w14:paraId="6E404B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b w:val="0"/>
                <w:bCs w:val="0"/>
                <w:i/>
                <w:iCs/>
                <w:color w:val="000000"/>
                <w:kern w:val="0"/>
                <w:sz w:val="22"/>
                <w:szCs w:val="22"/>
              </w:rPr>
            </w:pPr>
            <w:r>
              <w:rPr>
                <w:rFonts w:hint="default" w:ascii="Times New Roman" w:hAnsi="Times New Roman" w:eastAsia="宋体" w:cs="Times New Roman"/>
                <w:b w:val="0"/>
                <w:bCs w:val="0"/>
                <w:i/>
                <w:iCs/>
                <w:color w:val="000000"/>
                <w:kern w:val="0"/>
                <w:sz w:val="22"/>
                <w:szCs w:val="22"/>
                <w:lang w:val="en-US" w:eastAsia="zh-CN" w:bidi="ar"/>
              </w:rPr>
              <w:t>Rhinoceros sinensis</w:t>
            </w:r>
          </w:p>
        </w:tc>
        <w:tc>
          <w:tcPr>
            <w:tcW w:w="0" w:type="auto"/>
            <w:gridSpan w:val="2"/>
            <w:shd w:val="clear" w:color="auto" w:fill="auto"/>
            <w:noWrap/>
            <w:vAlign w:val="center"/>
          </w:tcPr>
          <w:p w14:paraId="246E2F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perscript"/>
                <w:lang w:val="en-US" w:eastAsia="zh-CN" w:bidi="ar"/>
              </w:rPr>
              <w:t>2</w:t>
            </w:r>
          </w:p>
        </w:tc>
        <w:tc>
          <w:tcPr>
            <w:tcW w:w="0" w:type="auto"/>
            <w:gridSpan w:val="2"/>
            <w:shd w:val="clear" w:color="auto" w:fill="auto"/>
            <w:noWrap/>
            <w:vAlign w:val="center"/>
          </w:tcPr>
          <w:p w14:paraId="793816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perscript"/>
                <w:lang w:val="en-US" w:eastAsia="zh-CN" w:bidi="ar"/>
              </w:rPr>
              <w:t>3</w:t>
            </w:r>
          </w:p>
        </w:tc>
        <w:tc>
          <w:tcPr>
            <w:tcW w:w="0" w:type="auto"/>
            <w:gridSpan w:val="2"/>
            <w:shd w:val="clear" w:color="auto" w:fill="auto"/>
            <w:noWrap/>
            <w:vAlign w:val="center"/>
          </w:tcPr>
          <w:p w14:paraId="248203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perscript"/>
                <w:lang w:val="en-US" w:eastAsia="zh-CN" w:bidi="ar"/>
              </w:rPr>
              <w:t>4</w:t>
            </w:r>
          </w:p>
        </w:tc>
        <w:tc>
          <w:tcPr>
            <w:tcW w:w="0" w:type="auto"/>
            <w:gridSpan w:val="2"/>
            <w:shd w:val="clear" w:color="auto" w:fill="auto"/>
            <w:noWrap/>
            <w:vAlign w:val="center"/>
          </w:tcPr>
          <w:p w14:paraId="48F2DC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perscript"/>
                <w:lang w:val="en-US" w:eastAsia="zh-CN" w:bidi="ar"/>
              </w:rPr>
              <w:t>2</w:t>
            </w:r>
          </w:p>
        </w:tc>
        <w:tc>
          <w:tcPr>
            <w:tcW w:w="872" w:type="dxa"/>
            <w:gridSpan w:val="2"/>
            <w:shd w:val="clear" w:color="auto" w:fill="auto"/>
            <w:noWrap/>
            <w:vAlign w:val="center"/>
          </w:tcPr>
          <w:p w14:paraId="15FC32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perscript"/>
                <w:lang w:val="en-US" w:eastAsia="zh-CN" w:bidi="ar"/>
              </w:rPr>
              <w:t>3</w:t>
            </w:r>
          </w:p>
        </w:tc>
        <w:tc>
          <w:tcPr>
            <w:tcW w:w="872" w:type="dxa"/>
            <w:gridSpan w:val="2"/>
            <w:shd w:val="clear" w:color="auto" w:fill="auto"/>
            <w:noWrap/>
            <w:vAlign w:val="center"/>
          </w:tcPr>
          <w:p w14:paraId="5066DC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perscript"/>
                <w:lang w:val="en-US" w:eastAsia="zh-CN" w:bidi="ar"/>
              </w:rPr>
              <w:t>4</w:t>
            </w:r>
          </w:p>
        </w:tc>
        <w:tc>
          <w:tcPr>
            <w:tcW w:w="0" w:type="auto"/>
            <w:gridSpan w:val="2"/>
            <w:shd w:val="clear" w:color="auto" w:fill="auto"/>
            <w:noWrap/>
            <w:vAlign w:val="center"/>
          </w:tcPr>
          <w:p w14:paraId="28F742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perscript"/>
                <w:lang w:val="en-US" w:eastAsia="zh-CN" w:bidi="ar"/>
              </w:rPr>
              <w:t xml:space="preserve">1 </w:t>
            </w: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perscript"/>
                <w:lang w:val="en-US" w:eastAsia="zh-CN" w:bidi="ar"/>
              </w:rPr>
              <w:t>2</w:t>
            </w:r>
          </w:p>
        </w:tc>
        <w:tc>
          <w:tcPr>
            <w:tcW w:w="0" w:type="auto"/>
            <w:gridSpan w:val="2"/>
            <w:shd w:val="clear" w:color="auto" w:fill="auto"/>
            <w:noWrap/>
            <w:vAlign w:val="center"/>
          </w:tcPr>
          <w:p w14:paraId="4CD5EB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M</w:t>
            </w:r>
            <w:r>
              <w:rPr>
                <w:rFonts w:hint="default" w:ascii="Times New Roman" w:hAnsi="Times New Roman" w:eastAsia="宋体" w:cs="Times New Roman"/>
                <w:b w:val="0"/>
                <w:bCs w:val="0"/>
                <w:color w:val="000000"/>
                <w:kern w:val="0"/>
                <w:sz w:val="22"/>
                <w:szCs w:val="22"/>
                <w:vertAlign w:val="superscript"/>
                <w:lang w:val="en-US" w:eastAsia="zh-CN" w:bidi="ar"/>
              </w:rPr>
              <w:t>3</w:t>
            </w:r>
          </w:p>
        </w:tc>
        <w:tc>
          <w:tcPr>
            <w:tcW w:w="0" w:type="auto"/>
            <w:vMerge w:val="restart"/>
            <w:shd w:val="clear" w:color="auto" w:fill="auto"/>
            <w:vAlign w:val="center"/>
          </w:tcPr>
          <w:p w14:paraId="17B413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Upper teeth</w:t>
            </w:r>
          </w:p>
        </w:tc>
        <w:tc>
          <w:tcPr>
            <w:tcW w:w="0" w:type="auto"/>
            <w:vMerge w:val="restart"/>
            <w:shd w:val="clear" w:color="auto" w:fill="auto"/>
            <w:noWrap/>
            <w:vAlign w:val="center"/>
          </w:tcPr>
          <w:p w14:paraId="07936D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bCs/>
                <w:color w:val="000000"/>
                <w:kern w:val="0"/>
                <w:sz w:val="22"/>
                <w:szCs w:val="22"/>
              </w:rPr>
            </w:pPr>
            <w:r>
              <w:rPr>
                <w:rFonts w:hint="default" w:ascii="Times New Roman" w:hAnsi="Times New Roman" w:eastAsia="宋体" w:cs="Times New Roman"/>
                <w:b/>
                <w:bCs/>
                <w:color w:val="000000"/>
                <w:kern w:val="0"/>
                <w:sz w:val="22"/>
                <w:szCs w:val="22"/>
                <w:lang w:val="en-US" w:eastAsia="zh-CN" w:bidi="ar"/>
              </w:rPr>
              <w:t>4</w:t>
            </w:r>
          </w:p>
        </w:tc>
        <w:tc>
          <w:tcPr>
            <w:tcW w:w="0" w:type="auto"/>
            <w:vMerge w:val="restart"/>
            <w:shd w:val="clear" w:color="auto" w:fill="auto"/>
            <w:noWrap/>
            <w:vAlign w:val="center"/>
          </w:tcPr>
          <w:p w14:paraId="2CF130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bCs/>
                <w:color w:val="000000"/>
                <w:kern w:val="0"/>
                <w:sz w:val="22"/>
                <w:szCs w:val="22"/>
              </w:rPr>
            </w:pPr>
            <w:r>
              <w:rPr>
                <w:rFonts w:hint="default" w:ascii="Times New Roman" w:hAnsi="Times New Roman" w:eastAsia="宋体" w:cs="Times New Roman"/>
                <w:b/>
                <w:bCs/>
                <w:color w:val="000000"/>
                <w:kern w:val="0"/>
                <w:sz w:val="22"/>
                <w:szCs w:val="22"/>
                <w:lang w:val="en-US" w:eastAsia="zh-CN" w:bidi="ar"/>
              </w:rPr>
              <w:t>1</w:t>
            </w:r>
          </w:p>
        </w:tc>
        <w:tc>
          <w:tcPr>
            <w:tcW w:w="0" w:type="auto"/>
            <w:vMerge w:val="restart"/>
            <w:shd w:val="clear" w:color="auto" w:fill="auto"/>
            <w:noWrap/>
            <w:vAlign w:val="center"/>
          </w:tcPr>
          <w:p w14:paraId="59890F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p>
        </w:tc>
      </w:tr>
      <w:tr w14:paraId="2D68CC3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72B24174">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shd w:val="clear" w:color="auto" w:fill="auto"/>
            <w:noWrap/>
            <w:vAlign w:val="center"/>
          </w:tcPr>
          <w:p w14:paraId="6A53C7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2B7338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5BA50B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781103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2F4A31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393E4D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403978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79F102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661282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436" w:type="dxa"/>
            <w:shd w:val="clear" w:color="auto" w:fill="auto"/>
            <w:noWrap/>
            <w:vAlign w:val="center"/>
          </w:tcPr>
          <w:p w14:paraId="7879B9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436" w:type="dxa"/>
            <w:shd w:val="clear" w:color="auto" w:fill="auto"/>
            <w:noWrap/>
            <w:vAlign w:val="center"/>
          </w:tcPr>
          <w:p w14:paraId="166965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73B87A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6F99CF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6BA89E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3B0597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L</w:t>
            </w:r>
          </w:p>
        </w:tc>
        <w:tc>
          <w:tcPr>
            <w:tcW w:w="0" w:type="auto"/>
            <w:shd w:val="clear" w:color="auto" w:fill="auto"/>
            <w:noWrap/>
            <w:vAlign w:val="center"/>
          </w:tcPr>
          <w:p w14:paraId="4A3EF6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R</w:t>
            </w:r>
          </w:p>
        </w:tc>
        <w:tc>
          <w:tcPr>
            <w:tcW w:w="0" w:type="auto"/>
            <w:vMerge w:val="continue"/>
            <w:shd w:val="clear" w:color="auto" w:fill="auto"/>
            <w:vAlign w:val="center"/>
          </w:tcPr>
          <w:p w14:paraId="737F57D3">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2FA76725">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78E8D3A7">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6666E5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p>
        </w:tc>
      </w:tr>
      <w:tr w14:paraId="6DDE14A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523DDBB4">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shd w:val="clear" w:color="auto" w:fill="auto"/>
            <w:noWrap/>
            <w:vAlign w:val="center"/>
          </w:tcPr>
          <w:p w14:paraId="53D8DF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72D872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263ED5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4B4934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230B54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20636F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241E3A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2A6295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w:t>
            </w:r>
          </w:p>
        </w:tc>
        <w:tc>
          <w:tcPr>
            <w:tcW w:w="0" w:type="auto"/>
            <w:shd w:val="clear" w:color="auto" w:fill="auto"/>
            <w:noWrap/>
            <w:vAlign w:val="center"/>
          </w:tcPr>
          <w:p w14:paraId="6E5BE6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436" w:type="dxa"/>
            <w:shd w:val="clear" w:color="auto" w:fill="auto"/>
            <w:noWrap/>
            <w:vAlign w:val="center"/>
          </w:tcPr>
          <w:p w14:paraId="61C97F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w:t>
            </w:r>
          </w:p>
        </w:tc>
        <w:tc>
          <w:tcPr>
            <w:tcW w:w="436" w:type="dxa"/>
            <w:shd w:val="clear" w:color="auto" w:fill="auto"/>
            <w:noWrap/>
            <w:vAlign w:val="center"/>
          </w:tcPr>
          <w:p w14:paraId="057FAB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73876D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02F749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2</w:t>
            </w:r>
          </w:p>
        </w:tc>
        <w:tc>
          <w:tcPr>
            <w:tcW w:w="0" w:type="auto"/>
            <w:shd w:val="clear" w:color="auto" w:fill="auto"/>
            <w:noWrap/>
            <w:vAlign w:val="center"/>
          </w:tcPr>
          <w:p w14:paraId="6621CB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542666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0</w:t>
            </w:r>
          </w:p>
        </w:tc>
        <w:tc>
          <w:tcPr>
            <w:tcW w:w="0" w:type="auto"/>
            <w:shd w:val="clear" w:color="auto" w:fill="auto"/>
            <w:noWrap/>
            <w:vAlign w:val="center"/>
          </w:tcPr>
          <w:p w14:paraId="6837EC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0</w:t>
            </w:r>
          </w:p>
        </w:tc>
        <w:tc>
          <w:tcPr>
            <w:tcW w:w="0" w:type="auto"/>
            <w:shd w:val="clear" w:color="auto" w:fill="auto"/>
            <w:noWrap/>
            <w:vAlign w:val="center"/>
          </w:tcPr>
          <w:p w14:paraId="36FB95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w:t>
            </w:r>
          </w:p>
        </w:tc>
        <w:tc>
          <w:tcPr>
            <w:tcW w:w="0" w:type="auto"/>
            <w:vMerge w:val="continue"/>
            <w:shd w:val="clear" w:color="auto" w:fill="auto"/>
            <w:noWrap/>
            <w:vAlign w:val="center"/>
          </w:tcPr>
          <w:p w14:paraId="038EF666">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52FDA1AD">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08A179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p>
        </w:tc>
      </w:tr>
      <w:tr w14:paraId="167B346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50DE121D">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gridSpan w:val="2"/>
            <w:shd w:val="clear" w:color="auto" w:fill="auto"/>
            <w:noWrap/>
            <w:vAlign w:val="center"/>
          </w:tcPr>
          <w:p w14:paraId="7CD40F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bscript"/>
                <w:lang w:val="en-US" w:eastAsia="zh-CN" w:bidi="ar"/>
              </w:rPr>
              <w:t>2</w:t>
            </w:r>
          </w:p>
        </w:tc>
        <w:tc>
          <w:tcPr>
            <w:tcW w:w="0" w:type="auto"/>
            <w:gridSpan w:val="2"/>
            <w:shd w:val="clear" w:color="auto" w:fill="auto"/>
            <w:noWrap/>
            <w:vAlign w:val="center"/>
          </w:tcPr>
          <w:p w14:paraId="239E80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bscript"/>
                <w:lang w:val="en-US" w:eastAsia="zh-CN" w:bidi="ar"/>
              </w:rPr>
              <w:t>3</w:t>
            </w:r>
          </w:p>
        </w:tc>
        <w:tc>
          <w:tcPr>
            <w:tcW w:w="0" w:type="auto"/>
            <w:gridSpan w:val="2"/>
            <w:shd w:val="clear" w:color="auto" w:fill="auto"/>
            <w:noWrap/>
            <w:vAlign w:val="center"/>
          </w:tcPr>
          <w:p w14:paraId="6C1488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bscript"/>
                <w:lang w:val="en-US" w:eastAsia="zh-CN" w:bidi="ar"/>
              </w:rPr>
              <w:t>4</w:t>
            </w:r>
          </w:p>
        </w:tc>
        <w:tc>
          <w:tcPr>
            <w:tcW w:w="0" w:type="auto"/>
            <w:gridSpan w:val="2"/>
            <w:shd w:val="clear" w:color="auto" w:fill="auto"/>
            <w:noWrap/>
            <w:vAlign w:val="center"/>
          </w:tcPr>
          <w:p w14:paraId="474E77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bscript"/>
                <w:lang w:val="en-US" w:eastAsia="zh-CN" w:bidi="ar"/>
              </w:rPr>
              <w:t>2</w:t>
            </w:r>
          </w:p>
        </w:tc>
        <w:tc>
          <w:tcPr>
            <w:tcW w:w="872" w:type="dxa"/>
            <w:gridSpan w:val="2"/>
            <w:shd w:val="clear" w:color="auto" w:fill="auto"/>
            <w:noWrap/>
            <w:vAlign w:val="center"/>
          </w:tcPr>
          <w:p w14:paraId="3961B3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bscript"/>
                <w:lang w:val="en-US" w:eastAsia="zh-CN" w:bidi="ar"/>
              </w:rPr>
              <w:t>3</w:t>
            </w:r>
          </w:p>
        </w:tc>
        <w:tc>
          <w:tcPr>
            <w:tcW w:w="872" w:type="dxa"/>
            <w:gridSpan w:val="2"/>
            <w:shd w:val="clear" w:color="auto" w:fill="auto"/>
            <w:noWrap/>
            <w:vAlign w:val="center"/>
          </w:tcPr>
          <w:p w14:paraId="4F1090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bscript"/>
                <w:lang w:val="en-US" w:eastAsia="zh-CN" w:bidi="ar"/>
              </w:rPr>
              <w:t>4</w:t>
            </w:r>
          </w:p>
        </w:tc>
        <w:tc>
          <w:tcPr>
            <w:tcW w:w="0" w:type="auto"/>
            <w:gridSpan w:val="2"/>
            <w:shd w:val="clear" w:color="auto" w:fill="auto"/>
            <w:noWrap/>
            <w:vAlign w:val="center"/>
          </w:tcPr>
          <w:p w14:paraId="7BA6F4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bscript"/>
                <w:lang w:val="en-US" w:eastAsia="zh-CN" w:bidi="ar"/>
              </w:rPr>
              <w:t>1</w:t>
            </w:r>
            <w:r>
              <w:rPr>
                <w:rFonts w:hint="default" w:ascii="Times New Roman" w:hAnsi="Times New Roman" w:eastAsia="宋体" w:cs="Times New Roman"/>
                <w:color w:val="000000"/>
                <w:kern w:val="0"/>
                <w:sz w:val="22"/>
                <w:szCs w:val="22"/>
                <w:vertAlign w:val="superscript"/>
                <w:lang w:val="en-US" w:eastAsia="zh-CN" w:bidi="ar"/>
              </w:rPr>
              <w:t xml:space="preserve"> </w:t>
            </w: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bscript"/>
                <w:lang w:val="en-US" w:eastAsia="zh-CN" w:bidi="ar"/>
              </w:rPr>
              <w:t>2</w:t>
            </w:r>
          </w:p>
        </w:tc>
        <w:tc>
          <w:tcPr>
            <w:tcW w:w="0" w:type="auto"/>
            <w:gridSpan w:val="2"/>
            <w:shd w:val="clear" w:color="auto" w:fill="auto"/>
            <w:noWrap/>
            <w:vAlign w:val="center"/>
          </w:tcPr>
          <w:p w14:paraId="54B637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bscript"/>
                <w:lang w:val="en-US" w:eastAsia="zh-CN" w:bidi="ar"/>
              </w:rPr>
              <w:t>3</w:t>
            </w:r>
          </w:p>
        </w:tc>
        <w:tc>
          <w:tcPr>
            <w:tcW w:w="0" w:type="auto"/>
            <w:vMerge w:val="restart"/>
            <w:shd w:val="clear" w:color="auto" w:fill="auto"/>
            <w:vAlign w:val="center"/>
          </w:tcPr>
          <w:p w14:paraId="437059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Lower teeth</w:t>
            </w:r>
          </w:p>
        </w:tc>
        <w:tc>
          <w:tcPr>
            <w:tcW w:w="0" w:type="auto"/>
            <w:vMerge w:val="continue"/>
            <w:shd w:val="clear" w:color="auto" w:fill="auto"/>
            <w:noWrap/>
            <w:vAlign w:val="center"/>
          </w:tcPr>
          <w:p w14:paraId="10ED0397">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055196CD">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11EB81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p>
        </w:tc>
      </w:tr>
      <w:tr w14:paraId="5B2D2FA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4D4CFCE0">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shd w:val="clear" w:color="auto" w:fill="auto"/>
            <w:noWrap/>
            <w:vAlign w:val="center"/>
          </w:tcPr>
          <w:p w14:paraId="70B03F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1D69D9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42E964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07AE2D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753CE3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330823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3A1CC6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0AF6A2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0B4A58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436" w:type="dxa"/>
            <w:shd w:val="clear" w:color="auto" w:fill="auto"/>
            <w:noWrap/>
            <w:vAlign w:val="center"/>
          </w:tcPr>
          <w:p w14:paraId="7AF7D7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436" w:type="dxa"/>
            <w:shd w:val="clear" w:color="auto" w:fill="auto"/>
            <w:noWrap/>
            <w:vAlign w:val="center"/>
          </w:tcPr>
          <w:p w14:paraId="1294CC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7ABFF6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11B957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09A091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54639A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424895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vMerge w:val="continue"/>
            <w:shd w:val="clear" w:color="auto" w:fill="auto"/>
            <w:vAlign w:val="center"/>
          </w:tcPr>
          <w:p w14:paraId="42A821FA">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4EE070FB">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6AC4F264">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4D46A4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p>
        </w:tc>
      </w:tr>
      <w:tr w14:paraId="69C40F2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0A1EE517">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shd w:val="clear" w:color="auto" w:fill="auto"/>
            <w:noWrap/>
            <w:vAlign w:val="center"/>
          </w:tcPr>
          <w:p w14:paraId="2FA577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683167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2AC1EB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7F81CE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1CD8CB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6ACE34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215BE3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1377C6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728E39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436" w:type="dxa"/>
            <w:shd w:val="clear" w:color="auto" w:fill="auto"/>
            <w:noWrap/>
            <w:vAlign w:val="center"/>
          </w:tcPr>
          <w:p w14:paraId="0B7C91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436" w:type="dxa"/>
            <w:shd w:val="clear" w:color="auto" w:fill="auto"/>
            <w:noWrap/>
            <w:vAlign w:val="center"/>
          </w:tcPr>
          <w:p w14:paraId="22B016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7252AA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3F75C6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7B8014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292ED4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2AC08A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30776F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vMerge w:val="continue"/>
            <w:shd w:val="clear" w:color="auto" w:fill="auto"/>
            <w:noWrap/>
            <w:vAlign w:val="center"/>
          </w:tcPr>
          <w:p w14:paraId="364BBB9F">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12716CAC">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158FC8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p>
        </w:tc>
      </w:tr>
      <w:tr w14:paraId="64F477B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7" w:hRule="atLeast"/>
        </w:trPr>
        <w:tc>
          <w:tcPr>
            <w:tcW w:w="0" w:type="auto"/>
            <w:vMerge w:val="restart"/>
            <w:shd w:val="clear" w:color="auto" w:fill="auto"/>
            <w:vAlign w:val="center"/>
          </w:tcPr>
          <w:p w14:paraId="046A79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b w:val="0"/>
                <w:bCs w:val="0"/>
                <w:i/>
                <w:iCs/>
                <w:color w:val="000000"/>
                <w:kern w:val="0"/>
                <w:sz w:val="22"/>
                <w:szCs w:val="22"/>
              </w:rPr>
            </w:pPr>
            <w:r>
              <w:rPr>
                <w:rFonts w:hint="default" w:ascii="Times New Roman" w:hAnsi="Times New Roman" w:eastAsia="宋体" w:cs="Times New Roman"/>
                <w:b w:val="0"/>
                <w:bCs w:val="0"/>
                <w:i/>
                <w:iCs/>
                <w:color w:val="000000"/>
                <w:kern w:val="0"/>
                <w:sz w:val="22"/>
                <w:szCs w:val="22"/>
                <w:lang w:val="en-US" w:eastAsia="zh-CN" w:bidi="ar"/>
              </w:rPr>
              <w:t xml:space="preserve">Pseudois </w:t>
            </w:r>
            <w:r>
              <w:rPr>
                <w:rFonts w:hint="default" w:ascii="Times New Roman" w:hAnsi="Times New Roman" w:eastAsia="宋体" w:cs="Times New Roman"/>
                <w:b w:val="0"/>
                <w:bCs w:val="0"/>
                <w:color w:val="000000"/>
                <w:kern w:val="0"/>
                <w:sz w:val="22"/>
                <w:szCs w:val="22"/>
                <w:lang w:val="en-US" w:eastAsia="zh-CN" w:bidi="ar"/>
              </w:rPr>
              <w:t>sp.</w:t>
            </w:r>
          </w:p>
        </w:tc>
        <w:tc>
          <w:tcPr>
            <w:tcW w:w="0" w:type="auto"/>
            <w:gridSpan w:val="2"/>
            <w:shd w:val="clear" w:color="auto" w:fill="auto"/>
            <w:noWrap/>
            <w:vAlign w:val="center"/>
          </w:tcPr>
          <w:p w14:paraId="0F2A29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perscript"/>
                <w:lang w:val="en-US" w:eastAsia="zh-CN" w:bidi="ar"/>
              </w:rPr>
              <w:t>2</w:t>
            </w:r>
          </w:p>
        </w:tc>
        <w:tc>
          <w:tcPr>
            <w:tcW w:w="0" w:type="auto"/>
            <w:gridSpan w:val="2"/>
            <w:shd w:val="clear" w:color="auto" w:fill="auto"/>
            <w:noWrap/>
            <w:vAlign w:val="center"/>
          </w:tcPr>
          <w:p w14:paraId="6A2A15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perscript"/>
                <w:lang w:val="en-US" w:eastAsia="zh-CN" w:bidi="ar"/>
              </w:rPr>
              <w:t>3</w:t>
            </w:r>
          </w:p>
        </w:tc>
        <w:tc>
          <w:tcPr>
            <w:tcW w:w="0" w:type="auto"/>
            <w:gridSpan w:val="2"/>
            <w:shd w:val="clear" w:color="auto" w:fill="auto"/>
            <w:noWrap/>
            <w:vAlign w:val="center"/>
          </w:tcPr>
          <w:p w14:paraId="584496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perscript"/>
                <w:lang w:val="en-US" w:eastAsia="zh-CN" w:bidi="ar"/>
              </w:rPr>
              <w:t>4</w:t>
            </w:r>
          </w:p>
        </w:tc>
        <w:tc>
          <w:tcPr>
            <w:tcW w:w="0" w:type="auto"/>
            <w:gridSpan w:val="2"/>
            <w:shd w:val="clear" w:color="auto" w:fill="auto"/>
            <w:noWrap/>
            <w:vAlign w:val="center"/>
          </w:tcPr>
          <w:p w14:paraId="637754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perscript"/>
                <w:lang w:val="en-US" w:eastAsia="zh-CN" w:bidi="ar"/>
              </w:rPr>
              <w:t>2</w:t>
            </w:r>
          </w:p>
        </w:tc>
        <w:tc>
          <w:tcPr>
            <w:tcW w:w="872" w:type="dxa"/>
            <w:gridSpan w:val="2"/>
            <w:shd w:val="clear" w:color="auto" w:fill="auto"/>
            <w:noWrap/>
            <w:vAlign w:val="center"/>
          </w:tcPr>
          <w:p w14:paraId="22698A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perscript"/>
                <w:lang w:val="en-US" w:eastAsia="zh-CN" w:bidi="ar"/>
              </w:rPr>
              <w:t>3</w:t>
            </w:r>
          </w:p>
        </w:tc>
        <w:tc>
          <w:tcPr>
            <w:tcW w:w="872" w:type="dxa"/>
            <w:gridSpan w:val="2"/>
            <w:shd w:val="clear" w:color="auto" w:fill="auto"/>
            <w:noWrap/>
            <w:vAlign w:val="center"/>
          </w:tcPr>
          <w:p w14:paraId="1EA7F1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perscript"/>
                <w:lang w:val="en-US" w:eastAsia="zh-CN" w:bidi="ar"/>
              </w:rPr>
              <w:t>4</w:t>
            </w:r>
          </w:p>
        </w:tc>
        <w:tc>
          <w:tcPr>
            <w:tcW w:w="0" w:type="auto"/>
            <w:gridSpan w:val="2"/>
            <w:shd w:val="clear" w:color="auto" w:fill="auto"/>
            <w:noWrap/>
            <w:vAlign w:val="center"/>
          </w:tcPr>
          <w:p w14:paraId="2313DA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perscript"/>
                <w:lang w:val="en-US" w:eastAsia="zh-CN" w:bidi="ar"/>
              </w:rPr>
              <w:t xml:space="preserve">1 </w:t>
            </w: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perscript"/>
                <w:lang w:val="en-US" w:eastAsia="zh-CN" w:bidi="ar"/>
              </w:rPr>
              <w:t>2</w:t>
            </w:r>
          </w:p>
        </w:tc>
        <w:tc>
          <w:tcPr>
            <w:tcW w:w="0" w:type="auto"/>
            <w:gridSpan w:val="2"/>
            <w:shd w:val="clear" w:color="auto" w:fill="auto"/>
            <w:noWrap/>
            <w:vAlign w:val="center"/>
          </w:tcPr>
          <w:p w14:paraId="08D136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perscript"/>
                <w:lang w:val="en-US" w:eastAsia="zh-CN" w:bidi="ar"/>
              </w:rPr>
              <w:t>3</w:t>
            </w:r>
          </w:p>
        </w:tc>
        <w:tc>
          <w:tcPr>
            <w:tcW w:w="0" w:type="auto"/>
            <w:vMerge w:val="restart"/>
            <w:shd w:val="clear" w:color="auto" w:fill="auto"/>
            <w:vAlign w:val="center"/>
          </w:tcPr>
          <w:p w14:paraId="79E31D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Upper teeth</w:t>
            </w:r>
          </w:p>
        </w:tc>
        <w:tc>
          <w:tcPr>
            <w:tcW w:w="0" w:type="auto"/>
            <w:vMerge w:val="restart"/>
            <w:shd w:val="clear" w:color="auto" w:fill="auto"/>
            <w:noWrap/>
            <w:vAlign w:val="center"/>
          </w:tcPr>
          <w:p w14:paraId="048A28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bCs/>
                <w:color w:val="000000"/>
                <w:kern w:val="0"/>
                <w:sz w:val="22"/>
                <w:szCs w:val="22"/>
              </w:rPr>
            </w:pPr>
            <w:r>
              <w:rPr>
                <w:rFonts w:hint="default" w:ascii="Times New Roman" w:hAnsi="Times New Roman" w:eastAsia="宋体" w:cs="Times New Roman"/>
                <w:b/>
                <w:bCs/>
                <w:color w:val="000000"/>
                <w:kern w:val="0"/>
                <w:sz w:val="22"/>
                <w:szCs w:val="22"/>
                <w:lang w:val="en-US" w:eastAsia="zh-CN" w:bidi="ar"/>
              </w:rPr>
              <w:t>7</w:t>
            </w:r>
          </w:p>
        </w:tc>
        <w:tc>
          <w:tcPr>
            <w:tcW w:w="0" w:type="auto"/>
            <w:vMerge w:val="restart"/>
            <w:shd w:val="clear" w:color="auto" w:fill="auto"/>
            <w:noWrap/>
            <w:vAlign w:val="center"/>
          </w:tcPr>
          <w:p w14:paraId="0ADDF0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bCs/>
                <w:kern w:val="0"/>
                <w:sz w:val="22"/>
                <w:szCs w:val="22"/>
              </w:rPr>
            </w:pPr>
            <w:r>
              <w:rPr>
                <w:rFonts w:hint="default" w:ascii="Times New Roman" w:hAnsi="Times New Roman" w:eastAsia="宋体" w:cs="Times New Roman"/>
                <w:b/>
                <w:bCs/>
                <w:kern w:val="0"/>
                <w:sz w:val="22"/>
                <w:szCs w:val="22"/>
                <w:lang w:val="en-US" w:eastAsia="zh-CN" w:bidi="ar"/>
              </w:rPr>
              <w:t>2</w:t>
            </w:r>
          </w:p>
        </w:tc>
        <w:tc>
          <w:tcPr>
            <w:tcW w:w="0" w:type="auto"/>
            <w:vMerge w:val="restart"/>
            <w:shd w:val="clear" w:color="auto" w:fill="auto"/>
            <w:noWrap/>
            <w:vAlign w:val="center"/>
          </w:tcPr>
          <w:p w14:paraId="20ACEB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p>
        </w:tc>
      </w:tr>
      <w:tr w14:paraId="5262156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547A9ADF">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shd w:val="clear" w:color="auto" w:fill="auto"/>
            <w:noWrap/>
            <w:vAlign w:val="center"/>
          </w:tcPr>
          <w:p w14:paraId="4885E2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42F902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3EF490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37D1B2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610851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6AFD9D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63A25F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2C4039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1163AD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436" w:type="dxa"/>
            <w:shd w:val="clear" w:color="auto" w:fill="auto"/>
            <w:noWrap/>
            <w:vAlign w:val="center"/>
          </w:tcPr>
          <w:p w14:paraId="43959E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436" w:type="dxa"/>
            <w:shd w:val="clear" w:color="auto" w:fill="auto"/>
            <w:noWrap/>
            <w:vAlign w:val="center"/>
          </w:tcPr>
          <w:p w14:paraId="1BCFD6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4E1605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156AC6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3AB63B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5456DC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62A085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vMerge w:val="continue"/>
            <w:shd w:val="clear" w:color="auto" w:fill="auto"/>
            <w:vAlign w:val="center"/>
          </w:tcPr>
          <w:p w14:paraId="0555835A">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6D521EB5">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11B0D56B">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07E4B4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p>
        </w:tc>
      </w:tr>
      <w:tr w14:paraId="2140230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49CF9B83">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shd w:val="clear" w:color="auto" w:fill="auto"/>
            <w:noWrap/>
            <w:vAlign w:val="center"/>
          </w:tcPr>
          <w:p w14:paraId="0B3284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596B92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25B6B5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46CD48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77D3FE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1BFEDD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0DA367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6AEE33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7DF38E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436" w:type="dxa"/>
            <w:shd w:val="clear" w:color="auto" w:fill="auto"/>
            <w:noWrap/>
            <w:vAlign w:val="center"/>
          </w:tcPr>
          <w:p w14:paraId="2FD125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436" w:type="dxa"/>
            <w:shd w:val="clear" w:color="auto" w:fill="auto"/>
            <w:noWrap/>
            <w:vAlign w:val="center"/>
          </w:tcPr>
          <w:p w14:paraId="2059EF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27C0B7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7DDB62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5FA54B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21F54B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6AAA1E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7505A0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vMerge w:val="continue"/>
            <w:shd w:val="clear" w:color="auto" w:fill="auto"/>
            <w:noWrap/>
            <w:vAlign w:val="center"/>
          </w:tcPr>
          <w:p w14:paraId="0B95FAB1">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7D7E94D6">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7F5A54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p>
        </w:tc>
      </w:tr>
      <w:tr w14:paraId="2D7BA82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5595389B">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gridSpan w:val="2"/>
            <w:shd w:val="clear" w:color="auto" w:fill="auto"/>
            <w:noWrap/>
            <w:vAlign w:val="center"/>
          </w:tcPr>
          <w:p w14:paraId="14F5A4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bscript"/>
                <w:lang w:val="en-US" w:eastAsia="zh-CN" w:bidi="ar"/>
              </w:rPr>
              <w:t>2</w:t>
            </w:r>
          </w:p>
        </w:tc>
        <w:tc>
          <w:tcPr>
            <w:tcW w:w="0" w:type="auto"/>
            <w:gridSpan w:val="2"/>
            <w:shd w:val="clear" w:color="auto" w:fill="auto"/>
            <w:noWrap/>
            <w:vAlign w:val="center"/>
          </w:tcPr>
          <w:p w14:paraId="213827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bscript"/>
                <w:lang w:val="en-US" w:eastAsia="zh-CN" w:bidi="ar"/>
              </w:rPr>
              <w:t>3</w:t>
            </w:r>
          </w:p>
        </w:tc>
        <w:tc>
          <w:tcPr>
            <w:tcW w:w="0" w:type="auto"/>
            <w:gridSpan w:val="2"/>
            <w:shd w:val="clear" w:color="auto" w:fill="auto"/>
            <w:noWrap/>
            <w:vAlign w:val="center"/>
          </w:tcPr>
          <w:p w14:paraId="7660EA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bscript"/>
                <w:lang w:val="en-US" w:eastAsia="zh-CN" w:bidi="ar"/>
              </w:rPr>
              <w:t>4</w:t>
            </w:r>
          </w:p>
        </w:tc>
        <w:tc>
          <w:tcPr>
            <w:tcW w:w="0" w:type="auto"/>
            <w:gridSpan w:val="2"/>
            <w:shd w:val="clear" w:color="auto" w:fill="auto"/>
            <w:noWrap/>
            <w:vAlign w:val="center"/>
          </w:tcPr>
          <w:p w14:paraId="3826C1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bscript"/>
                <w:lang w:val="en-US" w:eastAsia="zh-CN" w:bidi="ar"/>
              </w:rPr>
              <w:t>2</w:t>
            </w:r>
          </w:p>
        </w:tc>
        <w:tc>
          <w:tcPr>
            <w:tcW w:w="872" w:type="dxa"/>
            <w:gridSpan w:val="2"/>
            <w:shd w:val="clear" w:color="auto" w:fill="auto"/>
            <w:noWrap/>
            <w:vAlign w:val="center"/>
          </w:tcPr>
          <w:p w14:paraId="1036AD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bscript"/>
                <w:lang w:val="en-US" w:eastAsia="zh-CN" w:bidi="ar"/>
              </w:rPr>
              <w:t>3</w:t>
            </w:r>
          </w:p>
        </w:tc>
        <w:tc>
          <w:tcPr>
            <w:tcW w:w="872" w:type="dxa"/>
            <w:gridSpan w:val="2"/>
            <w:shd w:val="clear" w:color="auto" w:fill="auto"/>
            <w:noWrap/>
            <w:vAlign w:val="center"/>
          </w:tcPr>
          <w:p w14:paraId="5A54B3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bscript"/>
                <w:lang w:val="en-US" w:eastAsia="zh-CN" w:bidi="ar"/>
              </w:rPr>
              <w:t>4</w:t>
            </w:r>
          </w:p>
        </w:tc>
        <w:tc>
          <w:tcPr>
            <w:tcW w:w="0" w:type="auto"/>
            <w:gridSpan w:val="2"/>
            <w:shd w:val="clear" w:color="auto" w:fill="auto"/>
            <w:noWrap/>
            <w:vAlign w:val="center"/>
          </w:tcPr>
          <w:p w14:paraId="5198CD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bscript"/>
                <w:lang w:val="en-US" w:eastAsia="zh-CN" w:bidi="ar"/>
              </w:rPr>
              <w:t>1</w:t>
            </w:r>
            <w:r>
              <w:rPr>
                <w:rFonts w:hint="default" w:ascii="Times New Roman" w:hAnsi="Times New Roman" w:eastAsia="宋体" w:cs="Times New Roman"/>
                <w:color w:val="000000"/>
                <w:kern w:val="0"/>
                <w:sz w:val="22"/>
                <w:szCs w:val="22"/>
                <w:vertAlign w:val="superscript"/>
                <w:lang w:val="en-US" w:eastAsia="zh-CN" w:bidi="ar"/>
              </w:rPr>
              <w:t xml:space="preserve"> </w:t>
            </w: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bscript"/>
                <w:lang w:val="en-US" w:eastAsia="zh-CN" w:bidi="ar"/>
              </w:rPr>
              <w:t>2</w:t>
            </w:r>
          </w:p>
        </w:tc>
        <w:tc>
          <w:tcPr>
            <w:tcW w:w="0" w:type="auto"/>
            <w:gridSpan w:val="2"/>
            <w:shd w:val="clear" w:color="auto" w:fill="auto"/>
            <w:noWrap/>
            <w:vAlign w:val="center"/>
          </w:tcPr>
          <w:p w14:paraId="76CDDE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bscript"/>
                <w:lang w:val="en-US" w:eastAsia="zh-CN" w:bidi="ar"/>
              </w:rPr>
              <w:t>3</w:t>
            </w:r>
          </w:p>
        </w:tc>
        <w:tc>
          <w:tcPr>
            <w:tcW w:w="0" w:type="auto"/>
            <w:vMerge w:val="restart"/>
            <w:shd w:val="clear" w:color="auto" w:fill="auto"/>
            <w:vAlign w:val="center"/>
          </w:tcPr>
          <w:p w14:paraId="25E202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Lower teeth</w:t>
            </w:r>
          </w:p>
        </w:tc>
        <w:tc>
          <w:tcPr>
            <w:tcW w:w="0" w:type="auto"/>
            <w:vMerge w:val="continue"/>
            <w:shd w:val="clear" w:color="auto" w:fill="auto"/>
            <w:noWrap/>
            <w:vAlign w:val="center"/>
          </w:tcPr>
          <w:p w14:paraId="46BDC3E8">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36877501">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5111F6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p>
        </w:tc>
      </w:tr>
      <w:tr w14:paraId="1FFE0A3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659808CA">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shd w:val="clear" w:color="auto" w:fill="auto"/>
            <w:noWrap/>
            <w:vAlign w:val="center"/>
          </w:tcPr>
          <w:p w14:paraId="04BAC3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3BB999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71A3F9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5CE7C5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6034DE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02513C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6B8676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138EDE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022A7F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436" w:type="dxa"/>
            <w:shd w:val="clear" w:color="auto" w:fill="auto"/>
            <w:noWrap/>
            <w:vAlign w:val="center"/>
          </w:tcPr>
          <w:p w14:paraId="46BF33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436" w:type="dxa"/>
            <w:shd w:val="clear" w:color="auto" w:fill="auto"/>
            <w:noWrap/>
            <w:vAlign w:val="center"/>
          </w:tcPr>
          <w:p w14:paraId="7D0E5A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21F5C3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4DB87C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2D60D7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3CD22A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1EA11A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vMerge w:val="continue"/>
            <w:shd w:val="clear" w:color="auto" w:fill="auto"/>
            <w:vAlign w:val="center"/>
          </w:tcPr>
          <w:p w14:paraId="7E1D02FF">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753E597C">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0D73291B">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4881B5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p>
        </w:tc>
      </w:tr>
      <w:tr w14:paraId="3EBB784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0B4BC45B">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shd w:val="clear" w:color="auto" w:fill="auto"/>
            <w:noWrap/>
            <w:vAlign w:val="center"/>
          </w:tcPr>
          <w:p w14:paraId="189200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7BA26F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644680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58081E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27B985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1498FE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7CD8DB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589DC5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0</w:t>
            </w:r>
          </w:p>
        </w:tc>
        <w:tc>
          <w:tcPr>
            <w:tcW w:w="0" w:type="auto"/>
            <w:shd w:val="clear" w:color="auto" w:fill="auto"/>
            <w:noWrap/>
            <w:vAlign w:val="center"/>
          </w:tcPr>
          <w:p w14:paraId="48CB15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0</w:t>
            </w:r>
          </w:p>
        </w:tc>
        <w:tc>
          <w:tcPr>
            <w:tcW w:w="436" w:type="dxa"/>
            <w:shd w:val="clear" w:color="auto" w:fill="auto"/>
            <w:noWrap/>
            <w:vAlign w:val="center"/>
          </w:tcPr>
          <w:p w14:paraId="60859C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1</w:t>
            </w:r>
          </w:p>
        </w:tc>
        <w:tc>
          <w:tcPr>
            <w:tcW w:w="436" w:type="dxa"/>
            <w:shd w:val="clear" w:color="auto" w:fill="auto"/>
            <w:noWrap/>
            <w:vAlign w:val="center"/>
          </w:tcPr>
          <w:p w14:paraId="0A8EEE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0</w:t>
            </w:r>
          </w:p>
        </w:tc>
        <w:tc>
          <w:tcPr>
            <w:tcW w:w="0" w:type="auto"/>
            <w:shd w:val="clear" w:color="auto" w:fill="auto"/>
            <w:noWrap/>
            <w:vAlign w:val="center"/>
          </w:tcPr>
          <w:p w14:paraId="4A2C95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1</w:t>
            </w:r>
          </w:p>
        </w:tc>
        <w:tc>
          <w:tcPr>
            <w:tcW w:w="0" w:type="auto"/>
            <w:shd w:val="clear" w:color="auto" w:fill="auto"/>
            <w:noWrap/>
            <w:vAlign w:val="center"/>
          </w:tcPr>
          <w:p w14:paraId="305B5B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w:t>
            </w:r>
          </w:p>
        </w:tc>
        <w:tc>
          <w:tcPr>
            <w:tcW w:w="0" w:type="auto"/>
            <w:shd w:val="clear" w:color="auto" w:fill="auto"/>
            <w:noWrap/>
            <w:vAlign w:val="center"/>
          </w:tcPr>
          <w:p w14:paraId="63EBB2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2</w:t>
            </w:r>
          </w:p>
        </w:tc>
        <w:tc>
          <w:tcPr>
            <w:tcW w:w="0" w:type="auto"/>
            <w:shd w:val="clear" w:color="auto" w:fill="auto"/>
            <w:noWrap/>
            <w:vAlign w:val="center"/>
          </w:tcPr>
          <w:p w14:paraId="08720B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2</w:t>
            </w:r>
          </w:p>
        </w:tc>
        <w:tc>
          <w:tcPr>
            <w:tcW w:w="0" w:type="auto"/>
            <w:shd w:val="clear" w:color="auto" w:fill="auto"/>
            <w:noWrap/>
            <w:vAlign w:val="center"/>
          </w:tcPr>
          <w:p w14:paraId="25EAD6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0</w:t>
            </w:r>
          </w:p>
        </w:tc>
        <w:tc>
          <w:tcPr>
            <w:tcW w:w="0" w:type="auto"/>
            <w:shd w:val="clear" w:color="auto" w:fill="auto"/>
            <w:noWrap/>
            <w:vAlign w:val="center"/>
          </w:tcPr>
          <w:p w14:paraId="5D8DEA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7</w:t>
            </w:r>
          </w:p>
        </w:tc>
        <w:tc>
          <w:tcPr>
            <w:tcW w:w="0" w:type="auto"/>
            <w:vMerge w:val="continue"/>
            <w:shd w:val="clear" w:color="auto" w:fill="auto"/>
            <w:noWrap/>
            <w:vAlign w:val="center"/>
          </w:tcPr>
          <w:p w14:paraId="7B2DBF8F">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41C2ED9D">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339677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p>
        </w:tc>
      </w:tr>
      <w:tr w14:paraId="7CE3338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79FCB7C1">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shd w:val="clear" w:color="auto" w:fill="auto"/>
            <w:noWrap/>
            <w:vAlign w:val="center"/>
          </w:tcPr>
          <w:p w14:paraId="67F434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70D1E3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5DB4CE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786423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61D2E6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38AA17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155A9D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4411FD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R</w:t>
            </w:r>
          </w:p>
        </w:tc>
        <w:tc>
          <w:tcPr>
            <w:tcW w:w="0" w:type="auto"/>
            <w:shd w:val="clear" w:color="auto" w:fill="auto"/>
            <w:noWrap/>
            <w:vAlign w:val="center"/>
          </w:tcPr>
          <w:p w14:paraId="30B520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L</w:t>
            </w:r>
          </w:p>
        </w:tc>
        <w:tc>
          <w:tcPr>
            <w:tcW w:w="436" w:type="dxa"/>
            <w:shd w:val="clear" w:color="auto" w:fill="auto"/>
            <w:noWrap/>
            <w:vAlign w:val="center"/>
          </w:tcPr>
          <w:p w14:paraId="267501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R</w:t>
            </w:r>
          </w:p>
        </w:tc>
        <w:tc>
          <w:tcPr>
            <w:tcW w:w="436" w:type="dxa"/>
            <w:shd w:val="clear" w:color="auto" w:fill="auto"/>
            <w:noWrap/>
            <w:vAlign w:val="center"/>
          </w:tcPr>
          <w:p w14:paraId="140136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L</w:t>
            </w:r>
          </w:p>
        </w:tc>
        <w:tc>
          <w:tcPr>
            <w:tcW w:w="0" w:type="auto"/>
            <w:shd w:val="clear" w:color="auto" w:fill="auto"/>
            <w:noWrap/>
            <w:vAlign w:val="center"/>
          </w:tcPr>
          <w:p w14:paraId="22F056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R</w:t>
            </w:r>
          </w:p>
        </w:tc>
        <w:tc>
          <w:tcPr>
            <w:tcW w:w="0" w:type="auto"/>
            <w:shd w:val="clear" w:color="auto" w:fill="auto"/>
            <w:noWrap/>
            <w:vAlign w:val="center"/>
          </w:tcPr>
          <w:p w14:paraId="7764ED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7136D7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7B9C73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L</w:t>
            </w:r>
          </w:p>
        </w:tc>
        <w:tc>
          <w:tcPr>
            <w:tcW w:w="0" w:type="auto"/>
            <w:shd w:val="clear" w:color="auto" w:fill="auto"/>
            <w:noWrap/>
            <w:vAlign w:val="center"/>
          </w:tcPr>
          <w:p w14:paraId="34B965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R</w:t>
            </w:r>
          </w:p>
        </w:tc>
        <w:tc>
          <w:tcPr>
            <w:tcW w:w="0" w:type="auto"/>
            <w:shd w:val="clear" w:color="auto" w:fill="auto"/>
            <w:vAlign w:val="center"/>
          </w:tcPr>
          <w:p w14:paraId="2AE720CC">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2BFC3DEB">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20C7BC60">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2B3B33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p>
        </w:tc>
      </w:tr>
      <w:tr w14:paraId="476D4E8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7B2DD2F6">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shd w:val="clear" w:color="auto" w:fill="auto"/>
            <w:noWrap/>
            <w:vAlign w:val="center"/>
          </w:tcPr>
          <w:p w14:paraId="2F5A11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44A399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6C299C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746877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6EDE3E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1447A0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53B335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0252B7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0</w:t>
            </w:r>
          </w:p>
        </w:tc>
        <w:tc>
          <w:tcPr>
            <w:tcW w:w="0" w:type="auto"/>
            <w:shd w:val="clear" w:color="auto" w:fill="auto"/>
            <w:noWrap/>
            <w:vAlign w:val="center"/>
          </w:tcPr>
          <w:p w14:paraId="70696C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3</w:t>
            </w:r>
          </w:p>
        </w:tc>
        <w:tc>
          <w:tcPr>
            <w:tcW w:w="436" w:type="dxa"/>
            <w:shd w:val="clear" w:color="auto" w:fill="auto"/>
            <w:noWrap/>
            <w:vAlign w:val="center"/>
          </w:tcPr>
          <w:p w14:paraId="6F6C32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0</w:t>
            </w:r>
          </w:p>
        </w:tc>
        <w:tc>
          <w:tcPr>
            <w:tcW w:w="436" w:type="dxa"/>
            <w:shd w:val="clear" w:color="auto" w:fill="auto"/>
            <w:noWrap/>
            <w:vAlign w:val="center"/>
          </w:tcPr>
          <w:p w14:paraId="30DB29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0</w:t>
            </w:r>
          </w:p>
        </w:tc>
        <w:tc>
          <w:tcPr>
            <w:tcW w:w="0" w:type="auto"/>
            <w:shd w:val="clear" w:color="auto" w:fill="auto"/>
            <w:noWrap/>
            <w:vAlign w:val="center"/>
          </w:tcPr>
          <w:p w14:paraId="276A21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0</w:t>
            </w:r>
          </w:p>
        </w:tc>
        <w:tc>
          <w:tcPr>
            <w:tcW w:w="0" w:type="auto"/>
            <w:shd w:val="clear" w:color="auto" w:fill="auto"/>
            <w:noWrap/>
            <w:vAlign w:val="center"/>
          </w:tcPr>
          <w:p w14:paraId="470290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2</w:t>
            </w:r>
          </w:p>
        </w:tc>
        <w:tc>
          <w:tcPr>
            <w:tcW w:w="0" w:type="auto"/>
            <w:shd w:val="clear" w:color="auto" w:fill="auto"/>
            <w:noWrap/>
            <w:vAlign w:val="center"/>
          </w:tcPr>
          <w:p w14:paraId="2DA6BB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w:t>
            </w:r>
          </w:p>
        </w:tc>
        <w:tc>
          <w:tcPr>
            <w:tcW w:w="0" w:type="auto"/>
            <w:shd w:val="clear" w:color="auto" w:fill="auto"/>
            <w:noWrap/>
            <w:vAlign w:val="center"/>
          </w:tcPr>
          <w:p w14:paraId="5479C7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1</w:t>
            </w:r>
          </w:p>
        </w:tc>
        <w:tc>
          <w:tcPr>
            <w:tcW w:w="0" w:type="auto"/>
            <w:shd w:val="clear" w:color="auto" w:fill="auto"/>
            <w:noWrap/>
            <w:vAlign w:val="center"/>
          </w:tcPr>
          <w:p w14:paraId="30CE24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3</w:t>
            </w:r>
          </w:p>
        </w:tc>
        <w:tc>
          <w:tcPr>
            <w:tcW w:w="0" w:type="auto"/>
            <w:shd w:val="clear" w:color="auto" w:fill="auto"/>
            <w:noWrap/>
            <w:vAlign w:val="center"/>
          </w:tcPr>
          <w:p w14:paraId="7056A7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12</w:t>
            </w:r>
          </w:p>
        </w:tc>
        <w:tc>
          <w:tcPr>
            <w:tcW w:w="0" w:type="auto"/>
            <w:vMerge w:val="continue"/>
            <w:shd w:val="clear" w:color="auto" w:fill="auto"/>
            <w:noWrap/>
            <w:vAlign w:val="center"/>
          </w:tcPr>
          <w:p w14:paraId="2D3B9D41">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124C8EFB">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79CE89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p>
        </w:tc>
      </w:tr>
      <w:tr w14:paraId="1C986EA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513B2BB7">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gridSpan w:val="2"/>
            <w:shd w:val="clear" w:color="auto" w:fill="auto"/>
            <w:noWrap/>
            <w:vAlign w:val="center"/>
          </w:tcPr>
          <w:p w14:paraId="111CE0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bscript"/>
                <w:lang w:val="en-US" w:eastAsia="zh-CN" w:bidi="ar"/>
              </w:rPr>
              <w:t>2</w:t>
            </w:r>
          </w:p>
        </w:tc>
        <w:tc>
          <w:tcPr>
            <w:tcW w:w="0" w:type="auto"/>
            <w:gridSpan w:val="2"/>
            <w:shd w:val="clear" w:color="auto" w:fill="auto"/>
            <w:noWrap/>
            <w:vAlign w:val="center"/>
          </w:tcPr>
          <w:p w14:paraId="236E40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bscript"/>
                <w:lang w:val="en-US" w:eastAsia="zh-CN" w:bidi="ar"/>
              </w:rPr>
              <w:t>3</w:t>
            </w:r>
          </w:p>
        </w:tc>
        <w:tc>
          <w:tcPr>
            <w:tcW w:w="0" w:type="auto"/>
            <w:gridSpan w:val="2"/>
            <w:shd w:val="clear" w:color="auto" w:fill="auto"/>
            <w:noWrap/>
            <w:vAlign w:val="center"/>
          </w:tcPr>
          <w:p w14:paraId="6C2207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bscript"/>
                <w:lang w:val="en-US" w:eastAsia="zh-CN" w:bidi="ar"/>
              </w:rPr>
              <w:t>4</w:t>
            </w:r>
          </w:p>
        </w:tc>
        <w:tc>
          <w:tcPr>
            <w:tcW w:w="0" w:type="auto"/>
            <w:gridSpan w:val="2"/>
            <w:shd w:val="clear" w:color="auto" w:fill="auto"/>
            <w:noWrap/>
            <w:vAlign w:val="center"/>
          </w:tcPr>
          <w:p w14:paraId="45D420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P</w:t>
            </w:r>
            <w:r>
              <w:rPr>
                <w:rFonts w:hint="default" w:ascii="Times New Roman" w:hAnsi="Times New Roman" w:eastAsia="宋体" w:cs="Times New Roman"/>
                <w:b w:val="0"/>
                <w:bCs w:val="0"/>
                <w:color w:val="000000"/>
                <w:kern w:val="0"/>
                <w:sz w:val="22"/>
                <w:szCs w:val="22"/>
                <w:vertAlign w:val="subscript"/>
                <w:lang w:val="en-US" w:eastAsia="zh-CN" w:bidi="ar"/>
              </w:rPr>
              <w:t>2</w:t>
            </w:r>
          </w:p>
        </w:tc>
        <w:tc>
          <w:tcPr>
            <w:tcW w:w="872" w:type="dxa"/>
            <w:gridSpan w:val="2"/>
            <w:shd w:val="clear" w:color="auto" w:fill="auto"/>
            <w:noWrap/>
            <w:vAlign w:val="center"/>
          </w:tcPr>
          <w:p w14:paraId="0A2197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P</w:t>
            </w:r>
            <w:r>
              <w:rPr>
                <w:rFonts w:hint="default" w:ascii="Times New Roman" w:hAnsi="Times New Roman" w:eastAsia="宋体" w:cs="Times New Roman"/>
                <w:b w:val="0"/>
                <w:bCs w:val="0"/>
                <w:color w:val="000000"/>
                <w:kern w:val="0"/>
                <w:sz w:val="22"/>
                <w:szCs w:val="22"/>
                <w:vertAlign w:val="subscript"/>
                <w:lang w:val="en-US" w:eastAsia="zh-CN" w:bidi="ar"/>
              </w:rPr>
              <w:t>3</w:t>
            </w:r>
          </w:p>
        </w:tc>
        <w:tc>
          <w:tcPr>
            <w:tcW w:w="872" w:type="dxa"/>
            <w:gridSpan w:val="2"/>
            <w:shd w:val="clear" w:color="auto" w:fill="auto"/>
            <w:noWrap/>
            <w:vAlign w:val="center"/>
          </w:tcPr>
          <w:p w14:paraId="5D5A35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P</w:t>
            </w:r>
            <w:r>
              <w:rPr>
                <w:rFonts w:hint="default" w:ascii="Times New Roman" w:hAnsi="Times New Roman" w:eastAsia="宋体" w:cs="Times New Roman"/>
                <w:b w:val="0"/>
                <w:bCs w:val="0"/>
                <w:color w:val="000000"/>
                <w:kern w:val="0"/>
                <w:sz w:val="22"/>
                <w:szCs w:val="22"/>
                <w:vertAlign w:val="subscript"/>
                <w:lang w:val="en-US" w:eastAsia="zh-CN" w:bidi="ar"/>
              </w:rPr>
              <w:t>4</w:t>
            </w:r>
          </w:p>
        </w:tc>
        <w:tc>
          <w:tcPr>
            <w:tcW w:w="0" w:type="auto"/>
            <w:gridSpan w:val="2"/>
            <w:shd w:val="clear" w:color="auto" w:fill="auto"/>
            <w:noWrap/>
            <w:vAlign w:val="center"/>
          </w:tcPr>
          <w:p w14:paraId="00EAAB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bscript"/>
                <w:lang w:val="en-US" w:eastAsia="zh-CN" w:bidi="ar"/>
              </w:rPr>
              <w:t>1</w:t>
            </w:r>
            <w:r>
              <w:rPr>
                <w:rFonts w:hint="default" w:ascii="Times New Roman" w:hAnsi="Times New Roman" w:eastAsia="宋体" w:cs="Times New Roman"/>
                <w:color w:val="000000"/>
                <w:kern w:val="0"/>
                <w:sz w:val="22"/>
                <w:szCs w:val="22"/>
                <w:vertAlign w:val="superscript"/>
                <w:lang w:val="en-US" w:eastAsia="zh-CN" w:bidi="ar"/>
              </w:rPr>
              <w:t xml:space="preserve"> </w:t>
            </w: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bscript"/>
                <w:lang w:val="en-US" w:eastAsia="zh-CN" w:bidi="ar"/>
              </w:rPr>
              <w:t>2</w:t>
            </w:r>
          </w:p>
        </w:tc>
        <w:tc>
          <w:tcPr>
            <w:tcW w:w="0" w:type="auto"/>
            <w:gridSpan w:val="2"/>
            <w:shd w:val="clear" w:color="auto" w:fill="auto"/>
            <w:noWrap/>
            <w:vAlign w:val="center"/>
          </w:tcPr>
          <w:p w14:paraId="600D30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M</w:t>
            </w:r>
            <w:r>
              <w:rPr>
                <w:rFonts w:hint="default" w:ascii="Times New Roman" w:hAnsi="Times New Roman" w:eastAsia="宋体" w:cs="Times New Roman"/>
                <w:b w:val="0"/>
                <w:bCs w:val="0"/>
                <w:color w:val="000000"/>
                <w:kern w:val="0"/>
                <w:sz w:val="22"/>
                <w:szCs w:val="22"/>
                <w:vertAlign w:val="subscript"/>
                <w:lang w:val="en-US" w:eastAsia="zh-CN" w:bidi="ar"/>
              </w:rPr>
              <w:t>3</w:t>
            </w:r>
          </w:p>
        </w:tc>
        <w:tc>
          <w:tcPr>
            <w:tcW w:w="0" w:type="auto"/>
            <w:vMerge w:val="restart"/>
            <w:shd w:val="clear" w:color="auto" w:fill="auto"/>
            <w:vAlign w:val="center"/>
          </w:tcPr>
          <w:p w14:paraId="3B0249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Lower teeth</w:t>
            </w:r>
          </w:p>
        </w:tc>
        <w:tc>
          <w:tcPr>
            <w:tcW w:w="0" w:type="auto"/>
            <w:vMerge w:val="continue"/>
            <w:shd w:val="clear" w:color="auto" w:fill="auto"/>
            <w:noWrap/>
            <w:vAlign w:val="center"/>
          </w:tcPr>
          <w:p w14:paraId="4E74C6A1">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62C1436D">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60F4E8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p>
        </w:tc>
      </w:tr>
      <w:tr w14:paraId="459D223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608217A6">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shd w:val="clear" w:color="auto" w:fill="auto"/>
            <w:noWrap/>
            <w:vAlign w:val="center"/>
          </w:tcPr>
          <w:p w14:paraId="7D4F98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149CD2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128A3E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7CDB47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6374F4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0F900C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4B97BA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17A8F9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R</w:t>
            </w:r>
          </w:p>
        </w:tc>
        <w:tc>
          <w:tcPr>
            <w:tcW w:w="0" w:type="auto"/>
            <w:shd w:val="clear" w:color="auto" w:fill="auto"/>
            <w:noWrap/>
            <w:vAlign w:val="center"/>
          </w:tcPr>
          <w:p w14:paraId="74886E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L</w:t>
            </w:r>
          </w:p>
        </w:tc>
        <w:tc>
          <w:tcPr>
            <w:tcW w:w="436" w:type="dxa"/>
            <w:shd w:val="clear" w:color="auto" w:fill="auto"/>
            <w:noWrap/>
            <w:vAlign w:val="center"/>
          </w:tcPr>
          <w:p w14:paraId="4801D2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R</w:t>
            </w:r>
          </w:p>
        </w:tc>
        <w:tc>
          <w:tcPr>
            <w:tcW w:w="436" w:type="dxa"/>
            <w:shd w:val="clear" w:color="auto" w:fill="auto"/>
            <w:noWrap/>
            <w:vAlign w:val="center"/>
          </w:tcPr>
          <w:p w14:paraId="1A5C2B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L</w:t>
            </w:r>
          </w:p>
        </w:tc>
        <w:tc>
          <w:tcPr>
            <w:tcW w:w="0" w:type="auto"/>
            <w:shd w:val="clear" w:color="auto" w:fill="auto"/>
            <w:noWrap/>
            <w:vAlign w:val="center"/>
          </w:tcPr>
          <w:p w14:paraId="629C40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R</w:t>
            </w:r>
          </w:p>
        </w:tc>
        <w:tc>
          <w:tcPr>
            <w:tcW w:w="0" w:type="auto"/>
            <w:shd w:val="clear" w:color="auto" w:fill="auto"/>
            <w:noWrap/>
            <w:vAlign w:val="center"/>
          </w:tcPr>
          <w:p w14:paraId="67C0CD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56A4FE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2CD9B8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L</w:t>
            </w:r>
          </w:p>
        </w:tc>
        <w:tc>
          <w:tcPr>
            <w:tcW w:w="0" w:type="auto"/>
            <w:shd w:val="clear" w:color="auto" w:fill="auto"/>
            <w:noWrap/>
            <w:vAlign w:val="center"/>
          </w:tcPr>
          <w:p w14:paraId="4F4EDF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R</w:t>
            </w:r>
          </w:p>
        </w:tc>
        <w:tc>
          <w:tcPr>
            <w:tcW w:w="0" w:type="auto"/>
            <w:vMerge w:val="continue"/>
            <w:shd w:val="clear" w:color="auto" w:fill="auto"/>
            <w:vAlign w:val="center"/>
          </w:tcPr>
          <w:p w14:paraId="51A7FB83">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699801B7">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52CEB6A6">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305737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p>
        </w:tc>
      </w:tr>
      <w:tr w14:paraId="1707ECD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7" w:hRule="atLeast"/>
        </w:trPr>
        <w:tc>
          <w:tcPr>
            <w:tcW w:w="0" w:type="auto"/>
            <w:vMerge w:val="continue"/>
            <w:shd w:val="clear" w:color="auto" w:fill="auto"/>
            <w:vAlign w:val="center"/>
          </w:tcPr>
          <w:p w14:paraId="47EFBF27">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default" w:ascii="Times New Roman" w:hAnsi="Times New Roman" w:cs="Times New Roman"/>
                <w:sz w:val="20"/>
                <w:szCs w:val="20"/>
              </w:rPr>
            </w:pPr>
          </w:p>
        </w:tc>
        <w:tc>
          <w:tcPr>
            <w:tcW w:w="0" w:type="auto"/>
            <w:shd w:val="clear" w:color="auto" w:fill="auto"/>
            <w:noWrap/>
            <w:vAlign w:val="center"/>
          </w:tcPr>
          <w:p w14:paraId="057F34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lang w:val="en-US" w:eastAsia="zh-CN" w:bidi="ar"/>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5A6DAB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lang w:val="en-US" w:eastAsia="zh-CN" w:bidi="ar"/>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4AC39B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lang w:val="en-US" w:eastAsia="zh-CN" w:bidi="ar"/>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2C78BC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lang w:val="en-US" w:eastAsia="zh-CN" w:bidi="ar"/>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470FE8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lang w:val="en-US" w:eastAsia="zh-CN" w:bidi="ar"/>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042542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lang w:val="en-US" w:eastAsia="zh-CN" w:bidi="ar"/>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5A8F26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lang w:val="en-US" w:eastAsia="zh-CN" w:bidi="ar"/>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5CE2D0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lang w:val="en-US" w:eastAsia="zh-CN" w:bidi="ar"/>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1590C6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lang w:val="en-US" w:eastAsia="zh-CN" w:bidi="ar"/>
              </w:rPr>
            </w:pPr>
            <w:r>
              <w:rPr>
                <w:rFonts w:hint="default" w:ascii="Times New Roman" w:hAnsi="Times New Roman" w:eastAsia="宋体" w:cs="Times New Roman"/>
                <w:color w:val="000000"/>
                <w:kern w:val="0"/>
                <w:sz w:val="22"/>
                <w:szCs w:val="22"/>
                <w:lang w:val="en-US" w:eastAsia="zh-CN" w:bidi="ar"/>
              </w:rPr>
              <w:t>0</w:t>
            </w:r>
          </w:p>
        </w:tc>
        <w:tc>
          <w:tcPr>
            <w:tcW w:w="436" w:type="dxa"/>
            <w:shd w:val="clear" w:color="auto" w:fill="auto"/>
            <w:noWrap/>
            <w:vAlign w:val="center"/>
          </w:tcPr>
          <w:p w14:paraId="7FAFF4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lang w:val="en-US" w:eastAsia="zh-CN" w:bidi="ar"/>
              </w:rPr>
            </w:pPr>
            <w:r>
              <w:rPr>
                <w:rFonts w:hint="default" w:ascii="Times New Roman" w:hAnsi="Times New Roman" w:eastAsia="宋体" w:cs="Times New Roman"/>
                <w:color w:val="000000"/>
                <w:kern w:val="0"/>
                <w:sz w:val="22"/>
                <w:szCs w:val="22"/>
                <w:lang w:val="en-US" w:eastAsia="zh-CN" w:bidi="ar"/>
              </w:rPr>
              <w:t>0</w:t>
            </w:r>
          </w:p>
        </w:tc>
        <w:tc>
          <w:tcPr>
            <w:tcW w:w="436" w:type="dxa"/>
            <w:shd w:val="clear" w:color="auto" w:fill="auto"/>
            <w:noWrap/>
            <w:vAlign w:val="center"/>
          </w:tcPr>
          <w:p w14:paraId="1A9B22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lang w:val="en-US" w:eastAsia="zh-CN" w:bidi="ar"/>
              </w:rPr>
            </w:pPr>
            <w:r>
              <w:rPr>
                <w:rFonts w:hint="default" w:ascii="Times New Roman" w:hAnsi="Times New Roman" w:eastAsia="宋体" w:cs="Times New Roman"/>
                <w:color w:val="000000"/>
                <w:kern w:val="0"/>
                <w:sz w:val="22"/>
                <w:szCs w:val="22"/>
                <w:lang w:val="en-US" w:eastAsia="zh-CN" w:bidi="ar"/>
              </w:rPr>
              <w:t>2</w:t>
            </w:r>
          </w:p>
        </w:tc>
        <w:tc>
          <w:tcPr>
            <w:tcW w:w="0" w:type="auto"/>
            <w:shd w:val="clear" w:color="auto" w:fill="auto"/>
            <w:noWrap/>
            <w:vAlign w:val="center"/>
          </w:tcPr>
          <w:p w14:paraId="0942E9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lang w:val="en-US" w:eastAsia="zh-CN" w:bidi="ar"/>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026BF1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lang w:val="en-US" w:eastAsia="zh-CN" w:bidi="ar"/>
              </w:rPr>
            </w:pPr>
            <w:r>
              <w:rPr>
                <w:rFonts w:hint="default" w:ascii="Times New Roman" w:hAnsi="Times New Roman" w:eastAsia="宋体" w:cs="Times New Roman"/>
                <w:color w:val="000000"/>
                <w:kern w:val="0"/>
                <w:sz w:val="22"/>
                <w:szCs w:val="22"/>
                <w:lang w:val="en-US" w:eastAsia="zh-CN" w:bidi="ar"/>
              </w:rPr>
              <w:t>2</w:t>
            </w:r>
          </w:p>
        </w:tc>
        <w:tc>
          <w:tcPr>
            <w:tcW w:w="0" w:type="auto"/>
            <w:shd w:val="clear" w:color="auto" w:fill="auto"/>
            <w:noWrap/>
            <w:vAlign w:val="center"/>
          </w:tcPr>
          <w:p w14:paraId="6A81D6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lang w:val="en-US" w:eastAsia="zh-CN" w:bidi="ar"/>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6AD72F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lang w:val="en-US" w:eastAsia="zh-CN" w:bidi="ar"/>
              </w:rPr>
            </w:pPr>
            <w:r>
              <w:rPr>
                <w:rFonts w:hint="default" w:ascii="Times New Roman" w:hAnsi="Times New Roman" w:eastAsia="宋体" w:cs="Times New Roman"/>
                <w:color w:val="000000"/>
                <w:kern w:val="0"/>
                <w:sz w:val="22"/>
                <w:szCs w:val="22"/>
                <w:lang w:val="en-US" w:eastAsia="zh-CN" w:bidi="ar"/>
              </w:rPr>
              <w:t>1</w:t>
            </w:r>
          </w:p>
        </w:tc>
        <w:tc>
          <w:tcPr>
            <w:tcW w:w="0" w:type="auto"/>
            <w:shd w:val="clear" w:color="auto" w:fill="auto"/>
            <w:noWrap/>
            <w:vAlign w:val="center"/>
          </w:tcPr>
          <w:p w14:paraId="2F0EDB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lang w:val="en-US" w:eastAsia="zh-CN" w:bidi="ar"/>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616897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lang w:val="en-US" w:eastAsia="zh-CN" w:bidi="ar"/>
              </w:rPr>
            </w:pPr>
            <w:r>
              <w:rPr>
                <w:rFonts w:hint="default" w:ascii="Times New Roman" w:hAnsi="Times New Roman" w:eastAsia="宋体" w:cs="Times New Roman"/>
                <w:color w:val="000000"/>
                <w:kern w:val="0"/>
                <w:sz w:val="22"/>
                <w:szCs w:val="22"/>
                <w:lang w:val="en-US" w:eastAsia="zh-CN" w:bidi="ar"/>
              </w:rPr>
              <w:t>5</w:t>
            </w:r>
          </w:p>
        </w:tc>
        <w:tc>
          <w:tcPr>
            <w:tcW w:w="0" w:type="auto"/>
            <w:vMerge w:val="continue"/>
            <w:shd w:val="clear" w:color="auto" w:fill="auto"/>
            <w:noWrap/>
            <w:vAlign w:val="center"/>
          </w:tcPr>
          <w:p w14:paraId="043577E8">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45339988">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cs="Times New Roman"/>
                <w:sz w:val="20"/>
                <w:szCs w:val="20"/>
              </w:rPr>
            </w:pPr>
          </w:p>
        </w:tc>
        <w:tc>
          <w:tcPr>
            <w:tcW w:w="0" w:type="auto"/>
            <w:vMerge w:val="continue"/>
            <w:shd w:val="clear" w:color="auto" w:fill="auto"/>
            <w:noWrap/>
            <w:vAlign w:val="center"/>
          </w:tcPr>
          <w:p w14:paraId="7148F2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p>
        </w:tc>
      </w:tr>
      <w:tr w14:paraId="2AF56F5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7" w:hRule="atLeast"/>
        </w:trPr>
        <w:tc>
          <w:tcPr>
            <w:tcW w:w="0" w:type="auto"/>
            <w:vMerge w:val="restart"/>
            <w:shd w:val="clear" w:color="auto" w:fill="auto"/>
            <w:vAlign w:val="center"/>
          </w:tcPr>
          <w:p w14:paraId="571D5C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b w:val="0"/>
                <w:bCs w:val="0"/>
                <w:i/>
                <w:iCs/>
                <w:color w:val="000000"/>
                <w:kern w:val="0"/>
                <w:sz w:val="22"/>
                <w:szCs w:val="22"/>
              </w:rPr>
            </w:pPr>
            <w:r>
              <w:rPr>
                <w:rFonts w:hint="default" w:ascii="Times New Roman" w:hAnsi="Times New Roman" w:eastAsia="宋体" w:cs="Times New Roman"/>
                <w:b w:val="0"/>
                <w:bCs w:val="0"/>
                <w:i/>
                <w:iCs/>
                <w:color w:val="000000"/>
                <w:kern w:val="0"/>
                <w:sz w:val="22"/>
                <w:szCs w:val="22"/>
                <w:lang w:val="en-US" w:eastAsia="zh-CN" w:bidi="ar"/>
              </w:rPr>
              <w:t>Ursus thibetanus</w:t>
            </w:r>
          </w:p>
        </w:tc>
        <w:tc>
          <w:tcPr>
            <w:tcW w:w="0" w:type="auto"/>
            <w:gridSpan w:val="2"/>
            <w:shd w:val="clear" w:color="auto" w:fill="auto"/>
            <w:noWrap/>
            <w:vAlign w:val="center"/>
          </w:tcPr>
          <w:p w14:paraId="6DF441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perscript"/>
                <w:lang w:val="en-US" w:eastAsia="zh-CN" w:bidi="ar"/>
              </w:rPr>
              <w:t>2</w:t>
            </w:r>
          </w:p>
        </w:tc>
        <w:tc>
          <w:tcPr>
            <w:tcW w:w="0" w:type="auto"/>
            <w:gridSpan w:val="2"/>
            <w:shd w:val="clear" w:color="auto" w:fill="auto"/>
            <w:noWrap/>
            <w:vAlign w:val="center"/>
          </w:tcPr>
          <w:p w14:paraId="70AC40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perscript"/>
                <w:lang w:val="en-US" w:eastAsia="zh-CN" w:bidi="ar"/>
              </w:rPr>
              <w:t>3</w:t>
            </w:r>
          </w:p>
        </w:tc>
        <w:tc>
          <w:tcPr>
            <w:tcW w:w="0" w:type="auto"/>
            <w:gridSpan w:val="2"/>
            <w:shd w:val="clear" w:color="auto" w:fill="auto"/>
            <w:noWrap/>
            <w:vAlign w:val="center"/>
          </w:tcPr>
          <w:p w14:paraId="2A2ECB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perscript"/>
                <w:lang w:val="en-US" w:eastAsia="zh-CN" w:bidi="ar"/>
              </w:rPr>
              <w:t>4</w:t>
            </w:r>
          </w:p>
        </w:tc>
        <w:tc>
          <w:tcPr>
            <w:tcW w:w="0" w:type="auto"/>
            <w:gridSpan w:val="2"/>
            <w:shd w:val="clear" w:color="auto" w:fill="auto"/>
            <w:noWrap/>
            <w:vAlign w:val="center"/>
          </w:tcPr>
          <w:p w14:paraId="6337DF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P</w:t>
            </w:r>
            <w:r>
              <w:rPr>
                <w:rFonts w:hint="default" w:ascii="Times New Roman" w:hAnsi="Times New Roman" w:eastAsia="宋体" w:cs="Times New Roman"/>
                <w:b w:val="0"/>
                <w:bCs w:val="0"/>
                <w:color w:val="000000"/>
                <w:kern w:val="0"/>
                <w:sz w:val="22"/>
                <w:szCs w:val="22"/>
                <w:vertAlign w:val="superscript"/>
                <w:lang w:val="en-US" w:eastAsia="zh-CN" w:bidi="ar"/>
              </w:rPr>
              <w:t>2</w:t>
            </w:r>
          </w:p>
        </w:tc>
        <w:tc>
          <w:tcPr>
            <w:tcW w:w="872" w:type="dxa"/>
            <w:gridSpan w:val="2"/>
            <w:shd w:val="clear" w:color="auto" w:fill="auto"/>
            <w:noWrap/>
            <w:vAlign w:val="center"/>
          </w:tcPr>
          <w:p w14:paraId="4609BF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P</w:t>
            </w:r>
            <w:r>
              <w:rPr>
                <w:rFonts w:hint="default" w:ascii="Times New Roman" w:hAnsi="Times New Roman" w:eastAsia="宋体" w:cs="Times New Roman"/>
                <w:b w:val="0"/>
                <w:bCs w:val="0"/>
                <w:color w:val="000000"/>
                <w:kern w:val="0"/>
                <w:sz w:val="22"/>
                <w:szCs w:val="22"/>
                <w:vertAlign w:val="superscript"/>
                <w:lang w:val="en-US" w:eastAsia="zh-CN" w:bidi="ar"/>
              </w:rPr>
              <w:t>3</w:t>
            </w:r>
          </w:p>
        </w:tc>
        <w:tc>
          <w:tcPr>
            <w:tcW w:w="872" w:type="dxa"/>
            <w:gridSpan w:val="2"/>
            <w:shd w:val="clear" w:color="auto" w:fill="auto"/>
            <w:noWrap/>
            <w:vAlign w:val="center"/>
          </w:tcPr>
          <w:p w14:paraId="6DA529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P</w:t>
            </w:r>
            <w:r>
              <w:rPr>
                <w:rFonts w:hint="default" w:ascii="Times New Roman" w:hAnsi="Times New Roman" w:eastAsia="宋体" w:cs="Times New Roman"/>
                <w:b w:val="0"/>
                <w:bCs w:val="0"/>
                <w:color w:val="000000"/>
                <w:kern w:val="0"/>
                <w:sz w:val="22"/>
                <w:szCs w:val="22"/>
                <w:vertAlign w:val="superscript"/>
                <w:lang w:val="en-US" w:eastAsia="zh-CN" w:bidi="ar"/>
              </w:rPr>
              <w:t>4</w:t>
            </w:r>
          </w:p>
        </w:tc>
        <w:tc>
          <w:tcPr>
            <w:tcW w:w="0" w:type="auto"/>
            <w:gridSpan w:val="2"/>
            <w:shd w:val="clear" w:color="auto" w:fill="auto"/>
            <w:noWrap/>
            <w:vAlign w:val="center"/>
          </w:tcPr>
          <w:p w14:paraId="142445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perscript"/>
                <w:lang w:val="en-US" w:eastAsia="zh-CN" w:bidi="ar"/>
              </w:rPr>
              <w:t xml:space="preserve">1 </w:t>
            </w: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perscript"/>
                <w:lang w:val="en-US" w:eastAsia="zh-CN" w:bidi="ar"/>
              </w:rPr>
              <w:t>2</w:t>
            </w:r>
          </w:p>
        </w:tc>
        <w:tc>
          <w:tcPr>
            <w:tcW w:w="0" w:type="auto"/>
            <w:gridSpan w:val="2"/>
            <w:shd w:val="clear" w:color="auto" w:fill="auto"/>
            <w:noWrap/>
            <w:vAlign w:val="center"/>
          </w:tcPr>
          <w:p w14:paraId="75F5F5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M</w:t>
            </w:r>
            <w:r>
              <w:rPr>
                <w:rFonts w:hint="default" w:ascii="Times New Roman" w:hAnsi="Times New Roman" w:eastAsia="宋体" w:cs="Times New Roman"/>
                <w:b w:val="0"/>
                <w:bCs w:val="0"/>
                <w:color w:val="000000"/>
                <w:kern w:val="0"/>
                <w:sz w:val="22"/>
                <w:szCs w:val="22"/>
                <w:vertAlign w:val="superscript"/>
                <w:lang w:val="en-US" w:eastAsia="zh-CN" w:bidi="ar"/>
              </w:rPr>
              <w:t>3</w:t>
            </w:r>
          </w:p>
        </w:tc>
        <w:tc>
          <w:tcPr>
            <w:tcW w:w="0" w:type="auto"/>
            <w:vMerge w:val="restart"/>
            <w:shd w:val="clear" w:color="auto" w:fill="auto"/>
            <w:vAlign w:val="center"/>
          </w:tcPr>
          <w:p w14:paraId="33B374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Upper teeth</w:t>
            </w:r>
          </w:p>
        </w:tc>
        <w:tc>
          <w:tcPr>
            <w:tcW w:w="0" w:type="auto"/>
            <w:vMerge w:val="restart"/>
            <w:shd w:val="clear" w:color="auto" w:fill="auto"/>
            <w:noWrap/>
            <w:vAlign w:val="center"/>
          </w:tcPr>
          <w:p w14:paraId="6C0DDE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bCs/>
                <w:color w:val="000000"/>
                <w:kern w:val="0"/>
                <w:sz w:val="22"/>
                <w:szCs w:val="22"/>
              </w:rPr>
            </w:pPr>
            <w:r>
              <w:rPr>
                <w:rFonts w:hint="default" w:ascii="Times New Roman" w:hAnsi="Times New Roman" w:eastAsia="宋体" w:cs="Times New Roman"/>
                <w:b/>
                <w:bCs/>
                <w:color w:val="000000"/>
                <w:kern w:val="0"/>
                <w:sz w:val="22"/>
                <w:szCs w:val="22"/>
                <w:lang w:val="en-US" w:eastAsia="zh-CN" w:bidi="ar"/>
              </w:rPr>
              <w:t>1</w:t>
            </w:r>
          </w:p>
        </w:tc>
        <w:tc>
          <w:tcPr>
            <w:tcW w:w="0" w:type="auto"/>
            <w:vMerge w:val="restart"/>
            <w:shd w:val="clear" w:color="auto" w:fill="auto"/>
            <w:noWrap/>
            <w:vAlign w:val="center"/>
          </w:tcPr>
          <w:p w14:paraId="385589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bCs/>
                <w:color w:val="000000"/>
                <w:kern w:val="0"/>
                <w:sz w:val="22"/>
                <w:szCs w:val="22"/>
              </w:rPr>
            </w:pPr>
            <w:r>
              <w:rPr>
                <w:rFonts w:hint="default" w:ascii="Times New Roman" w:hAnsi="Times New Roman" w:eastAsia="宋体" w:cs="Times New Roman"/>
                <w:b/>
                <w:bCs/>
                <w:color w:val="000000"/>
                <w:kern w:val="0"/>
                <w:sz w:val="22"/>
                <w:szCs w:val="22"/>
                <w:lang w:val="en-US" w:eastAsia="zh-CN" w:bidi="ar"/>
              </w:rPr>
              <w:t>1</w:t>
            </w:r>
          </w:p>
        </w:tc>
        <w:tc>
          <w:tcPr>
            <w:tcW w:w="0" w:type="auto"/>
            <w:vMerge w:val="restart"/>
            <w:shd w:val="clear" w:color="auto" w:fill="auto"/>
            <w:noWrap/>
            <w:vAlign w:val="center"/>
          </w:tcPr>
          <w:p w14:paraId="5A72A7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000000"/>
                <w:kern w:val="0"/>
                <w:sz w:val="22"/>
                <w:szCs w:val="22"/>
              </w:rPr>
            </w:pPr>
          </w:p>
        </w:tc>
      </w:tr>
      <w:tr w14:paraId="28943CB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0" w:type="auto"/>
            <w:vMerge w:val="continue"/>
            <w:shd w:val="clear" w:color="auto" w:fill="auto"/>
            <w:vAlign w:val="center"/>
          </w:tcPr>
          <w:p w14:paraId="35815EE0">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0" w:type="auto"/>
            <w:shd w:val="clear" w:color="auto" w:fill="auto"/>
            <w:noWrap/>
            <w:vAlign w:val="center"/>
          </w:tcPr>
          <w:p w14:paraId="33EA045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612B957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5A43EA4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44BD589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2224863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6B7DC4C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03A10C5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61711B3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R</w:t>
            </w:r>
          </w:p>
        </w:tc>
        <w:tc>
          <w:tcPr>
            <w:tcW w:w="0" w:type="auto"/>
            <w:shd w:val="clear" w:color="auto" w:fill="auto"/>
            <w:noWrap/>
            <w:vAlign w:val="center"/>
          </w:tcPr>
          <w:p w14:paraId="1D047D7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L</w:t>
            </w:r>
          </w:p>
        </w:tc>
        <w:tc>
          <w:tcPr>
            <w:tcW w:w="436" w:type="dxa"/>
            <w:shd w:val="clear" w:color="auto" w:fill="auto"/>
            <w:noWrap/>
            <w:vAlign w:val="center"/>
          </w:tcPr>
          <w:p w14:paraId="501FDDB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R</w:t>
            </w:r>
          </w:p>
        </w:tc>
        <w:tc>
          <w:tcPr>
            <w:tcW w:w="436" w:type="dxa"/>
            <w:shd w:val="clear" w:color="auto" w:fill="auto"/>
            <w:noWrap/>
            <w:vAlign w:val="center"/>
          </w:tcPr>
          <w:p w14:paraId="32C2C85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L</w:t>
            </w:r>
          </w:p>
        </w:tc>
        <w:tc>
          <w:tcPr>
            <w:tcW w:w="0" w:type="auto"/>
            <w:shd w:val="clear" w:color="auto" w:fill="auto"/>
            <w:noWrap/>
            <w:vAlign w:val="center"/>
          </w:tcPr>
          <w:p w14:paraId="66000D7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R</w:t>
            </w:r>
          </w:p>
        </w:tc>
        <w:tc>
          <w:tcPr>
            <w:tcW w:w="0" w:type="auto"/>
            <w:shd w:val="clear" w:color="auto" w:fill="auto"/>
            <w:noWrap/>
            <w:vAlign w:val="center"/>
          </w:tcPr>
          <w:p w14:paraId="5C44F5A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0F171D0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48AC772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L</w:t>
            </w:r>
          </w:p>
        </w:tc>
        <w:tc>
          <w:tcPr>
            <w:tcW w:w="0" w:type="auto"/>
            <w:shd w:val="clear" w:color="auto" w:fill="auto"/>
            <w:noWrap/>
            <w:vAlign w:val="center"/>
          </w:tcPr>
          <w:p w14:paraId="66A7F3D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R</w:t>
            </w:r>
          </w:p>
        </w:tc>
        <w:tc>
          <w:tcPr>
            <w:tcW w:w="0" w:type="auto"/>
            <w:vMerge w:val="continue"/>
            <w:shd w:val="clear" w:color="auto" w:fill="auto"/>
            <w:vAlign w:val="center"/>
          </w:tcPr>
          <w:p w14:paraId="73B627D7">
            <w:pPr>
              <w:keepNext w:val="0"/>
              <w:keepLines w:val="0"/>
              <w:widowControl/>
              <w:suppressLineNumbers w:val="0"/>
              <w:spacing w:before="0" w:beforeAutospacing="0" w:afterAutospacing="0"/>
              <w:ind w:left="0" w:right="0"/>
              <w:jc w:val="center"/>
              <w:rPr>
                <w:rFonts w:hint="default" w:ascii="Times New Roman" w:hAnsi="Times New Roman" w:cs="Times New Roman"/>
                <w:sz w:val="20"/>
                <w:szCs w:val="20"/>
              </w:rPr>
            </w:pPr>
          </w:p>
        </w:tc>
        <w:tc>
          <w:tcPr>
            <w:tcW w:w="0" w:type="auto"/>
            <w:vMerge w:val="continue"/>
            <w:shd w:val="clear" w:color="auto" w:fill="auto"/>
            <w:noWrap/>
            <w:vAlign w:val="center"/>
          </w:tcPr>
          <w:p w14:paraId="19AA9129">
            <w:pPr>
              <w:keepNext w:val="0"/>
              <w:keepLines w:val="0"/>
              <w:widowControl/>
              <w:suppressLineNumbers w:val="0"/>
              <w:spacing w:before="0" w:beforeAutospacing="0" w:afterAutospacing="0"/>
              <w:ind w:left="0" w:right="0"/>
              <w:jc w:val="center"/>
              <w:rPr>
                <w:rFonts w:hint="default" w:ascii="Times New Roman" w:hAnsi="Times New Roman" w:cs="Times New Roman"/>
                <w:sz w:val="20"/>
                <w:szCs w:val="20"/>
              </w:rPr>
            </w:pPr>
          </w:p>
        </w:tc>
        <w:tc>
          <w:tcPr>
            <w:tcW w:w="0" w:type="auto"/>
            <w:vMerge w:val="continue"/>
            <w:shd w:val="clear" w:color="auto" w:fill="auto"/>
            <w:noWrap/>
            <w:vAlign w:val="center"/>
          </w:tcPr>
          <w:p w14:paraId="0C18ECCC">
            <w:pPr>
              <w:keepNext w:val="0"/>
              <w:keepLines w:val="0"/>
              <w:widowControl/>
              <w:suppressLineNumbers w:val="0"/>
              <w:spacing w:before="0" w:beforeAutospacing="0" w:afterAutospacing="0"/>
              <w:ind w:left="0" w:right="0"/>
              <w:jc w:val="center"/>
              <w:rPr>
                <w:rFonts w:hint="default" w:ascii="Times New Roman" w:hAnsi="Times New Roman" w:cs="Times New Roman"/>
                <w:sz w:val="20"/>
                <w:szCs w:val="20"/>
              </w:rPr>
            </w:pPr>
          </w:p>
        </w:tc>
        <w:tc>
          <w:tcPr>
            <w:tcW w:w="0" w:type="auto"/>
            <w:vMerge w:val="continue"/>
            <w:shd w:val="clear" w:color="auto" w:fill="auto"/>
            <w:noWrap/>
            <w:vAlign w:val="center"/>
          </w:tcPr>
          <w:p w14:paraId="20B75F0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p>
        </w:tc>
      </w:tr>
      <w:tr w14:paraId="38ED282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0" w:type="auto"/>
            <w:vMerge w:val="continue"/>
            <w:shd w:val="clear" w:color="auto" w:fill="auto"/>
            <w:vAlign w:val="center"/>
          </w:tcPr>
          <w:p w14:paraId="4648C160">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0" w:type="auto"/>
            <w:shd w:val="clear" w:color="auto" w:fill="auto"/>
            <w:noWrap/>
            <w:vAlign w:val="center"/>
          </w:tcPr>
          <w:p w14:paraId="162FDCC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3C96AD6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1D4A308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63312F1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4941052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23D48DC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2504621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1089FA2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0</w:t>
            </w:r>
          </w:p>
        </w:tc>
        <w:tc>
          <w:tcPr>
            <w:tcW w:w="0" w:type="auto"/>
            <w:shd w:val="clear" w:color="auto" w:fill="auto"/>
            <w:noWrap/>
            <w:vAlign w:val="center"/>
          </w:tcPr>
          <w:p w14:paraId="47317D7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0</w:t>
            </w:r>
          </w:p>
        </w:tc>
        <w:tc>
          <w:tcPr>
            <w:tcW w:w="436" w:type="dxa"/>
            <w:shd w:val="clear" w:color="auto" w:fill="auto"/>
            <w:noWrap/>
            <w:vAlign w:val="center"/>
          </w:tcPr>
          <w:p w14:paraId="3DB777E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0</w:t>
            </w:r>
          </w:p>
        </w:tc>
        <w:tc>
          <w:tcPr>
            <w:tcW w:w="436" w:type="dxa"/>
            <w:shd w:val="clear" w:color="auto" w:fill="auto"/>
            <w:noWrap/>
            <w:vAlign w:val="center"/>
          </w:tcPr>
          <w:p w14:paraId="5A3DCAF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0</w:t>
            </w:r>
          </w:p>
        </w:tc>
        <w:tc>
          <w:tcPr>
            <w:tcW w:w="0" w:type="auto"/>
            <w:shd w:val="clear" w:color="auto" w:fill="auto"/>
            <w:noWrap/>
            <w:vAlign w:val="center"/>
          </w:tcPr>
          <w:p w14:paraId="02D7FC1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0</w:t>
            </w:r>
          </w:p>
        </w:tc>
        <w:tc>
          <w:tcPr>
            <w:tcW w:w="0" w:type="auto"/>
            <w:shd w:val="clear" w:color="auto" w:fill="auto"/>
            <w:noWrap/>
            <w:vAlign w:val="center"/>
          </w:tcPr>
          <w:p w14:paraId="305AE4C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4A465E0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3DD42F6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0</w:t>
            </w:r>
          </w:p>
        </w:tc>
        <w:tc>
          <w:tcPr>
            <w:tcW w:w="0" w:type="auto"/>
            <w:shd w:val="clear" w:color="auto" w:fill="auto"/>
            <w:noWrap/>
            <w:vAlign w:val="center"/>
          </w:tcPr>
          <w:p w14:paraId="04D80D6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0</w:t>
            </w:r>
          </w:p>
        </w:tc>
        <w:tc>
          <w:tcPr>
            <w:tcW w:w="0" w:type="auto"/>
            <w:shd w:val="clear" w:color="auto" w:fill="auto"/>
            <w:noWrap/>
            <w:vAlign w:val="center"/>
          </w:tcPr>
          <w:p w14:paraId="6349725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vMerge w:val="continue"/>
            <w:shd w:val="clear" w:color="auto" w:fill="auto"/>
            <w:noWrap/>
            <w:vAlign w:val="center"/>
          </w:tcPr>
          <w:p w14:paraId="50D2D7A0">
            <w:pPr>
              <w:keepNext w:val="0"/>
              <w:keepLines w:val="0"/>
              <w:widowControl/>
              <w:suppressLineNumbers w:val="0"/>
              <w:spacing w:before="0" w:beforeAutospacing="0" w:afterAutospacing="0"/>
              <w:ind w:left="0" w:right="0"/>
              <w:jc w:val="center"/>
              <w:rPr>
                <w:rFonts w:hint="default" w:ascii="Times New Roman" w:hAnsi="Times New Roman" w:cs="Times New Roman"/>
                <w:sz w:val="20"/>
                <w:szCs w:val="20"/>
              </w:rPr>
            </w:pPr>
          </w:p>
        </w:tc>
        <w:tc>
          <w:tcPr>
            <w:tcW w:w="0" w:type="auto"/>
            <w:vMerge w:val="continue"/>
            <w:shd w:val="clear" w:color="auto" w:fill="auto"/>
            <w:noWrap/>
            <w:vAlign w:val="center"/>
          </w:tcPr>
          <w:p w14:paraId="5E17F3EB">
            <w:pPr>
              <w:keepNext w:val="0"/>
              <w:keepLines w:val="0"/>
              <w:widowControl/>
              <w:suppressLineNumbers w:val="0"/>
              <w:spacing w:before="0" w:beforeAutospacing="0" w:afterAutospacing="0"/>
              <w:ind w:left="0" w:right="0"/>
              <w:jc w:val="center"/>
              <w:rPr>
                <w:rFonts w:hint="default" w:ascii="Times New Roman" w:hAnsi="Times New Roman" w:cs="Times New Roman"/>
                <w:sz w:val="20"/>
                <w:szCs w:val="20"/>
              </w:rPr>
            </w:pPr>
          </w:p>
        </w:tc>
        <w:tc>
          <w:tcPr>
            <w:tcW w:w="0" w:type="auto"/>
            <w:vMerge w:val="continue"/>
            <w:shd w:val="clear" w:color="auto" w:fill="auto"/>
            <w:noWrap/>
            <w:vAlign w:val="center"/>
          </w:tcPr>
          <w:p w14:paraId="51F411A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p>
        </w:tc>
      </w:tr>
      <w:tr w14:paraId="03E2855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6" w:hRule="atLeast"/>
        </w:trPr>
        <w:tc>
          <w:tcPr>
            <w:tcW w:w="0" w:type="auto"/>
            <w:vMerge w:val="continue"/>
            <w:shd w:val="clear" w:color="auto" w:fill="auto"/>
            <w:vAlign w:val="center"/>
          </w:tcPr>
          <w:p w14:paraId="7525C04D">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0" w:type="auto"/>
            <w:gridSpan w:val="2"/>
            <w:shd w:val="clear" w:color="auto" w:fill="auto"/>
            <w:noWrap/>
            <w:vAlign w:val="center"/>
          </w:tcPr>
          <w:p w14:paraId="2176C2A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bscript"/>
                <w:lang w:val="en-US" w:eastAsia="zh-CN" w:bidi="ar"/>
              </w:rPr>
              <w:t>2</w:t>
            </w:r>
          </w:p>
        </w:tc>
        <w:tc>
          <w:tcPr>
            <w:tcW w:w="0" w:type="auto"/>
            <w:gridSpan w:val="2"/>
            <w:shd w:val="clear" w:color="auto" w:fill="auto"/>
            <w:noWrap/>
            <w:vAlign w:val="center"/>
          </w:tcPr>
          <w:p w14:paraId="460C3EC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bscript"/>
                <w:lang w:val="en-US" w:eastAsia="zh-CN" w:bidi="ar"/>
              </w:rPr>
              <w:t>3</w:t>
            </w:r>
          </w:p>
        </w:tc>
        <w:tc>
          <w:tcPr>
            <w:tcW w:w="0" w:type="auto"/>
            <w:gridSpan w:val="2"/>
            <w:shd w:val="clear" w:color="auto" w:fill="auto"/>
            <w:noWrap/>
            <w:vAlign w:val="center"/>
          </w:tcPr>
          <w:p w14:paraId="1640D0E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bscript"/>
                <w:lang w:val="en-US" w:eastAsia="zh-CN" w:bidi="ar"/>
              </w:rPr>
              <w:t>4</w:t>
            </w:r>
          </w:p>
        </w:tc>
        <w:tc>
          <w:tcPr>
            <w:tcW w:w="0" w:type="auto"/>
            <w:gridSpan w:val="2"/>
            <w:shd w:val="clear" w:color="auto" w:fill="auto"/>
            <w:noWrap/>
            <w:vAlign w:val="center"/>
          </w:tcPr>
          <w:p w14:paraId="73D4D8C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P</w:t>
            </w:r>
            <w:r>
              <w:rPr>
                <w:rFonts w:hint="default" w:ascii="Times New Roman" w:hAnsi="Times New Roman" w:eastAsia="宋体" w:cs="Times New Roman"/>
                <w:b w:val="0"/>
                <w:bCs w:val="0"/>
                <w:color w:val="000000"/>
                <w:kern w:val="0"/>
                <w:sz w:val="22"/>
                <w:szCs w:val="22"/>
                <w:vertAlign w:val="subscript"/>
                <w:lang w:val="en-US" w:eastAsia="zh-CN" w:bidi="ar"/>
              </w:rPr>
              <w:t>2</w:t>
            </w:r>
          </w:p>
        </w:tc>
        <w:tc>
          <w:tcPr>
            <w:tcW w:w="872" w:type="dxa"/>
            <w:gridSpan w:val="2"/>
            <w:shd w:val="clear" w:color="auto" w:fill="auto"/>
            <w:noWrap/>
            <w:vAlign w:val="center"/>
          </w:tcPr>
          <w:p w14:paraId="49DAAC0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P</w:t>
            </w:r>
            <w:r>
              <w:rPr>
                <w:rFonts w:hint="default" w:ascii="Times New Roman" w:hAnsi="Times New Roman" w:eastAsia="宋体" w:cs="Times New Roman"/>
                <w:b w:val="0"/>
                <w:bCs w:val="0"/>
                <w:color w:val="000000"/>
                <w:kern w:val="0"/>
                <w:sz w:val="22"/>
                <w:szCs w:val="22"/>
                <w:vertAlign w:val="subscript"/>
                <w:lang w:val="en-US" w:eastAsia="zh-CN" w:bidi="ar"/>
              </w:rPr>
              <w:t>3</w:t>
            </w:r>
          </w:p>
        </w:tc>
        <w:tc>
          <w:tcPr>
            <w:tcW w:w="872" w:type="dxa"/>
            <w:gridSpan w:val="2"/>
            <w:shd w:val="clear" w:color="auto" w:fill="auto"/>
            <w:noWrap/>
            <w:vAlign w:val="center"/>
          </w:tcPr>
          <w:p w14:paraId="33474DD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P</w:t>
            </w:r>
            <w:r>
              <w:rPr>
                <w:rFonts w:hint="default" w:ascii="Times New Roman" w:hAnsi="Times New Roman" w:eastAsia="宋体" w:cs="Times New Roman"/>
                <w:b w:val="0"/>
                <w:bCs w:val="0"/>
                <w:color w:val="000000"/>
                <w:kern w:val="0"/>
                <w:sz w:val="22"/>
                <w:szCs w:val="22"/>
                <w:vertAlign w:val="subscript"/>
                <w:lang w:val="en-US" w:eastAsia="zh-CN" w:bidi="ar"/>
              </w:rPr>
              <w:t>4</w:t>
            </w:r>
          </w:p>
        </w:tc>
        <w:tc>
          <w:tcPr>
            <w:tcW w:w="0" w:type="auto"/>
            <w:gridSpan w:val="2"/>
            <w:shd w:val="clear" w:color="auto" w:fill="auto"/>
            <w:noWrap/>
            <w:vAlign w:val="center"/>
          </w:tcPr>
          <w:p w14:paraId="1CFCF82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bscript"/>
                <w:lang w:val="en-US" w:eastAsia="zh-CN" w:bidi="ar"/>
              </w:rPr>
              <w:t>1</w:t>
            </w:r>
            <w:r>
              <w:rPr>
                <w:rFonts w:hint="default" w:ascii="Times New Roman" w:hAnsi="Times New Roman" w:eastAsia="宋体" w:cs="Times New Roman"/>
                <w:color w:val="000000"/>
                <w:kern w:val="0"/>
                <w:sz w:val="22"/>
                <w:szCs w:val="22"/>
                <w:vertAlign w:val="superscript"/>
                <w:lang w:val="en-US" w:eastAsia="zh-CN" w:bidi="ar"/>
              </w:rPr>
              <w:t xml:space="preserve"> </w:t>
            </w: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bscript"/>
                <w:lang w:val="en-US" w:eastAsia="zh-CN" w:bidi="ar"/>
              </w:rPr>
              <w:t>2</w:t>
            </w:r>
          </w:p>
        </w:tc>
        <w:tc>
          <w:tcPr>
            <w:tcW w:w="0" w:type="auto"/>
            <w:gridSpan w:val="2"/>
            <w:shd w:val="clear" w:color="auto" w:fill="auto"/>
            <w:noWrap/>
            <w:vAlign w:val="center"/>
          </w:tcPr>
          <w:p w14:paraId="6BAAD45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M</w:t>
            </w:r>
            <w:r>
              <w:rPr>
                <w:rFonts w:hint="default" w:ascii="Times New Roman" w:hAnsi="Times New Roman" w:eastAsia="宋体" w:cs="Times New Roman"/>
                <w:b w:val="0"/>
                <w:bCs w:val="0"/>
                <w:color w:val="000000"/>
                <w:kern w:val="0"/>
                <w:sz w:val="22"/>
                <w:szCs w:val="22"/>
                <w:vertAlign w:val="subscript"/>
                <w:lang w:val="en-US" w:eastAsia="zh-CN" w:bidi="ar"/>
              </w:rPr>
              <w:t>3</w:t>
            </w:r>
          </w:p>
        </w:tc>
        <w:tc>
          <w:tcPr>
            <w:tcW w:w="0" w:type="auto"/>
            <w:vMerge w:val="restart"/>
            <w:shd w:val="clear" w:color="auto" w:fill="auto"/>
            <w:vAlign w:val="center"/>
          </w:tcPr>
          <w:p w14:paraId="3FD7972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Lower teeth</w:t>
            </w:r>
          </w:p>
        </w:tc>
        <w:tc>
          <w:tcPr>
            <w:tcW w:w="0" w:type="auto"/>
            <w:vMerge w:val="continue"/>
            <w:shd w:val="clear" w:color="auto" w:fill="auto"/>
            <w:noWrap/>
            <w:vAlign w:val="center"/>
          </w:tcPr>
          <w:p w14:paraId="7964FFA1">
            <w:pPr>
              <w:keepNext w:val="0"/>
              <w:keepLines w:val="0"/>
              <w:widowControl/>
              <w:suppressLineNumbers w:val="0"/>
              <w:spacing w:before="0" w:beforeAutospacing="0" w:afterAutospacing="0"/>
              <w:ind w:left="0" w:right="0"/>
              <w:jc w:val="center"/>
              <w:rPr>
                <w:rFonts w:hint="default" w:ascii="Times New Roman" w:hAnsi="Times New Roman" w:cs="Times New Roman"/>
                <w:sz w:val="20"/>
                <w:szCs w:val="20"/>
              </w:rPr>
            </w:pPr>
          </w:p>
        </w:tc>
        <w:tc>
          <w:tcPr>
            <w:tcW w:w="0" w:type="auto"/>
            <w:vMerge w:val="continue"/>
            <w:shd w:val="clear" w:color="auto" w:fill="auto"/>
            <w:noWrap/>
            <w:vAlign w:val="center"/>
          </w:tcPr>
          <w:p w14:paraId="71B5F207">
            <w:pPr>
              <w:keepNext w:val="0"/>
              <w:keepLines w:val="0"/>
              <w:widowControl/>
              <w:suppressLineNumbers w:val="0"/>
              <w:spacing w:before="0" w:beforeAutospacing="0" w:afterAutospacing="0"/>
              <w:ind w:left="0" w:right="0"/>
              <w:jc w:val="center"/>
              <w:rPr>
                <w:rFonts w:hint="default" w:ascii="Times New Roman" w:hAnsi="Times New Roman" w:cs="Times New Roman"/>
                <w:sz w:val="20"/>
                <w:szCs w:val="20"/>
              </w:rPr>
            </w:pPr>
          </w:p>
        </w:tc>
        <w:tc>
          <w:tcPr>
            <w:tcW w:w="0" w:type="auto"/>
            <w:vMerge w:val="continue"/>
            <w:shd w:val="clear" w:color="auto" w:fill="auto"/>
            <w:noWrap/>
            <w:vAlign w:val="center"/>
          </w:tcPr>
          <w:p w14:paraId="203ACE6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p>
        </w:tc>
      </w:tr>
      <w:tr w14:paraId="29250C4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0" w:type="auto"/>
            <w:vMerge w:val="continue"/>
            <w:shd w:val="clear" w:color="auto" w:fill="auto"/>
            <w:vAlign w:val="center"/>
          </w:tcPr>
          <w:p w14:paraId="75A1165F">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0" w:type="auto"/>
            <w:shd w:val="clear" w:color="auto" w:fill="auto"/>
            <w:noWrap/>
            <w:vAlign w:val="center"/>
          </w:tcPr>
          <w:p w14:paraId="2FAD3FF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72580AB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7AA587E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55D04FD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671D1D3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56EEA38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2742E5B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50705AF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R</w:t>
            </w:r>
          </w:p>
        </w:tc>
        <w:tc>
          <w:tcPr>
            <w:tcW w:w="0" w:type="auto"/>
            <w:shd w:val="clear" w:color="auto" w:fill="auto"/>
            <w:noWrap/>
            <w:vAlign w:val="center"/>
          </w:tcPr>
          <w:p w14:paraId="7FB538C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L</w:t>
            </w:r>
          </w:p>
        </w:tc>
        <w:tc>
          <w:tcPr>
            <w:tcW w:w="436" w:type="dxa"/>
            <w:shd w:val="clear" w:color="auto" w:fill="auto"/>
            <w:noWrap/>
            <w:vAlign w:val="center"/>
          </w:tcPr>
          <w:p w14:paraId="6514C7E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R</w:t>
            </w:r>
          </w:p>
        </w:tc>
        <w:tc>
          <w:tcPr>
            <w:tcW w:w="436" w:type="dxa"/>
            <w:shd w:val="clear" w:color="auto" w:fill="auto"/>
            <w:noWrap/>
            <w:vAlign w:val="center"/>
          </w:tcPr>
          <w:p w14:paraId="4D35ACD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L</w:t>
            </w:r>
          </w:p>
        </w:tc>
        <w:tc>
          <w:tcPr>
            <w:tcW w:w="0" w:type="auto"/>
            <w:shd w:val="clear" w:color="auto" w:fill="auto"/>
            <w:noWrap/>
            <w:vAlign w:val="center"/>
          </w:tcPr>
          <w:p w14:paraId="26CAA6C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R</w:t>
            </w:r>
          </w:p>
        </w:tc>
        <w:tc>
          <w:tcPr>
            <w:tcW w:w="0" w:type="auto"/>
            <w:shd w:val="clear" w:color="auto" w:fill="auto"/>
            <w:noWrap/>
            <w:vAlign w:val="center"/>
          </w:tcPr>
          <w:p w14:paraId="387F1B6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735DC81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5D895CD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L</w:t>
            </w:r>
          </w:p>
        </w:tc>
        <w:tc>
          <w:tcPr>
            <w:tcW w:w="0" w:type="auto"/>
            <w:shd w:val="clear" w:color="auto" w:fill="auto"/>
            <w:noWrap/>
            <w:vAlign w:val="center"/>
          </w:tcPr>
          <w:p w14:paraId="14C9242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R</w:t>
            </w:r>
          </w:p>
        </w:tc>
        <w:tc>
          <w:tcPr>
            <w:tcW w:w="0" w:type="auto"/>
            <w:vMerge w:val="continue"/>
            <w:shd w:val="clear" w:color="auto" w:fill="auto"/>
            <w:vAlign w:val="center"/>
          </w:tcPr>
          <w:p w14:paraId="47D65E38">
            <w:pPr>
              <w:keepNext w:val="0"/>
              <w:keepLines w:val="0"/>
              <w:widowControl/>
              <w:suppressLineNumbers w:val="0"/>
              <w:spacing w:before="0" w:beforeAutospacing="0" w:afterAutospacing="0"/>
              <w:ind w:left="0" w:right="0"/>
              <w:jc w:val="center"/>
              <w:rPr>
                <w:rFonts w:hint="default" w:ascii="Times New Roman" w:hAnsi="Times New Roman" w:cs="Times New Roman"/>
                <w:sz w:val="20"/>
                <w:szCs w:val="20"/>
              </w:rPr>
            </w:pPr>
          </w:p>
        </w:tc>
        <w:tc>
          <w:tcPr>
            <w:tcW w:w="0" w:type="auto"/>
            <w:vMerge w:val="continue"/>
            <w:shd w:val="clear" w:color="auto" w:fill="auto"/>
            <w:noWrap/>
            <w:vAlign w:val="center"/>
          </w:tcPr>
          <w:p w14:paraId="563BF4E8">
            <w:pPr>
              <w:keepNext w:val="0"/>
              <w:keepLines w:val="0"/>
              <w:widowControl/>
              <w:suppressLineNumbers w:val="0"/>
              <w:spacing w:before="0" w:beforeAutospacing="0" w:afterAutospacing="0"/>
              <w:ind w:left="0" w:right="0"/>
              <w:jc w:val="center"/>
              <w:rPr>
                <w:rFonts w:hint="default" w:ascii="Times New Roman" w:hAnsi="Times New Roman" w:cs="Times New Roman"/>
                <w:sz w:val="20"/>
                <w:szCs w:val="20"/>
              </w:rPr>
            </w:pPr>
          </w:p>
        </w:tc>
        <w:tc>
          <w:tcPr>
            <w:tcW w:w="0" w:type="auto"/>
            <w:vMerge w:val="continue"/>
            <w:shd w:val="clear" w:color="auto" w:fill="auto"/>
            <w:noWrap/>
            <w:vAlign w:val="center"/>
          </w:tcPr>
          <w:p w14:paraId="01E6400C">
            <w:pPr>
              <w:keepNext w:val="0"/>
              <w:keepLines w:val="0"/>
              <w:widowControl/>
              <w:suppressLineNumbers w:val="0"/>
              <w:spacing w:before="0" w:beforeAutospacing="0" w:afterAutospacing="0"/>
              <w:ind w:left="0" w:right="0"/>
              <w:jc w:val="center"/>
              <w:rPr>
                <w:rFonts w:hint="default" w:ascii="Times New Roman" w:hAnsi="Times New Roman" w:cs="Times New Roman"/>
                <w:sz w:val="20"/>
                <w:szCs w:val="20"/>
              </w:rPr>
            </w:pPr>
          </w:p>
        </w:tc>
        <w:tc>
          <w:tcPr>
            <w:tcW w:w="0" w:type="auto"/>
            <w:vMerge w:val="continue"/>
            <w:shd w:val="clear" w:color="auto" w:fill="auto"/>
            <w:noWrap/>
            <w:vAlign w:val="center"/>
          </w:tcPr>
          <w:p w14:paraId="62E29DA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p>
        </w:tc>
      </w:tr>
      <w:tr w14:paraId="4DCD4B2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0" w:type="auto"/>
            <w:vMerge w:val="continue"/>
            <w:shd w:val="clear" w:color="auto" w:fill="auto"/>
            <w:vAlign w:val="center"/>
          </w:tcPr>
          <w:p w14:paraId="4D71E88D">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0" w:type="auto"/>
            <w:shd w:val="clear" w:color="auto" w:fill="auto"/>
            <w:noWrap/>
            <w:vAlign w:val="center"/>
          </w:tcPr>
          <w:p w14:paraId="0D89768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5F7A5A3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6D48DBF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30FBB27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4172D80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5DB8A9F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1B90341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297F266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0</w:t>
            </w:r>
          </w:p>
        </w:tc>
        <w:tc>
          <w:tcPr>
            <w:tcW w:w="0" w:type="auto"/>
            <w:shd w:val="clear" w:color="auto" w:fill="auto"/>
            <w:noWrap/>
            <w:vAlign w:val="center"/>
          </w:tcPr>
          <w:p w14:paraId="7D34AC0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0</w:t>
            </w:r>
          </w:p>
        </w:tc>
        <w:tc>
          <w:tcPr>
            <w:tcW w:w="436" w:type="dxa"/>
            <w:shd w:val="clear" w:color="auto" w:fill="auto"/>
            <w:noWrap/>
            <w:vAlign w:val="center"/>
          </w:tcPr>
          <w:p w14:paraId="072224D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0</w:t>
            </w:r>
          </w:p>
        </w:tc>
        <w:tc>
          <w:tcPr>
            <w:tcW w:w="436" w:type="dxa"/>
            <w:shd w:val="clear" w:color="auto" w:fill="auto"/>
            <w:noWrap/>
            <w:vAlign w:val="center"/>
          </w:tcPr>
          <w:p w14:paraId="289039D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0</w:t>
            </w:r>
          </w:p>
        </w:tc>
        <w:tc>
          <w:tcPr>
            <w:tcW w:w="0" w:type="auto"/>
            <w:shd w:val="clear" w:color="auto" w:fill="auto"/>
            <w:noWrap/>
            <w:vAlign w:val="center"/>
          </w:tcPr>
          <w:p w14:paraId="186C870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0</w:t>
            </w:r>
          </w:p>
        </w:tc>
        <w:tc>
          <w:tcPr>
            <w:tcW w:w="0" w:type="auto"/>
            <w:shd w:val="clear" w:color="auto" w:fill="auto"/>
            <w:noWrap/>
            <w:vAlign w:val="center"/>
          </w:tcPr>
          <w:p w14:paraId="2B9C0F6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4FF56E4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6C11387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0</w:t>
            </w:r>
          </w:p>
        </w:tc>
        <w:tc>
          <w:tcPr>
            <w:tcW w:w="0" w:type="auto"/>
            <w:shd w:val="clear" w:color="auto" w:fill="auto"/>
            <w:noWrap/>
            <w:vAlign w:val="center"/>
          </w:tcPr>
          <w:p w14:paraId="4FB152B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1</w:t>
            </w:r>
          </w:p>
        </w:tc>
        <w:tc>
          <w:tcPr>
            <w:tcW w:w="0" w:type="auto"/>
            <w:shd w:val="clear" w:color="auto" w:fill="auto"/>
            <w:noWrap/>
            <w:vAlign w:val="center"/>
          </w:tcPr>
          <w:p w14:paraId="0203D86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w:t>
            </w:r>
          </w:p>
        </w:tc>
        <w:tc>
          <w:tcPr>
            <w:tcW w:w="0" w:type="auto"/>
            <w:vMerge w:val="continue"/>
            <w:shd w:val="clear" w:color="auto" w:fill="auto"/>
            <w:noWrap/>
            <w:vAlign w:val="center"/>
          </w:tcPr>
          <w:p w14:paraId="6EBB7BCD">
            <w:pPr>
              <w:keepNext w:val="0"/>
              <w:keepLines w:val="0"/>
              <w:widowControl/>
              <w:suppressLineNumbers w:val="0"/>
              <w:spacing w:before="0" w:beforeAutospacing="0" w:afterAutospacing="0"/>
              <w:ind w:left="0" w:right="0"/>
              <w:jc w:val="center"/>
              <w:rPr>
                <w:rFonts w:hint="default" w:ascii="Times New Roman" w:hAnsi="Times New Roman" w:cs="Times New Roman"/>
                <w:sz w:val="20"/>
                <w:szCs w:val="20"/>
              </w:rPr>
            </w:pPr>
          </w:p>
        </w:tc>
        <w:tc>
          <w:tcPr>
            <w:tcW w:w="0" w:type="auto"/>
            <w:vMerge w:val="continue"/>
            <w:shd w:val="clear" w:color="auto" w:fill="auto"/>
            <w:noWrap/>
            <w:vAlign w:val="center"/>
          </w:tcPr>
          <w:p w14:paraId="50C7D36C">
            <w:pPr>
              <w:keepNext w:val="0"/>
              <w:keepLines w:val="0"/>
              <w:widowControl/>
              <w:suppressLineNumbers w:val="0"/>
              <w:spacing w:before="0" w:beforeAutospacing="0" w:afterAutospacing="0"/>
              <w:ind w:left="0" w:right="0"/>
              <w:jc w:val="center"/>
              <w:rPr>
                <w:rFonts w:hint="default" w:ascii="Times New Roman" w:hAnsi="Times New Roman" w:cs="Times New Roman"/>
                <w:sz w:val="20"/>
                <w:szCs w:val="20"/>
              </w:rPr>
            </w:pPr>
          </w:p>
        </w:tc>
        <w:tc>
          <w:tcPr>
            <w:tcW w:w="0" w:type="auto"/>
            <w:vMerge w:val="continue"/>
            <w:shd w:val="clear" w:color="auto" w:fill="auto"/>
            <w:noWrap/>
            <w:vAlign w:val="center"/>
          </w:tcPr>
          <w:p w14:paraId="0D254A5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p>
        </w:tc>
      </w:tr>
      <w:tr w14:paraId="6B41D6B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6" w:hRule="atLeast"/>
        </w:trPr>
        <w:tc>
          <w:tcPr>
            <w:tcW w:w="0" w:type="auto"/>
            <w:vMerge w:val="restart"/>
            <w:shd w:val="clear" w:color="auto" w:fill="auto"/>
            <w:vAlign w:val="center"/>
          </w:tcPr>
          <w:p w14:paraId="1D073E0D">
            <w:pPr>
              <w:keepNext w:val="0"/>
              <w:keepLines w:val="0"/>
              <w:widowControl/>
              <w:suppressLineNumbers w:val="0"/>
              <w:spacing w:before="0" w:beforeAutospacing="1" w:after="0" w:afterAutospacing="0" w:line="360" w:lineRule="auto"/>
              <w:ind w:left="0" w:right="0" w:firstLine="0"/>
              <w:jc w:val="left"/>
              <w:rPr>
                <w:rFonts w:hint="default" w:ascii="Times New Roman" w:hAnsi="Times New Roman" w:eastAsia="宋体" w:cs="Times New Roman"/>
                <w:b/>
                <w:bCs/>
                <w:i/>
                <w:iCs/>
                <w:color w:val="000000"/>
                <w:kern w:val="0"/>
                <w:sz w:val="22"/>
                <w:szCs w:val="22"/>
              </w:rPr>
            </w:pPr>
            <w:r>
              <w:rPr>
                <w:rFonts w:hint="default" w:ascii="Times New Roman" w:hAnsi="Times New Roman" w:eastAsia="宋体" w:cs="Times New Roman"/>
                <w:b w:val="0"/>
                <w:bCs w:val="0"/>
                <w:i/>
                <w:iCs/>
                <w:color w:val="000000"/>
                <w:kern w:val="0"/>
                <w:sz w:val="22"/>
                <w:szCs w:val="22"/>
                <w:lang w:val="en-US" w:eastAsia="zh-CN" w:bidi="ar"/>
              </w:rPr>
              <w:t>Crocuta Crocuta ultima</w:t>
            </w:r>
          </w:p>
        </w:tc>
        <w:tc>
          <w:tcPr>
            <w:tcW w:w="0" w:type="auto"/>
            <w:gridSpan w:val="2"/>
            <w:shd w:val="clear" w:color="auto" w:fill="auto"/>
            <w:noWrap/>
            <w:vAlign w:val="center"/>
          </w:tcPr>
          <w:p w14:paraId="5898569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perscript"/>
                <w:lang w:val="en-US" w:eastAsia="zh-CN" w:bidi="ar"/>
              </w:rPr>
              <w:t>2</w:t>
            </w:r>
          </w:p>
        </w:tc>
        <w:tc>
          <w:tcPr>
            <w:tcW w:w="0" w:type="auto"/>
            <w:gridSpan w:val="2"/>
            <w:shd w:val="clear" w:color="auto" w:fill="auto"/>
            <w:noWrap/>
            <w:vAlign w:val="center"/>
          </w:tcPr>
          <w:p w14:paraId="34A81F4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perscript"/>
                <w:lang w:val="en-US" w:eastAsia="zh-CN" w:bidi="ar"/>
              </w:rPr>
              <w:t>3</w:t>
            </w:r>
          </w:p>
        </w:tc>
        <w:tc>
          <w:tcPr>
            <w:tcW w:w="0" w:type="auto"/>
            <w:gridSpan w:val="2"/>
            <w:shd w:val="clear" w:color="auto" w:fill="auto"/>
            <w:noWrap/>
            <w:vAlign w:val="center"/>
          </w:tcPr>
          <w:p w14:paraId="5DCFC41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perscript"/>
                <w:lang w:val="en-US" w:eastAsia="zh-CN" w:bidi="ar"/>
              </w:rPr>
              <w:t>4</w:t>
            </w:r>
          </w:p>
        </w:tc>
        <w:tc>
          <w:tcPr>
            <w:tcW w:w="0" w:type="auto"/>
            <w:gridSpan w:val="2"/>
            <w:shd w:val="clear" w:color="auto" w:fill="auto"/>
            <w:noWrap/>
            <w:vAlign w:val="center"/>
          </w:tcPr>
          <w:p w14:paraId="48EF6B5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P</w:t>
            </w:r>
            <w:r>
              <w:rPr>
                <w:rFonts w:hint="default" w:ascii="Times New Roman" w:hAnsi="Times New Roman" w:eastAsia="宋体" w:cs="Times New Roman"/>
                <w:b w:val="0"/>
                <w:bCs w:val="0"/>
                <w:color w:val="000000"/>
                <w:kern w:val="0"/>
                <w:sz w:val="22"/>
                <w:szCs w:val="22"/>
                <w:vertAlign w:val="superscript"/>
                <w:lang w:val="en-US" w:eastAsia="zh-CN" w:bidi="ar"/>
              </w:rPr>
              <w:t>2</w:t>
            </w:r>
          </w:p>
        </w:tc>
        <w:tc>
          <w:tcPr>
            <w:tcW w:w="872" w:type="dxa"/>
            <w:gridSpan w:val="2"/>
            <w:shd w:val="clear" w:color="auto" w:fill="auto"/>
            <w:noWrap/>
            <w:vAlign w:val="center"/>
          </w:tcPr>
          <w:p w14:paraId="3FC2EB7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P</w:t>
            </w:r>
            <w:r>
              <w:rPr>
                <w:rFonts w:hint="default" w:ascii="Times New Roman" w:hAnsi="Times New Roman" w:eastAsia="宋体" w:cs="Times New Roman"/>
                <w:b w:val="0"/>
                <w:bCs w:val="0"/>
                <w:color w:val="000000"/>
                <w:kern w:val="0"/>
                <w:sz w:val="22"/>
                <w:szCs w:val="22"/>
                <w:vertAlign w:val="superscript"/>
                <w:lang w:val="en-US" w:eastAsia="zh-CN" w:bidi="ar"/>
              </w:rPr>
              <w:t>3</w:t>
            </w:r>
          </w:p>
        </w:tc>
        <w:tc>
          <w:tcPr>
            <w:tcW w:w="872" w:type="dxa"/>
            <w:gridSpan w:val="2"/>
            <w:shd w:val="clear" w:color="auto" w:fill="auto"/>
            <w:noWrap/>
            <w:vAlign w:val="center"/>
          </w:tcPr>
          <w:p w14:paraId="1B95ABE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P</w:t>
            </w:r>
            <w:r>
              <w:rPr>
                <w:rFonts w:hint="default" w:ascii="Times New Roman" w:hAnsi="Times New Roman" w:eastAsia="宋体" w:cs="Times New Roman"/>
                <w:b w:val="0"/>
                <w:bCs w:val="0"/>
                <w:color w:val="000000"/>
                <w:kern w:val="0"/>
                <w:sz w:val="22"/>
                <w:szCs w:val="22"/>
                <w:vertAlign w:val="superscript"/>
                <w:lang w:val="en-US" w:eastAsia="zh-CN" w:bidi="ar"/>
              </w:rPr>
              <w:t>4</w:t>
            </w:r>
          </w:p>
        </w:tc>
        <w:tc>
          <w:tcPr>
            <w:tcW w:w="0" w:type="auto"/>
            <w:gridSpan w:val="2"/>
            <w:shd w:val="clear" w:color="auto" w:fill="auto"/>
            <w:noWrap/>
            <w:vAlign w:val="center"/>
          </w:tcPr>
          <w:p w14:paraId="43E1248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perscript"/>
                <w:lang w:val="en-US" w:eastAsia="zh-CN" w:bidi="ar"/>
              </w:rPr>
              <w:t xml:space="preserve">1 </w:t>
            </w: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perscript"/>
                <w:lang w:val="en-US" w:eastAsia="zh-CN" w:bidi="ar"/>
              </w:rPr>
              <w:t>2</w:t>
            </w:r>
          </w:p>
        </w:tc>
        <w:tc>
          <w:tcPr>
            <w:tcW w:w="0" w:type="auto"/>
            <w:gridSpan w:val="2"/>
            <w:shd w:val="clear" w:color="auto" w:fill="auto"/>
            <w:noWrap/>
            <w:vAlign w:val="center"/>
          </w:tcPr>
          <w:p w14:paraId="3F42DBC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M</w:t>
            </w:r>
            <w:r>
              <w:rPr>
                <w:rFonts w:hint="default" w:ascii="Times New Roman" w:hAnsi="Times New Roman" w:eastAsia="宋体" w:cs="Times New Roman"/>
                <w:b w:val="0"/>
                <w:bCs w:val="0"/>
                <w:color w:val="000000"/>
                <w:kern w:val="0"/>
                <w:sz w:val="22"/>
                <w:szCs w:val="22"/>
                <w:vertAlign w:val="superscript"/>
                <w:lang w:val="en-US" w:eastAsia="zh-CN" w:bidi="ar"/>
              </w:rPr>
              <w:t>3</w:t>
            </w:r>
          </w:p>
        </w:tc>
        <w:tc>
          <w:tcPr>
            <w:tcW w:w="0" w:type="auto"/>
            <w:vMerge w:val="restart"/>
            <w:shd w:val="clear" w:color="auto" w:fill="auto"/>
            <w:vAlign w:val="center"/>
          </w:tcPr>
          <w:p w14:paraId="1518635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Upper teeth</w:t>
            </w:r>
          </w:p>
        </w:tc>
        <w:tc>
          <w:tcPr>
            <w:tcW w:w="0" w:type="auto"/>
            <w:vMerge w:val="restart"/>
            <w:shd w:val="clear" w:color="auto" w:fill="auto"/>
            <w:noWrap/>
            <w:vAlign w:val="center"/>
          </w:tcPr>
          <w:p w14:paraId="6F6CD8A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bCs/>
                <w:color w:val="000000"/>
                <w:kern w:val="0"/>
                <w:sz w:val="22"/>
                <w:szCs w:val="22"/>
              </w:rPr>
            </w:pPr>
            <w:r>
              <w:rPr>
                <w:rFonts w:hint="default" w:ascii="Times New Roman" w:hAnsi="Times New Roman" w:eastAsia="宋体" w:cs="Times New Roman"/>
                <w:b/>
                <w:bCs/>
                <w:color w:val="000000"/>
                <w:kern w:val="0"/>
                <w:sz w:val="22"/>
                <w:szCs w:val="22"/>
                <w:lang w:val="en-US" w:eastAsia="zh-CN" w:bidi="ar"/>
              </w:rPr>
              <w:t>14</w:t>
            </w:r>
          </w:p>
        </w:tc>
        <w:tc>
          <w:tcPr>
            <w:tcW w:w="0" w:type="auto"/>
            <w:vMerge w:val="restart"/>
            <w:shd w:val="clear" w:color="auto" w:fill="auto"/>
            <w:noWrap/>
            <w:vAlign w:val="center"/>
          </w:tcPr>
          <w:p w14:paraId="2A0806C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bCs/>
                <w:color w:val="000000"/>
                <w:kern w:val="0"/>
                <w:sz w:val="22"/>
                <w:szCs w:val="22"/>
              </w:rPr>
            </w:pPr>
            <w:r>
              <w:rPr>
                <w:rFonts w:hint="default" w:ascii="Times New Roman" w:hAnsi="Times New Roman" w:eastAsia="宋体" w:cs="Times New Roman"/>
                <w:b/>
                <w:bCs/>
                <w:color w:val="000000"/>
                <w:kern w:val="0"/>
                <w:sz w:val="22"/>
                <w:szCs w:val="22"/>
                <w:lang w:val="en-US" w:eastAsia="zh-CN" w:bidi="ar"/>
              </w:rPr>
              <w:t>4</w:t>
            </w:r>
          </w:p>
        </w:tc>
        <w:tc>
          <w:tcPr>
            <w:tcW w:w="0" w:type="auto"/>
            <w:vMerge w:val="restart"/>
            <w:shd w:val="clear" w:color="auto" w:fill="auto"/>
            <w:noWrap/>
            <w:vAlign w:val="center"/>
          </w:tcPr>
          <w:p w14:paraId="51C030D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p>
        </w:tc>
      </w:tr>
      <w:tr w14:paraId="6A9448D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0" w:type="auto"/>
            <w:vMerge w:val="continue"/>
            <w:shd w:val="clear" w:color="auto" w:fill="auto"/>
            <w:vAlign w:val="center"/>
          </w:tcPr>
          <w:p w14:paraId="5E662057">
            <w:pPr>
              <w:keepNext w:val="0"/>
              <w:keepLines w:val="0"/>
              <w:widowControl/>
              <w:suppressLineNumbers w:val="0"/>
              <w:spacing w:before="0" w:beforeAutospacing="0" w:afterAutospacing="0"/>
              <w:ind w:left="0" w:right="0"/>
              <w:jc w:val="left"/>
              <w:rPr>
                <w:rFonts w:hint="default" w:ascii="Times New Roman" w:hAnsi="Times New Roman" w:cs="Times New Roman"/>
                <w:sz w:val="20"/>
                <w:szCs w:val="20"/>
              </w:rPr>
            </w:pPr>
          </w:p>
        </w:tc>
        <w:tc>
          <w:tcPr>
            <w:tcW w:w="0" w:type="auto"/>
            <w:shd w:val="clear" w:color="auto" w:fill="auto"/>
            <w:noWrap/>
            <w:vAlign w:val="center"/>
          </w:tcPr>
          <w:p w14:paraId="08BE2E1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07FD0CE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0783762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03A0164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16C50E7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5E57604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52C638C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0319CF8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1C6354D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436" w:type="dxa"/>
            <w:shd w:val="clear" w:color="auto" w:fill="auto"/>
            <w:noWrap/>
            <w:vAlign w:val="center"/>
          </w:tcPr>
          <w:p w14:paraId="586F35A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436" w:type="dxa"/>
            <w:shd w:val="clear" w:color="auto" w:fill="auto"/>
            <w:noWrap/>
            <w:vAlign w:val="center"/>
          </w:tcPr>
          <w:p w14:paraId="15BC6A8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72F5EB5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2AF453E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4566F39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48326D3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L</w:t>
            </w:r>
          </w:p>
        </w:tc>
        <w:tc>
          <w:tcPr>
            <w:tcW w:w="0" w:type="auto"/>
            <w:shd w:val="clear" w:color="auto" w:fill="auto"/>
            <w:noWrap/>
            <w:vAlign w:val="center"/>
          </w:tcPr>
          <w:p w14:paraId="59CFCBB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R</w:t>
            </w:r>
          </w:p>
        </w:tc>
        <w:tc>
          <w:tcPr>
            <w:tcW w:w="0" w:type="auto"/>
            <w:vMerge w:val="continue"/>
            <w:shd w:val="clear" w:color="auto" w:fill="auto"/>
            <w:vAlign w:val="center"/>
          </w:tcPr>
          <w:p w14:paraId="105A2A05">
            <w:pPr>
              <w:keepNext w:val="0"/>
              <w:keepLines w:val="0"/>
              <w:widowControl/>
              <w:suppressLineNumbers w:val="0"/>
              <w:spacing w:before="0" w:beforeAutospacing="0" w:afterAutospacing="0"/>
              <w:ind w:left="0" w:right="0"/>
              <w:jc w:val="center"/>
              <w:rPr>
                <w:rFonts w:hint="default" w:ascii="Times New Roman" w:hAnsi="Times New Roman" w:cs="Times New Roman"/>
                <w:sz w:val="20"/>
                <w:szCs w:val="20"/>
              </w:rPr>
            </w:pPr>
          </w:p>
        </w:tc>
        <w:tc>
          <w:tcPr>
            <w:tcW w:w="0" w:type="auto"/>
            <w:vMerge w:val="continue"/>
            <w:shd w:val="clear" w:color="auto" w:fill="auto"/>
            <w:noWrap/>
            <w:vAlign w:val="center"/>
          </w:tcPr>
          <w:p w14:paraId="2321F93D">
            <w:pPr>
              <w:keepNext w:val="0"/>
              <w:keepLines w:val="0"/>
              <w:widowControl/>
              <w:suppressLineNumbers w:val="0"/>
              <w:spacing w:before="0" w:beforeAutospacing="0" w:afterAutospacing="0"/>
              <w:ind w:left="0" w:right="0"/>
              <w:jc w:val="center"/>
              <w:rPr>
                <w:rFonts w:hint="default" w:ascii="Times New Roman" w:hAnsi="Times New Roman" w:cs="Times New Roman"/>
                <w:sz w:val="20"/>
                <w:szCs w:val="20"/>
              </w:rPr>
            </w:pPr>
          </w:p>
        </w:tc>
        <w:tc>
          <w:tcPr>
            <w:tcW w:w="0" w:type="auto"/>
            <w:vMerge w:val="continue"/>
            <w:shd w:val="clear" w:color="auto" w:fill="auto"/>
            <w:noWrap/>
            <w:vAlign w:val="center"/>
          </w:tcPr>
          <w:p w14:paraId="08F4F710">
            <w:pPr>
              <w:keepNext w:val="0"/>
              <w:keepLines w:val="0"/>
              <w:widowControl/>
              <w:suppressLineNumbers w:val="0"/>
              <w:spacing w:before="0" w:beforeAutospacing="0" w:afterAutospacing="0"/>
              <w:ind w:left="0" w:right="0"/>
              <w:jc w:val="center"/>
              <w:rPr>
                <w:rFonts w:hint="default" w:ascii="Times New Roman" w:hAnsi="Times New Roman" w:cs="Times New Roman"/>
                <w:sz w:val="20"/>
                <w:szCs w:val="20"/>
              </w:rPr>
            </w:pPr>
          </w:p>
        </w:tc>
        <w:tc>
          <w:tcPr>
            <w:tcW w:w="0" w:type="auto"/>
            <w:vMerge w:val="continue"/>
            <w:shd w:val="clear" w:color="auto" w:fill="auto"/>
            <w:noWrap/>
            <w:vAlign w:val="center"/>
          </w:tcPr>
          <w:p w14:paraId="7A409E6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p>
        </w:tc>
      </w:tr>
      <w:tr w14:paraId="24A1B02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0" w:hRule="atLeast"/>
        </w:trPr>
        <w:tc>
          <w:tcPr>
            <w:tcW w:w="0" w:type="auto"/>
            <w:vMerge w:val="continue"/>
            <w:shd w:val="clear" w:color="auto" w:fill="auto"/>
            <w:vAlign w:val="center"/>
          </w:tcPr>
          <w:p w14:paraId="73163F8B">
            <w:pPr>
              <w:keepNext w:val="0"/>
              <w:keepLines w:val="0"/>
              <w:widowControl/>
              <w:suppressLineNumbers w:val="0"/>
              <w:spacing w:before="0" w:beforeAutospacing="0" w:afterAutospacing="0"/>
              <w:ind w:left="0" w:right="0"/>
              <w:jc w:val="left"/>
              <w:rPr>
                <w:rFonts w:hint="default" w:ascii="Times New Roman" w:hAnsi="Times New Roman" w:cs="Times New Roman"/>
                <w:sz w:val="20"/>
                <w:szCs w:val="20"/>
              </w:rPr>
            </w:pPr>
          </w:p>
        </w:tc>
        <w:tc>
          <w:tcPr>
            <w:tcW w:w="0" w:type="auto"/>
            <w:shd w:val="clear" w:color="auto" w:fill="auto"/>
            <w:noWrap/>
            <w:vAlign w:val="center"/>
          </w:tcPr>
          <w:p w14:paraId="40E4B88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43A0616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3EFED06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61268FB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20021BA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6C882E7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715CC8B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w:t>
            </w:r>
          </w:p>
        </w:tc>
        <w:tc>
          <w:tcPr>
            <w:tcW w:w="0" w:type="auto"/>
            <w:shd w:val="clear" w:color="auto" w:fill="auto"/>
            <w:noWrap/>
            <w:vAlign w:val="center"/>
          </w:tcPr>
          <w:p w14:paraId="006FD6F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15424AF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436" w:type="dxa"/>
            <w:shd w:val="clear" w:color="auto" w:fill="auto"/>
            <w:noWrap/>
            <w:vAlign w:val="center"/>
          </w:tcPr>
          <w:p w14:paraId="215E88D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w:t>
            </w:r>
          </w:p>
        </w:tc>
        <w:tc>
          <w:tcPr>
            <w:tcW w:w="436" w:type="dxa"/>
            <w:shd w:val="clear" w:color="auto" w:fill="auto"/>
            <w:noWrap/>
            <w:vAlign w:val="center"/>
          </w:tcPr>
          <w:p w14:paraId="2110E3C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4B99534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245322D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1AC15AB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0ED554A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0</w:t>
            </w:r>
          </w:p>
        </w:tc>
        <w:tc>
          <w:tcPr>
            <w:tcW w:w="0" w:type="auto"/>
            <w:shd w:val="clear" w:color="auto" w:fill="auto"/>
            <w:noWrap/>
            <w:vAlign w:val="center"/>
          </w:tcPr>
          <w:p w14:paraId="64C6A33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0</w:t>
            </w:r>
          </w:p>
        </w:tc>
        <w:tc>
          <w:tcPr>
            <w:tcW w:w="0" w:type="auto"/>
            <w:shd w:val="clear" w:color="auto" w:fill="auto"/>
            <w:noWrap/>
            <w:vAlign w:val="center"/>
          </w:tcPr>
          <w:p w14:paraId="52CC513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w:t>
            </w:r>
          </w:p>
        </w:tc>
        <w:tc>
          <w:tcPr>
            <w:tcW w:w="0" w:type="auto"/>
            <w:vMerge w:val="continue"/>
            <w:shd w:val="clear" w:color="auto" w:fill="auto"/>
            <w:noWrap/>
            <w:vAlign w:val="center"/>
          </w:tcPr>
          <w:p w14:paraId="2E50FEBD">
            <w:pPr>
              <w:keepNext w:val="0"/>
              <w:keepLines w:val="0"/>
              <w:widowControl/>
              <w:suppressLineNumbers w:val="0"/>
              <w:spacing w:before="0" w:beforeAutospacing="0" w:afterAutospacing="0"/>
              <w:ind w:left="0" w:right="0"/>
              <w:jc w:val="center"/>
              <w:rPr>
                <w:rFonts w:hint="default" w:ascii="Times New Roman" w:hAnsi="Times New Roman" w:cs="Times New Roman"/>
                <w:sz w:val="20"/>
                <w:szCs w:val="20"/>
              </w:rPr>
            </w:pPr>
          </w:p>
        </w:tc>
        <w:tc>
          <w:tcPr>
            <w:tcW w:w="0" w:type="auto"/>
            <w:vMerge w:val="continue"/>
            <w:shd w:val="clear" w:color="auto" w:fill="auto"/>
            <w:noWrap/>
            <w:vAlign w:val="center"/>
          </w:tcPr>
          <w:p w14:paraId="29B4A788">
            <w:pPr>
              <w:keepNext w:val="0"/>
              <w:keepLines w:val="0"/>
              <w:widowControl/>
              <w:suppressLineNumbers w:val="0"/>
              <w:spacing w:before="0" w:beforeAutospacing="0" w:afterAutospacing="0"/>
              <w:ind w:left="0" w:right="0"/>
              <w:jc w:val="center"/>
              <w:rPr>
                <w:rFonts w:hint="default" w:ascii="Times New Roman" w:hAnsi="Times New Roman" w:cs="Times New Roman"/>
                <w:sz w:val="20"/>
                <w:szCs w:val="20"/>
              </w:rPr>
            </w:pPr>
          </w:p>
        </w:tc>
        <w:tc>
          <w:tcPr>
            <w:tcW w:w="0" w:type="auto"/>
            <w:vMerge w:val="continue"/>
            <w:shd w:val="clear" w:color="auto" w:fill="auto"/>
            <w:noWrap/>
            <w:vAlign w:val="center"/>
          </w:tcPr>
          <w:p w14:paraId="2C67425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p>
        </w:tc>
      </w:tr>
      <w:tr w14:paraId="4BC1B60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0" w:type="auto"/>
            <w:vMerge w:val="continue"/>
            <w:shd w:val="clear" w:color="auto" w:fill="auto"/>
            <w:vAlign w:val="center"/>
          </w:tcPr>
          <w:p w14:paraId="747F242C">
            <w:pPr>
              <w:keepNext w:val="0"/>
              <w:keepLines w:val="0"/>
              <w:widowControl/>
              <w:suppressLineNumbers w:val="0"/>
              <w:spacing w:before="0" w:beforeAutospacing="0" w:afterAutospacing="0"/>
              <w:ind w:left="0" w:right="0"/>
              <w:jc w:val="left"/>
              <w:rPr>
                <w:rFonts w:hint="default" w:ascii="Times New Roman" w:hAnsi="Times New Roman" w:cs="Times New Roman"/>
                <w:sz w:val="20"/>
                <w:szCs w:val="20"/>
              </w:rPr>
            </w:pPr>
          </w:p>
        </w:tc>
        <w:tc>
          <w:tcPr>
            <w:tcW w:w="0" w:type="auto"/>
            <w:gridSpan w:val="2"/>
            <w:shd w:val="clear" w:color="auto" w:fill="auto"/>
            <w:noWrap/>
            <w:vAlign w:val="center"/>
          </w:tcPr>
          <w:p w14:paraId="38D7A63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bscript"/>
                <w:lang w:val="en-US" w:eastAsia="zh-CN" w:bidi="ar"/>
              </w:rPr>
              <w:t>2</w:t>
            </w:r>
          </w:p>
        </w:tc>
        <w:tc>
          <w:tcPr>
            <w:tcW w:w="0" w:type="auto"/>
            <w:gridSpan w:val="2"/>
            <w:shd w:val="clear" w:color="auto" w:fill="auto"/>
            <w:noWrap/>
            <w:vAlign w:val="center"/>
          </w:tcPr>
          <w:p w14:paraId="68D512E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bscript"/>
                <w:lang w:val="en-US" w:eastAsia="zh-CN" w:bidi="ar"/>
              </w:rPr>
              <w:t>3</w:t>
            </w:r>
          </w:p>
        </w:tc>
        <w:tc>
          <w:tcPr>
            <w:tcW w:w="0" w:type="auto"/>
            <w:gridSpan w:val="2"/>
            <w:shd w:val="clear" w:color="auto" w:fill="auto"/>
            <w:noWrap/>
            <w:vAlign w:val="center"/>
          </w:tcPr>
          <w:p w14:paraId="6C6DB76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DP</w:t>
            </w:r>
            <w:r>
              <w:rPr>
                <w:rFonts w:hint="default" w:ascii="Times New Roman" w:hAnsi="Times New Roman" w:eastAsia="宋体" w:cs="Times New Roman"/>
                <w:color w:val="000000"/>
                <w:kern w:val="0"/>
                <w:sz w:val="22"/>
                <w:szCs w:val="22"/>
                <w:vertAlign w:val="subscript"/>
                <w:lang w:val="en-US" w:eastAsia="zh-CN" w:bidi="ar"/>
              </w:rPr>
              <w:t>4</w:t>
            </w:r>
          </w:p>
        </w:tc>
        <w:tc>
          <w:tcPr>
            <w:tcW w:w="0" w:type="auto"/>
            <w:gridSpan w:val="2"/>
            <w:shd w:val="clear" w:color="auto" w:fill="auto"/>
            <w:noWrap/>
            <w:vAlign w:val="center"/>
          </w:tcPr>
          <w:p w14:paraId="403E9FF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bscript"/>
                <w:lang w:val="en-US" w:eastAsia="zh-CN" w:bidi="ar"/>
              </w:rPr>
              <w:t>2</w:t>
            </w:r>
          </w:p>
        </w:tc>
        <w:tc>
          <w:tcPr>
            <w:tcW w:w="872" w:type="dxa"/>
            <w:gridSpan w:val="2"/>
            <w:shd w:val="clear" w:color="auto" w:fill="auto"/>
            <w:noWrap/>
            <w:vAlign w:val="center"/>
          </w:tcPr>
          <w:p w14:paraId="670176B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bscript"/>
                <w:lang w:val="en-US" w:eastAsia="zh-CN" w:bidi="ar"/>
              </w:rPr>
              <w:t>3</w:t>
            </w:r>
          </w:p>
        </w:tc>
        <w:tc>
          <w:tcPr>
            <w:tcW w:w="872" w:type="dxa"/>
            <w:gridSpan w:val="2"/>
            <w:shd w:val="clear" w:color="auto" w:fill="auto"/>
            <w:noWrap/>
            <w:vAlign w:val="center"/>
          </w:tcPr>
          <w:p w14:paraId="30539CB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w:t>
            </w:r>
            <w:r>
              <w:rPr>
                <w:rFonts w:hint="default" w:ascii="Times New Roman" w:hAnsi="Times New Roman" w:eastAsia="宋体" w:cs="Times New Roman"/>
                <w:color w:val="000000"/>
                <w:kern w:val="0"/>
                <w:sz w:val="22"/>
                <w:szCs w:val="22"/>
                <w:vertAlign w:val="subscript"/>
                <w:lang w:val="en-US" w:eastAsia="zh-CN" w:bidi="ar"/>
              </w:rPr>
              <w:t>4</w:t>
            </w:r>
          </w:p>
        </w:tc>
        <w:tc>
          <w:tcPr>
            <w:tcW w:w="0" w:type="auto"/>
            <w:gridSpan w:val="2"/>
            <w:shd w:val="clear" w:color="auto" w:fill="auto"/>
            <w:noWrap/>
            <w:vAlign w:val="center"/>
          </w:tcPr>
          <w:p w14:paraId="4A421F9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bscript"/>
                <w:lang w:val="en-US" w:eastAsia="zh-CN" w:bidi="ar"/>
              </w:rPr>
              <w:t>1</w:t>
            </w:r>
            <w:r>
              <w:rPr>
                <w:rFonts w:hint="default" w:ascii="Times New Roman" w:hAnsi="Times New Roman" w:eastAsia="宋体" w:cs="Times New Roman"/>
                <w:color w:val="000000"/>
                <w:kern w:val="0"/>
                <w:sz w:val="22"/>
                <w:szCs w:val="22"/>
                <w:vertAlign w:val="superscript"/>
                <w:lang w:val="en-US" w:eastAsia="zh-CN" w:bidi="ar"/>
              </w:rPr>
              <w:t xml:space="preserve"> </w:t>
            </w:r>
            <w:r>
              <w:rPr>
                <w:rFonts w:hint="default"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vertAlign w:val="subscript"/>
                <w:lang w:val="en-US" w:eastAsia="zh-CN" w:bidi="ar"/>
              </w:rPr>
              <w:t>2</w:t>
            </w:r>
          </w:p>
        </w:tc>
        <w:tc>
          <w:tcPr>
            <w:tcW w:w="0" w:type="auto"/>
            <w:gridSpan w:val="2"/>
            <w:shd w:val="clear" w:color="auto" w:fill="auto"/>
            <w:noWrap/>
            <w:vAlign w:val="center"/>
          </w:tcPr>
          <w:p w14:paraId="57900ED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M</w:t>
            </w:r>
            <w:r>
              <w:rPr>
                <w:rFonts w:hint="default" w:ascii="Times New Roman" w:hAnsi="Times New Roman" w:eastAsia="宋体" w:cs="Times New Roman"/>
                <w:b w:val="0"/>
                <w:bCs w:val="0"/>
                <w:color w:val="000000"/>
                <w:kern w:val="0"/>
                <w:sz w:val="22"/>
                <w:szCs w:val="22"/>
                <w:vertAlign w:val="subscript"/>
                <w:lang w:val="en-US" w:eastAsia="zh-CN" w:bidi="ar"/>
              </w:rPr>
              <w:t>3</w:t>
            </w:r>
          </w:p>
        </w:tc>
        <w:tc>
          <w:tcPr>
            <w:tcW w:w="0" w:type="auto"/>
            <w:vMerge w:val="restart"/>
            <w:shd w:val="clear" w:color="auto" w:fill="auto"/>
            <w:vAlign w:val="center"/>
          </w:tcPr>
          <w:p w14:paraId="17621C5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Lower teeth</w:t>
            </w:r>
          </w:p>
        </w:tc>
        <w:tc>
          <w:tcPr>
            <w:tcW w:w="0" w:type="auto"/>
            <w:vMerge w:val="continue"/>
            <w:shd w:val="clear" w:color="auto" w:fill="auto"/>
            <w:noWrap/>
            <w:vAlign w:val="center"/>
          </w:tcPr>
          <w:p w14:paraId="3D8039C5">
            <w:pPr>
              <w:keepNext w:val="0"/>
              <w:keepLines w:val="0"/>
              <w:widowControl/>
              <w:suppressLineNumbers w:val="0"/>
              <w:spacing w:before="0" w:beforeAutospacing="0" w:afterAutospacing="0"/>
              <w:ind w:left="0" w:right="0"/>
              <w:jc w:val="center"/>
              <w:rPr>
                <w:rFonts w:hint="default" w:ascii="Times New Roman" w:hAnsi="Times New Roman" w:cs="Times New Roman"/>
                <w:sz w:val="20"/>
                <w:szCs w:val="20"/>
              </w:rPr>
            </w:pPr>
          </w:p>
        </w:tc>
        <w:tc>
          <w:tcPr>
            <w:tcW w:w="0" w:type="auto"/>
            <w:vMerge w:val="continue"/>
            <w:shd w:val="clear" w:color="auto" w:fill="auto"/>
            <w:noWrap/>
            <w:vAlign w:val="center"/>
          </w:tcPr>
          <w:p w14:paraId="0B17602B">
            <w:pPr>
              <w:keepNext w:val="0"/>
              <w:keepLines w:val="0"/>
              <w:widowControl/>
              <w:suppressLineNumbers w:val="0"/>
              <w:spacing w:before="0" w:beforeAutospacing="0" w:afterAutospacing="0"/>
              <w:ind w:left="0" w:right="0"/>
              <w:jc w:val="center"/>
              <w:rPr>
                <w:rFonts w:hint="default" w:ascii="Times New Roman" w:hAnsi="Times New Roman" w:cs="Times New Roman"/>
                <w:sz w:val="20"/>
                <w:szCs w:val="20"/>
              </w:rPr>
            </w:pPr>
          </w:p>
        </w:tc>
        <w:tc>
          <w:tcPr>
            <w:tcW w:w="0" w:type="auto"/>
            <w:vMerge w:val="continue"/>
            <w:shd w:val="clear" w:color="auto" w:fill="auto"/>
            <w:noWrap/>
            <w:vAlign w:val="center"/>
          </w:tcPr>
          <w:p w14:paraId="451B2E8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p>
        </w:tc>
      </w:tr>
      <w:tr w14:paraId="5E9324E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0" w:type="auto"/>
            <w:vMerge w:val="continue"/>
            <w:shd w:val="clear" w:color="auto" w:fill="auto"/>
            <w:vAlign w:val="center"/>
          </w:tcPr>
          <w:p w14:paraId="60DCA3F9">
            <w:pPr>
              <w:keepNext w:val="0"/>
              <w:keepLines w:val="0"/>
              <w:widowControl/>
              <w:suppressLineNumbers w:val="0"/>
              <w:spacing w:before="0" w:beforeAutospacing="0" w:afterAutospacing="0"/>
              <w:ind w:left="0" w:right="0"/>
              <w:jc w:val="left"/>
              <w:rPr>
                <w:rFonts w:hint="default" w:ascii="Times New Roman" w:hAnsi="Times New Roman" w:cs="Times New Roman"/>
                <w:sz w:val="20"/>
                <w:szCs w:val="20"/>
              </w:rPr>
            </w:pPr>
          </w:p>
        </w:tc>
        <w:tc>
          <w:tcPr>
            <w:tcW w:w="0" w:type="auto"/>
            <w:shd w:val="clear" w:color="auto" w:fill="auto"/>
            <w:noWrap/>
            <w:vAlign w:val="center"/>
          </w:tcPr>
          <w:p w14:paraId="15CC2DA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1FF9CE6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481CE17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5618667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41C7AF5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7F6AFEE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4AAF447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4B2626A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20BAF1F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436" w:type="dxa"/>
            <w:shd w:val="clear" w:color="auto" w:fill="auto"/>
            <w:noWrap/>
            <w:vAlign w:val="center"/>
          </w:tcPr>
          <w:p w14:paraId="492DC79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436" w:type="dxa"/>
            <w:shd w:val="clear" w:color="auto" w:fill="auto"/>
            <w:noWrap/>
            <w:vAlign w:val="center"/>
          </w:tcPr>
          <w:p w14:paraId="0CE89B9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31EACBF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041C7D2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L</w:t>
            </w:r>
          </w:p>
        </w:tc>
        <w:tc>
          <w:tcPr>
            <w:tcW w:w="0" w:type="auto"/>
            <w:shd w:val="clear" w:color="auto" w:fill="auto"/>
            <w:noWrap/>
            <w:vAlign w:val="center"/>
          </w:tcPr>
          <w:p w14:paraId="3CB18C9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R</w:t>
            </w:r>
          </w:p>
        </w:tc>
        <w:tc>
          <w:tcPr>
            <w:tcW w:w="0" w:type="auto"/>
            <w:shd w:val="clear" w:color="auto" w:fill="auto"/>
            <w:noWrap/>
            <w:vAlign w:val="center"/>
          </w:tcPr>
          <w:p w14:paraId="35216B0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L</w:t>
            </w:r>
          </w:p>
        </w:tc>
        <w:tc>
          <w:tcPr>
            <w:tcW w:w="0" w:type="auto"/>
            <w:shd w:val="clear" w:color="auto" w:fill="auto"/>
            <w:noWrap/>
            <w:vAlign w:val="center"/>
          </w:tcPr>
          <w:p w14:paraId="2EB2181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R</w:t>
            </w:r>
          </w:p>
        </w:tc>
        <w:tc>
          <w:tcPr>
            <w:tcW w:w="0" w:type="auto"/>
            <w:vMerge w:val="continue"/>
            <w:shd w:val="clear" w:color="auto" w:fill="auto"/>
            <w:vAlign w:val="center"/>
          </w:tcPr>
          <w:p w14:paraId="735CE205">
            <w:pPr>
              <w:keepNext w:val="0"/>
              <w:keepLines w:val="0"/>
              <w:widowControl/>
              <w:suppressLineNumbers w:val="0"/>
              <w:spacing w:before="0" w:beforeAutospacing="0" w:afterAutospacing="0"/>
              <w:ind w:left="0" w:right="0"/>
              <w:jc w:val="center"/>
              <w:rPr>
                <w:rFonts w:hint="default" w:ascii="Times New Roman" w:hAnsi="Times New Roman" w:cs="Times New Roman"/>
                <w:sz w:val="20"/>
                <w:szCs w:val="20"/>
              </w:rPr>
            </w:pPr>
          </w:p>
        </w:tc>
        <w:tc>
          <w:tcPr>
            <w:tcW w:w="0" w:type="auto"/>
            <w:vMerge w:val="continue"/>
            <w:shd w:val="clear" w:color="auto" w:fill="auto"/>
            <w:noWrap/>
            <w:vAlign w:val="center"/>
          </w:tcPr>
          <w:p w14:paraId="3C8485CD">
            <w:pPr>
              <w:keepNext w:val="0"/>
              <w:keepLines w:val="0"/>
              <w:widowControl/>
              <w:suppressLineNumbers w:val="0"/>
              <w:spacing w:before="0" w:beforeAutospacing="0" w:afterAutospacing="0"/>
              <w:ind w:left="0" w:right="0"/>
              <w:jc w:val="center"/>
              <w:rPr>
                <w:rFonts w:hint="default" w:ascii="Times New Roman" w:hAnsi="Times New Roman" w:cs="Times New Roman"/>
                <w:sz w:val="20"/>
                <w:szCs w:val="20"/>
              </w:rPr>
            </w:pPr>
          </w:p>
        </w:tc>
        <w:tc>
          <w:tcPr>
            <w:tcW w:w="0" w:type="auto"/>
            <w:vMerge w:val="continue"/>
            <w:shd w:val="clear" w:color="auto" w:fill="auto"/>
            <w:noWrap/>
            <w:vAlign w:val="center"/>
          </w:tcPr>
          <w:p w14:paraId="1C9627F7">
            <w:pPr>
              <w:keepNext w:val="0"/>
              <w:keepLines w:val="0"/>
              <w:widowControl/>
              <w:suppressLineNumbers w:val="0"/>
              <w:spacing w:before="0" w:beforeAutospacing="0" w:afterAutospacing="0"/>
              <w:ind w:left="0" w:right="0"/>
              <w:jc w:val="center"/>
              <w:rPr>
                <w:rFonts w:hint="default" w:ascii="Times New Roman" w:hAnsi="Times New Roman" w:cs="Times New Roman"/>
                <w:sz w:val="20"/>
                <w:szCs w:val="20"/>
              </w:rPr>
            </w:pPr>
          </w:p>
        </w:tc>
        <w:tc>
          <w:tcPr>
            <w:tcW w:w="0" w:type="auto"/>
            <w:vMerge w:val="continue"/>
            <w:shd w:val="clear" w:color="auto" w:fill="auto"/>
            <w:noWrap/>
            <w:vAlign w:val="center"/>
          </w:tcPr>
          <w:p w14:paraId="34A080E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p>
        </w:tc>
      </w:tr>
      <w:tr w14:paraId="6A18C2B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0" w:type="auto"/>
            <w:vMerge w:val="continue"/>
            <w:shd w:val="clear" w:color="auto" w:fill="auto"/>
            <w:vAlign w:val="center"/>
          </w:tcPr>
          <w:p w14:paraId="5DF614DB">
            <w:pPr>
              <w:keepNext w:val="0"/>
              <w:keepLines w:val="0"/>
              <w:widowControl/>
              <w:suppressLineNumbers w:val="0"/>
              <w:spacing w:before="0" w:beforeAutospacing="0" w:afterAutospacing="0"/>
              <w:ind w:left="0" w:right="0"/>
              <w:jc w:val="left"/>
              <w:rPr>
                <w:rFonts w:hint="default" w:ascii="Times New Roman" w:hAnsi="Times New Roman" w:cs="Times New Roman"/>
                <w:sz w:val="20"/>
                <w:szCs w:val="20"/>
              </w:rPr>
            </w:pPr>
          </w:p>
        </w:tc>
        <w:tc>
          <w:tcPr>
            <w:tcW w:w="0" w:type="auto"/>
            <w:shd w:val="clear" w:color="auto" w:fill="auto"/>
            <w:noWrap/>
            <w:vAlign w:val="center"/>
          </w:tcPr>
          <w:p w14:paraId="79D8351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409F9F5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5E3ADDD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658B8FA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2F423F8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4758E2F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598FCD6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w:t>
            </w:r>
          </w:p>
        </w:tc>
        <w:tc>
          <w:tcPr>
            <w:tcW w:w="0" w:type="auto"/>
            <w:shd w:val="clear" w:color="auto" w:fill="auto"/>
            <w:noWrap/>
            <w:vAlign w:val="center"/>
          </w:tcPr>
          <w:p w14:paraId="723D425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w:t>
            </w:r>
          </w:p>
        </w:tc>
        <w:tc>
          <w:tcPr>
            <w:tcW w:w="0" w:type="auto"/>
            <w:shd w:val="clear" w:color="auto" w:fill="auto"/>
            <w:noWrap/>
            <w:vAlign w:val="center"/>
          </w:tcPr>
          <w:p w14:paraId="460CB9F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4</w:t>
            </w:r>
          </w:p>
        </w:tc>
        <w:tc>
          <w:tcPr>
            <w:tcW w:w="436" w:type="dxa"/>
            <w:shd w:val="clear" w:color="auto" w:fill="auto"/>
            <w:noWrap/>
            <w:vAlign w:val="center"/>
          </w:tcPr>
          <w:p w14:paraId="05B1F22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0</w:t>
            </w:r>
          </w:p>
        </w:tc>
        <w:tc>
          <w:tcPr>
            <w:tcW w:w="436" w:type="dxa"/>
            <w:shd w:val="clear" w:color="auto" w:fill="auto"/>
            <w:noWrap/>
            <w:vAlign w:val="center"/>
          </w:tcPr>
          <w:p w14:paraId="3F51314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2</w:t>
            </w:r>
          </w:p>
        </w:tc>
        <w:tc>
          <w:tcPr>
            <w:tcW w:w="0" w:type="auto"/>
            <w:shd w:val="clear" w:color="auto" w:fill="auto"/>
            <w:noWrap/>
            <w:vAlign w:val="center"/>
          </w:tcPr>
          <w:p w14:paraId="71F8F39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38FF851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2</w:t>
            </w:r>
          </w:p>
        </w:tc>
        <w:tc>
          <w:tcPr>
            <w:tcW w:w="0" w:type="auto"/>
            <w:shd w:val="clear" w:color="auto" w:fill="auto"/>
            <w:noWrap/>
            <w:vAlign w:val="center"/>
          </w:tcPr>
          <w:p w14:paraId="4AD79A5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42024B2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6633742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0</w:t>
            </w:r>
          </w:p>
        </w:tc>
        <w:tc>
          <w:tcPr>
            <w:tcW w:w="0" w:type="auto"/>
            <w:shd w:val="clear" w:color="auto" w:fill="auto"/>
            <w:noWrap/>
            <w:vAlign w:val="center"/>
          </w:tcPr>
          <w:p w14:paraId="0F9F269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10</w:t>
            </w:r>
          </w:p>
        </w:tc>
        <w:tc>
          <w:tcPr>
            <w:tcW w:w="0" w:type="auto"/>
            <w:vMerge w:val="continue"/>
            <w:shd w:val="clear" w:color="auto" w:fill="auto"/>
            <w:noWrap/>
            <w:vAlign w:val="center"/>
          </w:tcPr>
          <w:p w14:paraId="22D3B9A1">
            <w:pPr>
              <w:keepNext w:val="0"/>
              <w:keepLines w:val="0"/>
              <w:widowControl/>
              <w:suppressLineNumbers w:val="0"/>
              <w:spacing w:before="0" w:beforeAutospacing="0" w:afterAutospacing="0"/>
              <w:ind w:left="0" w:right="0"/>
              <w:jc w:val="center"/>
              <w:rPr>
                <w:rFonts w:hint="default" w:ascii="Times New Roman" w:hAnsi="Times New Roman" w:cs="Times New Roman"/>
                <w:sz w:val="20"/>
                <w:szCs w:val="20"/>
              </w:rPr>
            </w:pPr>
          </w:p>
        </w:tc>
        <w:tc>
          <w:tcPr>
            <w:tcW w:w="0" w:type="auto"/>
            <w:vMerge w:val="continue"/>
            <w:shd w:val="clear" w:color="auto" w:fill="auto"/>
            <w:noWrap/>
            <w:vAlign w:val="center"/>
          </w:tcPr>
          <w:p w14:paraId="044AF10C">
            <w:pPr>
              <w:keepNext w:val="0"/>
              <w:keepLines w:val="0"/>
              <w:widowControl/>
              <w:suppressLineNumbers w:val="0"/>
              <w:spacing w:before="0" w:beforeAutospacing="0" w:afterAutospacing="0"/>
              <w:ind w:left="0" w:right="0"/>
              <w:jc w:val="center"/>
              <w:rPr>
                <w:rFonts w:hint="default" w:ascii="Times New Roman" w:hAnsi="Times New Roman" w:cs="Times New Roman"/>
                <w:sz w:val="20"/>
                <w:szCs w:val="20"/>
              </w:rPr>
            </w:pPr>
          </w:p>
        </w:tc>
        <w:tc>
          <w:tcPr>
            <w:tcW w:w="0" w:type="auto"/>
            <w:vMerge w:val="continue"/>
            <w:shd w:val="clear" w:color="auto" w:fill="auto"/>
            <w:noWrap/>
            <w:vAlign w:val="center"/>
          </w:tcPr>
          <w:p w14:paraId="7E06361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p>
        </w:tc>
      </w:tr>
      <w:tr w14:paraId="1EA32FD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8" w:hRule="atLeast"/>
        </w:trPr>
        <w:tc>
          <w:tcPr>
            <w:tcW w:w="0" w:type="auto"/>
            <w:vMerge w:val="continue"/>
            <w:shd w:val="clear" w:color="auto" w:fill="auto"/>
            <w:vAlign w:val="center"/>
          </w:tcPr>
          <w:p w14:paraId="244F5A1A">
            <w:pPr>
              <w:keepNext w:val="0"/>
              <w:keepLines w:val="0"/>
              <w:widowControl/>
              <w:suppressLineNumbers w:val="0"/>
              <w:spacing w:before="0" w:beforeAutospacing="0" w:afterAutospacing="0"/>
              <w:ind w:left="0" w:right="0"/>
              <w:rPr>
                <w:rFonts w:hint="default" w:ascii="Times New Roman" w:hAnsi="Times New Roman" w:cs="Times New Roman"/>
                <w:b w:val="0"/>
                <w:bCs w:val="0"/>
                <w:sz w:val="20"/>
                <w:szCs w:val="20"/>
              </w:rPr>
            </w:pPr>
          </w:p>
        </w:tc>
        <w:tc>
          <w:tcPr>
            <w:tcW w:w="0" w:type="auto"/>
            <w:gridSpan w:val="16"/>
            <w:shd w:val="clear" w:color="auto" w:fill="auto"/>
            <w:noWrap/>
            <w:vAlign w:val="center"/>
          </w:tcPr>
          <w:p w14:paraId="4CD4712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kern w:val="0"/>
                <w:sz w:val="22"/>
                <w:szCs w:val="22"/>
              </w:rPr>
            </w:pPr>
            <w:r>
              <w:rPr>
                <w:rFonts w:hint="default" w:ascii="Times New Roman" w:hAnsi="Times New Roman" w:eastAsia="宋体" w:cs="Times New Roman"/>
                <w:b w:val="0"/>
                <w:bCs w:val="0"/>
                <w:kern w:val="0"/>
                <w:sz w:val="22"/>
                <w:szCs w:val="22"/>
                <w:lang w:val="en-US" w:eastAsia="zh-CN" w:bidi="ar"/>
              </w:rPr>
              <w:t>L</w:t>
            </w:r>
          </w:p>
        </w:tc>
        <w:tc>
          <w:tcPr>
            <w:tcW w:w="0" w:type="auto"/>
            <w:vMerge w:val="restart"/>
            <w:shd w:val="clear" w:color="auto" w:fill="auto"/>
            <w:noWrap/>
            <w:vAlign w:val="center"/>
          </w:tcPr>
          <w:p w14:paraId="2598661D">
            <w:pPr>
              <w:keepNext w:val="0"/>
              <w:keepLines w:val="0"/>
              <w:widowControl/>
              <w:suppressLineNumbers w:val="0"/>
              <w:spacing w:before="0" w:beforeAutospacing="0" w:afterAutospacing="0"/>
              <w:ind w:left="0" w:right="0"/>
              <w:jc w:val="center"/>
              <w:rPr>
                <w:rFonts w:hint="default" w:ascii="Times New Roman" w:hAnsi="Times New Roman" w:cs="Times New Roman"/>
                <w:b w:val="0"/>
                <w:bCs w:val="0"/>
                <w:sz w:val="20"/>
                <w:szCs w:val="20"/>
              </w:rPr>
            </w:pPr>
          </w:p>
        </w:tc>
        <w:tc>
          <w:tcPr>
            <w:tcW w:w="0" w:type="auto"/>
            <w:vMerge w:val="continue"/>
            <w:shd w:val="clear" w:color="auto" w:fill="auto"/>
            <w:noWrap/>
            <w:vAlign w:val="center"/>
          </w:tcPr>
          <w:p w14:paraId="3D50606D">
            <w:pPr>
              <w:keepNext w:val="0"/>
              <w:keepLines w:val="0"/>
              <w:widowControl/>
              <w:suppressLineNumbers w:val="0"/>
              <w:spacing w:before="0" w:beforeAutospacing="0" w:afterAutospacing="0"/>
              <w:ind w:left="0" w:right="0"/>
              <w:jc w:val="center"/>
              <w:rPr>
                <w:rFonts w:hint="default" w:ascii="Times New Roman" w:hAnsi="Times New Roman" w:cs="Times New Roman"/>
                <w:sz w:val="20"/>
                <w:szCs w:val="20"/>
              </w:rPr>
            </w:pPr>
          </w:p>
        </w:tc>
        <w:tc>
          <w:tcPr>
            <w:tcW w:w="0" w:type="auto"/>
            <w:vMerge w:val="continue"/>
            <w:shd w:val="clear" w:color="auto" w:fill="auto"/>
            <w:noWrap/>
            <w:vAlign w:val="center"/>
          </w:tcPr>
          <w:p w14:paraId="216A0FAD">
            <w:pPr>
              <w:keepNext w:val="0"/>
              <w:keepLines w:val="0"/>
              <w:widowControl/>
              <w:suppressLineNumbers w:val="0"/>
              <w:spacing w:before="0" w:beforeAutospacing="0" w:afterAutospacing="0"/>
              <w:ind w:left="0" w:right="0"/>
              <w:jc w:val="center"/>
              <w:rPr>
                <w:rFonts w:hint="default" w:ascii="Times New Roman" w:hAnsi="Times New Roman" w:cs="Times New Roman"/>
                <w:sz w:val="20"/>
                <w:szCs w:val="20"/>
              </w:rPr>
            </w:pPr>
          </w:p>
        </w:tc>
        <w:tc>
          <w:tcPr>
            <w:tcW w:w="0" w:type="auto"/>
            <w:vMerge w:val="continue"/>
            <w:shd w:val="clear" w:color="auto" w:fill="auto"/>
            <w:noWrap/>
            <w:vAlign w:val="center"/>
          </w:tcPr>
          <w:p w14:paraId="6687012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p>
        </w:tc>
      </w:tr>
      <w:tr w14:paraId="29A10A6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0" w:type="auto"/>
            <w:vMerge w:val="continue"/>
            <w:shd w:val="clear" w:color="auto" w:fill="auto"/>
            <w:vAlign w:val="center"/>
          </w:tcPr>
          <w:p w14:paraId="51F5A322">
            <w:pPr>
              <w:keepNext w:val="0"/>
              <w:keepLines w:val="0"/>
              <w:widowControl/>
              <w:suppressLineNumbers w:val="0"/>
              <w:spacing w:before="0" w:beforeAutospacing="0" w:afterAutospacing="0"/>
              <w:ind w:left="0" w:right="0"/>
              <w:rPr>
                <w:rFonts w:hint="default" w:ascii="Times New Roman" w:hAnsi="Times New Roman" w:cs="Times New Roman"/>
                <w:b w:val="0"/>
                <w:bCs w:val="0"/>
                <w:sz w:val="20"/>
                <w:szCs w:val="20"/>
              </w:rPr>
            </w:pPr>
          </w:p>
        </w:tc>
        <w:tc>
          <w:tcPr>
            <w:tcW w:w="0" w:type="auto"/>
            <w:gridSpan w:val="16"/>
            <w:shd w:val="clear" w:color="auto" w:fill="auto"/>
            <w:noWrap/>
            <w:vAlign w:val="center"/>
          </w:tcPr>
          <w:p w14:paraId="29D1671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kern w:val="0"/>
                <w:sz w:val="22"/>
                <w:szCs w:val="22"/>
              </w:rPr>
            </w:pPr>
            <w:r>
              <w:rPr>
                <w:rFonts w:hint="default" w:ascii="Times New Roman" w:hAnsi="Times New Roman" w:eastAsia="宋体" w:cs="Times New Roman"/>
                <w:b w:val="0"/>
                <w:bCs w:val="0"/>
                <w:kern w:val="0"/>
                <w:sz w:val="22"/>
                <w:szCs w:val="22"/>
                <w:lang w:val="en-US" w:eastAsia="zh-CN" w:bidi="ar"/>
              </w:rPr>
              <w:t>1</w:t>
            </w:r>
          </w:p>
        </w:tc>
        <w:tc>
          <w:tcPr>
            <w:tcW w:w="0" w:type="auto"/>
            <w:vMerge w:val="continue"/>
            <w:shd w:val="clear" w:color="auto" w:fill="auto"/>
            <w:noWrap/>
            <w:vAlign w:val="center"/>
          </w:tcPr>
          <w:p w14:paraId="772DD936">
            <w:pPr>
              <w:keepNext w:val="0"/>
              <w:keepLines w:val="0"/>
              <w:widowControl/>
              <w:suppressLineNumbers w:val="0"/>
              <w:spacing w:before="0" w:beforeAutospacing="0" w:afterAutospacing="0"/>
              <w:ind w:left="0" w:right="0"/>
              <w:jc w:val="center"/>
              <w:rPr>
                <w:rFonts w:hint="default" w:ascii="Times New Roman" w:hAnsi="Times New Roman" w:cs="Times New Roman"/>
                <w:b w:val="0"/>
                <w:bCs w:val="0"/>
                <w:sz w:val="20"/>
                <w:szCs w:val="20"/>
              </w:rPr>
            </w:pPr>
          </w:p>
        </w:tc>
        <w:tc>
          <w:tcPr>
            <w:tcW w:w="0" w:type="auto"/>
            <w:vMerge w:val="continue"/>
            <w:shd w:val="clear" w:color="auto" w:fill="auto"/>
            <w:noWrap/>
            <w:vAlign w:val="center"/>
          </w:tcPr>
          <w:p w14:paraId="528B8C68">
            <w:pPr>
              <w:keepNext w:val="0"/>
              <w:keepLines w:val="0"/>
              <w:widowControl/>
              <w:suppressLineNumbers w:val="0"/>
              <w:spacing w:before="0" w:beforeAutospacing="0" w:afterAutospacing="0"/>
              <w:ind w:left="0" w:right="0"/>
              <w:jc w:val="center"/>
              <w:rPr>
                <w:rFonts w:hint="default" w:ascii="Times New Roman" w:hAnsi="Times New Roman" w:cs="Times New Roman"/>
                <w:sz w:val="20"/>
                <w:szCs w:val="20"/>
              </w:rPr>
            </w:pPr>
          </w:p>
        </w:tc>
        <w:tc>
          <w:tcPr>
            <w:tcW w:w="0" w:type="auto"/>
            <w:vMerge w:val="continue"/>
            <w:shd w:val="clear" w:color="auto" w:fill="auto"/>
            <w:noWrap/>
            <w:vAlign w:val="center"/>
          </w:tcPr>
          <w:p w14:paraId="4AC7DC50">
            <w:pPr>
              <w:keepNext w:val="0"/>
              <w:keepLines w:val="0"/>
              <w:widowControl/>
              <w:suppressLineNumbers w:val="0"/>
              <w:spacing w:before="0" w:beforeAutospacing="0" w:afterAutospacing="0"/>
              <w:ind w:left="0" w:right="0"/>
              <w:jc w:val="center"/>
              <w:rPr>
                <w:rFonts w:hint="default" w:ascii="Times New Roman" w:hAnsi="Times New Roman" w:cs="Times New Roman"/>
                <w:sz w:val="20"/>
                <w:szCs w:val="20"/>
              </w:rPr>
            </w:pPr>
          </w:p>
        </w:tc>
        <w:tc>
          <w:tcPr>
            <w:tcW w:w="0" w:type="auto"/>
            <w:vMerge w:val="continue"/>
            <w:shd w:val="clear" w:color="auto" w:fill="auto"/>
            <w:noWrap/>
            <w:vAlign w:val="center"/>
          </w:tcPr>
          <w:p w14:paraId="769F941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p>
        </w:tc>
      </w:tr>
      <w:tr w14:paraId="4A777FD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0" w:type="auto"/>
            <w:gridSpan w:val="18"/>
            <w:shd w:val="clear" w:color="auto" w:fill="auto"/>
            <w:noWrap/>
            <w:vAlign w:val="center"/>
          </w:tcPr>
          <w:p w14:paraId="146E529D">
            <w:pPr>
              <w:keepNext w:val="0"/>
              <w:keepLines w:val="0"/>
              <w:widowControl/>
              <w:suppressLineNumbers w:val="0"/>
              <w:spacing w:before="0" w:beforeAutospacing="1" w:after="0" w:afterAutospacing="0" w:line="360" w:lineRule="auto"/>
              <w:ind w:left="0" w:right="0" w:firstLine="0"/>
              <w:jc w:val="left"/>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Total</w:t>
            </w:r>
          </w:p>
        </w:tc>
        <w:tc>
          <w:tcPr>
            <w:tcW w:w="0" w:type="auto"/>
            <w:shd w:val="clear" w:color="auto" w:fill="auto"/>
            <w:noWrap/>
            <w:vAlign w:val="center"/>
          </w:tcPr>
          <w:p w14:paraId="31D96DD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bCs/>
                <w:color w:val="000000"/>
                <w:kern w:val="0"/>
                <w:sz w:val="22"/>
                <w:szCs w:val="22"/>
              </w:rPr>
            </w:pPr>
            <w:r>
              <w:rPr>
                <w:rFonts w:hint="default" w:ascii="Times New Roman" w:hAnsi="Times New Roman" w:eastAsia="宋体" w:cs="Times New Roman"/>
                <w:b/>
                <w:bCs/>
                <w:color w:val="000000"/>
                <w:kern w:val="0"/>
                <w:sz w:val="22"/>
                <w:szCs w:val="22"/>
                <w:lang w:val="en-US" w:eastAsia="zh-CN" w:bidi="ar"/>
              </w:rPr>
              <w:t>1705</w:t>
            </w:r>
          </w:p>
        </w:tc>
        <w:tc>
          <w:tcPr>
            <w:tcW w:w="0" w:type="auto"/>
            <w:shd w:val="clear" w:color="auto" w:fill="auto"/>
            <w:noWrap/>
            <w:vAlign w:val="center"/>
          </w:tcPr>
          <w:p w14:paraId="5CC8CBF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bCs/>
                <w:color w:val="000000"/>
                <w:kern w:val="0"/>
                <w:sz w:val="22"/>
                <w:szCs w:val="22"/>
              </w:rPr>
            </w:pPr>
            <w:r>
              <w:rPr>
                <w:rFonts w:hint="default" w:ascii="Times New Roman" w:hAnsi="Times New Roman" w:eastAsia="宋体" w:cs="Times New Roman"/>
                <w:b/>
                <w:bCs/>
                <w:color w:val="000000"/>
                <w:kern w:val="0"/>
                <w:sz w:val="22"/>
                <w:szCs w:val="22"/>
                <w:lang w:val="en-US" w:eastAsia="zh-CN" w:bidi="ar"/>
              </w:rPr>
              <w:t>144</w:t>
            </w:r>
          </w:p>
        </w:tc>
        <w:tc>
          <w:tcPr>
            <w:tcW w:w="0" w:type="auto"/>
            <w:shd w:val="clear" w:color="auto" w:fill="auto"/>
            <w:noWrap/>
            <w:vAlign w:val="center"/>
          </w:tcPr>
          <w:p w14:paraId="037FCD4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p>
        </w:tc>
      </w:tr>
    </w:tbl>
    <w:p w14:paraId="21FA1BAE">
      <w:pPr>
        <w:ind w:firstLine="0"/>
        <w:jc w:val="both"/>
        <w:rPr>
          <w:rFonts w:asciiTheme="majorBidi" w:hAnsiTheme="majorBidi" w:cstheme="majorBidi"/>
        </w:rPr>
      </w:pPr>
    </w:p>
    <w:p w14:paraId="3EF60BB7">
      <w:pPr>
        <w:ind w:firstLine="0"/>
        <w:jc w:val="both"/>
        <w:rPr>
          <w:rFonts w:asciiTheme="majorBidi" w:hAnsiTheme="majorBidi" w:cstheme="majorBidi"/>
        </w:rPr>
      </w:pPr>
    </w:p>
    <w:p w14:paraId="1494DEBD">
      <w:pPr>
        <w:ind w:firstLine="0"/>
        <w:jc w:val="both"/>
        <w:rPr>
          <w:rFonts w:asciiTheme="majorBidi" w:hAnsiTheme="majorBidi" w:cstheme="majorBidi"/>
        </w:rPr>
      </w:pPr>
    </w:p>
    <w:p w14:paraId="55CE6C60">
      <w:pPr>
        <w:ind w:firstLine="0"/>
        <w:jc w:val="both"/>
        <w:rPr>
          <w:rFonts w:hint="default" w:ascii="Times New Roman" w:hAnsi="Times New Roman" w:eastAsia="宋体" w:cs="Times New Roman"/>
          <w:b/>
          <w:bCs/>
          <w:color w:val="000000"/>
          <w:kern w:val="0"/>
          <w:sz w:val="24"/>
          <w:szCs w:val="24"/>
          <w:lang w:val="en-US" w:eastAsia="zh-CN" w:bidi="ar"/>
        </w:rPr>
      </w:pPr>
    </w:p>
    <w:p w14:paraId="55B460FC">
      <w:pPr>
        <w:keepNext w:val="0"/>
        <w:keepLines w:val="0"/>
        <w:pageBreakBefore w:val="0"/>
        <w:widowControl/>
        <w:kinsoku/>
        <w:wordWrap/>
        <w:overflowPunct/>
        <w:topLinePunct w:val="0"/>
        <w:autoSpaceDE/>
        <w:autoSpaceDN/>
        <w:bidi w:val="0"/>
        <w:adjustRightInd/>
        <w:snapToGrid/>
        <w:spacing w:line="240" w:lineRule="auto"/>
        <w:ind w:firstLine="0"/>
        <w:jc w:val="both"/>
        <w:textAlignment w:val="auto"/>
        <w:rPr>
          <w:rFonts w:asciiTheme="majorBidi" w:hAnsiTheme="majorBidi" w:cstheme="majorBidi"/>
        </w:rPr>
      </w:pPr>
      <w:r>
        <w:rPr>
          <w:rFonts w:hint="default" w:ascii="Times New Roman" w:hAnsi="Times New Roman" w:eastAsia="宋体" w:cs="Times New Roman"/>
          <w:b/>
          <w:bCs/>
          <w:color w:val="000000"/>
          <w:kern w:val="0"/>
          <w:sz w:val="24"/>
          <w:szCs w:val="24"/>
          <w:lang w:val="en-US" w:eastAsia="zh-CN" w:bidi="ar"/>
        </w:rPr>
        <w:t xml:space="preserve">Supplementary </w:t>
      </w:r>
      <w:r>
        <w:rPr>
          <w:rFonts w:hint="eastAsia" w:cs="Times New Roman"/>
          <w:b/>
          <w:bCs/>
          <w:color w:val="000000"/>
          <w:kern w:val="0"/>
          <w:sz w:val="24"/>
          <w:szCs w:val="24"/>
          <w:lang w:val="en-US" w:eastAsia="zh-CN" w:bidi="ar"/>
        </w:rPr>
        <w:t>T</w:t>
      </w:r>
      <w:r>
        <w:rPr>
          <w:rFonts w:hint="default" w:ascii="Times New Roman" w:hAnsi="Times New Roman" w:eastAsia="宋体" w:cs="Times New Roman"/>
          <w:b/>
          <w:bCs/>
          <w:color w:val="000000"/>
          <w:kern w:val="0"/>
          <w:sz w:val="24"/>
          <w:szCs w:val="24"/>
          <w:lang w:val="en-US" w:eastAsia="zh-CN" w:bidi="ar"/>
        </w:rPr>
        <w:t xml:space="preserve">able </w:t>
      </w:r>
      <w:r>
        <w:rPr>
          <w:rFonts w:hint="eastAsia" w:cs="Times New Roman"/>
          <w:b/>
          <w:bCs/>
          <w:color w:val="000000"/>
          <w:kern w:val="0"/>
          <w:sz w:val="24"/>
          <w:szCs w:val="24"/>
          <w:lang w:val="en-US" w:eastAsia="zh-CN" w:bidi="ar"/>
        </w:rPr>
        <w:t>29</w:t>
      </w:r>
      <w:r>
        <w:t xml:space="preserve"> |</w:t>
      </w:r>
      <w:r>
        <w:rPr>
          <w:rFonts w:hint="eastAsia"/>
        </w:rPr>
        <w:t xml:space="preserve"> </w:t>
      </w:r>
      <w:r>
        <w:rPr>
          <w:rFonts w:hint="default" w:ascii="Times New Roman" w:hAnsi="Times New Roman" w:eastAsia="宋体" w:cs="Times New Roman"/>
          <w:b w:val="0"/>
          <w:bCs w:val="0"/>
          <w:color w:val="000000"/>
          <w:kern w:val="0"/>
          <w:sz w:val="24"/>
          <w:szCs w:val="24"/>
          <w:lang w:val="en-US" w:eastAsia="zh-CN" w:bidi="ar"/>
        </w:rPr>
        <w:t xml:space="preserve">Use </w:t>
      </w:r>
      <w:r>
        <w:rPr>
          <w:rFonts w:hint="eastAsia" w:cs="Times New Roman"/>
          <w:b w:val="0"/>
          <w:bCs w:val="0"/>
          <w:color w:val="000000"/>
          <w:kern w:val="0"/>
          <w:sz w:val="24"/>
          <w:szCs w:val="24"/>
          <w:lang w:val="en-US" w:eastAsia="zh-CN" w:bidi="ar"/>
        </w:rPr>
        <w:t>d</w:t>
      </w:r>
      <w:r>
        <w:rPr>
          <w:rFonts w:hint="default" w:ascii="Times New Roman" w:hAnsi="Times New Roman" w:eastAsia="宋体" w:cs="Times New Roman"/>
          <w:b w:val="0"/>
          <w:bCs w:val="0"/>
          <w:color w:val="000000"/>
          <w:kern w:val="0"/>
          <w:sz w:val="24"/>
          <w:szCs w:val="24"/>
          <w:lang w:val="en-US" w:eastAsia="zh-CN" w:bidi="ar"/>
        </w:rPr>
        <w:t xml:space="preserve">ental </w:t>
      </w:r>
      <w:r>
        <w:rPr>
          <w:rFonts w:hint="eastAsia" w:cs="Times New Roman"/>
          <w:b w:val="0"/>
          <w:bCs w:val="0"/>
          <w:color w:val="000000"/>
          <w:kern w:val="0"/>
          <w:sz w:val="24"/>
          <w:szCs w:val="24"/>
          <w:lang w:val="en-US" w:eastAsia="zh-CN" w:bidi="ar"/>
        </w:rPr>
        <w:t>c</w:t>
      </w:r>
      <w:r>
        <w:rPr>
          <w:rFonts w:hint="default" w:ascii="Times New Roman" w:hAnsi="Times New Roman" w:eastAsia="宋体" w:cs="Times New Roman"/>
          <w:b w:val="0"/>
          <w:bCs w:val="0"/>
          <w:color w:val="000000"/>
          <w:kern w:val="0"/>
          <w:sz w:val="24"/>
          <w:szCs w:val="24"/>
          <w:lang w:val="en-US" w:eastAsia="zh-CN" w:bidi="ar"/>
        </w:rPr>
        <w:t xml:space="preserve">rown </w:t>
      </w:r>
      <w:r>
        <w:rPr>
          <w:rFonts w:hint="eastAsia" w:cs="Times New Roman"/>
          <w:b w:val="0"/>
          <w:bCs w:val="0"/>
          <w:color w:val="000000"/>
          <w:kern w:val="0"/>
          <w:sz w:val="24"/>
          <w:szCs w:val="24"/>
          <w:lang w:val="en-US" w:eastAsia="zh-CN" w:bidi="ar"/>
        </w:rPr>
        <w:t>h</w:t>
      </w:r>
      <w:r>
        <w:rPr>
          <w:rFonts w:hint="default" w:ascii="Times New Roman" w:hAnsi="Times New Roman" w:eastAsia="宋体" w:cs="Times New Roman"/>
          <w:b w:val="0"/>
          <w:bCs w:val="0"/>
          <w:color w:val="000000"/>
          <w:kern w:val="0"/>
          <w:sz w:val="24"/>
          <w:szCs w:val="24"/>
          <w:lang w:val="en-US" w:eastAsia="zh-CN" w:bidi="ar"/>
        </w:rPr>
        <w:t xml:space="preserve">eights and </w:t>
      </w:r>
      <w:r>
        <w:rPr>
          <w:rFonts w:hint="eastAsia" w:cs="Times New Roman"/>
          <w:b w:val="0"/>
          <w:bCs w:val="0"/>
          <w:color w:val="000000"/>
          <w:kern w:val="0"/>
          <w:sz w:val="24"/>
          <w:szCs w:val="24"/>
          <w:lang w:val="en-US" w:eastAsia="zh-CN" w:bidi="ar"/>
        </w:rPr>
        <w:t>d</w:t>
      </w:r>
      <w:r>
        <w:rPr>
          <w:rFonts w:hint="default" w:ascii="Times New Roman" w:hAnsi="Times New Roman" w:eastAsia="宋体" w:cs="Times New Roman"/>
          <w:b w:val="0"/>
          <w:bCs w:val="0"/>
          <w:color w:val="000000"/>
          <w:kern w:val="0"/>
          <w:sz w:val="24"/>
          <w:szCs w:val="24"/>
          <w:lang w:val="en-US" w:eastAsia="zh-CN" w:bidi="ar"/>
        </w:rPr>
        <w:t xml:space="preserve">ental </w:t>
      </w:r>
      <w:r>
        <w:rPr>
          <w:rFonts w:hint="eastAsia" w:cs="Times New Roman"/>
          <w:b w:val="0"/>
          <w:bCs w:val="0"/>
          <w:color w:val="000000"/>
          <w:kern w:val="0"/>
          <w:sz w:val="24"/>
          <w:szCs w:val="24"/>
          <w:lang w:val="en-US" w:eastAsia="zh-CN" w:bidi="ar"/>
        </w:rPr>
        <w:t>w</w:t>
      </w:r>
      <w:r>
        <w:rPr>
          <w:rFonts w:hint="default" w:ascii="Times New Roman" w:hAnsi="Times New Roman" w:eastAsia="宋体" w:cs="Times New Roman"/>
          <w:b w:val="0"/>
          <w:bCs w:val="0"/>
          <w:color w:val="000000"/>
          <w:kern w:val="0"/>
          <w:sz w:val="24"/>
          <w:szCs w:val="24"/>
          <w:lang w:val="en-US" w:eastAsia="zh-CN" w:bidi="ar"/>
        </w:rPr>
        <w:t>ear pattern of M</w:t>
      </w:r>
      <w:r>
        <w:rPr>
          <w:rFonts w:hint="default" w:ascii="Times New Roman" w:hAnsi="Times New Roman" w:eastAsia="宋体" w:cs="Times New Roman"/>
          <w:b w:val="0"/>
          <w:bCs w:val="0"/>
          <w:color w:val="000000"/>
          <w:kern w:val="0"/>
          <w:sz w:val="24"/>
          <w:szCs w:val="24"/>
          <w:vertAlign w:val="subscript"/>
          <w:lang w:val="en-US" w:eastAsia="zh-CN" w:bidi="ar"/>
        </w:rPr>
        <w:t>3</w:t>
      </w:r>
      <w:r>
        <w:rPr>
          <w:rFonts w:hint="default" w:ascii="Times New Roman" w:hAnsi="Times New Roman" w:eastAsia="宋体" w:cs="Times New Roman"/>
          <w:b w:val="0"/>
          <w:bCs w:val="0"/>
          <w:color w:val="000000"/>
          <w:kern w:val="0"/>
          <w:sz w:val="24"/>
          <w:szCs w:val="24"/>
          <w:lang w:val="en-US" w:eastAsia="zh-CN" w:bidi="ar"/>
        </w:rPr>
        <w:t xml:space="preserve"> for </w:t>
      </w:r>
      <w:r>
        <w:rPr>
          <w:rFonts w:hint="eastAsia" w:cs="Times New Roman"/>
          <w:b w:val="0"/>
          <w:bCs w:val="0"/>
          <w:color w:val="000000"/>
          <w:kern w:val="0"/>
          <w:sz w:val="24"/>
          <w:szCs w:val="24"/>
          <w:lang w:val="en-US" w:eastAsia="zh-CN" w:bidi="ar"/>
        </w:rPr>
        <w:t>a</w:t>
      </w:r>
      <w:r>
        <w:rPr>
          <w:rFonts w:hint="default" w:ascii="Times New Roman" w:hAnsi="Times New Roman" w:eastAsia="宋体" w:cs="Times New Roman"/>
          <w:b w:val="0"/>
          <w:bCs w:val="0"/>
          <w:color w:val="000000"/>
          <w:kern w:val="0"/>
          <w:sz w:val="24"/>
          <w:szCs w:val="24"/>
          <w:lang w:val="en-US" w:eastAsia="zh-CN" w:bidi="ar"/>
        </w:rPr>
        <w:t xml:space="preserve">ssessing the </w:t>
      </w:r>
      <w:r>
        <w:rPr>
          <w:rFonts w:hint="eastAsia" w:cs="Times New Roman"/>
          <w:b w:val="0"/>
          <w:bCs w:val="0"/>
          <w:color w:val="000000"/>
          <w:kern w:val="0"/>
          <w:sz w:val="24"/>
          <w:szCs w:val="24"/>
          <w:lang w:val="en-US" w:eastAsia="zh-CN" w:bidi="ar"/>
        </w:rPr>
        <w:t>a</w:t>
      </w:r>
      <w:r>
        <w:rPr>
          <w:rFonts w:hint="default" w:ascii="Times New Roman" w:hAnsi="Times New Roman" w:eastAsia="宋体" w:cs="Times New Roman"/>
          <w:b w:val="0"/>
          <w:bCs w:val="0"/>
          <w:color w:val="000000"/>
          <w:kern w:val="0"/>
          <w:sz w:val="24"/>
          <w:szCs w:val="24"/>
          <w:lang w:val="en-US" w:eastAsia="zh-CN" w:bidi="ar"/>
        </w:rPr>
        <w:t>ge at death of large herbivor</w:t>
      </w:r>
      <w:r>
        <w:rPr>
          <w:rFonts w:hint="eastAsia" w:cs="Times New Roman"/>
          <w:b w:val="0"/>
          <w:bCs w:val="0"/>
          <w:color w:val="000000"/>
          <w:kern w:val="0"/>
          <w:sz w:val="24"/>
          <w:szCs w:val="24"/>
          <w:lang w:val="en-US" w:eastAsia="zh-CN" w:bidi="ar"/>
        </w:rPr>
        <w:t>.</w:t>
      </w:r>
    </w:p>
    <w:tbl>
      <w:tblPr>
        <w:tblStyle w:val="24"/>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4"/>
        <w:gridCol w:w="2850"/>
        <w:gridCol w:w="1700"/>
        <w:gridCol w:w="2025"/>
        <w:gridCol w:w="1663"/>
        <w:gridCol w:w="2150"/>
        <w:gridCol w:w="2187"/>
      </w:tblGrid>
      <w:tr w14:paraId="7F8E613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6" w:hRule="atLeast"/>
        </w:trPr>
        <w:tc>
          <w:tcPr>
            <w:tcW w:w="724" w:type="dxa"/>
            <w:vMerge w:val="restart"/>
            <w:shd w:val="clear" w:color="auto" w:fill="auto"/>
            <w:vAlign w:val="center"/>
          </w:tcPr>
          <w:p w14:paraId="792D439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0"/>
                <w:szCs w:val="20"/>
              </w:rPr>
            </w:pPr>
            <w:r>
              <w:rPr>
                <w:rFonts w:hint="default" w:ascii="Times New Roman" w:hAnsi="Times New Roman" w:eastAsia="宋体" w:cs="Times New Roman"/>
                <w:b w:val="0"/>
                <w:bCs w:val="0"/>
                <w:color w:val="000000"/>
                <w:kern w:val="0"/>
                <w:sz w:val="20"/>
                <w:szCs w:val="20"/>
                <w:lang w:val="en-US" w:eastAsia="zh-CN" w:bidi="ar"/>
              </w:rPr>
              <w:t>NO.</w:t>
            </w:r>
          </w:p>
        </w:tc>
        <w:tc>
          <w:tcPr>
            <w:tcW w:w="2850" w:type="dxa"/>
            <w:vMerge w:val="restart"/>
            <w:shd w:val="clear" w:color="auto" w:fill="auto"/>
            <w:noWrap/>
            <w:vAlign w:val="center"/>
          </w:tcPr>
          <w:p w14:paraId="1DA2004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kern w:val="0"/>
                <w:sz w:val="22"/>
                <w:szCs w:val="22"/>
              </w:rPr>
            </w:pPr>
            <w:r>
              <w:rPr>
                <w:rFonts w:hint="default" w:ascii="Times New Roman" w:hAnsi="Times New Roman" w:eastAsia="宋体" w:cs="Times New Roman"/>
                <w:b w:val="0"/>
                <w:bCs w:val="0"/>
                <w:kern w:val="0"/>
                <w:sz w:val="22"/>
                <w:szCs w:val="22"/>
                <w:lang w:val="en-US" w:eastAsia="zh-CN" w:bidi="ar"/>
              </w:rPr>
              <w:t>Specimen number</w:t>
            </w:r>
          </w:p>
        </w:tc>
        <w:tc>
          <w:tcPr>
            <w:tcW w:w="3725" w:type="dxa"/>
            <w:gridSpan w:val="2"/>
            <w:shd w:val="clear" w:color="auto" w:fill="auto"/>
            <w:vAlign w:val="center"/>
          </w:tcPr>
          <w:p w14:paraId="7E90D85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Dental Crown Heights analysis</w:t>
            </w:r>
          </w:p>
        </w:tc>
        <w:tc>
          <w:tcPr>
            <w:tcW w:w="3813" w:type="dxa"/>
            <w:gridSpan w:val="2"/>
            <w:shd w:val="clear" w:color="auto" w:fill="auto"/>
            <w:vAlign w:val="center"/>
          </w:tcPr>
          <w:p w14:paraId="3F1E7C8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 xml:space="preserve"> Dental Wear pattern analysis</w:t>
            </w:r>
          </w:p>
        </w:tc>
        <w:tc>
          <w:tcPr>
            <w:tcW w:w="2187" w:type="dxa"/>
            <w:vMerge w:val="restart"/>
            <w:shd w:val="clear" w:color="auto" w:fill="auto"/>
            <w:noWrap/>
            <w:vAlign w:val="center"/>
          </w:tcPr>
          <w:p w14:paraId="039767E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bCs/>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Age group</w:t>
            </w:r>
          </w:p>
        </w:tc>
      </w:tr>
      <w:tr w14:paraId="17A6932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24" w:type="dxa"/>
            <w:vMerge w:val="continue"/>
            <w:shd w:val="clear" w:color="auto" w:fill="auto"/>
            <w:vAlign w:val="center"/>
          </w:tcPr>
          <w:p w14:paraId="70809EFF">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2850" w:type="dxa"/>
            <w:vMerge w:val="continue"/>
            <w:shd w:val="clear" w:color="auto" w:fill="auto"/>
            <w:noWrap/>
            <w:vAlign w:val="center"/>
          </w:tcPr>
          <w:p w14:paraId="00A4FFEA">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1700" w:type="dxa"/>
            <w:shd w:val="clear" w:color="auto" w:fill="auto"/>
            <w:vAlign w:val="center"/>
          </w:tcPr>
          <w:p w14:paraId="35447A5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Crown Heights(mm)</w:t>
            </w:r>
          </w:p>
        </w:tc>
        <w:tc>
          <w:tcPr>
            <w:tcW w:w="2025" w:type="dxa"/>
            <w:shd w:val="clear" w:color="auto" w:fill="auto"/>
            <w:vAlign w:val="center"/>
          </w:tcPr>
          <w:p w14:paraId="375D1CD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Age(months)</w:t>
            </w:r>
          </w:p>
        </w:tc>
        <w:tc>
          <w:tcPr>
            <w:tcW w:w="1663" w:type="dxa"/>
            <w:shd w:val="clear" w:color="auto" w:fill="auto"/>
            <w:vAlign w:val="center"/>
          </w:tcPr>
          <w:p w14:paraId="2182606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Tooth wear stage</w:t>
            </w:r>
          </w:p>
        </w:tc>
        <w:tc>
          <w:tcPr>
            <w:tcW w:w="2150" w:type="dxa"/>
            <w:shd w:val="clear" w:color="auto" w:fill="auto"/>
            <w:vAlign w:val="center"/>
          </w:tcPr>
          <w:p w14:paraId="070802A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val="0"/>
                <w:bCs w:val="0"/>
                <w:color w:val="000000"/>
                <w:kern w:val="0"/>
                <w:sz w:val="22"/>
                <w:szCs w:val="22"/>
              </w:rPr>
            </w:pPr>
            <w:r>
              <w:rPr>
                <w:rFonts w:hint="default" w:ascii="Times New Roman" w:hAnsi="Times New Roman" w:eastAsia="宋体" w:cs="Times New Roman"/>
                <w:b w:val="0"/>
                <w:bCs w:val="0"/>
                <w:color w:val="000000"/>
                <w:kern w:val="0"/>
                <w:sz w:val="22"/>
                <w:szCs w:val="22"/>
                <w:lang w:val="en-US" w:eastAsia="zh-CN" w:bidi="ar"/>
              </w:rPr>
              <w:t>Age(months)</w:t>
            </w:r>
          </w:p>
        </w:tc>
        <w:tc>
          <w:tcPr>
            <w:tcW w:w="2187" w:type="dxa"/>
            <w:vMerge w:val="continue"/>
            <w:shd w:val="clear" w:color="auto" w:fill="auto"/>
            <w:noWrap/>
            <w:vAlign w:val="center"/>
          </w:tcPr>
          <w:p w14:paraId="14B5B7FE">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r>
      <w:tr w14:paraId="2DDD376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8" w:hRule="atLeast"/>
        </w:trPr>
        <w:tc>
          <w:tcPr>
            <w:tcW w:w="13299" w:type="dxa"/>
            <w:gridSpan w:val="7"/>
            <w:shd w:val="clear" w:color="auto" w:fill="auto"/>
            <w:noWrap/>
            <w:vAlign w:val="center"/>
          </w:tcPr>
          <w:p w14:paraId="371547D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bCs/>
                <w:i/>
                <w:iCs/>
                <w:color w:val="000000"/>
                <w:kern w:val="0"/>
                <w:sz w:val="28"/>
                <w:szCs w:val="28"/>
              </w:rPr>
            </w:pPr>
            <w:r>
              <w:rPr>
                <w:rFonts w:hint="default" w:ascii="Times New Roman" w:hAnsi="Times New Roman" w:eastAsia="宋体" w:cs="Times New Roman"/>
                <w:b/>
                <w:bCs/>
                <w:i/>
                <w:iCs/>
                <w:color w:val="000000"/>
                <w:kern w:val="0"/>
                <w:sz w:val="28"/>
                <w:szCs w:val="28"/>
                <w:lang w:val="en-US" w:eastAsia="zh-CN" w:bidi="ar"/>
              </w:rPr>
              <w:t>Cervus elaphus</w:t>
            </w:r>
          </w:p>
        </w:tc>
      </w:tr>
      <w:tr w14:paraId="229C2DF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1ADAB8B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w:t>
            </w:r>
          </w:p>
        </w:tc>
        <w:tc>
          <w:tcPr>
            <w:tcW w:w="2850" w:type="dxa"/>
            <w:shd w:val="clear" w:color="auto" w:fill="auto"/>
            <w:noWrap/>
            <w:vAlign w:val="center"/>
          </w:tcPr>
          <w:p w14:paraId="230CCDF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-L1:1383</w:t>
            </w:r>
          </w:p>
        </w:tc>
        <w:tc>
          <w:tcPr>
            <w:tcW w:w="1700" w:type="dxa"/>
            <w:shd w:val="clear" w:color="auto" w:fill="auto"/>
            <w:noWrap/>
            <w:vAlign w:val="center"/>
          </w:tcPr>
          <w:p w14:paraId="302B051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19.67</w:t>
            </w:r>
          </w:p>
        </w:tc>
        <w:tc>
          <w:tcPr>
            <w:tcW w:w="2025" w:type="dxa"/>
            <w:shd w:val="clear" w:color="auto" w:fill="auto"/>
            <w:noWrap/>
            <w:vAlign w:val="center"/>
          </w:tcPr>
          <w:p w14:paraId="124E0AF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64.5</w:t>
            </w:r>
          </w:p>
        </w:tc>
        <w:tc>
          <w:tcPr>
            <w:tcW w:w="1663" w:type="dxa"/>
            <w:shd w:val="clear" w:color="auto" w:fill="auto"/>
            <w:noWrap/>
            <w:vAlign w:val="center"/>
          </w:tcPr>
          <w:p w14:paraId="3AA7CDB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f</w:t>
            </w:r>
          </w:p>
        </w:tc>
        <w:tc>
          <w:tcPr>
            <w:tcW w:w="2150" w:type="dxa"/>
            <w:shd w:val="clear" w:color="auto" w:fill="auto"/>
            <w:noWrap/>
            <w:vAlign w:val="center"/>
          </w:tcPr>
          <w:p w14:paraId="4E71C4A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61-183</w:t>
            </w:r>
          </w:p>
        </w:tc>
        <w:tc>
          <w:tcPr>
            <w:tcW w:w="2187" w:type="dxa"/>
            <w:shd w:val="clear" w:color="auto" w:fill="auto"/>
            <w:noWrap/>
            <w:vAlign w:val="center"/>
          </w:tcPr>
          <w:p w14:paraId="5C965A2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Prime adult</w:t>
            </w:r>
          </w:p>
        </w:tc>
      </w:tr>
      <w:tr w14:paraId="498B5C5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3783ACF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2</w:t>
            </w:r>
          </w:p>
        </w:tc>
        <w:tc>
          <w:tcPr>
            <w:tcW w:w="2850" w:type="dxa"/>
            <w:shd w:val="clear" w:color="auto" w:fill="auto"/>
            <w:noWrap/>
            <w:vAlign w:val="center"/>
          </w:tcPr>
          <w:p w14:paraId="5ECD172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-L2:3309</w:t>
            </w:r>
          </w:p>
        </w:tc>
        <w:tc>
          <w:tcPr>
            <w:tcW w:w="1700" w:type="dxa"/>
            <w:shd w:val="clear" w:color="auto" w:fill="auto"/>
            <w:noWrap/>
            <w:vAlign w:val="center"/>
          </w:tcPr>
          <w:p w14:paraId="476FAC0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21.18</w:t>
            </w:r>
          </w:p>
        </w:tc>
        <w:tc>
          <w:tcPr>
            <w:tcW w:w="2025" w:type="dxa"/>
            <w:shd w:val="clear" w:color="auto" w:fill="auto"/>
            <w:noWrap/>
            <w:vAlign w:val="center"/>
          </w:tcPr>
          <w:p w14:paraId="2BCEEE7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54.8</w:t>
            </w:r>
          </w:p>
        </w:tc>
        <w:tc>
          <w:tcPr>
            <w:tcW w:w="1663" w:type="dxa"/>
            <w:shd w:val="clear" w:color="auto" w:fill="auto"/>
            <w:noWrap/>
            <w:vAlign w:val="center"/>
          </w:tcPr>
          <w:p w14:paraId="42A1608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e</w:t>
            </w:r>
          </w:p>
        </w:tc>
        <w:tc>
          <w:tcPr>
            <w:tcW w:w="2150" w:type="dxa"/>
            <w:shd w:val="clear" w:color="auto" w:fill="auto"/>
            <w:noWrap/>
            <w:vAlign w:val="center"/>
          </w:tcPr>
          <w:p w14:paraId="765125D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44-147</w:t>
            </w:r>
          </w:p>
        </w:tc>
        <w:tc>
          <w:tcPr>
            <w:tcW w:w="2187" w:type="dxa"/>
            <w:shd w:val="clear" w:color="auto" w:fill="auto"/>
            <w:noWrap/>
            <w:vAlign w:val="center"/>
          </w:tcPr>
          <w:p w14:paraId="2472C47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2F8748A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7F680D9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w:t>
            </w:r>
          </w:p>
        </w:tc>
        <w:tc>
          <w:tcPr>
            <w:tcW w:w="2850" w:type="dxa"/>
            <w:shd w:val="clear" w:color="auto" w:fill="auto"/>
            <w:noWrap/>
            <w:vAlign w:val="center"/>
          </w:tcPr>
          <w:p w14:paraId="5963C6B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-L2:3038</w:t>
            </w:r>
          </w:p>
        </w:tc>
        <w:tc>
          <w:tcPr>
            <w:tcW w:w="1700" w:type="dxa"/>
            <w:shd w:val="clear" w:color="auto" w:fill="auto"/>
            <w:noWrap/>
            <w:vAlign w:val="center"/>
          </w:tcPr>
          <w:p w14:paraId="322184C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13.82</w:t>
            </w:r>
          </w:p>
        </w:tc>
        <w:tc>
          <w:tcPr>
            <w:tcW w:w="2025" w:type="dxa"/>
            <w:shd w:val="clear" w:color="auto" w:fill="auto"/>
            <w:noWrap/>
            <w:vAlign w:val="center"/>
          </w:tcPr>
          <w:p w14:paraId="43BBD9E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102.5</w:t>
            </w:r>
          </w:p>
        </w:tc>
        <w:tc>
          <w:tcPr>
            <w:tcW w:w="1663" w:type="dxa"/>
            <w:shd w:val="clear" w:color="auto" w:fill="auto"/>
            <w:noWrap/>
            <w:vAlign w:val="center"/>
          </w:tcPr>
          <w:p w14:paraId="1CE7D5F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i</w:t>
            </w:r>
          </w:p>
        </w:tc>
        <w:tc>
          <w:tcPr>
            <w:tcW w:w="2150" w:type="dxa"/>
            <w:shd w:val="clear" w:color="auto" w:fill="auto"/>
            <w:noWrap/>
            <w:vAlign w:val="center"/>
          </w:tcPr>
          <w:p w14:paraId="106EA1D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eastAsia" w:ascii="宋体" w:hAnsi="宋体" w:eastAsia="宋体" w:cs="宋体"/>
                <w:color w:val="000000"/>
                <w:kern w:val="0"/>
                <w:sz w:val="22"/>
                <w:szCs w:val="22"/>
                <w:lang w:val="en-US" w:eastAsia="zh-CN" w:bidi="ar"/>
              </w:rPr>
              <w:t>﹥</w:t>
            </w:r>
            <w:r>
              <w:rPr>
                <w:rFonts w:hint="default" w:ascii="Times New Roman" w:hAnsi="Times New Roman" w:eastAsia="宋体" w:cs="Times New Roman"/>
                <w:color w:val="000000"/>
                <w:kern w:val="0"/>
                <w:sz w:val="22"/>
                <w:szCs w:val="22"/>
                <w:lang w:val="en-US" w:eastAsia="zh-CN" w:bidi="ar"/>
              </w:rPr>
              <w:t>118-189</w:t>
            </w:r>
          </w:p>
        </w:tc>
        <w:tc>
          <w:tcPr>
            <w:tcW w:w="2187" w:type="dxa"/>
            <w:shd w:val="clear" w:color="auto" w:fill="auto"/>
            <w:noWrap/>
            <w:vAlign w:val="center"/>
          </w:tcPr>
          <w:p w14:paraId="5AE8D21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Old adult</w:t>
            </w:r>
          </w:p>
        </w:tc>
      </w:tr>
      <w:tr w14:paraId="51B7214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21DBAC0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w:t>
            </w:r>
          </w:p>
        </w:tc>
        <w:tc>
          <w:tcPr>
            <w:tcW w:w="2850" w:type="dxa"/>
            <w:shd w:val="clear" w:color="auto" w:fill="auto"/>
            <w:noWrap/>
            <w:vAlign w:val="center"/>
          </w:tcPr>
          <w:p w14:paraId="7D559F9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-L2:3265</w:t>
            </w:r>
          </w:p>
        </w:tc>
        <w:tc>
          <w:tcPr>
            <w:tcW w:w="1700" w:type="dxa"/>
            <w:shd w:val="clear" w:color="auto" w:fill="auto"/>
            <w:noWrap/>
            <w:vAlign w:val="center"/>
          </w:tcPr>
          <w:p w14:paraId="38E1B99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16.64</w:t>
            </w:r>
          </w:p>
        </w:tc>
        <w:tc>
          <w:tcPr>
            <w:tcW w:w="2025" w:type="dxa"/>
            <w:shd w:val="clear" w:color="auto" w:fill="auto"/>
            <w:noWrap/>
            <w:vAlign w:val="center"/>
          </w:tcPr>
          <w:p w14:paraId="3A5EB84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84.2</w:t>
            </w:r>
          </w:p>
        </w:tc>
        <w:tc>
          <w:tcPr>
            <w:tcW w:w="1663" w:type="dxa"/>
            <w:shd w:val="clear" w:color="auto" w:fill="auto"/>
            <w:noWrap/>
            <w:vAlign w:val="center"/>
          </w:tcPr>
          <w:p w14:paraId="37BA2D9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g</w:t>
            </w:r>
          </w:p>
        </w:tc>
        <w:tc>
          <w:tcPr>
            <w:tcW w:w="2150" w:type="dxa"/>
            <w:shd w:val="clear" w:color="auto" w:fill="auto"/>
            <w:noWrap/>
            <w:vAlign w:val="center"/>
          </w:tcPr>
          <w:p w14:paraId="5B781A9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118-189</w:t>
            </w:r>
          </w:p>
        </w:tc>
        <w:tc>
          <w:tcPr>
            <w:tcW w:w="2187" w:type="dxa"/>
            <w:shd w:val="clear" w:color="auto" w:fill="auto"/>
            <w:noWrap/>
            <w:vAlign w:val="center"/>
          </w:tcPr>
          <w:p w14:paraId="3D0BB57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6E50BB7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5BC3274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w:t>
            </w:r>
          </w:p>
        </w:tc>
        <w:tc>
          <w:tcPr>
            <w:tcW w:w="2850" w:type="dxa"/>
            <w:shd w:val="clear" w:color="auto" w:fill="auto"/>
            <w:noWrap/>
            <w:vAlign w:val="center"/>
          </w:tcPr>
          <w:p w14:paraId="12BCDA8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⑥</w:t>
            </w:r>
            <w:r>
              <w:rPr>
                <w:rFonts w:hint="default" w:ascii="Times New Roman" w:hAnsi="Times New Roman" w:eastAsia="宋体" w:cs="Times New Roman"/>
                <w:kern w:val="0"/>
                <w:sz w:val="20"/>
                <w:szCs w:val="20"/>
                <w:lang w:val="en-US" w:eastAsia="zh-CN" w:bidi="ar"/>
              </w:rPr>
              <w:t>-L1:160</w:t>
            </w:r>
          </w:p>
        </w:tc>
        <w:tc>
          <w:tcPr>
            <w:tcW w:w="1700" w:type="dxa"/>
            <w:shd w:val="clear" w:color="auto" w:fill="auto"/>
            <w:noWrap/>
            <w:vAlign w:val="center"/>
          </w:tcPr>
          <w:p w14:paraId="6D02D4E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23.34</w:t>
            </w:r>
          </w:p>
        </w:tc>
        <w:tc>
          <w:tcPr>
            <w:tcW w:w="2025" w:type="dxa"/>
            <w:shd w:val="clear" w:color="auto" w:fill="auto"/>
            <w:noWrap/>
            <w:vAlign w:val="center"/>
          </w:tcPr>
          <w:p w14:paraId="382534B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40.8</w:t>
            </w:r>
          </w:p>
        </w:tc>
        <w:tc>
          <w:tcPr>
            <w:tcW w:w="1663" w:type="dxa"/>
            <w:shd w:val="clear" w:color="auto" w:fill="auto"/>
            <w:noWrap/>
            <w:vAlign w:val="center"/>
          </w:tcPr>
          <w:p w14:paraId="2082A25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w:t>
            </w:r>
          </w:p>
        </w:tc>
        <w:tc>
          <w:tcPr>
            <w:tcW w:w="2150" w:type="dxa"/>
            <w:shd w:val="clear" w:color="auto" w:fill="auto"/>
            <w:noWrap/>
            <w:vAlign w:val="center"/>
          </w:tcPr>
          <w:p w14:paraId="71698BD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33-54</w:t>
            </w:r>
          </w:p>
        </w:tc>
        <w:tc>
          <w:tcPr>
            <w:tcW w:w="2187" w:type="dxa"/>
            <w:shd w:val="clear" w:color="auto" w:fill="auto"/>
            <w:noWrap/>
            <w:vAlign w:val="center"/>
          </w:tcPr>
          <w:p w14:paraId="04A264F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2503AD5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58512EA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w:t>
            </w:r>
          </w:p>
        </w:tc>
        <w:tc>
          <w:tcPr>
            <w:tcW w:w="2850" w:type="dxa"/>
            <w:shd w:val="clear" w:color="auto" w:fill="auto"/>
            <w:noWrap/>
            <w:vAlign w:val="center"/>
          </w:tcPr>
          <w:p w14:paraId="5296A75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default" w:ascii="Cambria Math" w:hAnsi="Cambria Math" w:eastAsia="Cambria Math" w:cs="Cambria Math"/>
                <w:kern w:val="0"/>
                <w:sz w:val="20"/>
                <w:szCs w:val="20"/>
                <w:lang w:val="en-US" w:eastAsia="zh-CN" w:bidi="ar"/>
              </w:rPr>
              <w:t>⑫</w:t>
            </w:r>
            <w:r>
              <w:rPr>
                <w:rFonts w:hint="default" w:ascii="Times New Roman" w:hAnsi="Times New Roman" w:eastAsia="宋体" w:cs="Times New Roman"/>
                <w:kern w:val="0"/>
                <w:sz w:val="20"/>
                <w:szCs w:val="20"/>
                <w:lang w:val="en-US" w:eastAsia="zh-CN" w:bidi="ar"/>
              </w:rPr>
              <w:t>-L1:1049</w:t>
            </w:r>
          </w:p>
        </w:tc>
        <w:tc>
          <w:tcPr>
            <w:tcW w:w="1700" w:type="dxa"/>
            <w:shd w:val="clear" w:color="auto" w:fill="auto"/>
            <w:noWrap/>
            <w:vAlign w:val="center"/>
          </w:tcPr>
          <w:p w14:paraId="5D99E7F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16.1</w:t>
            </w:r>
          </w:p>
        </w:tc>
        <w:tc>
          <w:tcPr>
            <w:tcW w:w="2025" w:type="dxa"/>
            <w:shd w:val="clear" w:color="auto" w:fill="auto"/>
            <w:noWrap/>
            <w:vAlign w:val="center"/>
          </w:tcPr>
          <w:p w14:paraId="6194268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87.7</w:t>
            </w:r>
          </w:p>
        </w:tc>
        <w:tc>
          <w:tcPr>
            <w:tcW w:w="1663" w:type="dxa"/>
            <w:shd w:val="clear" w:color="auto" w:fill="auto"/>
            <w:noWrap/>
            <w:vAlign w:val="center"/>
          </w:tcPr>
          <w:p w14:paraId="2798910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h</w:t>
            </w:r>
          </w:p>
        </w:tc>
        <w:tc>
          <w:tcPr>
            <w:tcW w:w="2150" w:type="dxa"/>
            <w:shd w:val="clear" w:color="auto" w:fill="auto"/>
            <w:noWrap/>
            <w:vAlign w:val="center"/>
          </w:tcPr>
          <w:p w14:paraId="09C0A94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eastAsia" w:ascii="宋体" w:hAnsi="宋体" w:eastAsia="宋体" w:cs="宋体"/>
                <w:color w:val="000000"/>
                <w:kern w:val="0"/>
                <w:sz w:val="22"/>
                <w:szCs w:val="22"/>
                <w:lang w:val="en-US" w:eastAsia="zh-CN" w:bidi="ar"/>
              </w:rPr>
              <w:t>﹥</w:t>
            </w:r>
            <w:r>
              <w:rPr>
                <w:rFonts w:hint="default" w:ascii="Times New Roman" w:hAnsi="Times New Roman" w:eastAsia="宋体" w:cs="Times New Roman"/>
                <w:color w:val="000000"/>
                <w:kern w:val="0"/>
                <w:sz w:val="22"/>
                <w:szCs w:val="22"/>
                <w:lang w:val="en-US" w:eastAsia="zh-CN" w:bidi="ar"/>
              </w:rPr>
              <w:t>118-189</w:t>
            </w:r>
          </w:p>
        </w:tc>
        <w:tc>
          <w:tcPr>
            <w:tcW w:w="2187" w:type="dxa"/>
            <w:shd w:val="clear" w:color="auto" w:fill="auto"/>
            <w:noWrap/>
            <w:vAlign w:val="center"/>
          </w:tcPr>
          <w:p w14:paraId="2716664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08D9B87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3299" w:type="dxa"/>
            <w:gridSpan w:val="7"/>
            <w:shd w:val="clear" w:color="auto" w:fill="auto"/>
            <w:noWrap/>
            <w:vAlign w:val="center"/>
          </w:tcPr>
          <w:p w14:paraId="6D172DB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bCs/>
                <w:i/>
                <w:iCs/>
                <w:color w:val="auto"/>
                <w:kern w:val="0"/>
                <w:sz w:val="28"/>
                <w:szCs w:val="28"/>
              </w:rPr>
            </w:pPr>
            <w:r>
              <w:rPr>
                <w:rFonts w:hint="default" w:ascii="Times New Roman" w:hAnsi="Times New Roman" w:eastAsia="宋体" w:cs="Times New Roman"/>
                <w:b/>
                <w:bCs/>
                <w:i/>
                <w:iCs/>
                <w:color w:val="auto"/>
                <w:kern w:val="0"/>
                <w:sz w:val="28"/>
                <w:szCs w:val="28"/>
                <w:lang w:val="en-US" w:eastAsia="zh-CN" w:bidi="ar"/>
              </w:rPr>
              <w:t>Cervus (Sika) nippon</w:t>
            </w:r>
          </w:p>
        </w:tc>
      </w:tr>
      <w:tr w14:paraId="446023A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1AFECD3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w:t>
            </w:r>
          </w:p>
        </w:tc>
        <w:tc>
          <w:tcPr>
            <w:tcW w:w="2850" w:type="dxa"/>
            <w:shd w:val="clear" w:color="auto" w:fill="auto"/>
            <w:noWrap/>
            <w:vAlign w:val="center"/>
          </w:tcPr>
          <w:p w14:paraId="1EAE64F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-L1:1384</w:t>
            </w:r>
          </w:p>
        </w:tc>
        <w:tc>
          <w:tcPr>
            <w:tcW w:w="1700" w:type="dxa"/>
            <w:shd w:val="clear" w:color="auto" w:fill="auto"/>
            <w:noWrap/>
            <w:vAlign w:val="center"/>
          </w:tcPr>
          <w:p w14:paraId="24EEF3E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17.02</w:t>
            </w:r>
          </w:p>
        </w:tc>
        <w:tc>
          <w:tcPr>
            <w:tcW w:w="2025" w:type="dxa"/>
            <w:shd w:val="clear" w:color="auto" w:fill="auto"/>
            <w:noWrap/>
            <w:vAlign w:val="center"/>
          </w:tcPr>
          <w:p w14:paraId="4005C74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60.8</w:t>
            </w:r>
          </w:p>
        </w:tc>
        <w:tc>
          <w:tcPr>
            <w:tcW w:w="1663" w:type="dxa"/>
            <w:shd w:val="clear" w:color="auto" w:fill="auto"/>
            <w:noWrap/>
            <w:vAlign w:val="center"/>
          </w:tcPr>
          <w:p w14:paraId="022000C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f</w:t>
            </w:r>
          </w:p>
        </w:tc>
        <w:tc>
          <w:tcPr>
            <w:tcW w:w="2150" w:type="dxa"/>
            <w:shd w:val="clear" w:color="auto" w:fill="auto"/>
            <w:noWrap/>
            <w:vAlign w:val="center"/>
          </w:tcPr>
          <w:p w14:paraId="609BE2F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61-183</w:t>
            </w:r>
          </w:p>
        </w:tc>
        <w:tc>
          <w:tcPr>
            <w:tcW w:w="2187" w:type="dxa"/>
            <w:shd w:val="clear" w:color="auto" w:fill="auto"/>
            <w:noWrap/>
            <w:vAlign w:val="center"/>
          </w:tcPr>
          <w:p w14:paraId="19FED10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0C90ED5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7C9A12C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2</w:t>
            </w:r>
          </w:p>
        </w:tc>
        <w:tc>
          <w:tcPr>
            <w:tcW w:w="2850" w:type="dxa"/>
            <w:shd w:val="clear" w:color="auto" w:fill="auto"/>
            <w:noWrap/>
            <w:vAlign w:val="center"/>
          </w:tcPr>
          <w:p w14:paraId="706AA0B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-L2:1444</w:t>
            </w:r>
          </w:p>
        </w:tc>
        <w:tc>
          <w:tcPr>
            <w:tcW w:w="1700" w:type="dxa"/>
            <w:shd w:val="clear" w:color="auto" w:fill="auto"/>
            <w:noWrap/>
            <w:vAlign w:val="center"/>
          </w:tcPr>
          <w:p w14:paraId="0C6236A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16.37</w:t>
            </w:r>
          </w:p>
        </w:tc>
        <w:tc>
          <w:tcPr>
            <w:tcW w:w="2025" w:type="dxa"/>
            <w:shd w:val="clear" w:color="auto" w:fill="auto"/>
            <w:noWrap/>
            <w:vAlign w:val="center"/>
          </w:tcPr>
          <w:p w14:paraId="15C2929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65.8</w:t>
            </w:r>
          </w:p>
        </w:tc>
        <w:tc>
          <w:tcPr>
            <w:tcW w:w="1663" w:type="dxa"/>
            <w:shd w:val="clear" w:color="auto" w:fill="auto"/>
            <w:noWrap/>
            <w:vAlign w:val="center"/>
          </w:tcPr>
          <w:p w14:paraId="4F4BBB3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e</w:t>
            </w:r>
          </w:p>
        </w:tc>
        <w:tc>
          <w:tcPr>
            <w:tcW w:w="2150" w:type="dxa"/>
            <w:shd w:val="clear" w:color="auto" w:fill="auto"/>
            <w:noWrap/>
            <w:vAlign w:val="center"/>
          </w:tcPr>
          <w:p w14:paraId="5AF3968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44-147</w:t>
            </w:r>
          </w:p>
        </w:tc>
        <w:tc>
          <w:tcPr>
            <w:tcW w:w="2187" w:type="dxa"/>
            <w:shd w:val="clear" w:color="auto" w:fill="auto"/>
            <w:noWrap/>
            <w:vAlign w:val="center"/>
          </w:tcPr>
          <w:p w14:paraId="3499488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17956DC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70AE545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w:t>
            </w:r>
          </w:p>
        </w:tc>
        <w:tc>
          <w:tcPr>
            <w:tcW w:w="2850" w:type="dxa"/>
            <w:shd w:val="clear" w:color="auto" w:fill="auto"/>
            <w:noWrap/>
            <w:vAlign w:val="center"/>
          </w:tcPr>
          <w:p w14:paraId="4BB54EB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-L2:1505</w:t>
            </w:r>
          </w:p>
        </w:tc>
        <w:tc>
          <w:tcPr>
            <w:tcW w:w="1700" w:type="dxa"/>
            <w:shd w:val="clear" w:color="auto" w:fill="auto"/>
            <w:noWrap/>
            <w:vAlign w:val="center"/>
          </w:tcPr>
          <w:p w14:paraId="124782F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15.25</w:t>
            </w:r>
          </w:p>
        </w:tc>
        <w:tc>
          <w:tcPr>
            <w:tcW w:w="2025" w:type="dxa"/>
            <w:shd w:val="clear" w:color="auto" w:fill="auto"/>
            <w:noWrap/>
            <w:vAlign w:val="center"/>
          </w:tcPr>
          <w:p w14:paraId="607AC85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74.4</w:t>
            </w:r>
          </w:p>
        </w:tc>
        <w:tc>
          <w:tcPr>
            <w:tcW w:w="1663" w:type="dxa"/>
            <w:shd w:val="clear" w:color="auto" w:fill="auto"/>
            <w:noWrap/>
            <w:vAlign w:val="center"/>
          </w:tcPr>
          <w:p w14:paraId="36EC444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f</w:t>
            </w:r>
          </w:p>
        </w:tc>
        <w:tc>
          <w:tcPr>
            <w:tcW w:w="2150" w:type="dxa"/>
            <w:shd w:val="clear" w:color="auto" w:fill="auto"/>
            <w:noWrap/>
            <w:vAlign w:val="center"/>
          </w:tcPr>
          <w:p w14:paraId="4F8DB34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61-183</w:t>
            </w:r>
          </w:p>
        </w:tc>
        <w:tc>
          <w:tcPr>
            <w:tcW w:w="2187" w:type="dxa"/>
            <w:shd w:val="clear" w:color="auto" w:fill="auto"/>
            <w:noWrap/>
            <w:vAlign w:val="center"/>
          </w:tcPr>
          <w:p w14:paraId="2571AFF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3622B78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1823076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w:t>
            </w:r>
          </w:p>
        </w:tc>
        <w:tc>
          <w:tcPr>
            <w:tcW w:w="2850" w:type="dxa"/>
            <w:shd w:val="clear" w:color="auto" w:fill="auto"/>
            <w:noWrap/>
            <w:vAlign w:val="center"/>
          </w:tcPr>
          <w:p w14:paraId="7C899D0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-L2:1512</w:t>
            </w:r>
          </w:p>
        </w:tc>
        <w:tc>
          <w:tcPr>
            <w:tcW w:w="1700" w:type="dxa"/>
            <w:shd w:val="clear" w:color="auto" w:fill="auto"/>
            <w:noWrap/>
            <w:vAlign w:val="center"/>
          </w:tcPr>
          <w:p w14:paraId="59DF93E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17.58</w:t>
            </w:r>
          </w:p>
        </w:tc>
        <w:tc>
          <w:tcPr>
            <w:tcW w:w="2025" w:type="dxa"/>
            <w:shd w:val="clear" w:color="auto" w:fill="auto"/>
            <w:noWrap/>
            <w:vAlign w:val="center"/>
          </w:tcPr>
          <w:p w14:paraId="2331026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56.5</w:t>
            </w:r>
          </w:p>
        </w:tc>
        <w:tc>
          <w:tcPr>
            <w:tcW w:w="1663" w:type="dxa"/>
            <w:shd w:val="clear" w:color="auto" w:fill="auto"/>
            <w:noWrap/>
            <w:vAlign w:val="center"/>
          </w:tcPr>
          <w:p w14:paraId="4C8A8E5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w:t>
            </w:r>
          </w:p>
        </w:tc>
        <w:tc>
          <w:tcPr>
            <w:tcW w:w="2150" w:type="dxa"/>
            <w:shd w:val="clear" w:color="auto" w:fill="auto"/>
            <w:noWrap/>
            <w:vAlign w:val="center"/>
          </w:tcPr>
          <w:p w14:paraId="1E2855A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33-54</w:t>
            </w:r>
          </w:p>
        </w:tc>
        <w:tc>
          <w:tcPr>
            <w:tcW w:w="2187" w:type="dxa"/>
            <w:shd w:val="clear" w:color="auto" w:fill="auto"/>
            <w:noWrap/>
            <w:vAlign w:val="center"/>
          </w:tcPr>
          <w:p w14:paraId="61165CB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5FA3217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681B664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w:t>
            </w:r>
          </w:p>
        </w:tc>
        <w:tc>
          <w:tcPr>
            <w:tcW w:w="2850" w:type="dxa"/>
            <w:shd w:val="clear" w:color="auto" w:fill="auto"/>
            <w:noWrap/>
            <w:vAlign w:val="center"/>
          </w:tcPr>
          <w:p w14:paraId="3D07038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-L2:1519</w:t>
            </w:r>
          </w:p>
        </w:tc>
        <w:tc>
          <w:tcPr>
            <w:tcW w:w="1700" w:type="dxa"/>
            <w:shd w:val="clear" w:color="auto" w:fill="auto"/>
            <w:noWrap/>
            <w:vAlign w:val="center"/>
          </w:tcPr>
          <w:p w14:paraId="4A1B6D1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18.32</w:t>
            </w:r>
          </w:p>
        </w:tc>
        <w:tc>
          <w:tcPr>
            <w:tcW w:w="2025" w:type="dxa"/>
            <w:shd w:val="clear" w:color="auto" w:fill="auto"/>
            <w:noWrap/>
            <w:vAlign w:val="center"/>
          </w:tcPr>
          <w:p w14:paraId="46CB85A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50.8</w:t>
            </w:r>
          </w:p>
        </w:tc>
        <w:tc>
          <w:tcPr>
            <w:tcW w:w="1663" w:type="dxa"/>
            <w:shd w:val="clear" w:color="auto" w:fill="auto"/>
            <w:noWrap/>
            <w:vAlign w:val="center"/>
          </w:tcPr>
          <w:p w14:paraId="4196F1A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w:t>
            </w:r>
          </w:p>
        </w:tc>
        <w:tc>
          <w:tcPr>
            <w:tcW w:w="2150" w:type="dxa"/>
            <w:shd w:val="clear" w:color="auto" w:fill="auto"/>
            <w:noWrap/>
            <w:vAlign w:val="center"/>
          </w:tcPr>
          <w:p w14:paraId="2F98B88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33-54</w:t>
            </w:r>
          </w:p>
        </w:tc>
        <w:tc>
          <w:tcPr>
            <w:tcW w:w="2187" w:type="dxa"/>
            <w:shd w:val="clear" w:color="auto" w:fill="auto"/>
            <w:noWrap/>
            <w:vAlign w:val="center"/>
          </w:tcPr>
          <w:p w14:paraId="55D2186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65B3281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2C915BE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w:t>
            </w:r>
          </w:p>
        </w:tc>
        <w:tc>
          <w:tcPr>
            <w:tcW w:w="2850" w:type="dxa"/>
            <w:shd w:val="clear" w:color="auto" w:fill="auto"/>
            <w:noWrap/>
            <w:vAlign w:val="center"/>
          </w:tcPr>
          <w:p w14:paraId="33DB15F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-L2:1532</w:t>
            </w:r>
          </w:p>
        </w:tc>
        <w:tc>
          <w:tcPr>
            <w:tcW w:w="1700" w:type="dxa"/>
            <w:shd w:val="clear" w:color="auto" w:fill="auto"/>
            <w:noWrap/>
            <w:vAlign w:val="center"/>
          </w:tcPr>
          <w:p w14:paraId="782830C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5.8</w:t>
            </w:r>
          </w:p>
        </w:tc>
        <w:tc>
          <w:tcPr>
            <w:tcW w:w="2025" w:type="dxa"/>
            <w:shd w:val="clear" w:color="auto" w:fill="auto"/>
            <w:noWrap/>
            <w:vAlign w:val="center"/>
          </w:tcPr>
          <w:p w14:paraId="7A41293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147.3</w:t>
            </w:r>
          </w:p>
        </w:tc>
        <w:tc>
          <w:tcPr>
            <w:tcW w:w="1663" w:type="dxa"/>
            <w:shd w:val="clear" w:color="auto" w:fill="auto"/>
            <w:noWrap/>
            <w:vAlign w:val="center"/>
          </w:tcPr>
          <w:p w14:paraId="4BAB5FE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j</w:t>
            </w:r>
          </w:p>
        </w:tc>
        <w:tc>
          <w:tcPr>
            <w:tcW w:w="2150" w:type="dxa"/>
            <w:shd w:val="clear" w:color="auto" w:fill="auto"/>
            <w:noWrap/>
            <w:vAlign w:val="center"/>
          </w:tcPr>
          <w:p w14:paraId="60482C3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eastAsia" w:ascii="宋体" w:hAnsi="宋体" w:eastAsia="宋体" w:cs="宋体"/>
                <w:color w:val="000000"/>
                <w:kern w:val="0"/>
                <w:sz w:val="22"/>
                <w:szCs w:val="22"/>
                <w:lang w:val="en-US" w:eastAsia="zh-CN" w:bidi="ar"/>
              </w:rPr>
              <w:t>﹥</w:t>
            </w:r>
            <w:r>
              <w:rPr>
                <w:rFonts w:hint="default" w:ascii="Times New Roman" w:hAnsi="Times New Roman" w:eastAsia="宋体" w:cs="Times New Roman"/>
                <w:color w:val="000000"/>
                <w:kern w:val="0"/>
                <w:sz w:val="22"/>
                <w:szCs w:val="22"/>
                <w:lang w:val="en-US" w:eastAsia="zh-CN" w:bidi="ar"/>
              </w:rPr>
              <w:t>118-189</w:t>
            </w:r>
          </w:p>
        </w:tc>
        <w:tc>
          <w:tcPr>
            <w:tcW w:w="2187" w:type="dxa"/>
            <w:shd w:val="clear" w:color="auto" w:fill="auto"/>
            <w:noWrap/>
            <w:vAlign w:val="center"/>
          </w:tcPr>
          <w:p w14:paraId="2DE3EBA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Old adult</w:t>
            </w:r>
          </w:p>
        </w:tc>
      </w:tr>
      <w:tr w14:paraId="4EBE9A7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18F2E64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7</w:t>
            </w:r>
          </w:p>
        </w:tc>
        <w:tc>
          <w:tcPr>
            <w:tcW w:w="2850" w:type="dxa"/>
            <w:shd w:val="clear" w:color="auto" w:fill="auto"/>
            <w:noWrap/>
            <w:vAlign w:val="center"/>
          </w:tcPr>
          <w:p w14:paraId="27EA8AE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-L2:1540</w:t>
            </w:r>
          </w:p>
        </w:tc>
        <w:tc>
          <w:tcPr>
            <w:tcW w:w="1700" w:type="dxa"/>
            <w:shd w:val="clear" w:color="auto" w:fill="auto"/>
            <w:noWrap/>
            <w:vAlign w:val="center"/>
          </w:tcPr>
          <w:p w14:paraId="7155B89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13.28</w:t>
            </w:r>
          </w:p>
        </w:tc>
        <w:tc>
          <w:tcPr>
            <w:tcW w:w="2025" w:type="dxa"/>
            <w:shd w:val="clear" w:color="auto" w:fill="auto"/>
            <w:noWrap/>
            <w:vAlign w:val="center"/>
          </w:tcPr>
          <w:p w14:paraId="4EE835F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89.6</w:t>
            </w:r>
          </w:p>
        </w:tc>
        <w:tc>
          <w:tcPr>
            <w:tcW w:w="1663" w:type="dxa"/>
            <w:shd w:val="clear" w:color="auto" w:fill="auto"/>
            <w:noWrap/>
            <w:vAlign w:val="center"/>
          </w:tcPr>
          <w:p w14:paraId="4EAB1E0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g</w:t>
            </w:r>
          </w:p>
        </w:tc>
        <w:tc>
          <w:tcPr>
            <w:tcW w:w="2150" w:type="dxa"/>
            <w:shd w:val="clear" w:color="auto" w:fill="auto"/>
            <w:noWrap/>
            <w:vAlign w:val="center"/>
          </w:tcPr>
          <w:p w14:paraId="1E429E4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118-189</w:t>
            </w:r>
          </w:p>
        </w:tc>
        <w:tc>
          <w:tcPr>
            <w:tcW w:w="2187" w:type="dxa"/>
            <w:shd w:val="clear" w:color="auto" w:fill="auto"/>
            <w:noWrap/>
            <w:vAlign w:val="center"/>
          </w:tcPr>
          <w:p w14:paraId="3CBED64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1601280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58A60D5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8</w:t>
            </w:r>
          </w:p>
        </w:tc>
        <w:tc>
          <w:tcPr>
            <w:tcW w:w="2850" w:type="dxa"/>
            <w:shd w:val="clear" w:color="auto" w:fill="auto"/>
            <w:noWrap/>
            <w:vAlign w:val="center"/>
          </w:tcPr>
          <w:p w14:paraId="6154F64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-L2:1574</w:t>
            </w:r>
          </w:p>
        </w:tc>
        <w:tc>
          <w:tcPr>
            <w:tcW w:w="1700" w:type="dxa"/>
            <w:shd w:val="clear" w:color="auto" w:fill="auto"/>
            <w:noWrap/>
            <w:vAlign w:val="center"/>
          </w:tcPr>
          <w:p w14:paraId="3EE9108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16.43</w:t>
            </w:r>
          </w:p>
        </w:tc>
        <w:tc>
          <w:tcPr>
            <w:tcW w:w="2025" w:type="dxa"/>
            <w:shd w:val="clear" w:color="auto" w:fill="auto"/>
            <w:noWrap/>
            <w:vAlign w:val="center"/>
          </w:tcPr>
          <w:p w14:paraId="069E497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65.3</w:t>
            </w:r>
          </w:p>
        </w:tc>
        <w:tc>
          <w:tcPr>
            <w:tcW w:w="1663" w:type="dxa"/>
            <w:shd w:val="clear" w:color="auto" w:fill="auto"/>
            <w:noWrap/>
            <w:vAlign w:val="center"/>
          </w:tcPr>
          <w:p w14:paraId="024F223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w:t>
            </w:r>
          </w:p>
        </w:tc>
        <w:tc>
          <w:tcPr>
            <w:tcW w:w="2150" w:type="dxa"/>
            <w:shd w:val="clear" w:color="auto" w:fill="auto"/>
            <w:noWrap/>
            <w:vAlign w:val="center"/>
          </w:tcPr>
          <w:p w14:paraId="58B50C0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33-54</w:t>
            </w:r>
          </w:p>
        </w:tc>
        <w:tc>
          <w:tcPr>
            <w:tcW w:w="2187" w:type="dxa"/>
            <w:shd w:val="clear" w:color="auto" w:fill="auto"/>
            <w:noWrap/>
            <w:vAlign w:val="center"/>
          </w:tcPr>
          <w:p w14:paraId="680697F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3770809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5053BF1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9</w:t>
            </w:r>
          </w:p>
        </w:tc>
        <w:tc>
          <w:tcPr>
            <w:tcW w:w="2850" w:type="dxa"/>
            <w:shd w:val="clear" w:color="auto" w:fill="auto"/>
            <w:noWrap/>
            <w:vAlign w:val="center"/>
          </w:tcPr>
          <w:p w14:paraId="651A4CD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-L2:1615</w:t>
            </w:r>
          </w:p>
        </w:tc>
        <w:tc>
          <w:tcPr>
            <w:tcW w:w="1700" w:type="dxa"/>
            <w:shd w:val="clear" w:color="auto" w:fill="auto"/>
            <w:noWrap/>
            <w:vAlign w:val="center"/>
          </w:tcPr>
          <w:p w14:paraId="156F8D7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9.31</w:t>
            </w:r>
          </w:p>
        </w:tc>
        <w:tc>
          <w:tcPr>
            <w:tcW w:w="2025" w:type="dxa"/>
            <w:shd w:val="clear" w:color="auto" w:fill="auto"/>
            <w:noWrap/>
            <w:vAlign w:val="center"/>
          </w:tcPr>
          <w:p w14:paraId="6CD6892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120.2</w:t>
            </w:r>
          </w:p>
        </w:tc>
        <w:tc>
          <w:tcPr>
            <w:tcW w:w="1663" w:type="dxa"/>
            <w:shd w:val="clear" w:color="auto" w:fill="auto"/>
            <w:noWrap/>
            <w:vAlign w:val="center"/>
          </w:tcPr>
          <w:p w14:paraId="2721B99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i</w:t>
            </w:r>
          </w:p>
        </w:tc>
        <w:tc>
          <w:tcPr>
            <w:tcW w:w="2150" w:type="dxa"/>
            <w:shd w:val="clear" w:color="auto" w:fill="auto"/>
            <w:noWrap/>
            <w:vAlign w:val="center"/>
          </w:tcPr>
          <w:p w14:paraId="1F04957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eastAsia" w:ascii="宋体" w:hAnsi="宋体" w:eastAsia="宋体" w:cs="宋体"/>
                <w:color w:val="000000"/>
                <w:kern w:val="0"/>
                <w:sz w:val="22"/>
                <w:szCs w:val="22"/>
                <w:lang w:val="en-US" w:eastAsia="zh-CN" w:bidi="ar"/>
              </w:rPr>
              <w:t>﹥</w:t>
            </w:r>
            <w:r>
              <w:rPr>
                <w:rFonts w:hint="default" w:ascii="Times New Roman" w:hAnsi="Times New Roman" w:eastAsia="宋体" w:cs="Times New Roman"/>
                <w:color w:val="000000"/>
                <w:kern w:val="0"/>
                <w:sz w:val="22"/>
                <w:szCs w:val="22"/>
                <w:lang w:val="en-US" w:eastAsia="zh-CN" w:bidi="ar"/>
              </w:rPr>
              <w:t>118-189</w:t>
            </w:r>
          </w:p>
        </w:tc>
        <w:tc>
          <w:tcPr>
            <w:tcW w:w="2187" w:type="dxa"/>
            <w:shd w:val="clear" w:color="auto" w:fill="auto"/>
            <w:noWrap/>
            <w:vAlign w:val="center"/>
          </w:tcPr>
          <w:p w14:paraId="2D2FA0C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Old adult</w:t>
            </w:r>
          </w:p>
        </w:tc>
      </w:tr>
      <w:tr w14:paraId="3766F32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5D09A90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10</w:t>
            </w:r>
          </w:p>
        </w:tc>
        <w:tc>
          <w:tcPr>
            <w:tcW w:w="2850" w:type="dxa"/>
            <w:shd w:val="clear" w:color="auto" w:fill="auto"/>
            <w:noWrap/>
            <w:vAlign w:val="center"/>
          </w:tcPr>
          <w:p w14:paraId="16B816E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-L2:1627</w:t>
            </w:r>
          </w:p>
        </w:tc>
        <w:tc>
          <w:tcPr>
            <w:tcW w:w="1700" w:type="dxa"/>
            <w:shd w:val="clear" w:color="auto" w:fill="auto"/>
            <w:noWrap/>
            <w:vAlign w:val="center"/>
          </w:tcPr>
          <w:p w14:paraId="3590445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14.9</w:t>
            </w:r>
          </w:p>
        </w:tc>
        <w:tc>
          <w:tcPr>
            <w:tcW w:w="2025" w:type="dxa"/>
            <w:shd w:val="clear" w:color="auto" w:fill="auto"/>
            <w:noWrap/>
            <w:vAlign w:val="center"/>
          </w:tcPr>
          <w:p w14:paraId="4B11510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77.1</w:t>
            </w:r>
          </w:p>
        </w:tc>
        <w:tc>
          <w:tcPr>
            <w:tcW w:w="1663" w:type="dxa"/>
            <w:shd w:val="clear" w:color="auto" w:fill="auto"/>
            <w:noWrap/>
            <w:vAlign w:val="center"/>
          </w:tcPr>
          <w:p w14:paraId="7FDDE85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f</w:t>
            </w:r>
          </w:p>
        </w:tc>
        <w:tc>
          <w:tcPr>
            <w:tcW w:w="2150" w:type="dxa"/>
            <w:shd w:val="clear" w:color="auto" w:fill="auto"/>
            <w:noWrap/>
            <w:vAlign w:val="center"/>
          </w:tcPr>
          <w:p w14:paraId="40BB9D2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61-183</w:t>
            </w:r>
          </w:p>
        </w:tc>
        <w:tc>
          <w:tcPr>
            <w:tcW w:w="2187" w:type="dxa"/>
            <w:shd w:val="clear" w:color="auto" w:fill="auto"/>
            <w:noWrap/>
            <w:vAlign w:val="center"/>
          </w:tcPr>
          <w:p w14:paraId="0CDDC87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31A3A86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42E43C7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11</w:t>
            </w:r>
          </w:p>
        </w:tc>
        <w:tc>
          <w:tcPr>
            <w:tcW w:w="2850" w:type="dxa"/>
            <w:shd w:val="clear" w:color="auto" w:fill="auto"/>
            <w:noWrap/>
            <w:vAlign w:val="center"/>
          </w:tcPr>
          <w:p w14:paraId="70391BA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-L2:1751</w:t>
            </w:r>
          </w:p>
        </w:tc>
        <w:tc>
          <w:tcPr>
            <w:tcW w:w="1700" w:type="dxa"/>
            <w:shd w:val="clear" w:color="auto" w:fill="auto"/>
            <w:noWrap/>
            <w:vAlign w:val="center"/>
          </w:tcPr>
          <w:p w14:paraId="1595B10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14.66</w:t>
            </w:r>
          </w:p>
        </w:tc>
        <w:tc>
          <w:tcPr>
            <w:tcW w:w="2025" w:type="dxa"/>
            <w:shd w:val="clear" w:color="auto" w:fill="auto"/>
            <w:noWrap/>
            <w:vAlign w:val="center"/>
          </w:tcPr>
          <w:p w14:paraId="22920F7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79</w:t>
            </w:r>
          </w:p>
        </w:tc>
        <w:tc>
          <w:tcPr>
            <w:tcW w:w="1663" w:type="dxa"/>
            <w:shd w:val="clear" w:color="auto" w:fill="auto"/>
            <w:noWrap/>
            <w:vAlign w:val="center"/>
          </w:tcPr>
          <w:p w14:paraId="797FB23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f</w:t>
            </w:r>
          </w:p>
        </w:tc>
        <w:tc>
          <w:tcPr>
            <w:tcW w:w="2150" w:type="dxa"/>
            <w:shd w:val="clear" w:color="auto" w:fill="auto"/>
            <w:noWrap/>
            <w:vAlign w:val="center"/>
          </w:tcPr>
          <w:p w14:paraId="068749C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61-183</w:t>
            </w:r>
          </w:p>
        </w:tc>
        <w:tc>
          <w:tcPr>
            <w:tcW w:w="2187" w:type="dxa"/>
            <w:shd w:val="clear" w:color="auto" w:fill="auto"/>
            <w:noWrap/>
            <w:vAlign w:val="center"/>
          </w:tcPr>
          <w:p w14:paraId="6E5737E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6FA0316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45E14A7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12</w:t>
            </w:r>
          </w:p>
        </w:tc>
        <w:tc>
          <w:tcPr>
            <w:tcW w:w="2850" w:type="dxa"/>
            <w:shd w:val="clear" w:color="auto" w:fill="auto"/>
            <w:noWrap/>
            <w:vAlign w:val="center"/>
          </w:tcPr>
          <w:p w14:paraId="18915FF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-L2:1805</w:t>
            </w:r>
          </w:p>
        </w:tc>
        <w:tc>
          <w:tcPr>
            <w:tcW w:w="1700" w:type="dxa"/>
            <w:shd w:val="clear" w:color="auto" w:fill="auto"/>
            <w:noWrap/>
            <w:vAlign w:val="center"/>
          </w:tcPr>
          <w:p w14:paraId="649B4E1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5.78</w:t>
            </w:r>
          </w:p>
        </w:tc>
        <w:tc>
          <w:tcPr>
            <w:tcW w:w="2025" w:type="dxa"/>
            <w:shd w:val="clear" w:color="auto" w:fill="auto"/>
            <w:noWrap/>
            <w:vAlign w:val="center"/>
          </w:tcPr>
          <w:p w14:paraId="735DAE0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147.4</w:t>
            </w:r>
          </w:p>
        </w:tc>
        <w:tc>
          <w:tcPr>
            <w:tcW w:w="1663" w:type="dxa"/>
            <w:shd w:val="clear" w:color="auto" w:fill="auto"/>
            <w:noWrap/>
            <w:vAlign w:val="center"/>
          </w:tcPr>
          <w:p w14:paraId="551833B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j</w:t>
            </w:r>
          </w:p>
        </w:tc>
        <w:tc>
          <w:tcPr>
            <w:tcW w:w="2150" w:type="dxa"/>
            <w:shd w:val="clear" w:color="auto" w:fill="auto"/>
            <w:noWrap/>
            <w:vAlign w:val="center"/>
          </w:tcPr>
          <w:p w14:paraId="1BBF435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eastAsia" w:ascii="宋体" w:hAnsi="宋体" w:eastAsia="宋体" w:cs="宋体"/>
                <w:color w:val="000000"/>
                <w:kern w:val="0"/>
                <w:sz w:val="22"/>
                <w:szCs w:val="22"/>
                <w:lang w:val="en-US" w:eastAsia="zh-CN" w:bidi="ar"/>
              </w:rPr>
              <w:t>﹥</w:t>
            </w:r>
            <w:r>
              <w:rPr>
                <w:rFonts w:hint="default" w:ascii="Times New Roman" w:hAnsi="Times New Roman" w:eastAsia="宋体" w:cs="Times New Roman"/>
                <w:color w:val="000000"/>
                <w:kern w:val="0"/>
                <w:sz w:val="22"/>
                <w:szCs w:val="22"/>
                <w:lang w:val="en-US" w:eastAsia="zh-CN" w:bidi="ar"/>
              </w:rPr>
              <w:t>118-189</w:t>
            </w:r>
          </w:p>
        </w:tc>
        <w:tc>
          <w:tcPr>
            <w:tcW w:w="2187" w:type="dxa"/>
            <w:shd w:val="clear" w:color="auto" w:fill="auto"/>
            <w:noWrap/>
            <w:vAlign w:val="center"/>
          </w:tcPr>
          <w:p w14:paraId="7F07755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Old adult</w:t>
            </w:r>
          </w:p>
        </w:tc>
      </w:tr>
      <w:tr w14:paraId="056A699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5087279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13</w:t>
            </w:r>
          </w:p>
        </w:tc>
        <w:tc>
          <w:tcPr>
            <w:tcW w:w="2850" w:type="dxa"/>
            <w:shd w:val="clear" w:color="auto" w:fill="auto"/>
            <w:noWrap/>
            <w:vAlign w:val="center"/>
          </w:tcPr>
          <w:p w14:paraId="08C3263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-L2:1851</w:t>
            </w:r>
          </w:p>
        </w:tc>
        <w:tc>
          <w:tcPr>
            <w:tcW w:w="1700" w:type="dxa"/>
            <w:shd w:val="clear" w:color="auto" w:fill="auto"/>
            <w:noWrap/>
            <w:vAlign w:val="center"/>
          </w:tcPr>
          <w:p w14:paraId="7B2573B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8.08</w:t>
            </w:r>
          </w:p>
        </w:tc>
        <w:tc>
          <w:tcPr>
            <w:tcW w:w="2025" w:type="dxa"/>
            <w:shd w:val="clear" w:color="auto" w:fill="auto"/>
            <w:noWrap/>
            <w:vAlign w:val="center"/>
          </w:tcPr>
          <w:p w14:paraId="586F7CC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129.7</w:t>
            </w:r>
          </w:p>
        </w:tc>
        <w:tc>
          <w:tcPr>
            <w:tcW w:w="1663" w:type="dxa"/>
            <w:shd w:val="clear" w:color="auto" w:fill="auto"/>
            <w:noWrap/>
            <w:vAlign w:val="center"/>
          </w:tcPr>
          <w:p w14:paraId="1C016B7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i</w:t>
            </w:r>
          </w:p>
        </w:tc>
        <w:tc>
          <w:tcPr>
            <w:tcW w:w="2150" w:type="dxa"/>
            <w:shd w:val="clear" w:color="auto" w:fill="auto"/>
            <w:noWrap/>
            <w:vAlign w:val="center"/>
          </w:tcPr>
          <w:p w14:paraId="7C35F22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eastAsia" w:ascii="宋体" w:hAnsi="宋体" w:eastAsia="宋体" w:cs="宋体"/>
                <w:color w:val="000000"/>
                <w:kern w:val="0"/>
                <w:sz w:val="22"/>
                <w:szCs w:val="22"/>
                <w:lang w:val="en-US" w:eastAsia="zh-CN" w:bidi="ar"/>
              </w:rPr>
              <w:t>﹥</w:t>
            </w:r>
            <w:r>
              <w:rPr>
                <w:rFonts w:hint="default" w:ascii="Times New Roman" w:hAnsi="Times New Roman" w:eastAsia="宋体" w:cs="Times New Roman"/>
                <w:color w:val="000000"/>
                <w:kern w:val="0"/>
                <w:sz w:val="22"/>
                <w:szCs w:val="22"/>
                <w:lang w:val="en-US" w:eastAsia="zh-CN" w:bidi="ar"/>
              </w:rPr>
              <w:t>118-189</w:t>
            </w:r>
          </w:p>
        </w:tc>
        <w:tc>
          <w:tcPr>
            <w:tcW w:w="2187" w:type="dxa"/>
            <w:shd w:val="clear" w:color="auto" w:fill="auto"/>
            <w:noWrap/>
            <w:vAlign w:val="center"/>
          </w:tcPr>
          <w:p w14:paraId="258A760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Old adult</w:t>
            </w:r>
          </w:p>
        </w:tc>
      </w:tr>
      <w:tr w14:paraId="7897FA6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40B4114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14</w:t>
            </w:r>
          </w:p>
        </w:tc>
        <w:tc>
          <w:tcPr>
            <w:tcW w:w="2850" w:type="dxa"/>
            <w:shd w:val="clear" w:color="auto" w:fill="auto"/>
            <w:noWrap/>
            <w:vAlign w:val="center"/>
          </w:tcPr>
          <w:p w14:paraId="2EC8BA6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-L2:1945</w:t>
            </w:r>
          </w:p>
        </w:tc>
        <w:tc>
          <w:tcPr>
            <w:tcW w:w="1700" w:type="dxa"/>
            <w:shd w:val="clear" w:color="auto" w:fill="auto"/>
            <w:noWrap/>
            <w:vAlign w:val="center"/>
          </w:tcPr>
          <w:p w14:paraId="285850E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13.35</w:t>
            </w:r>
          </w:p>
        </w:tc>
        <w:tc>
          <w:tcPr>
            <w:tcW w:w="2025" w:type="dxa"/>
            <w:shd w:val="clear" w:color="auto" w:fill="auto"/>
            <w:noWrap/>
            <w:vAlign w:val="center"/>
          </w:tcPr>
          <w:p w14:paraId="75B1C11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89.1</w:t>
            </w:r>
          </w:p>
        </w:tc>
        <w:tc>
          <w:tcPr>
            <w:tcW w:w="1663" w:type="dxa"/>
            <w:shd w:val="clear" w:color="auto" w:fill="auto"/>
            <w:noWrap/>
            <w:vAlign w:val="center"/>
          </w:tcPr>
          <w:p w14:paraId="2DA3417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g</w:t>
            </w:r>
          </w:p>
        </w:tc>
        <w:tc>
          <w:tcPr>
            <w:tcW w:w="2150" w:type="dxa"/>
            <w:shd w:val="clear" w:color="auto" w:fill="auto"/>
            <w:noWrap/>
            <w:vAlign w:val="center"/>
          </w:tcPr>
          <w:p w14:paraId="2486A4E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118-189</w:t>
            </w:r>
          </w:p>
        </w:tc>
        <w:tc>
          <w:tcPr>
            <w:tcW w:w="2187" w:type="dxa"/>
            <w:shd w:val="clear" w:color="auto" w:fill="auto"/>
            <w:noWrap/>
            <w:vAlign w:val="center"/>
          </w:tcPr>
          <w:p w14:paraId="6DF7746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46AC2A4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0A78A32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15</w:t>
            </w:r>
          </w:p>
        </w:tc>
        <w:tc>
          <w:tcPr>
            <w:tcW w:w="2850" w:type="dxa"/>
            <w:shd w:val="clear" w:color="auto" w:fill="auto"/>
            <w:noWrap/>
            <w:vAlign w:val="center"/>
          </w:tcPr>
          <w:p w14:paraId="04C06BF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-L2:1980</w:t>
            </w:r>
          </w:p>
        </w:tc>
        <w:tc>
          <w:tcPr>
            <w:tcW w:w="1700" w:type="dxa"/>
            <w:shd w:val="clear" w:color="auto" w:fill="auto"/>
            <w:noWrap/>
            <w:vAlign w:val="center"/>
          </w:tcPr>
          <w:p w14:paraId="0DBD2CA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16.88</w:t>
            </w:r>
          </w:p>
        </w:tc>
        <w:tc>
          <w:tcPr>
            <w:tcW w:w="2025" w:type="dxa"/>
            <w:shd w:val="clear" w:color="auto" w:fill="auto"/>
            <w:noWrap/>
            <w:vAlign w:val="center"/>
          </w:tcPr>
          <w:p w14:paraId="5F154EA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61.9</w:t>
            </w:r>
          </w:p>
        </w:tc>
        <w:tc>
          <w:tcPr>
            <w:tcW w:w="1663" w:type="dxa"/>
            <w:shd w:val="clear" w:color="auto" w:fill="auto"/>
            <w:noWrap/>
            <w:vAlign w:val="center"/>
          </w:tcPr>
          <w:p w14:paraId="3C61814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f</w:t>
            </w:r>
          </w:p>
        </w:tc>
        <w:tc>
          <w:tcPr>
            <w:tcW w:w="2150" w:type="dxa"/>
            <w:shd w:val="clear" w:color="auto" w:fill="auto"/>
            <w:noWrap/>
            <w:vAlign w:val="center"/>
          </w:tcPr>
          <w:p w14:paraId="1586174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61-183</w:t>
            </w:r>
          </w:p>
        </w:tc>
        <w:tc>
          <w:tcPr>
            <w:tcW w:w="2187" w:type="dxa"/>
            <w:shd w:val="clear" w:color="auto" w:fill="auto"/>
            <w:noWrap/>
            <w:vAlign w:val="center"/>
          </w:tcPr>
          <w:p w14:paraId="3041253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4A8BEF1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3946AC8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16</w:t>
            </w:r>
          </w:p>
        </w:tc>
        <w:tc>
          <w:tcPr>
            <w:tcW w:w="2850" w:type="dxa"/>
            <w:shd w:val="clear" w:color="auto" w:fill="auto"/>
            <w:noWrap/>
            <w:vAlign w:val="center"/>
          </w:tcPr>
          <w:p w14:paraId="4A28BDF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-L2:1990</w:t>
            </w:r>
          </w:p>
        </w:tc>
        <w:tc>
          <w:tcPr>
            <w:tcW w:w="1700" w:type="dxa"/>
            <w:shd w:val="clear" w:color="auto" w:fill="auto"/>
            <w:noWrap/>
            <w:vAlign w:val="center"/>
          </w:tcPr>
          <w:p w14:paraId="49644E2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19.28</w:t>
            </w:r>
          </w:p>
        </w:tc>
        <w:tc>
          <w:tcPr>
            <w:tcW w:w="2025" w:type="dxa"/>
            <w:shd w:val="clear" w:color="auto" w:fill="auto"/>
            <w:noWrap/>
            <w:vAlign w:val="center"/>
          </w:tcPr>
          <w:p w14:paraId="7895CC2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43.4</w:t>
            </w:r>
          </w:p>
        </w:tc>
        <w:tc>
          <w:tcPr>
            <w:tcW w:w="1663" w:type="dxa"/>
            <w:shd w:val="clear" w:color="auto" w:fill="auto"/>
            <w:noWrap/>
            <w:vAlign w:val="center"/>
          </w:tcPr>
          <w:p w14:paraId="77A1EE7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w:t>
            </w:r>
          </w:p>
        </w:tc>
        <w:tc>
          <w:tcPr>
            <w:tcW w:w="2150" w:type="dxa"/>
            <w:shd w:val="clear" w:color="auto" w:fill="auto"/>
            <w:noWrap/>
            <w:vAlign w:val="center"/>
          </w:tcPr>
          <w:p w14:paraId="2D80A15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33-54</w:t>
            </w:r>
          </w:p>
        </w:tc>
        <w:tc>
          <w:tcPr>
            <w:tcW w:w="2187" w:type="dxa"/>
            <w:shd w:val="clear" w:color="auto" w:fill="auto"/>
            <w:noWrap/>
            <w:vAlign w:val="center"/>
          </w:tcPr>
          <w:p w14:paraId="6DDA6A5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2B0823E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232DDF7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17</w:t>
            </w:r>
          </w:p>
        </w:tc>
        <w:tc>
          <w:tcPr>
            <w:tcW w:w="2850" w:type="dxa"/>
            <w:shd w:val="clear" w:color="auto" w:fill="auto"/>
            <w:noWrap/>
            <w:vAlign w:val="center"/>
          </w:tcPr>
          <w:p w14:paraId="13B9757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-L2:1999</w:t>
            </w:r>
          </w:p>
        </w:tc>
        <w:tc>
          <w:tcPr>
            <w:tcW w:w="1700" w:type="dxa"/>
            <w:shd w:val="clear" w:color="auto" w:fill="auto"/>
            <w:noWrap/>
            <w:vAlign w:val="center"/>
          </w:tcPr>
          <w:p w14:paraId="404F7B2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13.76</w:t>
            </w:r>
          </w:p>
        </w:tc>
        <w:tc>
          <w:tcPr>
            <w:tcW w:w="2025" w:type="dxa"/>
            <w:shd w:val="clear" w:color="auto" w:fill="auto"/>
            <w:noWrap/>
            <w:vAlign w:val="center"/>
          </w:tcPr>
          <w:p w14:paraId="5FE9690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85.9</w:t>
            </w:r>
          </w:p>
        </w:tc>
        <w:tc>
          <w:tcPr>
            <w:tcW w:w="1663" w:type="dxa"/>
            <w:shd w:val="clear" w:color="auto" w:fill="auto"/>
            <w:noWrap/>
            <w:vAlign w:val="center"/>
          </w:tcPr>
          <w:p w14:paraId="76107AD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g</w:t>
            </w:r>
          </w:p>
        </w:tc>
        <w:tc>
          <w:tcPr>
            <w:tcW w:w="2150" w:type="dxa"/>
            <w:shd w:val="clear" w:color="auto" w:fill="auto"/>
            <w:noWrap/>
            <w:vAlign w:val="center"/>
          </w:tcPr>
          <w:p w14:paraId="431F24E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118-189</w:t>
            </w:r>
          </w:p>
        </w:tc>
        <w:tc>
          <w:tcPr>
            <w:tcW w:w="2187" w:type="dxa"/>
            <w:shd w:val="clear" w:color="auto" w:fill="auto"/>
            <w:noWrap/>
            <w:vAlign w:val="center"/>
          </w:tcPr>
          <w:p w14:paraId="33A0439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5728B73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3BABDE5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18</w:t>
            </w:r>
          </w:p>
        </w:tc>
        <w:tc>
          <w:tcPr>
            <w:tcW w:w="2850" w:type="dxa"/>
            <w:shd w:val="clear" w:color="auto" w:fill="auto"/>
            <w:noWrap/>
            <w:vAlign w:val="center"/>
          </w:tcPr>
          <w:p w14:paraId="18BA2EE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-L2:2007</w:t>
            </w:r>
          </w:p>
        </w:tc>
        <w:tc>
          <w:tcPr>
            <w:tcW w:w="1700" w:type="dxa"/>
            <w:shd w:val="clear" w:color="auto" w:fill="auto"/>
            <w:noWrap/>
            <w:vAlign w:val="center"/>
          </w:tcPr>
          <w:p w14:paraId="4D780D4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19.76</w:t>
            </w:r>
          </w:p>
        </w:tc>
        <w:tc>
          <w:tcPr>
            <w:tcW w:w="2025" w:type="dxa"/>
            <w:shd w:val="clear" w:color="auto" w:fill="auto"/>
            <w:noWrap/>
            <w:vAlign w:val="center"/>
          </w:tcPr>
          <w:p w14:paraId="3B3463D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39.7</w:t>
            </w:r>
          </w:p>
        </w:tc>
        <w:tc>
          <w:tcPr>
            <w:tcW w:w="1663" w:type="dxa"/>
            <w:shd w:val="clear" w:color="auto" w:fill="auto"/>
            <w:noWrap/>
            <w:vAlign w:val="center"/>
          </w:tcPr>
          <w:p w14:paraId="0153D08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w:t>
            </w:r>
          </w:p>
        </w:tc>
        <w:tc>
          <w:tcPr>
            <w:tcW w:w="2150" w:type="dxa"/>
            <w:shd w:val="clear" w:color="auto" w:fill="auto"/>
            <w:noWrap/>
            <w:vAlign w:val="center"/>
          </w:tcPr>
          <w:p w14:paraId="70469B2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33-54</w:t>
            </w:r>
          </w:p>
        </w:tc>
        <w:tc>
          <w:tcPr>
            <w:tcW w:w="2187" w:type="dxa"/>
            <w:shd w:val="clear" w:color="auto" w:fill="auto"/>
            <w:noWrap/>
            <w:vAlign w:val="center"/>
          </w:tcPr>
          <w:p w14:paraId="7899F12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28C5245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3B6284E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19</w:t>
            </w:r>
          </w:p>
        </w:tc>
        <w:tc>
          <w:tcPr>
            <w:tcW w:w="2850" w:type="dxa"/>
            <w:shd w:val="clear" w:color="auto" w:fill="auto"/>
            <w:noWrap/>
            <w:vAlign w:val="center"/>
          </w:tcPr>
          <w:p w14:paraId="5B952A8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-L2:2038</w:t>
            </w:r>
          </w:p>
        </w:tc>
        <w:tc>
          <w:tcPr>
            <w:tcW w:w="1700" w:type="dxa"/>
            <w:shd w:val="clear" w:color="auto" w:fill="auto"/>
            <w:noWrap/>
            <w:vAlign w:val="center"/>
          </w:tcPr>
          <w:p w14:paraId="02055F2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12.85</w:t>
            </w:r>
          </w:p>
        </w:tc>
        <w:tc>
          <w:tcPr>
            <w:tcW w:w="2025" w:type="dxa"/>
            <w:shd w:val="clear" w:color="auto" w:fill="auto"/>
            <w:noWrap/>
            <w:vAlign w:val="center"/>
          </w:tcPr>
          <w:p w14:paraId="57CBE7D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92.9</w:t>
            </w:r>
          </w:p>
        </w:tc>
        <w:tc>
          <w:tcPr>
            <w:tcW w:w="1663" w:type="dxa"/>
            <w:shd w:val="clear" w:color="auto" w:fill="auto"/>
            <w:noWrap/>
            <w:vAlign w:val="center"/>
          </w:tcPr>
          <w:p w14:paraId="4247C6E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f</w:t>
            </w:r>
          </w:p>
        </w:tc>
        <w:tc>
          <w:tcPr>
            <w:tcW w:w="2150" w:type="dxa"/>
            <w:shd w:val="clear" w:color="auto" w:fill="auto"/>
            <w:noWrap/>
            <w:vAlign w:val="center"/>
          </w:tcPr>
          <w:p w14:paraId="7CA59F4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61-183</w:t>
            </w:r>
          </w:p>
        </w:tc>
        <w:tc>
          <w:tcPr>
            <w:tcW w:w="2187" w:type="dxa"/>
            <w:shd w:val="clear" w:color="auto" w:fill="auto"/>
            <w:noWrap/>
            <w:vAlign w:val="center"/>
          </w:tcPr>
          <w:p w14:paraId="6577B18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2189D29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2F78BD8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20</w:t>
            </w:r>
          </w:p>
        </w:tc>
        <w:tc>
          <w:tcPr>
            <w:tcW w:w="2850" w:type="dxa"/>
            <w:shd w:val="clear" w:color="auto" w:fill="auto"/>
            <w:noWrap/>
            <w:vAlign w:val="center"/>
          </w:tcPr>
          <w:p w14:paraId="5719EAA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-L2:2086</w:t>
            </w:r>
          </w:p>
        </w:tc>
        <w:tc>
          <w:tcPr>
            <w:tcW w:w="1700" w:type="dxa"/>
            <w:shd w:val="clear" w:color="auto" w:fill="auto"/>
            <w:noWrap/>
            <w:vAlign w:val="center"/>
          </w:tcPr>
          <w:p w14:paraId="1DAB261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15.21</w:t>
            </w:r>
          </w:p>
        </w:tc>
        <w:tc>
          <w:tcPr>
            <w:tcW w:w="2025" w:type="dxa"/>
            <w:shd w:val="clear" w:color="auto" w:fill="auto"/>
            <w:noWrap/>
            <w:vAlign w:val="center"/>
          </w:tcPr>
          <w:p w14:paraId="477411C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74.4</w:t>
            </w:r>
          </w:p>
        </w:tc>
        <w:tc>
          <w:tcPr>
            <w:tcW w:w="1663" w:type="dxa"/>
            <w:shd w:val="clear" w:color="auto" w:fill="auto"/>
            <w:noWrap/>
            <w:vAlign w:val="center"/>
          </w:tcPr>
          <w:p w14:paraId="17472BD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f</w:t>
            </w:r>
          </w:p>
        </w:tc>
        <w:tc>
          <w:tcPr>
            <w:tcW w:w="2150" w:type="dxa"/>
            <w:shd w:val="clear" w:color="auto" w:fill="auto"/>
            <w:noWrap/>
            <w:vAlign w:val="center"/>
          </w:tcPr>
          <w:p w14:paraId="75C8131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61-183</w:t>
            </w:r>
          </w:p>
        </w:tc>
        <w:tc>
          <w:tcPr>
            <w:tcW w:w="2187" w:type="dxa"/>
            <w:shd w:val="clear" w:color="auto" w:fill="auto"/>
            <w:noWrap/>
            <w:vAlign w:val="center"/>
          </w:tcPr>
          <w:p w14:paraId="788F277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6AED589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50C9170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21</w:t>
            </w:r>
          </w:p>
        </w:tc>
        <w:tc>
          <w:tcPr>
            <w:tcW w:w="2850" w:type="dxa"/>
            <w:shd w:val="clear" w:color="auto" w:fill="auto"/>
            <w:noWrap/>
            <w:vAlign w:val="center"/>
          </w:tcPr>
          <w:p w14:paraId="2891B2F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-L2:2662</w:t>
            </w:r>
          </w:p>
        </w:tc>
        <w:tc>
          <w:tcPr>
            <w:tcW w:w="1700" w:type="dxa"/>
            <w:shd w:val="clear" w:color="auto" w:fill="auto"/>
            <w:noWrap/>
            <w:vAlign w:val="center"/>
          </w:tcPr>
          <w:p w14:paraId="51B7BDE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16.32</w:t>
            </w:r>
          </w:p>
        </w:tc>
        <w:tc>
          <w:tcPr>
            <w:tcW w:w="2025" w:type="dxa"/>
            <w:shd w:val="clear" w:color="auto" w:fill="auto"/>
            <w:noWrap/>
            <w:vAlign w:val="center"/>
          </w:tcPr>
          <w:p w14:paraId="17A0ED1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66.2</w:t>
            </w:r>
          </w:p>
        </w:tc>
        <w:tc>
          <w:tcPr>
            <w:tcW w:w="1663" w:type="dxa"/>
            <w:shd w:val="clear" w:color="auto" w:fill="auto"/>
            <w:noWrap/>
            <w:vAlign w:val="center"/>
          </w:tcPr>
          <w:p w14:paraId="095FC90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e</w:t>
            </w:r>
          </w:p>
        </w:tc>
        <w:tc>
          <w:tcPr>
            <w:tcW w:w="2150" w:type="dxa"/>
            <w:shd w:val="clear" w:color="auto" w:fill="auto"/>
            <w:noWrap/>
            <w:vAlign w:val="center"/>
          </w:tcPr>
          <w:p w14:paraId="72C3E91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44-147</w:t>
            </w:r>
          </w:p>
        </w:tc>
        <w:tc>
          <w:tcPr>
            <w:tcW w:w="2187" w:type="dxa"/>
            <w:shd w:val="clear" w:color="auto" w:fill="auto"/>
            <w:noWrap/>
            <w:vAlign w:val="center"/>
          </w:tcPr>
          <w:p w14:paraId="7670B1E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373194F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42944F4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22</w:t>
            </w:r>
          </w:p>
        </w:tc>
        <w:tc>
          <w:tcPr>
            <w:tcW w:w="2850" w:type="dxa"/>
            <w:shd w:val="clear" w:color="auto" w:fill="auto"/>
            <w:noWrap/>
            <w:vAlign w:val="center"/>
          </w:tcPr>
          <w:p w14:paraId="4DEC9EF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-L2:2964</w:t>
            </w:r>
          </w:p>
        </w:tc>
        <w:tc>
          <w:tcPr>
            <w:tcW w:w="1700" w:type="dxa"/>
            <w:shd w:val="clear" w:color="auto" w:fill="auto"/>
            <w:noWrap/>
            <w:vAlign w:val="center"/>
          </w:tcPr>
          <w:p w14:paraId="3D09BAB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15.08</w:t>
            </w:r>
          </w:p>
        </w:tc>
        <w:tc>
          <w:tcPr>
            <w:tcW w:w="2025" w:type="dxa"/>
            <w:shd w:val="clear" w:color="auto" w:fill="auto"/>
            <w:noWrap/>
            <w:vAlign w:val="center"/>
          </w:tcPr>
          <w:p w14:paraId="064058B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75.7</w:t>
            </w:r>
          </w:p>
        </w:tc>
        <w:tc>
          <w:tcPr>
            <w:tcW w:w="1663" w:type="dxa"/>
            <w:shd w:val="clear" w:color="auto" w:fill="auto"/>
            <w:noWrap/>
            <w:vAlign w:val="center"/>
          </w:tcPr>
          <w:p w14:paraId="249EDFF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f</w:t>
            </w:r>
          </w:p>
        </w:tc>
        <w:tc>
          <w:tcPr>
            <w:tcW w:w="2150" w:type="dxa"/>
            <w:shd w:val="clear" w:color="auto" w:fill="auto"/>
            <w:noWrap/>
            <w:vAlign w:val="center"/>
          </w:tcPr>
          <w:p w14:paraId="1BC7001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61-183</w:t>
            </w:r>
          </w:p>
        </w:tc>
        <w:tc>
          <w:tcPr>
            <w:tcW w:w="2187" w:type="dxa"/>
            <w:shd w:val="clear" w:color="auto" w:fill="auto"/>
            <w:noWrap/>
            <w:vAlign w:val="center"/>
          </w:tcPr>
          <w:p w14:paraId="02B9881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6574306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149B8C9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23</w:t>
            </w:r>
          </w:p>
        </w:tc>
        <w:tc>
          <w:tcPr>
            <w:tcW w:w="2850" w:type="dxa"/>
            <w:shd w:val="clear" w:color="auto" w:fill="auto"/>
            <w:noWrap/>
            <w:vAlign w:val="center"/>
          </w:tcPr>
          <w:p w14:paraId="68ECB5D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-L2:3021</w:t>
            </w:r>
          </w:p>
        </w:tc>
        <w:tc>
          <w:tcPr>
            <w:tcW w:w="1700" w:type="dxa"/>
            <w:shd w:val="clear" w:color="auto" w:fill="auto"/>
            <w:noWrap/>
            <w:vAlign w:val="center"/>
          </w:tcPr>
          <w:p w14:paraId="0EEFCCE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15.63</w:t>
            </w:r>
          </w:p>
        </w:tc>
        <w:tc>
          <w:tcPr>
            <w:tcW w:w="2025" w:type="dxa"/>
            <w:shd w:val="clear" w:color="auto" w:fill="auto"/>
            <w:noWrap/>
            <w:vAlign w:val="center"/>
          </w:tcPr>
          <w:p w14:paraId="556789A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71.5</w:t>
            </w:r>
          </w:p>
        </w:tc>
        <w:tc>
          <w:tcPr>
            <w:tcW w:w="1663" w:type="dxa"/>
            <w:shd w:val="clear" w:color="auto" w:fill="auto"/>
            <w:noWrap/>
            <w:vAlign w:val="center"/>
          </w:tcPr>
          <w:p w14:paraId="7EC751F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f</w:t>
            </w:r>
          </w:p>
        </w:tc>
        <w:tc>
          <w:tcPr>
            <w:tcW w:w="2150" w:type="dxa"/>
            <w:shd w:val="clear" w:color="auto" w:fill="auto"/>
            <w:noWrap/>
            <w:vAlign w:val="center"/>
          </w:tcPr>
          <w:p w14:paraId="7373BB0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61-183</w:t>
            </w:r>
          </w:p>
        </w:tc>
        <w:tc>
          <w:tcPr>
            <w:tcW w:w="2187" w:type="dxa"/>
            <w:shd w:val="clear" w:color="auto" w:fill="auto"/>
            <w:noWrap/>
            <w:vAlign w:val="center"/>
          </w:tcPr>
          <w:p w14:paraId="312D3B4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7682AD5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2599AB0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24</w:t>
            </w:r>
          </w:p>
        </w:tc>
        <w:tc>
          <w:tcPr>
            <w:tcW w:w="2850" w:type="dxa"/>
            <w:shd w:val="clear" w:color="auto" w:fill="auto"/>
            <w:noWrap/>
            <w:vAlign w:val="center"/>
          </w:tcPr>
          <w:p w14:paraId="40655EA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-L2:3202</w:t>
            </w:r>
          </w:p>
        </w:tc>
        <w:tc>
          <w:tcPr>
            <w:tcW w:w="1700" w:type="dxa"/>
            <w:shd w:val="clear" w:color="auto" w:fill="auto"/>
            <w:noWrap/>
            <w:vAlign w:val="center"/>
          </w:tcPr>
          <w:p w14:paraId="636CFE6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12.35</w:t>
            </w:r>
          </w:p>
        </w:tc>
        <w:tc>
          <w:tcPr>
            <w:tcW w:w="2025" w:type="dxa"/>
            <w:shd w:val="clear" w:color="auto" w:fill="auto"/>
            <w:noWrap/>
            <w:vAlign w:val="center"/>
          </w:tcPr>
          <w:p w14:paraId="3E32DAB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96.8</w:t>
            </w:r>
          </w:p>
        </w:tc>
        <w:tc>
          <w:tcPr>
            <w:tcW w:w="1663" w:type="dxa"/>
            <w:shd w:val="clear" w:color="auto" w:fill="auto"/>
            <w:noWrap/>
            <w:vAlign w:val="center"/>
          </w:tcPr>
          <w:p w14:paraId="1E1D0E7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g</w:t>
            </w:r>
          </w:p>
        </w:tc>
        <w:tc>
          <w:tcPr>
            <w:tcW w:w="2150" w:type="dxa"/>
            <w:shd w:val="clear" w:color="auto" w:fill="auto"/>
            <w:noWrap/>
            <w:vAlign w:val="center"/>
          </w:tcPr>
          <w:p w14:paraId="43D5C2D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118-189</w:t>
            </w:r>
          </w:p>
        </w:tc>
        <w:tc>
          <w:tcPr>
            <w:tcW w:w="2187" w:type="dxa"/>
            <w:shd w:val="clear" w:color="auto" w:fill="auto"/>
            <w:noWrap/>
            <w:vAlign w:val="center"/>
          </w:tcPr>
          <w:p w14:paraId="63DE26E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54167DE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0C4CBD3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25</w:t>
            </w:r>
          </w:p>
        </w:tc>
        <w:tc>
          <w:tcPr>
            <w:tcW w:w="2850" w:type="dxa"/>
            <w:shd w:val="clear" w:color="auto" w:fill="auto"/>
            <w:noWrap/>
            <w:vAlign w:val="center"/>
          </w:tcPr>
          <w:p w14:paraId="30ACF86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-L2:3209</w:t>
            </w:r>
          </w:p>
        </w:tc>
        <w:tc>
          <w:tcPr>
            <w:tcW w:w="1700" w:type="dxa"/>
            <w:shd w:val="clear" w:color="auto" w:fill="auto"/>
            <w:noWrap/>
            <w:vAlign w:val="center"/>
          </w:tcPr>
          <w:p w14:paraId="4FB2716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19.79</w:t>
            </w:r>
          </w:p>
        </w:tc>
        <w:tc>
          <w:tcPr>
            <w:tcW w:w="2025" w:type="dxa"/>
            <w:shd w:val="clear" w:color="auto" w:fill="auto"/>
            <w:noWrap/>
            <w:vAlign w:val="center"/>
          </w:tcPr>
          <w:p w14:paraId="1E1F1AB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39.4</w:t>
            </w:r>
          </w:p>
        </w:tc>
        <w:tc>
          <w:tcPr>
            <w:tcW w:w="1663" w:type="dxa"/>
            <w:shd w:val="clear" w:color="auto" w:fill="auto"/>
            <w:noWrap/>
            <w:vAlign w:val="center"/>
          </w:tcPr>
          <w:p w14:paraId="1E132FA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w:t>
            </w:r>
          </w:p>
        </w:tc>
        <w:tc>
          <w:tcPr>
            <w:tcW w:w="2150" w:type="dxa"/>
            <w:shd w:val="clear" w:color="auto" w:fill="auto"/>
            <w:noWrap/>
            <w:vAlign w:val="center"/>
          </w:tcPr>
          <w:p w14:paraId="21431B6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33-54</w:t>
            </w:r>
          </w:p>
        </w:tc>
        <w:tc>
          <w:tcPr>
            <w:tcW w:w="2187" w:type="dxa"/>
            <w:shd w:val="clear" w:color="auto" w:fill="auto"/>
            <w:noWrap/>
            <w:vAlign w:val="center"/>
          </w:tcPr>
          <w:p w14:paraId="3BBF093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413BF8D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3258FEA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26</w:t>
            </w:r>
          </w:p>
        </w:tc>
        <w:tc>
          <w:tcPr>
            <w:tcW w:w="2850" w:type="dxa"/>
            <w:shd w:val="clear" w:color="auto" w:fill="auto"/>
            <w:noWrap/>
            <w:vAlign w:val="center"/>
          </w:tcPr>
          <w:p w14:paraId="2BAAD62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-L2:3211</w:t>
            </w:r>
          </w:p>
        </w:tc>
        <w:tc>
          <w:tcPr>
            <w:tcW w:w="1700" w:type="dxa"/>
            <w:shd w:val="clear" w:color="auto" w:fill="auto"/>
            <w:noWrap/>
            <w:vAlign w:val="center"/>
          </w:tcPr>
          <w:p w14:paraId="5AD6B3D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19.22</w:t>
            </w:r>
          </w:p>
        </w:tc>
        <w:tc>
          <w:tcPr>
            <w:tcW w:w="2025" w:type="dxa"/>
            <w:shd w:val="clear" w:color="auto" w:fill="auto"/>
            <w:noWrap/>
            <w:vAlign w:val="center"/>
          </w:tcPr>
          <w:p w14:paraId="5371011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43.8</w:t>
            </w:r>
          </w:p>
        </w:tc>
        <w:tc>
          <w:tcPr>
            <w:tcW w:w="1663" w:type="dxa"/>
            <w:shd w:val="clear" w:color="auto" w:fill="auto"/>
            <w:noWrap/>
            <w:vAlign w:val="center"/>
          </w:tcPr>
          <w:p w14:paraId="614148D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w:t>
            </w:r>
          </w:p>
        </w:tc>
        <w:tc>
          <w:tcPr>
            <w:tcW w:w="2150" w:type="dxa"/>
            <w:shd w:val="clear" w:color="auto" w:fill="auto"/>
            <w:noWrap/>
            <w:vAlign w:val="center"/>
          </w:tcPr>
          <w:p w14:paraId="1614B9C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33-54</w:t>
            </w:r>
          </w:p>
        </w:tc>
        <w:tc>
          <w:tcPr>
            <w:tcW w:w="2187" w:type="dxa"/>
            <w:shd w:val="clear" w:color="auto" w:fill="auto"/>
            <w:noWrap/>
            <w:vAlign w:val="center"/>
          </w:tcPr>
          <w:p w14:paraId="1F2DB42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6E49AB7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698E5AD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27</w:t>
            </w:r>
          </w:p>
        </w:tc>
        <w:tc>
          <w:tcPr>
            <w:tcW w:w="2850" w:type="dxa"/>
            <w:shd w:val="clear" w:color="auto" w:fill="auto"/>
            <w:noWrap/>
            <w:vAlign w:val="center"/>
          </w:tcPr>
          <w:p w14:paraId="5305015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-L2:3249</w:t>
            </w:r>
          </w:p>
        </w:tc>
        <w:tc>
          <w:tcPr>
            <w:tcW w:w="1700" w:type="dxa"/>
            <w:shd w:val="clear" w:color="auto" w:fill="auto"/>
            <w:noWrap/>
            <w:vAlign w:val="center"/>
          </w:tcPr>
          <w:p w14:paraId="768854C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16.12</w:t>
            </w:r>
          </w:p>
        </w:tc>
        <w:tc>
          <w:tcPr>
            <w:tcW w:w="2025" w:type="dxa"/>
            <w:shd w:val="clear" w:color="auto" w:fill="auto"/>
            <w:noWrap/>
            <w:vAlign w:val="center"/>
          </w:tcPr>
          <w:p w14:paraId="0C01520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67.7</w:t>
            </w:r>
          </w:p>
        </w:tc>
        <w:tc>
          <w:tcPr>
            <w:tcW w:w="1663" w:type="dxa"/>
            <w:shd w:val="clear" w:color="auto" w:fill="auto"/>
            <w:noWrap/>
            <w:vAlign w:val="center"/>
          </w:tcPr>
          <w:p w14:paraId="224B8C6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f</w:t>
            </w:r>
          </w:p>
        </w:tc>
        <w:tc>
          <w:tcPr>
            <w:tcW w:w="2150" w:type="dxa"/>
            <w:shd w:val="clear" w:color="auto" w:fill="auto"/>
            <w:noWrap/>
            <w:vAlign w:val="center"/>
          </w:tcPr>
          <w:p w14:paraId="6585395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61-183</w:t>
            </w:r>
          </w:p>
        </w:tc>
        <w:tc>
          <w:tcPr>
            <w:tcW w:w="2187" w:type="dxa"/>
            <w:shd w:val="clear" w:color="auto" w:fill="auto"/>
            <w:noWrap/>
            <w:vAlign w:val="center"/>
          </w:tcPr>
          <w:p w14:paraId="53B0BAC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3AF4D83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689CA09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28</w:t>
            </w:r>
          </w:p>
        </w:tc>
        <w:tc>
          <w:tcPr>
            <w:tcW w:w="2850" w:type="dxa"/>
            <w:shd w:val="clear" w:color="auto" w:fill="auto"/>
            <w:noWrap/>
            <w:vAlign w:val="center"/>
          </w:tcPr>
          <w:p w14:paraId="16C1615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-L2:3257</w:t>
            </w:r>
          </w:p>
        </w:tc>
        <w:tc>
          <w:tcPr>
            <w:tcW w:w="1700" w:type="dxa"/>
            <w:shd w:val="clear" w:color="auto" w:fill="auto"/>
            <w:noWrap/>
            <w:vAlign w:val="center"/>
          </w:tcPr>
          <w:p w14:paraId="321AA5F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18.24</w:t>
            </w:r>
          </w:p>
        </w:tc>
        <w:tc>
          <w:tcPr>
            <w:tcW w:w="2025" w:type="dxa"/>
            <w:shd w:val="clear" w:color="auto" w:fill="auto"/>
            <w:noWrap/>
            <w:vAlign w:val="center"/>
          </w:tcPr>
          <w:p w14:paraId="58DE241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51.4</w:t>
            </w:r>
          </w:p>
        </w:tc>
        <w:tc>
          <w:tcPr>
            <w:tcW w:w="1663" w:type="dxa"/>
            <w:shd w:val="clear" w:color="auto" w:fill="auto"/>
            <w:noWrap/>
            <w:vAlign w:val="center"/>
          </w:tcPr>
          <w:p w14:paraId="33EC79C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w:t>
            </w:r>
          </w:p>
        </w:tc>
        <w:tc>
          <w:tcPr>
            <w:tcW w:w="2150" w:type="dxa"/>
            <w:shd w:val="clear" w:color="auto" w:fill="auto"/>
            <w:noWrap/>
            <w:vAlign w:val="center"/>
          </w:tcPr>
          <w:p w14:paraId="1600B75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33-54</w:t>
            </w:r>
          </w:p>
        </w:tc>
        <w:tc>
          <w:tcPr>
            <w:tcW w:w="2187" w:type="dxa"/>
            <w:shd w:val="clear" w:color="auto" w:fill="auto"/>
            <w:noWrap/>
            <w:vAlign w:val="center"/>
          </w:tcPr>
          <w:p w14:paraId="4324678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6C0DAD1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4E81028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29</w:t>
            </w:r>
          </w:p>
        </w:tc>
        <w:tc>
          <w:tcPr>
            <w:tcW w:w="2850" w:type="dxa"/>
            <w:shd w:val="clear" w:color="auto" w:fill="auto"/>
            <w:noWrap/>
            <w:vAlign w:val="center"/>
          </w:tcPr>
          <w:p w14:paraId="689CDDE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-L2:3311</w:t>
            </w:r>
          </w:p>
        </w:tc>
        <w:tc>
          <w:tcPr>
            <w:tcW w:w="1700" w:type="dxa"/>
            <w:shd w:val="clear" w:color="auto" w:fill="auto"/>
            <w:noWrap/>
            <w:vAlign w:val="center"/>
          </w:tcPr>
          <w:p w14:paraId="44E9712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19.86</w:t>
            </w:r>
          </w:p>
        </w:tc>
        <w:tc>
          <w:tcPr>
            <w:tcW w:w="2025" w:type="dxa"/>
            <w:shd w:val="clear" w:color="auto" w:fill="auto"/>
            <w:noWrap/>
            <w:vAlign w:val="center"/>
          </w:tcPr>
          <w:p w14:paraId="128C034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38.9</w:t>
            </w:r>
          </w:p>
        </w:tc>
        <w:tc>
          <w:tcPr>
            <w:tcW w:w="1663" w:type="dxa"/>
            <w:shd w:val="clear" w:color="auto" w:fill="auto"/>
            <w:noWrap/>
            <w:vAlign w:val="center"/>
          </w:tcPr>
          <w:p w14:paraId="56176A0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w:t>
            </w:r>
          </w:p>
        </w:tc>
        <w:tc>
          <w:tcPr>
            <w:tcW w:w="2150" w:type="dxa"/>
            <w:shd w:val="clear" w:color="auto" w:fill="auto"/>
            <w:noWrap/>
            <w:vAlign w:val="center"/>
          </w:tcPr>
          <w:p w14:paraId="40B020E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33-54</w:t>
            </w:r>
          </w:p>
        </w:tc>
        <w:tc>
          <w:tcPr>
            <w:tcW w:w="2187" w:type="dxa"/>
            <w:shd w:val="clear" w:color="auto" w:fill="auto"/>
            <w:noWrap/>
            <w:vAlign w:val="center"/>
          </w:tcPr>
          <w:p w14:paraId="138ADED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200BD52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34FA0D5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30</w:t>
            </w:r>
          </w:p>
        </w:tc>
        <w:tc>
          <w:tcPr>
            <w:tcW w:w="2850" w:type="dxa"/>
            <w:shd w:val="clear" w:color="auto" w:fill="auto"/>
            <w:noWrap/>
            <w:vAlign w:val="center"/>
          </w:tcPr>
          <w:p w14:paraId="7E0C2A2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-L2:3312</w:t>
            </w:r>
          </w:p>
        </w:tc>
        <w:tc>
          <w:tcPr>
            <w:tcW w:w="1700" w:type="dxa"/>
            <w:shd w:val="clear" w:color="auto" w:fill="auto"/>
            <w:noWrap/>
            <w:vAlign w:val="center"/>
          </w:tcPr>
          <w:p w14:paraId="0EDD609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16.88</w:t>
            </w:r>
          </w:p>
        </w:tc>
        <w:tc>
          <w:tcPr>
            <w:tcW w:w="2025" w:type="dxa"/>
            <w:shd w:val="clear" w:color="auto" w:fill="auto"/>
            <w:noWrap/>
            <w:vAlign w:val="center"/>
          </w:tcPr>
          <w:p w14:paraId="56CA15D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61.9</w:t>
            </w:r>
          </w:p>
        </w:tc>
        <w:tc>
          <w:tcPr>
            <w:tcW w:w="1663" w:type="dxa"/>
            <w:shd w:val="clear" w:color="auto" w:fill="auto"/>
            <w:noWrap/>
            <w:vAlign w:val="center"/>
          </w:tcPr>
          <w:p w14:paraId="11561EB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f</w:t>
            </w:r>
          </w:p>
        </w:tc>
        <w:tc>
          <w:tcPr>
            <w:tcW w:w="2150" w:type="dxa"/>
            <w:shd w:val="clear" w:color="auto" w:fill="auto"/>
            <w:noWrap/>
            <w:vAlign w:val="center"/>
          </w:tcPr>
          <w:p w14:paraId="5D94EC2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61-183</w:t>
            </w:r>
          </w:p>
        </w:tc>
        <w:tc>
          <w:tcPr>
            <w:tcW w:w="2187" w:type="dxa"/>
            <w:shd w:val="clear" w:color="auto" w:fill="auto"/>
            <w:noWrap/>
            <w:vAlign w:val="center"/>
          </w:tcPr>
          <w:p w14:paraId="296F1D7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13C88E0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524E288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31</w:t>
            </w:r>
          </w:p>
        </w:tc>
        <w:tc>
          <w:tcPr>
            <w:tcW w:w="2850" w:type="dxa"/>
            <w:shd w:val="clear" w:color="auto" w:fill="auto"/>
            <w:noWrap/>
            <w:vAlign w:val="center"/>
          </w:tcPr>
          <w:p w14:paraId="71BD722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-L2:3362</w:t>
            </w:r>
          </w:p>
        </w:tc>
        <w:tc>
          <w:tcPr>
            <w:tcW w:w="1700" w:type="dxa"/>
            <w:shd w:val="clear" w:color="auto" w:fill="auto"/>
            <w:noWrap/>
            <w:vAlign w:val="center"/>
          </w:tcPr>
          <w:p w14:paraId="2A85FB9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11.95</w:t>
            </w:r>
          </w:p>
        </w:tc>
        <w:tc>
          <w:tcPr>
            <w:tcW w:w="2025" w:type="dxa"/>
            <w:shd w:val="clear" w:color="auto" w:fill="auto"/>
            <w:noWrap/>
            <w:vAlign w:val="center"/>
          </w:tcPr>
          <w:p w14:paraId="364F6A6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99.9</w:t>
            </w:r>
          </w:p>
        </w:tc>
        <w:tc>
          <w:tcPr>
            <w:tcW w:w="1663" w:type="dxa"/>
            <w:shd w:val="clear" w:color="auto" w:fill="auto"/>
            <w:noWrap/>
            <w:vAlign w:val="center"/>
          </w:tcPr>
          <w:p w14:paraId="6A716C1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f</w:t>
            </w:r>
          </w:p>
        </w:tc>
        <w:tc>
          <w:tcPr>
            <w:tcW w:w="2150" w:type="dxa"/>
            <w:shd w:val="clear" w:color="auto" w:fill="auto"/>
            <w:noWrap/>
            <w:vAlign w:val="center"/>
          </w:tcPr>
          <w:p w14:paraId="00F1890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61-183</w:t>
            </w:r>
          </w:p>
        </w:tc>
        <w:tc>
          <w:tcPr>
            <w:tcW w:w="2187" w:type="dxa"/>
            <w:shd w:val="clear" w:color="auto" w:fill="auto"/>
            <w:noWrap/>
            <w:vAlign w:val="center"/>
          </w:tcPr>
          <w:p w14:paraId="6AFCAFA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46B1F52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46728CA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32</w:t>
            </w:r>
          </w:p>
        </w:tc>
        <w:tc>
          <w:tcPr>
            <w:tcW w:w="2850" w:type="dxa"/>
            <w:shd w:val="clear" w:color="auto" w:fill="auto"/>
            <w:noWrap/>
            <w:vAlign w:val="center"/>
          </w:tcPr>
          <w:p w14:paraId="1A9ED2C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-L2:3374</w:t>
            </w:r>
          </w:p>
        </w:tc>
        <w:tc>
          <w:tcPr>
            <w:tcW w:w="1700" w:type="dxa"/>
            <w:shd w:val="clear" w:color="auto" w:fill="auto"/>
            <w:noWrap/>
            <w:vAlign w:val="center"/>
          </w:tcPr>
          <w:p w14:paraId="41528F6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13.72</w:t>
            </w:r>
          </w:p>
        </w:tc>
        <w:tc>
          <w:tcPr>
            <w:tcW w:w="2025" w:type="dxa"/>
            <w:shd w:val="clear" w:color="auto" w:fill="auto"/>
            <w:noWrap/>
            <w:vAlign w:val="center"/>
          </w:tcPr>
          <w:p w14:paraId="1E148B9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86.3</w:t>
            </w:r>
          </w:p>
        </w:tc>
        <w:tc>
          <w:tcPr>
            <w:tcW w:w="1663" w:type="dxa"/>
            <w:shd w:val="clear" w:color="auto" w:fill="auto"/>
            <w:noWrap/>
            <w:vAlign w:val="center"/>
          </w:tcPr>
          <w:p w14:paraId="17A4315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f</w:t>
            </w:r>
          </w:p>
        </w:tc>
        <w:tc>
          <w:tcPr>
            <w:tcW w:w="2150" w:type="dxa"/>
            <w:shd w:val="clear" w:color="auto" w:fill="auto"/>
            <w:noWrap/>
            <w:vAlign w:val="center"/>
          </w:tcPr>
          <w:p w14:paraId="110538F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61-183</w:t>
            </w:r>
          </w:p>
        </w:tc>
        <w:tc>
          <w:tcPr>
            <w:tcW w:w="2187" w:type="dxa"/>
            <w:shd w:val="clear" w:color="auto" w:fill="auto"/>
            <w:noWrap/>
            <w:vAlign w:val="center"/>
          </w:tcPr>
          <w:p w14:paraId="1FE4AF5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2A93BC8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2032F02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33</w:t>
            </w:r>
          </w:p>
        </w:tc>
        <w:tc>
          <w:tcPr>
            <w:tcW w:w="2850" w:type="dxa"/>
            <w:shd w:val="clear" w:color="auto" w:fill="auto"/>
            <w:noWrap/>
            <w:vAlign w:val="center"/>
          </w:tcPr>
          <w:p w14:paraId="5C5C0EA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-L2:69</w:t>
            </w:r>
          </w:p>
        </w:tc>
        <w:tc>
          <w:tcPr>
            <w:tcW w:w="1700" w:type="dxa"/>
            <w:shd w:val="clear" w:color="auto" w:fill="auto"/>
            <w:noWrap/>
            <w:vAlign w:val="center"/>
          </w:tcPr>
          <w:p w14:paraId="35E392B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20.14</w:t>
            </w:r>
          </w:p>
        </w:tc>
        <w:tc>
          <w:tcPr>
            <w:tcW w:w="2025" w:type="dxa"/>
            <w:shd w:val="clear" w:color="auto" w:fill="auto"/>
            <w:noWrap/>
            <w:vAlign w:val="center"/>
          </w:tcPr>
          <w:p w14:paraId="0422190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36.7</w:t>
            </w:r>
          </w:p>
        </w:tc>
        <w:tc>
          <w:tcPr>
            <w:tcW w:w="1663" w:type="dxa"/>
            <w:shd w:val="clear" w:color="auto" w:fill="auto"/>
            <w:noWrap/>
            <w:vAlign w:val="center"/>
          </w:tcPr>
          <w:p w14:paraId="622364C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w:t>
            </w:r>
          </w:p>
        </w:tc>
        <w:tc>
          <w:tcPr>
            <w:tcW w:w="2150" w:type="dxa"/>
            <w:shd w:val="clear" w:color="auto" w:fill="auto"/>
            <w:noWrap/>
            <w:vAlign w:val="center"/>
          </w:tcPr>
          <w:p w14:paraId="617F71E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33-54</w:t>
            </w:r>
          </w:p>
        </w:tc>
        <w:tc>
          <w:tcPr>
            <w:tcW w:w="2187" w:type="dxa"/>
            <w:shd w:val="clear" w:color="auto" w:fill="auto"/>
            <w:noWrap/>
            <w:vAlign w:val="center"/>
          </w:tcPr>
          <w:p w14:paraId="047BB02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51AFC87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7E211C3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34</w:t>
            </w:r>
          </w:p>
        </w:tc>
        <w:tc>
          <w:tcPr>
            <w:tcW w:w="2850" w:type="dxa"/>
            <w:shd w:val="clear" w:color="auto" w:fill="auto"/>
            <w:noWrap/>
            <w:vAlign w:val="center"/>
          </w:tcPr>
          <w:p w14:paraId="538D7A5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④</w:t>
            </w:r>
            <w:r>
              <w:rPr>
                <w:rFonts w:hint="default" w:ascii="Times New Roman" w:hAnsi="Times New Roman" w:eastAsia="宋体" w:cs="Times New Roman"/>
                <w:kern w:val="0"/>
                <w:sz w:val="20"/>
                <w:szCs w:val="20"/>
                <w:lang w:val="en-US" w:eastAsia="zh-CN" w:bidi="ar"/>
              </w:rPr>
              <w:t>-L1:2227</w:t>
            </w:r>
          </w:p>
        </w:tc>
        <w:tc>
          <w:tcPr>
            <w:tcW w:w="1700" w:type="dxa"/>
            <w:shd w:val="clear" w:color="auto" w:fill="auto"/>
            <w:noWrap/>
            <w:vAlign w:val="center"/>
          </w:tcPr>
          <w:p w14:paraId="07B18EF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19.83</w:t>
            </w:r>
          </w:p>
        </w:tc>
        <w:tc>
          <w:tcPr>
            <w:tcW w:w="2025" w:type="dxa"/>
            <w:shd w:val="clear" w:color="auto" w:fill="auto"/>
            <w:noWrap/>
            <w:vAlign w:val="center"/>
          </w:tcPr>
          <w:p w14:paraId="4B29C44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39.1</w:t>
            </w:r>
          </w:p>
        </w:tc>
        <w:tc>
          <w:tcPr>
            <w:tcW w:w="1663" w:type="dxa"/>
            <w:shd w:val="clear" w:color="auto" w:fill="auto"/>
            <w:noWrap/>
            <w:vAlign w:val="center"/>
          </w:tcPr>
          <w:p w14:paraId="0BCFECB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w:t>
            </w:r>
          </w:p>
        </w:tc>
        <w:tc>
          <w:tcPr>
            <w:tcW w:w="2150" w:type="dxa"/>
            <w:shd w:val="clear" w:color="auto" w:fill="auto"/>
            <w:noWrap/>
            <w:vAlign w:val="center"/>
          </w:tcPr>
          <w:p w14:paraId="40C0B89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33-54</w:t>
            </w:r>
          </w:p>
        </w:tc>
        <w:tc>
          <w:tcPr>
            <w:tcW w:w="2187" w:type="dxa"/>
            <w:shd w:val="clear" w:color="auto" w:fill="auto"/>
            <w:noWrap/>
            <w:vAlign w:val="center"/>
          </w:tcPr>
          <w:p w14:paraId="2575B60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51F9510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44F67CC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35</w:t>
            </w:r>
          </w:p>
        </w:tc>
        <w:tc>
          <w:tcPr>
            <w:tcW w:w="2850" w:type="dxa"/>
            <w:shd w:val="clear" w:color="auto" w:fill="auto"/>
            <w:noWrap/>
            <w:vAlign w:val="center"/>
          </w:tcPr>
          <w:p w14:paraId="73025A9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④</w:t>
            </w:r>
            <w:r>
              <w:rPr>
                <w:rFonts w:hint="default" w:ascii="Times New Roman" w:hAnsi="Times New Roman" w:eastAsia="宋体" w:cs="Times New Roman"/>
                <w:kern w:val="0"/>
                <w:sz w:val="20"/>
                <w:szCs w:val="20"/>
                <w:lang w:val="en-US" w:eastAsia="zh-CN" w:bidi="ar"/>
              </w:rPr>
              <w:t>-L1:2794</w:t>
            </w:r>
          </w:p>
        </w:tc>
        <w:tc>
          <w:tcPr>
            <w:tcW w:w="1700" w:type="dxa"/>
            <w:shd w:val="clear" w:color="auto" w:fill="auto"/>
            <w:noWrap/>
            <w:vAlign w:val="center"/>
          </w:tcPr>
          <w:p w14:paraId="6D9F54A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16.64</w:t>
            </w:r>
          </w:p>
        </w:tc>
        <w:tc>
          <w:tcPr>
            <w:tcW w:w="2025" w:type="dxa"/>
            <w:shd w:val="clear" w:color="auto" w:fill="auto"/>
            <w:noWrap/>
            <w:vAlign w:val="center"/>
          </w:tcPr>
          <w:p w14:paraId="184173B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63.7</w:t>
            </w:r>
          </w:p>
        </w:tc>
        <w:tc>
          <w:tcPr>
            <w:tcW w:w="1663" w:type="dxa"/>
            <w:shd w:val="clear" w:color="auto" w:fill="auto"/>
            <w:noWrap/>
            <w:vAlign w:val="center"/>
          </w:tcPr>
          <w:p w14:paraId="69155E2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e</w:t>
            </w:r>
          </w:p>
        </w:tc>
        <w:tc>
          <w:tcPr>
            <w:tcW w:w="2150" w:type="dxa"/>
            <w:shd w:val="clear" w:color="auto" w:fill="auto"/>
            <w:noWrap/>
            <w:vAlign w:val="center"/>
          </w:tcPr>
          <w:p w14:paraId="6FC8B0B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44-147</w:t>
            </w:r>
          </w:p>
        </w:tc>
        <w:tc>
          <w:tcPr>
            <w:tcW w:w="2187" w:type="dxa"/>
            <w:shd w:val="clear" w:color="auto" w:fill="auto"/>
            <w:noWrap/>
            <w:vAlign w:val="center"/>
          </w:tcPr>
          <w:p w14:paraId="59BAB76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3AB85D3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62AEA69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36</w:t>
            </w:r>
          </w:p>
        </w:tc>
        <w:tc>
          <w:tcPr>
            <w:tcW w:w="2850" w:type="dxa"/>
            <w:shd w:val="clear" w:color="auto" w:fill="auto"/>
            <w:noWrap/>
            <w:vAlign w:val="center"/>
          </w:tcPr>
          <w:p w14:paraId="0F8C473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④</w:t>
            </w:r>
            <w:r>
              <w:rPr>
                <w:rFonts w:hint="default" w:ascii="Times New Roman" w:hAnsi="Times New Roman" w:eastAsia="宋体" w:cs="Times New Roman"/>
                <w:kern w:val="0"/>
                <w:sz w:val="20"/>
                <w:szCs w:val="20"/>
                <w:lang w:val="en-US" w:eastAsia="zh-CN" w:bidi="ar"/>
              </w:rPr>
              <w:t>-L1:2801</w:t>
            </w:r>
          </w:p>
        </w:tc>
        <w:tc>
          <w:tcPr>
            <w:tcW w:w="1700" w:type="dxa"/>
            <w:shd w:val="clear" w:color="auto" w:fill="auto"/>
            <w:noWrap/>
            <w:vAlign w:val="center"/>
          </w:tcPr>
          <w:p w14:paraId="166314C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16.11</w:t>
            </w:r>
          </w:p>
        </w:tc>
        <w:tc>
          <w:tcPr>
            <w:tcW w:w="2025" w:type="dxa"/>
            <w:shd w:val="clear" w:color="auto" w:fill="auto"/>
            <w:noWrap/>
            <w:vAlign w:val="center"/>
          </w:tcPr>
          <w:p w14:paraId="28A80EB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67.8</w:t>
            </w:r>
          </w:p>
        </w:tc>
        <w:tc>
          <w:tcPr>
            <w:tcW w:w="1663" w:type="dxa"/>
            <w:shd w:val="clear" w:color="auto" w:fill="auto"/>
            <w:noWrap/>
            <w:vAlign w:val="center"/>
          </w:tcPr>
          <w:p w14:paraId="595E3DB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f</w:t>
            </w:r>
          </w:p>
        </w:tc>
        <w:tc>
          <w:tcPr>
            <w:tcW w:w="2150" w:type="dxa"/>
            <w:shd w:val="clear" w:color="auto" w:fill="auto"/>
            <w:noWrap/>
            <w:vAlign w:val="center"/>
          </w:tcPr>
          <w:p w14:paraId="462307B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61-183</w:t>
            </w:r>
          </w:p>
        </w:tc>
        <w:tc>
          <w:tcPr>
            <w:tcW w:w="2187" w:type="dxa"/>
            <w:shd w:val="clear" w:color="auto" w:fill="auto"/>
            <w:noWrap/>
            <w:vAlign w:val="center"/>
          </w:tcPr>
          <w:p w14:paraId="0B8F640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322AA50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6B27730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37</w:t>
            </w:r>
          </w:p>
        </w:tc>
        <w:tc>
          <w:tcPr>
            <w:tcW w:w="2850" w:type="dxa"/>
            <w:shd w:val="clear" w:color="auto" w:fill="auto"/>
            <w:noWrap/>
            <w:vAlign w:val="center"/>
          </w:tcPr>
          <w:p w14:paraId="4A93EA4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④</w:t>
            </w:r>
            <w:r>
              <w:rPr>
                <w:rFonts w:hint="default" w:ascii="Times New Roman" w:hAnsi="Times New Roman" w:eastAsia="宋体" w:cs="Times New Roman"/>
                <w:kern w:val="0"/>
                <w:sz w:val="20"/>
                <w:szCs w:val="20"/>
                <w:lang w:val="en-US" w:eastAsia="zh-CN" w:bidi="ar"/>
              </w:rPr>
              <w:t>-L1:2825</w:t>
            </w:r>
          </w:p>
        </w:tc>
        <w:tc>
          <w:tcPr>
            <w:tcW w:w="1700" w:type="dxa"/>
            <w:shd w:val="clear" w:color="auto" w:fill="auto"/>
            <w:noWrap/>
            <w:vAlign w:val="center"/>
          </w:tcPr>
          <w:p w14:paraId="14202EC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20.28</w:t>
            </w:r>
          </w:p>
        </w:tc>
        <w:tc>
          <w:tcPr>
            <w:tcW w:w="2025" w:type="dxa"/>
            <w:shd w:val="clear" w:color="auto" w:fill="auto"/>
            <w:noWrap/>
            <w:vAlign w:val="center"/>
          </w:tcPr>
          <w:p w14:paraId="05428E5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35.6</w:t>
            </w:r>
          </w:p>
        </w:tc>
        <w:tc>
          <w:tcPr>
            <w:tcW w:w="1663" w:type="dxa"/>
            <w:shd w:val="clear" w:color="auto" w:fill="auto"/>
            <w:noWrap/>
            <w:vAlign w:val="center"/>
          </w:tcPr>
          <w:p w14:paraId="6F45F78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c</w:t>
            </w:r>
          </w:p>
        </w:tc>
        <w:tc>
          <w:tcPr>
            <w:tcW w:w="2150" w:type="dxa"/>
            <w:shd w:val="clear" w:color="auto" w:fill="auto"/>
            <w:noWrap/>
            <w:vAlign w:val="center"/>
          </w:tcPr>
          <w:p w14:paraId="76E03C8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33-54</w:t>
            </w:r>
          </w:p>
        </w:tc>
        <w:tc>
          <w:tcPr>
            <w:tcW w:w="2187" w:type="dxa"/>
            <w:shd w:val="clear" w:color="auto" w:fill="auto"/>
            <w:noWrap/>
            <w:vAlign w:val="center"/>
          </w:tcPr>
          <w:p w14:paraId="6223FC8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25EAFEE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50FBB66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38</w:t>
            </w:r>
          </w:p>
        </w:tc>
        <w:tc>
          <w:tcPr>
            <w:tcW w:w="2850" w:type="dxa"/>
            <w:shd w:val="clear" w:color="auto" w:fill="auto"/>
            <w:noWrap/>
            <w:vAlign w:val="center"/>
          </w:tcPr>
          <w:p w14:paraId="64659AD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④</w:t>
            </w:r>
            <w:r>
              <w:rPr>
                <w:rFonts w:hint="default" w:ascii="Times New Roman" w:hAnsi="Times New Roman" w:eastAsia="宋体" w:cs="Times New Roman"/>
                <w:kern w:val="0"/>
                <w:sz w:val="20"/>
                <w:szCs w:val="20"/>
                <w:lang w:val="en-US" w:eastAsia="zh-CN" w:bidi="ar"/>
              </w:rPr>
              <w:t>-L1:2836</w:t>
            </w:r>
          </w:p>
        </w:tc>
        <w:tc>
          <w:tcPr>
            <w:tcW w:w="1700" w:type="dxa"/>
            <w:shd w:val="clear" w:color="auto" w:fill="auto"/>
            <w:noWrap/>
            <w:vAlign w:val="center"/>
          </w:tcPr>
          <w:p w14:paraId="12A60D2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17.72</w:t>
            </w:r>
          </w:p>
        </w:tc>
        <w:tc>
          <w:tcPr>
            <w:tcW w:w="2025" w:type="dxa"/>
            <w:shd w:val="clear" w:color="auto" w:fill="auto"/>
            <w:noWrap/>
            <w:vAlign w:val="center"/>
          </w:tcPr>
          <w:p w14:paraId="413FA21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55.4</w:t>
            </w:r>
          </w:p>
        </w:tc>
        <w:tc>
          <w:tcPr>
            <w:tcW w:w="1663" w:type="dxa"/>
            <w:shd w:val="clear" w:color="auto" w:fill="auto"/>
            <w:noWrap/>
            <w:vAlign w:val="center"/>
          </w:tcPr>
          <w:p w14:paraId="7AEAE76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e</w:t>
            </w:r>
          </w:p>
        </w:tc>
        <w:tc>
          <w:tcPr>
            <w:tcW w:w="2150" w:type="dxa"/>
            <w:shd w:val="clear" w:color="auto" w:fill="auto"/>
            <w:noWrap/>
            <w:vAlign w:val="center"/>
          </w:tcPr>
          <w:p w14:paraId="5752AA9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44-147</w:t>
            </w:r>
          </w:p>
        </w:tc>
        <w:tc>
          <w:tcPr>
            <w:tcW w:w="2187" w:type="dxa"/>
            <w:shd w:val="clear" w:color="auto" w:fill="auto"/>
            <w:noWrap/>
            <w:vAlign w:val="center"/>
          </w:tcPr>
          <w:p w14:paraId="47505CA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7275082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49FFCFA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39</w:t>
            </w:r>
          </w:p>
        </w:tc>
        <w:tc>
          <w:tcPr>
            <w:tcW w:w="2850" w:type="dxa"/>
            <w:shd w:val="clear" w:color="auto" w:fill="auto"/>
            <w:noWrap/>
            <w:vAlign w:val="center"/>
          </w:tcPr>
          <w:p w14:paraId="3075B7D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④</w:t>
            </w:r>
            <w:r>
              <w:rPr>
                <w:rFonts w:hint="default" w:ascii="Times New Roman" w:hAnsi="Times New Roman" w:eastAsia="宋体" w:cs="Times New Roman"/>
                <w:kern w:val="0"/>
                <w:sz w:val="20"/>
                <w:szCs w:val="20"/>
                <w:lang w:val="en-US" w:eastAsia="zh-CN" w:bidi="ar"/>
              </w:rPr>
              <w:t>-L1:2864</w:t>
            </w:r>
          </w:p>
        </w:tc>
        <w:tc>
          <w:tcPr>
            <w:tcW w:w="1700" w:type="dxa"/>
            <w:shd w:val="clear" w:color="auto" w:fill="auto"/>
            <w:noWrap/>
            <w:vAlign w:val="center"/>
          </w:tcPr>
          <w:p w14:paraId="35BEF7B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18.89</w:t>
            </w:r>
          </w:p>
        </w:tc>
        <w:tc>
          <w:tcPr>
            <w:tcW w:w="2025" w:type="dxa"/>
            <w:shd w:val="clear" w:color="auto" w:fill="auto"/>
            <w:noWrap/>
            <w:vAlign w:val="center"/>
          </w:tcPr>
          <w:p w14:paraId="43A365A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46.4</w:t>
            </w:r>
          </w:p>
        </w:tc>
        <w:tc>
          <w:tcPr>
            <w:tcW w:w="1663" w:type="dxa"/>
            <w:shd w:val="clear" w:color="auto" w:fill="auto"/>
            <w:noWrap/>
            <w:vAlign w:val="center"/>
          </w:tcPr>
          <w:p w14:paraId="79AFF6C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e</w:t>
            </w:r>
          </w:p>
        </w:tc>
        <w:tc>
          <w:tcPr>
            <w:tcW w:w="2150" w:type="dxa"/>
            <w:shd w:val="clear" w:color="auto" w:fill="auto"/>
            <w:noWrap/>
            <w:vAlign w:val="center"/>
          </w:tcPr>
          <w:p w14:paraId="4AD4A0F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44-147</w:t>
            </w:r>
          </w:p>
        </w:tc>
        <w:tc>
          <w:tcPr>
            <w:tcW w:w="2187" w:type="dxa"/>
            <w:shd w:val="clear" w:color="auto" w:fill="auto"/>
            <w:noWrap/>
            <w:vAlign w:val="center"/>
          </w:tcPr>
          <w:p w14:paraId="3EED2E0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27153FF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715846A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40</w:t>
            </w:r>
          </w:p>
        </w:tc>
        <w:tc>
          <w:tcPr>
            <w:tcW w:w="2850" w:type="dxa"/>
            <w:shd w:val="clear" w:color="auto" w:fill="auto"/>
            <w:noWrap/>
            <w:vAlign w:val="center"/>
          </w:tcPr>
          <w:p w14:paraId="2DD5B0E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⑦</w:t>
            </w:r>
            <w:r>
              <w:rPr>
                <w:rFonts w:hint="default" w:ascii="Times New Roman" w:hAnsi="Times New Roman" w:eastAsia="宋体" w:cs="Times New Roman"/>
                <w:kern w:val="0"/>
                <w:sz w:val="20"/>
                <w:szCs w:val="20"/>
                <w:lang w:val="en-US" w:eastAsia="zh-CN" w:bidi="ar"/>
              </w:rPr>
              <w:t>-L1:209</w:t>
            </w:r>
          </w:p>
        </w:tc>
        <w:tc>
          <w:tcPr>
            <w:tcW w:w="1700" w:type="dxa"/>
            <w:shd w:val="clear" w:color="auto" w:fill="auto"/>
            <w:noWrap/>
            <w:vAlign w:val="center"/>
          </w:tcPr>
          <w:p w14:paraId="4123E6B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18.35</w:t>
            </w:r>
          </w:p>
        </w:tc>
        <w:tc>
          <w:tcPr>
            <w:tcW w:w="2025" w:type="dxa"/>
            <w:shd w:val="clear" w:color="auto" w:fill="auto"/>
            <w:noWrap/>
            <w:vAlign w:val="center"/>
          </w:tcPr>
          <w:p w14:paraId="7C90499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50.5</w:t>
            </w:r>
          </w:p>
        </w:tc>
        <w:tc>
          <w:tcPr>
            <w:tcW w:w="1663" w:type="dxa"/>
            <w:shd w:val="clear" w:color="auto" w:fill="auto"/>
            <w:noWrap/>
            <w:vAlign w:val="center"/>
          </w:tcPr>
          <w:p w14:paraId="73DA98F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w:t>
            </w:r>
          </w:p>
        </w:tc>
        <w:tc>
          <w:tcPr>
            <w:tcW w:w="2150" w:type="dxa"/>
            <w:shd w:val="clear" w:color="auto" w:fill="auto"/>
            <w:noWrap/>
            <w:vAlign w:val="center"/>
          </w:tcPr>
          <w:p w14:paraId="2DD4F62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33-54</w:t>
            </w:r>
          </w:p>
        </w:tc>
        <w:tc>
          <w:tcPr>
            <w:tcW w:w="2187" w:type="dxa"/>
            <w:shd w:val="clear" w:color="auto" w:fill="auto"/>
            <w:noWrap/>
            <w:vAlign w:val="center"/>
          </w:tcPr>
          <w:p w14:paraId="2852B25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058C330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2045CA4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41</w:t>
            </w:r>
          </w:p>
        </w:tc>
        <w:tc>
          <w:tcPr>
            <w:tcW w:w="2850" w:type="dxa"/>
            <w:shd w:val="clear" w:color="auto" w:fill="auto"/>
            <w:noWrap/>
            <w:vAlign w:val="center"/>
          </w:tcPr>
          <w:p w14:paraId="52CC168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⑦</w:t>
            </w:r>
            <w:r>
              <w:rPr>
                <w:rFonts w:hint="default" w:ascii="Times New Roman" w:hAnsi="Times New Roman" w:eastAsia="宋体" w:cs="Times New Roman"/>
                <w:kern w:val="0"/>
                <w:sz w:val="20"/>
                <w:szCs w:val="20"/>
                <w:lang w:val="en-US" w:eastAsia="zh-CN" w:bidi="ar"/>
              </w:rPr>
              <w:t>-L2:2899</w:t>
            </w:r>
          </w:p>
        </w:tc>
        <w:tc>
          <w:tcPr>
            <w:tcW w:w="1700" w:type="dxa"/>
            <w:shd w:val="clear" w:color="auto" w:fill="auto"/>
            <w:noWrap/>
            <w:vAlign w:val="center"/>
          </w:tcPr>
          <w:p w14:paraId="0E50FCA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17.45</w:t>
            </w:r>
          </w:p>
        </w:tc>
        <w:tc>
          <w:tcPr>
            <w:tcW w:w="2025" w:type="dxa"/>
            <w:shd w:val="clear" w:color="auto" w:fill="auto"/>
            <w:noWrap/>
            <w:vAlign w:val="center"/>
          </w:tcPr>
          <w:p w14:paraId="2CDCE3E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57.5</w:t>
            </w:r>
          </w:p>
        </w:tc>
        <w:tc>
          <w:tcPr>
            <w:tcW w:w="1663" w:type="dxa"/>
            <w:shd w:val="clear" w:color="auto" w:fill="auto"/>
            <w:noWrap/>
            <w:vAlign w:val="center"/>
          </w:tcPr>
          <w:p w14:paraId="3C989EC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e</w:t>
            </w:r>
          </w:p>
        </w:tc>
        <w:tc>
          <w:tcPr>
            <w:tcW w:w="2150" w:type="dxa"/>
            <w:shd w:val="clear" w:color="auto" w:fill="auto"/>
            <w:noWrap/>
            <w:vAlign w:val="center"/>
          </w:tcPr>
          <w:p w14:paraId="0DA9B85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44-147</w:t>
            </w:r>
          </w:p>
        </w:tc>
        <w:tc>
          <w:tcPr>
            <w:tcW w:w="2187" w:type="dxa"/>
            <w:shd w:val="clear" w:color="auto" w:fill="auto"/>
            <w:noWrap/>
            <w:vAlign w:val="center"/>
          </w:tcPr>
          <w:p w14:paraId="155EEA5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0478BD2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7D1C28D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42</w:t>
            </w:r>
          </w:p>
        </w:tc>
        <w:tc>
          <w:tcPr>
            <w:tcW w:w="2850" w:type="dxa"/>
            <w:shd w:val="clear" w:color="auto" w:fill="auto"/>
            <w:noWrap/>
            <w:vAlign w:val="center"/>
          </w:tcPr>
          <w:p w14:paraId="5E5A976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⑦</w:t>
            </w:r>
            <w:r>
              <w:rPr>
                <w:rFonts w:hint="default" w:ascii="Times New Roman" w:hAnsi="Times New Roman" w:eastAsia="宋体" w:cs="Times New Roman"/>
                <w:kern w:val="0"/>
                <w:sz w:val="20"/>
                <w:szCs w:val="20"/>
                <w:lang w:val="en-US" w:eastAsia="zh-CN" w:bidi="ar"/>
              </w:rPr>
              <w:t>-L2:292</w:t>
            </w:r>
          </w:p>
        </w:tc>
        <w:tc>
          <w:tcPr>
            <w:tcW w:w="1700" w:type="dxa"/>
            <w:shd w:val="clear" w:color="auto" w:fill="auto"/>
            <w:noWrap/>
            <w:vAlign w:val="center"/>
          </w:tcPr>
          <w:p w14:paraId="5DDA5A8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14.15</w:t>
            </w:r>
          </w:p>
        </w:tc>
        <w:tc>
          <w:tcPr>
            <w:tcW w:w="2025" w:type="dxa"/>
            <w:shd w:val="clear" w:color="auto" w:fill="auto"/>
            <w:noWrap/>
            <w:vAlign w:val="center"/>
          </w:tcPr>
          <w:p w14:paraId="2D7AF58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82.9</w:t>
            </w:r>
          </w:p>
        </w:tc>
        <w:tc>
          <w:tcPr>
            <w:tcW w:w="1663" w:type="dxa"/>
            <w:shd w:val="clear" w:color="auto" w:fill="auto"/>
            <w:noWrap/>
            <w:vAlign w:val="center"/>
          </w:tcPr>
          <w:p w14:paraId="5F1E84E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f</w:t>
            </w:r>
          </w:p>
        </w:tc>
        <w:tc>
          <w:tcPr>
            <w:tcW w:w="2150" w:type="dxa"/>
            <w:shd w:val="clear" w:color="auto" w:fill="auto"/>
            <w:noWrap/>
            <w:vAlign w:val="center"/>
          </w:tcPr>
          <w:p w14:paraId="750EBC3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61-183</w:t>
            </w:r>
          </w:p>
        </w:tc>
        <w:tc>
          <w:tcPr>
            <w:tcW w:w="2187" w:type="dxa"/>
            <w:shd w:val="clear" w:color="auto" w:fill="auto"/>
            <w:noWrap/>
            <w:vAlign w:val="center"/>
          </w:tcPr>
          <w:p w14:paraId="38021DA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71D1DC3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429F781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43</w:t>
            </w:r>
          </w:p>
        </w:tc>
        <w:tc>
          <w:tcPr>
            <w:tcW w:w="2850" w:type="dxa"/>
            <w:shd w:val="clear" w:color="auto" w:fill="auto"/>
            <w:noWrap/>
            <w:vAlign w:val="center"/>
          </w:tcPr>
          <w:p w14:paraId="6E6CFD5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⑦</w:t>
            </w:r>
            <w:r>
              <w:rPr>
                <w:rFonts w:hint="default" w:ascii="Times New Roman" w:hAnsi="Times New Roman" w:eastAsia="宋体" w:cs="Times New Roman"/>
                <w:kern w:val="0"/>
                <w:sz w:val="20"/>
                <w:szCs w:val="20"/>
                <w:lang w:val="en-US" w:eastAsia="zh-CN" w:bidi="ar"/>
              </w:rPr>
              <w:t>-L2:312</w:t>
            </w:r>
          </w:p>
        </w:tc>
        <w:tc>
          <w:tcPr>
            <w:tcW w:w="1700" w:type="dxa"/>
            <w:shd w:val="clear" w:color="auto" w:fill="auto"/>
            <w:noWrap/>
            <w:vAlign w:val="center"/>
          </w:tcPr>
          <w:p w14:paraId="5DE5A7E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16.25</w:t>
            </w:r>
          </w:p>
        </w:tc>
        <w:tc>
          <w:tcPr>
            <w:tcW w:w="2025" w:type="dxa"/>
            <w:shd w:val="clear" w:color="auto" w:fill="auto"/>
            <w:noWrap/>
            <w:vAlign w:val="center"/>
          </w:tcPr>
          <w:p w14:paraId="24D14EA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66.7</w:t>
            </w:r>
          </w:p>
        </w:tc>
        <w:tc>
          <w:tcPr>
            <w:tcW w:w="1663" w:type="dxa"/>
            <w:shd w:val="clear" w:color="auto" w:fill="auto"/>
            <w:noWrap/>
            <w:vAlign w:val="center"/>
          </w:tcPr>
          <w:p w14:paraId="79AB371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f</w:t>
            </w:r>
          </w:p>
        </w:tc>
        <w:tc>
          <w:tcPr>
            <w:tcW w:w="2150" w:type="dxa"/>
            <w:shd w:val="clear" w:color="auto" w:fill="auto"/>
            <w:noWrap/>
            <w:vAlign w:val="center"/>
          </w:tcPr>
          <w:p w14:paraId="3C26562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61-183</w:t>
            </w:r>
          </w:p>
        </w:tc>
        <w:tc>
          <w:tcPr>
            <w:tcW w:w="2187" w:type="dxa"/>
            <w:shd w:val="clear" w:color="auto" w:fill="auto"/>
            <w:noWrap/>
            <w:vAlign w:val="center"/>
          </w:tcPr>
          <w:p w14:paraId="531D541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1C034AA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2BA3D4D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44</w:t>
            </w:r>
          </w:p>
        </w:tc>
        <w:tc>
          <w:tcPr>
            <w:tcW w:w="2850" w:type="dxa"/>
            <w:shd w:val="clear" w:color="auto" w:fill="auto"/>
            <w:noWrap/>
            <w:vAlign w:val="center"/>
          </w:tcPr>
          <w:p w14:paraId="334A921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⑦</w:t>
            </w:r>
            <w:r>
              <w:rPr>
                <w:rFonts w:hint="default" w:ascii="Times New Roman" w:hAnsi="Times New Roman" w:eastAsia="宋体" w:cs="Times New Roman"/>
                <w:kern w:val="0"/>
                <w:sz w:val="20"/>
                <w:szCs w:val="20"/>
                <w:lang w:val="en-US" w:eastAsia="zh-CN" w:bidi="ar"/>
              </w:rPr>
              <w:t>-L2:319</w:t>
            </w:r>
          </w:p>
        </w:tc>
        <w:tc>
          <w:tcPr>
            <w:tcW w:w="1700" w:type="dxa"/>
            <w:shd w:val="clear" w:color="auto" w:fill="auto"/>
            <w:noWrap/>
            <w:vAlign w:val="center"/>
          </w:tcPr>
          <w:p w14:paraId="179C622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17.05</w:t>
            </w:r>
          </w:p>
        </w:tc>
        <w:tc>
          <w:tcPr>
            <w:tcW w:w="2025" w:type="dxa"/>
            <w:shd w:val="clear" w:color="auto" w:fill="auto"/>
            <w:noWrap/>
            <w:vAlign w:val="center"/>
          </w:tcPr>
          <w:p w14:paraId="599738D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60.5</w:t>
            </w:r>
          </w:p>
        </w:tc>
        <w:tc>
          <w:tcPr>
            <w:tcW w:w="1663" w:type="dxa"/>
            <w:shd w:val="clear" w:color="auto" w:fill="auto"/>
            <w:noWrap/>
            <w:vAlign w:val="center"/>
          </w:tcPr>
          <w:p w14:paraId="2FA2A91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e</w:t>
            </w:r>
          </w:p>
        </w:tc>
        <w:tc>
          <w:tcPr>
            <w:tcW w:w="2150" w:type="dxa"/>
            <w:shd w:val="clear" w:color="auto" w:fill="auto"/>
            <w:noWrap/>
            <w:vAlign w:val="center"/>
          </w:tcPr>
          <w:p w14:paraId="1883D3D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44-147</w:t>
            </w:r>
          </w:p>
        </w:tc>
        <w:tc>
          <w:tcPr>
            <w:tcW w:w="2187" w:type="dxa"/>
            <w:shd w:val="clear" w:color="auto" w:fill="auto"/>
            <w:noWrap/>
            <w:vAlign w:val="center"/>
          </w:tcPr>
          <w:p w14:paraId="2973222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611C045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5D313B8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45</w:t>
            </w:r>
          </w:p>
        </w:tc>
        <w:tc>
          <w:tcPr>
            <w:tcW w:w="2850" w:type="dxa"/>
            <w:shd w:val="clear" w:color="auto" w:fill="auto"/>
            <w:noWrap/>
            <w:vAlign w:val="center"/>
          </w:tcPr>
          <w:p w14:paraId="7545B9D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⑨</w:t>
            </w:r>
            <w:r>
              <w:rPr>
                <w:rFonts w:hint="default" w:ascii="Times New Roman" w:hAnsi="Times New Roman" w:eastAsia="宋体" w:cs="Times New Roman"/>
                <w:kern w:val="0"/>
                <w:sz w:val="20"/>
                <w:szCs w:val="20"/>
                <w:lang w:val="en-US" w:eastAsia="zh-CN" w:bidi="ar"/>
              </w:rPr>
              <w:t>-L1:424</w:t>
            </w:r>
          </w:p>
        </w:tc>
        <w:tc>
          <w:tcPr>
            <w:tcW w:w="1700" w:type="dxa"/>
            <w:shd w:val="clear" w:color="auto" w:fill="auto"/>
            <w:noWrap/>
            <w:vAlign w:val="center"/>
          </w:tcPr>
          <w:p w14:paraId="4FC634F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17.22</w:t>
            </w:r>
          </w:p>
        </w:tc>
        <w:tc>
          <w:tcPr>
            <w:tcW w:w="2025" w:type="dxa"/>
            <w:shd w:val="clear" w:color="auto" w:fill="auto"/>
            <w:noWrap/>
            <w:vAlign w:val="center"/>
          </w:tcPr>
          <w:p w14:paraId="079AA73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59.2</w:t>
            </w:r>
          </w:p>
        </w:tc>
        <w:tc>
          <w:tcPr>
            <w:tcW w:w="1663" w:type="dxa"/>
            <w:shd w:val="clear" w:color="auto" w:fill="auto"/>
            <w:noWrap/>
            <w:vAlign w:val="center"/>
          </w:tcPr>
          <w:p w14:paraId="21438C3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e</w:t>
            </w:r>
          </w:p>
        </w:tc>
        <w:tc>
          <w:tcPr>
            <w:tcW w:w="2150" w:type="dxa"/>
            <w:shd w:val="clear" w:color="auto" w:fill="auto"/>
            <w:noWrap/>
            <w:vAlign w:val="center"/>
          </w:tcPr>
          <w:p w14:paraId="78C83AB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44-147</w:t>
            </w:r>
          </w:p>
        </w:tc>
        <w:tc>
          <w:tcPr>
            <w:tcW w:w="2187" w:type="dxa"/>
            <w:shd w:val="clear" w:color="auto" w:fill="auto"/>
            <w:noWrap/>
            <w:vAlign w:val="center"/>
          </w:tcPr>
          <w:p w14:paraId="4ABBE63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4F4B146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6D87A6E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46</w:t>
            </w:r>
          </w:p>
        </w:tc>
        <w:tc>
          <w:tcPr>
            <w:tcW w:w="2850" w:type="dxa"/>
            <w:shd w:val="clear" w:color="auto" w:fill="auto"/>
            <w:noWrap/>
            <w:vAlign w:val="center"/>
          </w:tcPr>
          <w:p w14:paraId="01BD953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⑨</w:t>
            </w:r>
            <w:r>
              <w:rPr>
                <w:rFonts w:hint="default" w:ascii="Times New Roman" w:hAnsi="Times New Roman" w:eastAsia="宋体" w:cs="Times New Roman"/>
                <w:kern w:val="0"/>
                <w:sz w:val="20"/>
                <w:szCs w:val="20"/>
                <w:lang w:val="en-US" w:eastAsia="zh-CN" w:bidi="ar"/>
              </w:rPr>
              <w:t>-L2:2285</w:t>
            </w:r>
          </w:p>
        </w:tc>
        <w:tc>
          <w:tcPr>
            <w:tcW w:w="1700" w:type="dxa"/>
            <w:shd w:val="clear" w:color="auto" w:fill="auto"/>
            <w:noWrap/>
            <w:vAlign w:val="center"/>
          </w:tcPr>
          <w:p w14:paraId="17F4E94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15.03</w:t>
            </w:r>
          </w:p>
        </w:tc>
        <w:tc>
          <w:tcPr>
            <w:tcW w:w="2025" w:type="dxa"/>
            <w:shd w:val="clear" w:color="auto" w:fill="auto"/>
            <w:noWrap/>
            <w:vAlign w:val="center"/>
          </w:tcPr>
          <w:p w14:paraId="046FE10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76.1</w:t>
            </w:r>
          </w:p>
        </w:tc>
        <w:tc>
          <w:tcPr>
            <w:tcW w:w="1663" w:type="dxa"/>
            <w:shd w:val="clear" w:color="auto" w:fill="auto"/>
            <w:noWrap/>
            <w:vAlign w:val="center"/>
          </w:tcPr>
          <w:p w14:paraId="2860E7E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f</w:t>
            </w:r>
          </w:p>
        </w:tc>
        <w:tc>
          <w:tcPr>
            <w:tcW w:w="2150" w:type="dxa"/>
            <w:shd w:val="clear" w:color="auto" w:fill="auto"/>
            <w:noWrap/>
            <w:vAlign w:val="center"/>
          </w:tcPr>
          <w:p w14:paraId="5907432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61-183</w:t>
            </w:r>
          </w:p>
        </w:tc>
        <w:tc>
          <w:tcPr>
            <w:tcW w:w="2187" w:type="dxa"/>
            <w:shd w:val="clear" w:color="auto" w:fill="auto"/>
            <w:noWrap/>
            <w:vAlign w:val="center"/>
          </w:tcPr>
          <w:p w14:paraId="267D309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6B6FD75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3C3F017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47</w:t>
            </w:r>
          </w:p>
        </w:tc>
        <w:tc>
          <w:tcPr>
            <w:tcW w:w="2850" w:type="dxa"/>
            <w:shd w:val="clear" w:color="auto" w:fill="auto"/>
            <w:noWrap/>
            <w:vAlign w:val="center"/>
          </w:tcPr>
          <w:p w14:paraId="0C01959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⑨</w:t>
            </w:r>
            <w:r>
              <w:rPr>
                <w:rFonts w:hint="default" w:ascii="Times New Roman" w:hAnsi="Times New Roman" w:eastAsia="宋体" w:cs="Times New Roman"/>
                <w:kern w:val="0"/>
                <w:sz w:val="20"/>
                <w:szCs w:val="20"/>
                <w:lang w:val="en-US" w:eastAsia="zh-CN" w:bidi="ar"/>
              </w:rPr>
              <w:t>-L2:2309</w:t>
            </w:r>
          </w:p>
        </w:tc>
        <w:tc>
          <w:tcPr>
            <w:tcW w:w="1700" w:type="dxa"/>
            <w:shd w:val="clear" w:color="auto" w:fill="auto"/>
            <w:noWrap/>
            <w:vAlign w:val="center"/>
          </w:tcPr>
          <w:p w14:paraId="7B8EDCF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14.27</w:t>
            </w:r>
          </w:p>
        </w:tc>
        <w:tc>
          <w:tcPr>
            <w:tcW w:w="2025" w:type="dxa"/>
            <w:shd w:val="clear" w:color="auto" w:fill="auto"/>
            <w:noWrap/>
            <w:vAlign w:val="center"/>
          </w:tcPr>
          <w:p w14:paraId="32CC1DE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82</w:t>
            </w:r>
          </w:p>
        </w:tc>
        <w:tc>
          <w:tcPr>
            <w:tcW w:w="1663" w:type="dxa"/>
            <w:shd w:val="clear" w:color="auto" w:fill="auto"/>
            <w:noWrap/>
            <w:vAlign w:val="center"/>
          </w:tcPr>
          <w:p w14:paraId="3246019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g</w:t>
            </w:r>
          </w:p>
        </w:tc>
        <w:tc>
          <w:tcPr>
            <w:tcW w:w="2150" w:type="dxa"/>
            <w:shd w:val="clear" w:color="auto" w:fill="auto"/>
            <w:noWrap/>
            <w:vAlign w:val="center"/>
          </w:tcPr>
          <w:p w14:paraId="18E3DE9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118-189</w:t>
            </w:r>
          </w:p>
        </w:tc>
        <w:tc>
          <w:tcPr>
            <w:tcW w:w="2187" w:type="dxa"/>
            <w:shd w:val="clear" w:color="auto" w:fill="auto"/>
            <w:noWrap/>
            <w:vAlign w:val="center"/>
          </w:tcPr>
          <w:p w14:paraId="2A4E622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4016FA7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5B3D187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48</w:t>
            </w:r>
          </w:p>
        </w:tc>
        <w:tc>
          <w:tcPr>
            <w:tcW w:w="2850" w:type="dxa"/>
            <w:shd w:val="clear" w:color="auto" w:fill="auto"/>
            <w:noWrap/>
            <w:vAlign w:val="center"/>
          </w:tcPr>
          <w:p w14:paraId="3C285A1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⑨</w:t>
            </w:r>
            <w:r>
              <w:rPr>
                <w:rFonts w:hint="default" w:ascii="Times New Roman" w:hAnsi="Times New Roman" w:eastAsia="宋体" w:cs="Times New Roman"/>
                <w:kern w:val="0"/>
                <w:sz w:val="20"/>
                <w:szCs w:val="20"/>
                <w:lang w:val="en-US" w:eastAsia="zh-CN" w:bidi="ar"/>
              </w:rPr>
              <w:t>-L2:2473</w:t>
            </w:r>
          </w:p>
        </w:tc>
        <w:tc>
          <w:tcPr>
            <w:tcW w:w="1700" w:type="dxa"/>
            <w:shd w:val="clear" w:color="auto" w:fill="auto"/>
            <w:noWrap/>
            <w:vAlign w:val="center"/>
          </w:tcPr>
          <w:p w14:paraId="4F3D297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11.81</w:t>
            </w:r>
          </w:p>
        </w:tc>
        <w:tc>
          <w:tcPr>
            <w:tcW w:w="2025" w:type="dxa"/>
            <w:shd w:val="clear" w:color="auto" w:fill="auto"/>
            <w:noWrap/>
            <w:vAlign w:val="center"/>
          </w:tcPr>
          <w:p w14:paraId="2B9316B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100.9</w:t>
            </w:r>
          </w:p>
        </w:tc>
        <w:tc>
          <w:tcPr>
            <w:tcW w:w="1663" w:type="dxa"/>
            <w:shd w:val="clear" w:color="auto" w:fill="auto"/>
            <w:noWrap/>
            <w:vAlign w:val="center"/>
          </w:tcPr>
          <w:p w14:paraId="6DD9C4A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i</w:t>
            </w:r>
          </w:p>
        </w:tc>
        <w:tc>
          <w:tcPr>
            <w:tcW w:w="2150" w:type="dxa"/>
            <w:shd w:val="clear" w:color="auto" w:fill="auto"/>
            <w:noWrap/>
            <w:vAlign w:val="center"/>
          </w:tcPr>
          <w:p w14:paraId="2C4ACBA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eastAsia" w:ascii="宋体" w:hAnsi="宋体" w:eastAsia="宋体" w:cs="宋体"/>
                <w:color w:val="000000"/>
                <w:kern w:val="0"/>
                <w:sz w:val="22"/>
                <w:szCs w:val="22"/>
                <w:lang w:val="en-US" w:eastAsia="zh-CN" w:bidi="ar"/>
              </w:rPr>
              <w:t>﹥</w:t>
            </w:r>
            <w:r>
              <w:rPr>
                <w:rFonts w:hint="default" w:ascii="Times New Roman" w:hAnsi="Times New Roman" w:eastAsia="宋体" w:cs="Times New Roman"/>
                <w:color w:val="000000"/>
                <w:kern w:val="0"/>
                <w:sz w:val="22"/>
                <w:szCs w:val="22"/>
                <w:lang w:val="en-US" w:eastAsia="zh-CN" w:bidi="ar"/>
              </w:rPr>
              <w:t>118-189</w:t>
            </w:r>
          </w:p>
        </w:tc>
        <w:tc>
          <w:tcPr>
            <w:tcW w:w="2187" w:type="dxa"/>
            <w:shd w:val="clear" w:color="auto" w:fill="auto"/>
            <w:noWrap/>
            <w:vAlign w:val="center"/>
          </w:tcPr>
          <w:p w14:paraId="7BF5F3D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Old adult</w:t>
            </w:r>
          </w:p>
        </w:tc>
      </w:tr>
      <w:tr w14:paraId="5B2A562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1D6C6FF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49</w:t>
            </w:r>
          </w:p>
        </w:tc>
        <w:tc>
          <w:tcPr>
            <w:tcW w:w="2850" w:type="dxa"/>
            <w:shd w:val="clear" w:color="auto" w:fill="auto"/>
            <w:noWrap/>
            <w:vAlign w:val="center"/>
          </w:tcPr>
          <w:p w14:paraId="5ADCC8A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⑨</w:t>
            </w:r>
            <w:r>
              <w:rPr>
                <w:rFonts w:hint="default" w:ascii="Times New Roman" w:hAnsi="Times New Roman" w:eastAsia="宋体" w:cs="Times New Roman"/>
                <w:kern w:val="0"/>
                <w:sz w:val="20"/>
                <w:szCs w:val="20"/>
                <w:lang w:val="en-US" w:eastAsia="zh-CN" w:bidi="ar"/>
              </w:rPr>
              <w:t>-L2:3467</w:t>
            </w:r>
          </w:p>
        </w:tc>
        <w:tc>
          <w:tcPr>
            <w:tcW w:w="1700" w:type="dxa"/>
            <w:shd w:val="clear" w:color="auto" w:fill="auto"/>
            <w:noWrap/>
            <w:vAlign w:val="center"/>
          </w:tcPr>
          <w:p w14:paraId="6DBD471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19.59</w:t>
            </w:r>
          </w:p>
        </w:tc>
        <w:tc>
          <w:tcPr>
            <w:tcW w:w="2025" w:type="dxa"/>
            <w:shd w:val="clear" w:color="auto" w:fill="auto"/>
            <w:noWrap/>
            <w:vAlign w:val="center"/>
          </w:tcPr>
          <w:p w14:paraId="2A07870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41</w:t>
            </w:r>
          </w:p>
        </w:tc>
        <w:tc>
          <w:tcPr>
            <w:tcW w:w="1663" w:type="dxa"/>
            <w:shd w:val="clear" w:color="auto" w:fill="auto"/>
            <w:noWrap/>
            <w:vAlign w:val="center"/>
          </w:tcPr>
          <w:p w14:paraId="5E888F6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b</w:t>
            </w:r>
          </w:p>
        </w:tc>
        <w:tc>
          <w:tcPr>
            <w:tcW w:w="2150" w:type="dxa"/>
            <w:shd w:val="clear" w:color="auto" w:fill="auto"/>
            <w:noWrap/>
            <w:vAlign w:val="center"/>
          </w:tcPr>
          <w:p w14:paraId="3304F63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20-33</w:t>
            </w:r>
          </w:p>
        </w:tc>
        <w:tc>
          <w:tcPr>
            <w:tcW w:w="2187" w:type="dxa"/>
            <w:shd w:val="clear" w:color="auto" w:fill="auto"/>
            <w:noWrap/>
            <w:vAlign w:val="center"/>
          </w:tcPr>
          <w:p w14:paraId="0240B7E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Juvenile</w:t>
            </w:r>
          </w:p>
        </w:tc>
      </w:tr>
      <w:tr w14:paraId="6CF5B02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0299672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50</w:t>
            </w:r>
          </w:p>
        </w:tc>
        <w:tc>
          <w:tcPr>
            <w:tcW w:w="2850" w:type="dxa"/>
            <w:shd w:val="clear" w:color="auto" w:fill="auto"/>
            <w:noWrap/>
            <w:vAlign w:val="center"/>
          </w:tcPr>
          <w:p w14:paraId="7311759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⑨</w:t>
            </w:r>
            <w:r>
              <w:rPr>
                <w:rFonts w:hint="default" w:ascii="Times New Roman" w:hAnsi="Times New Roman" w:eastAsia="宋体" w:cs="Times New Roman"/>
                <w:kern w:val="0"/>
                <w:sz w:val="20"/>
                <w:szCs w:val="20"/>
                <w:lang w:val="en-US" w:eastAsia="zh-CN" w:bidi="ar"/>
              </w:rPr>
              <w:t>-L2:3472</w:t>
            </w:r>
          </w:p>
        </w:tc>
        <w:tc>
          <w:tcPr>
            <w:tcW w:w="1700" w:type="dxa"/>
            <w:shd w:val="clear" w:color="auto" w:fill="auto"/>
            <w:noWrap/>
            <w:vAlign w:val="center"/>
          </w:tcPr>
          <w:p w14:paraId="2FE3005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15.31</w:t>
            </w:r>
          </w:p>
        </w:tc>
        <w:tc>
          <w:tcPr>
            <w:tcW w:w="2025" w:type="dxa"/>
            <w:shd w:val="clear" w:color="auto" w:fill="auto"/>
            <w:noWrap/>
            <w:vAlign w:val="center"/>
          </w:tcPr>
          <w:p w14:paraId="132DCC1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74</w:t>
            </w:r>
          </w:p>
        </w:tc>
        <w:tc>
          <w:tcPr>
            <w:tcW w:w="1663" w:type="dxa"/>
            <w:shd w:val="clear" w:color="auto" w:fill="auto"/>
            <w:noWrap/>
            <w:vAlign w:val="center"/>
          </w:tcPr>
          <w:p w14:paraId="1317CEC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f</w:t>
            </w:r>
          </w:p>
        </w:tc>
        <w:tc>
          <w:tcPr>
            <w:tcW w:w="2150" w:type="dxa"/>
            <w:shd w:val="clear" w:color="auto" w:fill="auto"/>
            <w:noWrap/>
            <w:vAlign w:val="center"/>
          </w:tcPr>
          <w:p w14:paraId="290491A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61-183</w:t>
            </w:r>
          </w:p>
        </w:tc>
        <w:tc>
          <w:tcPr>
            <w:tcW w:w="2187" w:type="dxa"/>
            <w:shd w:val="clear" w:color="auto" w:fill="auto"/>
            <w:noWrap/>
            <w:vAlign w:val="center"/>
          </w:tcPr>
          <w:p w14:paraId="3563F51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7E7B8F1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0833DD0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51</w:t>
            </w:r>
          </w:p>
        </w:tc>
        <w:tc>
          <w:tcPr>
            <w:tcW w:w="2850" w:type="dxa"/>
            <w:shd w:val="clear" w:color="auto" w:fill="auto"/>
            <w:noWrap/>
            <w:vAlign w:val="center"/>
          </w:tcPr>
          <w:p w14:paraId="74A2499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⑨</w:t>
            </w:r>
            <w:r>
              <w:rPr>
                <w:rFonts w:hint="default" w:ascii="Times New Roman" w:hAnsi="Times New Roman" w:eastAsia="宋体" w:cs="Times New Roman"/>
                <w:kern w:val="0"/>
                <w:sz w:val="20"/>
                <w:szCs w:val="20"/>
                <w:lang w:val="en-US" w:eastAsia="zh-CN" w:bidi="ar"/>
              </w:rPr>
              <w:t>-L2:3486</w:t>
            </w:r>
          </w:p>
        </w:tc>
        <w:tc>
          <w:tcPr>
            <w:tcW w:w="1700" w:type="dxa"/>
            <w:shd w:val="clear" w:color="auto" w:fill="auto"/>
            <w:noWrap/>
            <w:vAlign w:val="center"/>
          </w:tcPr>
          <w:p w14:paraId="0AF1609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13.52</w:t>
            </w:r>
          </w:p>
        </w:tc>
        <w:tc>
          <w:tcPr>
            <w:tcW w:w="2025" w:type="dxa"/>
            <w:shd w:val="clear" w:color="auto" w:fill="auto"/>
            <w:noWrap/>
            <w:vAlign w:val="center"/>
          </w:tcPr>
          <w:p w14:paraId="7ECF970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87.8</w:t>
            </w:r>
          </w:p>
        </w:tc>
        <w:tc>
          <w:tcPr>
            <w:tcW w:w="1663" w:type="dxa"/>
            <w:shd w:val="clear" w:color="auto" w:fill="auto"/>
            <w:noWrap/>
            <w:vAlign w:val="center"/>
          </w:tcPr>
          <w:p w14:paraId="08B647F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g</w:t>
            </w:r>
          </w:p>
        </w:tc>
        <w:tc>
          <w:tcPr>
            <w:tcW w:w="2150" w:type="dxa"/>
            <w:shd w:val="clear" w:color="auto" w:fill="auto"/>
            <w:noWrap/>
            <w:vAlign w:val="center"/>
          </w:tcPr>
          <w:p w14:paraId="65E2F31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118-189</w:t>
            </w:r>
          </w:p>
        </w:tc>
        <w:tc>
          <w:tcPr>
            <w:tcW w:w="2187" w:type="dxa"/>
            <w:shd w:val="clear" w:color="auto" w:fill="auto"/>
            <w:noWrap/>
            <w:vAlign w:val="center"/>
          </w:tcPr>
          <w:p w14:paraId="77E615D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0578B6F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2DE7902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52</w:t>
            </w:r>
          </w:p>
        </w:tc>
        <w:tc>
          <w:tcPr>
            <w:tcW w:w="2850" w:type="dxa"/>
            <w:shd w:val="clear" w:color="auto" w:fill="auto"/>
            <w:noWrap/>
            <w:vAlign w:val="center"/>
          </w:tcPr>
          <w:p w14:paraId="388F5FE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⑨</w:t>
            </w:r>
            <w:r>
              <w:rPr>
                <w:rFonts w:hint="default" w:ascii="Times New Roman" w:hAnsi="Times New Roman" w:eastAsia="宋体" w:cs="Times New Roman"/>
                <w:kern w:val="0"/>
                <w:sz w:val="20"/>
                <w:szCs w:val="20"/>
                <w:lang w:val="en-US" w:eastAsia="zh-CN" w:bidi="ar"/>
              </w:rPr>
              <w:t>-L2:547</w:t>
            </w:r>
          </w:p>
        </w:tc>
        <w:tc>
          <w:tcPr>
            <w:tcW w:w="1700" w:type="dxa"/>
            <w:shd w:val="clear" w:color="auto" w:fill="auto"/>
            <w:noWrap/>
            <w:vAlign w:val="center"/>
          </w:tcPr>
          <w:p w14:paraId="43ACAC2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17.76</w:t>
            </w:r>
          </w:p>
        </w:tc>
        <w:tc>
          <w:tcPr>
            <w:tcW w:w="2025" w:type="dxa"/>
            <w:shd w:val="clear" w:color="auto" w:fill="auto"/>
            <w:noWrap/>
            <w:vAlign w:val="center"/>
          </w:tcPr>
          <w:p w14:paraId="0D04539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55.1</w:t>
            </w:r>
          </w:p>
        </w:tc>
        <w:tc>
          <w:tcPr>
            <w:tcW w:w="1663" w:type="dxa"/>
            <w:shd w:val="clear" w:color="auto" w:fill="auto"/>
            <w:noWrap/>
            <w:vAlign w:val="center"/>
          </w:tcPr>
          <w:p w14:paraId="30AC530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w:t>
            </w:r>
          </w:p>
        </w:tc>
        <w:tc>
          <w:tcPr>
            <w:tcW w:w="2150" w:type="dxa"/>
            <w:shd w:val="clear" w:color="auto" w:fill="auto"/>
            <w:noWrap/>
            <w:vAlign w:val="center"/>
          </w:tcPr>
          <w:p w14:paraId="6CA526A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33-54</w:t>
            </w:r>
          </w:p>
        </w:tc>
        <w:tc>
          <w:tcPr>
            <w:tcW w:w="2187" w:type="dxa"/>
            <w:shd w:val="clear" w:color="auto" w:fill="auto"/>
            <w:noWrap/>
            <w:vAlign w:val="center"/>
          </w:tcPr>
          <w:p w14:paraId="7EEE072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37ECD01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3DB049A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53</w:t>
            </w:r>
          </w:p>
        </w:tc>
        <w:tc>
          <w:tcPr>
            <w:tcW w:w="2850" w:type="dxa"/>
            <w:shd w:val="clear" w:color="auto" w:fill="auto"/>
            <w:noWrap/>
            <w:vAlign w:val="center"/>
          </w:tcPr>
          <w:p w14:paraId="714E534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⑩</w:t>
            </w:r>
            <w:r>
              <w:rPr>
                <w:rFonts w:hint="default" w:ascii="Times New Roman" w:hAnsi="Times New Roman" w:eastAsia="宋体" w:cs="Times New Roman"/>
                <w:kern w:val="0"/>
                <w:sz w:val="20"/>
                <w:szCs w:val="20"/>
                <w:lang w:val="en-US" w:eastAsia="zh-CN" w:bidi="ar"/>
              </w:rPr>
              <w:t>-L1:2354</w:t>
            </w:r>
          </w:p>
        </w:tc>
        <w:tc>
          <w:tcPr>
            <w:tcW w:w="1700" w:type="dxa"/>
            <w:shd w:val="clear" w:color="auto" w:fill="auto"/>
            <w:noWrap/>
            <w:vAlign w:val="center"/>
          </w:tcPr>
          <w:p w14:paraId="35A003A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15.01</w:t>
            </w:r>
          </w:p>
        </w:tc>
        <w:tc>
          <w:tcPr>
            <w:tcW w:w="2025" w:type="dxa"/>
            <w:shd w:val="clear" w:color="auto" w:fill="auto"/>
            <w:noWrap/>
            <w:vAlign w:val="center"/>
          </w:tcPr>
          <w:p w14:paraId="6637C3F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76.3</w:t>
            </w:r>
          </w:p>
        </w:tc>
        <w:tc>
          <w:tcPr>
            <w:tcW w:w="1663" w:type="dxa"/>
            <w:shd w:val="clear" w:color="auto" w:fill="auto"/>
            <w:noWrap/>
            <w:vAlign w:val="center"/>
          </w:tcPr>
          <w:p w14:paraId="080BB85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f</w:t>
            </w:r>
          </w:p>
        </w:tc>
        <w:tc>
          <w:tcPr>
            <w:tcW w:w="2150" w:type="dxa"/>
            <w:shd w:val="clear" w:color="auto" w:fill="auto"/>
            <w:noWrap/>
            <w:vAlign w:val="center"/>
          </w:tcPr>
          <w:p w14:paraId="45ABD99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118-189</w:t>
            </w:r>
          </w:p>
        </w:tc>
        <w:tc>
          <w:tcPr>
            <w:tcW w:w="2187" w:type="dxa"/>
            <w:shd w:val="clear" w:color="auto" w:fill="auto"/>
            <w:noWrap/>
            <w:vAlign w:val="center"/>
          </w:tcPr>
          <w:p w14:paraId="0B83584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6CC97A4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0E9B99D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54</w:t>
            </w:r>
          </w:p>
        </w:tc>
        <w:tc>
          <w:tcPr>
            <w:tcW w:w="2850" w:type="dxa"/>
            <w:shd w:val="clear" w:color="auto" w:fill="auto"/>
            <w:noWrap/>
            <w:vAlign w:val="center"/>
          </w:tcPr>
          <w:p w14:paraId="716D50E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⑩</w:t>
            </w:r>
            <w:r>
              <w:rPr>
                <w:rFonts w:hint="default" w:ascii="Times New Roman" w:hAnsi="Times New Roman" w:eastAsia="宋体" w:cs="Times New Roman"/>
                <w:kern w:val="0"/>
                <w:sz w:val="20"/>
                <w:szCs w:val="20"/>
                <w:lang w:val="en-US" w:eastAsia="zh-CN" w:bidi="ar"/>
              </w:rPr>
              <w:t>-L1:653</w:t>
            </w:r>
          </w:p>
        </w:tc>
        <w:tc>
          <w:tcPr>
            <w:tcW w:w="1700" w:type="dxa"/>
            <w:shd w:val="clear" w:color="auto" w:fill="auto"/>
            <w:noWrap/>
            <w:vAlign w:val="center"/>
          </w:tcPr>
          <w:p w14:paraId="0AE12D2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17.28</w:t>
            </w:r>
          </w:p>
        </w:tc>
        <w:tc>
          <w:tcPr>
            <w:tcW w:w="2025" w:type="dxa"/>
            <w:shd w:val="clear" w:color="auto" w:fill="auto"/>
            <w:noWrap/>
            <w:vAlign w:val="center"/>
          </w:tcPr>
          <w:p w14:paraId="1D8C535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58.8</w:t>
            </w:r>
          </w:p>
        </w:tc>
        <w:tc>
          <w:tcPr>
            <w:tcW w:w="1663" w:type="dxa"/>
            <w:shd w:val="clear" w:color="auto" w:fill="auto"/>
            <w:noWrap/>
            <w:vAlign w:val="center"/>
          </w:tcPr>
          <w:p w14:paraId="36A3027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e</w:t>
            </w:r>
          </w:p>
        </w:tc>
        <w:tc>
          <w:tcPr>
            <w:tcW w:w="2150" w:type="dxa"/>
            <w:shd w:val="clear" w:color="auto" w:fill="auto"/>
            <w:noWrap/>
            <w:vAlign w:val="center"/>
          </w:tcPr>
          <w:p w14:paraId="24FB571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44-147</w:t>
            </w:r>
          </w:p>
        </w:tc>
        <w:tc>
          <w:tcPr>
            <w:tcW w:w="2187" w:type="dxa"/>
            <w:shd w:val="clear" w:color="auto" w:fill="auto"/>
            <w:noWrap/>
            <w:vAlign w:val="center"/>
          </w:tcPr>
          <w:p w14:paraId="07781AC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212313D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22CE305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55</w:t>
            </w:r>
          </w:p>
        </w:tc>
        <w:tc>
          <w:tcPr>
            <w:tcW w:w="2850" w:type="dxa"/>
            <w:shd w:val="clear" w:color="auto" w:fill="auto"/>
            <w:noWrap/>
            <w:vAlign w:val="center"/>
          </w:tcPr>
          <w:p w14:paraId="2F7374E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default" w:ascii="Cambria Math" w:hAnsi="Cambria Math" w:eastAsia="Cambria Math" w:cs="Cambria Math"/>
                <w:kern w:val="0"/>
                <w:sz w:val="20"/>
                <w:szCs w:val="20"/>
                <w:lang w:val="en-US" w:eastAsia="zh-CN" w:bidi="ar"/>
              </w:rPr>
              <w:t>⑪</w:t>
            </w:r>
            <w:r>
              <w:rPr>
                <w:rFonts w:hint="default" w:ascii="Times New Roman" w:hAnsi="Times New Roman" w:eastAsia="宋体" w:cs="Times New Roman"/>
                <w:kern w:val="0"/>
                <w:sz w:val="20"/>
                <w:szCs w:val="20"/>
                <w:lang w:val="en-US" w:eastAsia="zh-CN" w:bidi="ar"/>
              </w:rPr>
              <w:t>-L1:2381</w:t>
            </w:r>
          </w:p>
        </w:tc>
        <w:tc>
          <w:tcPr>
            <w:tcW w:w="1700" w:type="dxa"/>
            <w:shd w:val="clear" w:color="auto" w:fill="auto"/>
            <w:noWrap/>
            <w:vAlign w:val="center"/>
          </w:tcPr>
          <w:p w14:paraId="25CBD74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15.63</w:t>
            </w:r>
          </w:p>
        </w:tc>
        <w:tc>
          <w:tcPr>
            <w:tcW w:w="2025" w:type="dxa"/>
            <w:shd w:val="clear" w:color="auto" w:fill="auto"/>
            <w:noWrap/>
            <w:vAlign w:val="center"/>
          </w:tcPr>
          <w:p w14:paraId="17E2085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71.5</w:t>
            </w:r>
          </w:p>
        </w:tc>
        <w:tc>
          <w:tcPr>
            <w:tcW w:w="1663" w:type="dxa"/>
            <w:shd w:val="clear" w:color="auto" w:fill="auto"/>
            <w:noWrap/>
            <w:vAlign w:val="center"/>
          </w:tcPr>
          <w:p w14:paraId="1361574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e</w:t>
            </w:r>
          </w:p>
        </w:tc>
        <w:tc>
          <w:tcPr>
            <w:tcW w:w="2150" w:type="dxa"/>
            <w:shd w:val="clear" w:color="auto" w:fill="auto"/>
            <w:noWrap/>
            <w:vAlign w:val="center"/>
          </w:tcPr>
          <w:p w14:paraId="1C98195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44-147</w:t>
            </w:r>
          </w:p>
        </w:tc>
        <w:tc>
          <w:tcPr>
            <w:tcW w:w="2187" w:type="dxa"/>
            <w:shd w:val="clear" w:color="auto" w:fill="auto"/>
            <w:noWrap/>
            <w:vAlign w:val="center"/>
          </w:tcPr>
          <w:p w14:paraId="4A96027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73C034B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3942D84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56</w:t>
            </w:r>
          </w:p>
        </w:tc>
        <w:tc>
          <w:tcPr>
            <w:tcW w:w="2850" w:type="dxa"/>
            <w:shd w:val="clear" w:color="auto" w:fill="auto"/>
            <w:noWrap/>
            <w:vAlign w:val="center"/>
          </w:tcPr>
          <w:p w14:paraId="2998E97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default" w:ascii="Cambria Math" w:hAnsi="Cambria Math" w:eastAsia="Cambria Math" w:cs="Cambria Math"/>
                <w:kern w:val="0"/>
                <w:sz w:val="20"/>
                <w:szCs w:val="20"/>
                <w:lang w:val="en-US" w:eastAsia="zh-CN" w:bidi="ar"/>
              </w:rPr>
              <w:t>⑪</w:t>
            </w:r>
            <w:r>
              <w:rPr>
                <w:rFonts w:hint="default" w:ascii="Times New Roman" w:hAnsi="Times New Roman" w:eastAsia="宋体" w:cs="Times New Roman"/>
                <w:kern w:val="0"/>
                <w:sz w:val="20"/>
                <w:szCs w:val="20"/>
                <w:lang w:val="en-US" w:eastAsia="zh-CN" w:bidi="ar"/>
              </w:rPr>
              <w:t>-L2:2402</w:t>
            </w:r>
          </w:p>
        </w:tc>
        <w:tc>
          <w:tcPr>
            <w:tcW w:w="1700" w:type="dxa"/>
            <w:shd w:val="clear" w:color="auto" w:fill="auto"/>
            <w:noWrap/>
            <w:vAlign w:val="center"/>
          </w:tcPr>
          <w:p w14:paraId="3E81556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17.46</w:t>
            </w:r>
          </w:p>
        </w:tc>
        <w:tc>
          <w:tcPr>
            <w:tcW w:w="2025" w:type="dxa"/>
            <w:shd w:val="clear" w:color="auto" w:fill="auto"/>
            <w:noWrap/>
            <w:vAlign w:val="center"/>
          </w:tcPr>
          <w:p w14:paraId="6C9E9FB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57.4</w:t>
            </w:r>
          </w:p>
        </w:tc>
        <w:tc>
          <w:tcPr>
            <w:tcW w:w="1663" w:type="dxa"/>
            <w:shd w:val="clear" w:color="auto" w:fill="auto"/>
            <w:noWrap/>
            <w:vAlign w:val="center"/>
          </w:tcPr>
          <w:p w14:paraId="3264CAA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f</w:t>
            </w:r>
          </w:p>
        </w:tc>
        <w:tc>
          <w:tcPr>
            <w:tcW w:w="2150" w:type="dxa"/>
            <w:shd w:val="clear" w:color="auto" w:fill="auto"/>
            <w:noWrap/>
            <w:vAlign w:val="center"/>
          </w:tcPr>
          <w:p w14:paraId="6DA8C2E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61-183</w:t>
            </w:r>
          </w:p>
        </w:tc>
        <w:tc>
          <w:tcPr>
            <w:tcW w:w="2187" w:type="dxa"/>
            <w:shd w:val="clear" w:color="auto" w:fill="auto"/>
            <w:noWrap/>
            <w:vAlign w:val="center"/>
          </w:tcPr>
          <w:p w14:paraId="2287C52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03FF5D9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3CCC874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57</w:t>
            </w:r>
          </w:p>
        </w:tc>
        <w:tc>
          <w:tcPr>
            <w:tcW w:w="2850" w:type="dxa"/>
            <w:shd w:val="clear" w:color="auto" w:fill="auto"/>
            <w:noWrap/>
            <w:vAlign w:val="center"/>
          </w:tcPr>
          <w:p w14:paraId="0801A9F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default" w:ascii="Cambria Math" w:hAnsi="Cambria Math" w:eastAsia="Cambria Math" w:cs="Cambria Math"/>
                <w:kern w:val="0"/>
                <w:sz w:val="20"/>
                <w:szCs w:val="20"/>
                <w:lang w:val="en-US" w:eastAsia="zh-CN" w:bidi="ar"/>
              </w:rPr>
              <w:t>⑪</w:t>
            </w:r>
            <w:r>
              <w:rPr>
                <w:rFonts w:hint="default" w:ascii="Times New Roman" w:hAnsi="Times New Roman" w:eastAsia="宋体" w:cs="Times New Roman"/>
                <w:kern w:val="0"/>
                <w:sz w:val="20"/>
                <w:szCs w:val="20"/>
                <w:lang w:val="en-US" w:eastAsia="zh-CN" w:bidi="ar"/>
              </w:rPr>
              <w:t>-L2:827</w:t>
            </w:r>
          </w:p>
        </w:tc>
        <w:tc>
          <w:tcPr>
            <w:tcW w:w="1700" w:type="dxa"/>
            <w:shd w:val="clear" w:color="auto" w:fill="auto"/>
            <w:noWrap/>
            <w:vAlign w:val="center"/>
          </w:tcPr>
          <w:p w14:paraId="680B333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16.89</w:t>
            </w:r>
          </w:p>
        </w:tc>
        <w:tc>
          <w:tcPr>
            <w:tcW w:w="2025" w:type="dxa"/>
            <w:shd w:val="clear" w:color="auto" w:fill="auto"/>
            <w:noWrap/>
            <w:vAlign w:val="center"/>
          </w:tcPr>
          <w:p w14:paraId="4086502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61.8</w:t>
            </w:r>
          </w:p>
        </w:tc>
        <w:tc>
          <w:tcPr>
            <w:tcW w:w="1663" w:type="dxa"/>
            <w:shd w:val="clear" w:color="auto" w:fill="auto"/>
            <w:noWrap/>
            <w:vAlign w:val="center"/>
          </w:tcPr>
          <w:p w14:paraId="64D7AD0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f</w:t>
            </w:r>
          </w:p>
        </w:tc>
        <w:tc>
          <w:tcPr>
            <w:tcW w:w="2150" w:type="dxa"/>
            <w:shd w:val="clear" w:color="auto" w:fill="auto"/>
            <w:noWrap/>
            <w:vAlign w:val="center"/>
          </w:tcPr>
          <w:p w14:paraId="26064FD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61-183</w:t>
            </w:r>
          </w:p>
        </w:tc>
        <w:tc>
          <w:tcPr>
            <w:tcW w:w="2187" w:type="dxa"/>
            <w:shd w:val="clear" w:color="auto" w:fill="auto"/>
            <w:noWrap/>
            <w:vAlign w:val="center"/>
          </w:tcPr>
          <w:p w14:paraId="400E3DD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2AFEDA7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3B57744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58</w:t>
            </w:r>
          </w:p>
        </w:tc>
        <w:tc>
          <w:tcPr>
            <w:tcW w:w="2850" w:type="dxa"/>
            <w:shd w:val="clear" w:color="auto" w:fill="auto"/>
            <w:noWrap/>
            <w:vAlign w:val="center"/>
          </w:tcPr>
          <w:p w14:paraId="6029575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default" w:ascii="Cambria Math" w:hAnsi="Cambria Math" w:eastAsia="Cambria Math" w:cs="Cambria Math"/>
                <w:kern w:val="0"/>
                <w:sz w:val="20"/>
                <w:szCs w:val="20"/>
                <w:lang w:val="en-US" w:eastAsia="zh-CN" w:bidi="ar"/>
              </w:rPr>
              <w:t>⑫</w:t>
            </w:r>
            <w:r>
              <w:rPr>
                <w:rFonts w:hint="default" w:ascii="Times New Roman" w:hAnsi="Times New Roman" w:eastAsia="宋体" w:cs="Times New Roman"/>
                <w:kern w:val="0"/>
                <w:sz w:val="20"/>
                <w:szCs w:val="20"/>
                <w:lang w:val="en-US" w:eastAsia="zh-CN" w:bidi="ar"/>
              </w:rPr>
              <w:t>-L1:1012</w:t>
            </w:r>
          </w:p>
        </w:tc>
        <w:tc>
          <w:tcPr>
            <w:tcW w:w="1700" w:type="dxa"/>
            <w:shd w:val="clear" w:color="auto" w:fill="auto"/>
            <w:noWrap/>
            <w:vAlign w:val="center"/>
          </w:tcPr>
          <w:p w14:paraId="0D07B3F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14.28</w:t>
            </w:r>
          </w:p>
        </w:tc>
        <w:tc>
          <w:tcPr>
            <w:tcW w:w="2025" w:type="dxa"/>
            <w:shd w:val="clear" w:color="auto" w:fill="auto"/>
            <w:noWrap/>
            <w:vAlign w:val="center"/>
          </w:tcPr>
          <w:p w14:paraId="06AB46F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81.9</w:t>
            </w:r>
          </w:p>
        </w:tc>
        <w:tc>
          <w:tcPr>
            <w:tcW w:w="1663" w:type="dxa"/>
            <w:shd w:val="clear" w:color="auto" w:fill="auto"/>
            <w:noWrap/>
            <w:vAlign w:val="center"/>
          </w:tcPr>
          <w:p w14:paraId="4DDF048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f</w:t>
            </w:r>
          </w:p>
        </w:tc>
        <w:tc>
          <w:tcPr>
            <w:tcW w:w="2150" w:type="dxa"/>
            <w:shd w:val="clear" w:color="auto" w:fill="auto"/>
            <w:noWrap/>
            <w:vAlign w:val="center"/>
          </w:tcPr>
          <w:p w14:paraId="0334E08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61-183</w:t>
            </w:r>
          </w:p>
        </w:tc>
        <w:tc>
          <w:tcPr>
            <w:tcW w:w="2187" w:type="dxa"/>
            <w:shd w:val="clear" w:color="auto" w:fill="auto"/>
            <w:noWrap/>
            <w:vAlign w:val="center"/>
          </w:tcPr>
          <w:p w14:paraId="16A04C7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165DFAE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4D0EE6B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59</w:t>
            </w:r>
          </w:p>
        </w:tc>
        <w:tc>
          <w:tcPr>
            <w:tcW w:w="2850" w:type="dxa"/>
            <w:shd w:val="clear" w:color="auto" w:fill="auto"/>
            <w:noWrap/>
            <w:vAlign w:val="center"/>
          </w:tcPr>
          <w:p w14:paraId="62A5D74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default" w:ascii="Cambria Math" w:hAnsi="Cambria Math" w:eastAsia="Cambria Math" w:cs="Cambria Math"/>
                <w:kern w:val="0"/>
                <w:sz w:val="20"/>
                <w:szCs w:val="20"/>
                <w:lang w:val="en-US" w:eastAsia="zh-CN" w:bidi="ar"/>
              </w:rPr>
              <w:t>⑫</w:t>
            </w:r>
            <w:r>
              <w:rPr>
                <w:rFonts w:hint="default" w:ascii="Times New Roman" w:hAnsi="Times New Roman" w:eastAsia="宋体" w:cs="Times New Roman"/>
                <w:kern w:val="0"/>
                <w:sz w:val="20"/>
                <w:szCs w:val="20"/>
                <w:lang w:val="en-US" w:eastAsia="zh-CN" w:bidi="ar"/>
              </w:rPr>
              <w:t>-L1:1042</w:t>
            </w:r>
          </w:p>
        </w:tc>
        <w:tc>
          <w:tcPr>
            <w:tcW w:w="1700" w:type="dxa"/>
            <w:shd w:val="clear" w:color="auto" w:fill="auto"/>
            <w:noWrap/>
            <w:vAlign w:val="center"/>
          </w:tcPr>
          <w:p w14:paraId="326CB75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5.71</w:t>
            </w:r>
          </w:p>
        </w:tc>
        <w:tc>
          <w:tcPr>
            <w:tcW w:w="2025" w:type="dxa"/>
            <w:shd w:val="clear" w:color="auto" w:fill="auto"/>
            <w:noWrap/>
            <w:vAlign w:val="center"/>
          </w:tcPr>
          <w:p w14:paraId="259B64F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148</w:t>
            </w:r>
          </w:p>
        </w:tc>
        <w:tc>
          <w:tcPr>
            <w:tcW w:w="1663" w:type="dxa"/>
            <w:shd w:val="clear" w:color="auto" w:fill="auto"/>
            <w:noWrap/>
            <w:vAlign w:val="center"/>
          </w:tcPr>
          <w:p w14:paraId="3537CC6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k</w:t>
            </w:r>
          </w:p>
        </w:tc>
        <w:tc>
          <w:tcPr>
            <w:tcW w:w="2150" w:type="dxa"/>
            <w:shd w:val="clear" w:color="auto" w:fill="auto"/>
            <w:noWrap/>
            <w:vAlign w:val="center"/>
          </w:tcPr>
          <w:p w14:paraId="38C2338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eastAsia" w:ascii="宋体" w:hAnsi="宋体" w:eastAsia="宋体" w:cs="宋体"/>
                <w:color w:val="000000"/>
                <w:kern w:val="0"/>
                <w:sz w:val="22"/>
                <w:szCs w:val="22"/>
                <w:lang w:val="en-US" w:eastAsia="zh-CN" w:bidi="ar"/>
              </w:rPr>
              <w:t>﹥</w:t>
            </w:r>
            <w:r>
              <w:rPr>
                <w:rFonts w:hint="default" w:ascii="Times New Roman" w:hAnsi="Times New Roman" w:eastAsia="宋体" w:cs="Times New Roman"/>
                <w:color w:val="000000"/>
                <w:kern w:val="0"/>
                <w:sz w:val="22"/>
                <w:szCs w:val="22"/>
                <w:lang w:val="en-US" w:eastAsia="zh-CN" w:bidi="ar"/>
              </w:rPr>
              <w:t>118-189</w:t>
            </w:r>
          </w:p>
        </w:tc>
        <w:tc>
          <w:tcPr>
            <w:tcW w:w="2187" w:type="dxa"/>
            <w:shd w:val="clear" w:color="auto" w:fill="auto"/>
            <w:noWrap/>
            <w:vAlign w:val="center"/>
          </w:tcPr>
          <w:p w14:paraId="7022CC4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Old adult</w:t>
            </w:r>
          </w:p>
        </w:tc>
      </w:tr>
      <w:tr w14:paraId="1682B9E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63D9DBF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60</w:t>
            </w:r>
          </w:p>
        </w:tc>
        <w:tc>
          <w:tcPr>
            <w:tcW w:w="2850" w:type="dxa"/>
            <w:shd w:val="clear" w:color="auto" w:fill="auto"/>
            <w:noWrap/>
            <w:vAlign w:val="center"/>
          </w:tcPr>
          <w:p w14:paraId="7CFF245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default" w:ascii="Cambria Math" w:hAnsi="Cambria Math" w:eastAsia="Cambria Math" w:cs="Cambria Math"/>
                <w:kern w:val="0"/>
                <w:sz w:val="20"/>
                <w:szCs w:val="20"/>
                <w:lang w:val="en-US" w:eastAsia="zh-CN" w:bidi="ar"/>
              </w:rPr>
              <w:t>⑫</w:t>
            </w:r>
            <w:r>
              <w:rPr>
                <w:rFonts w:hint="default" w:ascii="Times New Roman" w:hAnsi="Times New Roman" w:eastAsia="宋体" w:cs="Times New Roman"/>
                <w:kern w:val="0"/>
                <w:sz w:val="20"/>
                <w:szCs w:val="20"/>
                <w:lang w:val="en-US" w:eastAsia="zh-CN" w:bidi="ar"/>
              </w:rPr>
              <w:t>-L1:1061</w:t>
            </w:r>
          </w:p>
        </w:tc>
        <w:tc>
          <w:tcPr>
            <w:tcW w:w="1700" w:type="dxa"/>
            <w:shd w:val="clear" w:color="auto" w:fill="auto"/>
            <w:noWrap/>
            <w:vAlign w:val="center"/>
          </w:tcPr>
          <w:p w14:paraId="2D91571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14.11</w:t>
            </w:r>
          </w:p>
        </w:tc>
        <w:tc>
          <w:tcPr>
            <w:tcW w:w="2025" w:type="dxa"/>
            <w:shd w:val="clear" w:color="auto" w:fill="auto"/>
            <w:noWrap/>
            <w:vAlign w:val="center"/>
          </w:tcPr>
          <w:p w14:paraId="1A1D565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83.2</w:t>
            </w:r>
          </w:p>
        </w:tc>
        <w:tc>
          <w:tcPr>
            <w:tcW w:w="1663" w:type="dxa"/>
            <w:shd w:val="clear" w:color="auto" w:fill="auto"/>
            <w:noWrap/>
            <w:vAlign w:val="center"/>
          </w:tcPr>
          <w:p w14:paraId="49EB2DE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g</w:t>
            </w:r>
          </w:p>
        </w:tc>
        <w:tc>
          <w:tcPr>
            <w:tcW w:w="2150" w:type="dxa"/>
            <w:shd w:val="clear" w:color="auto" w:fill="auto"/>
            <w:noWrap/>
            <w:vAlign w:val="center"/>
          </w:tcPr>
          <w:p w14:paraId="40D2D3C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118-189</w:t>
            </w:r>
          </w:p>
        </w:tc>
        <w:tc>
          <w:tcPr>
            <w:tcW w:w="2187" w:type="dxa"/>
            <w:shd w:val="clear" w:color="auto" w:fill="auto"/>
            <w:noWrap/>
            <w:vAlign w:val="center"/>
          </w:tcPr>
          <w:p w14:paraId="04837FE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6B6A748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5DF7034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61</w:t>
            </w:r>
          </w:p>
        </w:tc>
        <w:tc>
          <w:tcPr>
            <w:tcW w:w="2850" w:type="dxa"/>
            <w:shd w:val="clear" w:color="auto" w:fill="auto"/>
            <w:noWrap/>
            <w:vAlign w:val="center"/>
          </w:tcPr>
          <w:p w14:paraId="232DBE8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default" w:ascii="Cambria Math" w:hAnsi="Cambria Math" w:eastAsia="Cambria Math" w:cs="Cambria Math"/>
                <w:kern w:val="0"/>
                <w:sz w:val="20"/>
                <w:szCs w:val="20"/>
                <w:lang w:val="en-US" w:eastAsia="zh-CN" w:bidi="ar"/>
              </w:rPr>
              <w:t>⑫</w:t>
            </w:r>
            <w:r>
              <w:rPr>
                <w:rFonts w:hint="default" w:ascii="Times New Roman" w:hAnsi="Times New Roman" w:eastAsia="宋体" w:cs="Times New Roman"/>
                <w:kern w:val="0"/>
                <w:sz w:val="20"/>
                <w:szCs w:val="20"/>
                <w:lang w:val="en-US" w:eastAsia="zh-CN" w:bidi="ar"/>
              </w:rPr>
              <w:t>-L1:2413</w:t>
            </w:r>
          </w:p>
        </w:tc>
        <w:tc>
          <w:tcPr>
            <w:tcW w:w="1700" w:type="dxa"/>
            <w:shd w:val="clear" w:color="auto" w:fill="auto"/>
            <w:noWrap/>
            <w:vAlign w:val="center"/>
          </w:tcPr>
          <w:p w14:paraId="3321243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21.16</w:t>
            </w:r>
          </w:p>
        </w:tc>
        <w:tc>
          <w:tcPr>
            <w:tcW w:w="2025" w:type="dxa"/>
            <w:shd w:val="clear" w:color="auto" w:fill="auto"/>
            <w:noWrap/>
            <w:vAlign w:val="center"/>
          </w:tcPr>
          <w:p w14:paraId="5517F70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28.9</w:t>
            </w:r>
          </w:p>
        </w:tc>
        <w:tc>
          <w:tcPr>
            <w:tcW w:w="1663" w:type="dxa"/>
            <w:shd w:val="clear" w:color="auto" w:fill="auto"/>
            <w:noWrap/>
            <w:vAlign w:val="center"/>
          </w:tcPr>
          <w:p w14:paraId="0DF45F1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d</w:t>
            </w:r>
          </w:p>
        </w:tc>
        <w:tc>
          <w:tcPr>
            <w:tcW w:w="2150" w:type="dxa"/>
            <w:shd w:val="clear" w:color="auto" w:fill="auto"/>
            <w:noWrap/>
            <w:vAlign w:val="center"/>
          </w:tcPr>
          <w:p w14:paraId="4D5AB96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33-54</w:t>
            </w:r>
          </w:p>
        </w:tc>
        <w:tc>
          <w:tcPr>
            <w:tcW w:w="2187" w:type="dxa"/>
            <w:shd w:val="clear" w:color="auto" w:fill="auto"/>
            <w:noWrap/>
            <w:vAlign w:val="center"/>
          </w:tcPr>
          <w:p w14:paraId="193F909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655AE4A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2EB0AC3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62</w:t>
            </w:r>
          </w:p>
        </w:tc>
        <w:tc>
          <w:tcPr>
            <w:tcW w:w="2850" w:type="dxa"/>
            <w:shd w:val="clear" w:color="auto" w:fill="auto"/>
            <w:noWrap/>
            <w:vAlign w:val="center"/>
          </w:tcPr>
          <w:p w14:paraId="21BBD7B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default" w:ascii="Cambria Math" w:hAnsi="Cambria Math" w:eastAsia="Cambria Math" w:cs="Cambria Math"/>
                <w:kern w:val="0"/>
                <w:sz w:val="20"/>
                <w:szCs w:val="20"/>
                <w:lang w:val="en-US" w:eastAsia="zh-CN" w:bidi="ar"/>
              </w:rPr>
              <w:t>⑫</w:t>
            </w:r>
            <w:r>
              <w:rPr>
                <w:rFonts w:hint="default" w:ascii="Times New Roman" w:hAnsi="Times New Roman" w:eastAsia="宋体" w:cs="Times New Roman"/>
                <w:kern w:val="0"/>
                <w:sz w:val="20"/>
                <w:szCs w:val="20"/>
                <w:lang w:val="en-US" w:eastAsia="zh-CN" w:bidi="ar"/>
              </w:rPr>
              <w:t>-L1:974</w:t>
            </w:r>
          </w:p>
        </w:tc>
        <w:tc>
          <w:tcPr>
            <w:tcW w:w="1700" w:type="dxa"/>
            <w:shd w:val="clear" w:color="auto" w:fill="auto"/>
            <w:noWrap/>
            <w:vAlign w:val="center"/>
          </w:tcPr>
          <w:p w14:paraId="48CCBA6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16.02</w:t>
            </w:r>
          </w:p>
        </w:tc>
        <w:tc>
          <w:tcPr>
            <w:tcW w:w="2025" w:type="dxa"/>
            <w:shd w:val="clear" w:color="auto" w:fill="auto"/>
            <w:noWrap/>
            <w:vAlign w:val="center"/>
          </w:tcPr>
          <w:p w14:paraId="5AE4BCA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68.5</w:t>
            </w:r>
          </w:p>
        </w:tc>
        <w:tc>
          <w:tcPr>
            <w:tcW w:w="1663" w:type="dxa"/>
            <w:shd w:val="clear" w:color="auto" w:fill="auto"/>
            <w:noWrap/>
            <w:vAlign w:val="center"/>
          </w:tcPr>
          <w:p w14:paraId="191EAA5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f</w:t>
            </w:r>
          </w:p>
        </w:tc>
        <w:tc>
          <w:tcPr>
            <w:tcW w:w="2150" w:type="dxa"/>
            <w:shd w:val="clear" w:color="auto" w:fill="auto"/>
            <w:noWrap/>
            <w:vAlign w:val="center"/>
          </w:tcPr>
          <w:p w14:paraId="4D70220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61-183</w:t>
            </w:r>
          </w:p>
        </w:tc>
        <w:tc>
          <w:tcPr>
            <w:tcW w:w="2187" w:type="dxa"/>
            <w:shd w:val="clear" w:color="auto" w:fill="auto"/>
            <w:noWrap/>
            <w:vAlign w:val="center"/>
          </w:tcPr>
          <w:p w14:paraId="5997A7E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7E9888A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59A0837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63</w:t>
            </w:r>
          </w:p>
        </w:tc>
        <w:tc>
          <w:tcPr>
            <w:tcW w:w="2850" w:type="dxa"/>
            <w:shd w:val="clear" w:color="auto" w:fill="auto"/>
            <w:noWrap/>
            <w:vAlign w:val="center"/>
          </w:tcPr>
          <w:p w14:paraId="24EB6AA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default" w:ascii="Cambria Math" w:hAnsi="Cambria Math" w:eastAsia="Cambria Math" w:cs="Cambria Math"/>
                <w:kern w:val="0"/>
                <w:sz w:val="20"/>
                <w:szCs w:val="20"/>
                <w:lang w:val="en-US" w:eastAsia="zh-CN" w:bidi="ar"/>
              </w:rPr>
              <w:t>⑫</w:t>
            </w:r>
            <w:r>
              <w:rPr>
                <w:rFonts w:hint="default" w:ascii="Times New Roman" w:hAnsi="Times New Roman" w:eastAsia="宋体" w:cs="Times New Roman"/>
                <w:kern w:val="0"/>
                <w:sz w:val="20"/>
                <w:szCs w:val="20"/>
                <w:lang w:val="en-US" w:eastAsia="zh-CN" w:bidi="ar"/>
              </w:rPr>
              <w:t>-L2:1113</w:t>
            </w:r>
          </w:p>
        </w:tc>
        <w:tc>
          <w:tcPr>
            <w:tcW w:w="1700" w:type="dxa"/>
            <w:shd w:val="clear" w:color="auto" w:fill="auto"/>
            <w:noWrap/>
            <w:vAlign w:val="center"/>
          </w:tcPr>
          <w:p w14:paraId="389AAD7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14.82</w:t>
            </w:r>
          </w:p>
        </w:tc>
        <w:tc>
          <w:tcPr>
            <w:tcW w:w="2025" w:type="dxa"/>
            <w:shd w:val="clear" w:color="auto" w:fill="auto"/>
            <w:noWrap/>
            <w:vAlign w:val="center"/>
          </w:tcPr>
          <w:p w14:paraId="60F30A2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77.7</w:t>
            </w:r>
          </w:p>
        </w:tc>
        <w:tc>
          <w:tcPr>
            <w:tcW w:w="1663" w:type="dxa"/>
            <w:shd w:val="clear" w:color="auto" w:fill="auto"/>
            <w:noWrap/>
            <w:vAlign w:val="center"/>
          </w:tcPr>
          <w:p w14:paraId="6F43645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f</w:t>
            </w:r>
          </w:p>
        </w:tc>
        <w:tc>
          <w:tcPr>
            <w:tcW w:w="2150" w:type="dxa"/>
            <w:shd w:val="clear" w:color="auto" w:fill="auto"/>
            <w:noWrap/>
            <w:vAlign w:val="center"/>
          </w:tcPr>
          <w:p w14:paraId="3AC93F5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61-183</w:t>
            </w:r>
          </w:p>
        </w:tc>
        <w:tc>
          <w:tcPr>
            <w:tcW w:w="2187" w:type="dxa"/>
            <w:shd w:val="clear" w:color="auto" w:fill="auto"/>
            <w:noWrap/>
            <w:vAlign w:val="center"/>
          </w:tcPr>
          <w:p w14:paraId="5FFE287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22D3F3C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4190A17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64</w:t>
            </w:r>
          </w:p>
        </w:tc>
        <w:tc>
          <w:tcPr>
            <w:tcW w:w="2850" w:type="dxa"/>
            <w:shd w:val="clear" w:color="auto" w:fill="auto"/>
            <w:noWrap/>
            <w:vAlign w:val="center"/>
          </w:tcPr>
          <w:p w14:paraId="45EE744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default" w:ascii="Cambria Math" w:hAnsi="Cambria Math" w:eastAsia="Cambria Math" w:cs="Cambria Math"/>
                <w:kern w:val="0"/>
                <w:sz w:val="20"/>
                <w:szCs w:val="20"/>
                <w:lang w:val="en-US" w:eastAsia="zh-CN" w:bidi="ar"/>
              </w:rPr>
              <w:t>⑫</w:t>
            </w:r>
            <w:r>
              <w:rPr>
                <w:rFonts w:hint="default" w:ascii="Times New Roman" w:hAnsi="Times New Roman" w:eastAsia="宋体" w:cs="Times New Roman"/>
                <w:kern w:val="0"/>
                <w:sz w:val="20"/>
                <w:szCs w:val="20"/>
                <w:lang w:val="en-US" w:eastAsia="zh-CN" w:bidi="ar"/>
              </w:rPr>
              <w:t>-L2:1156</w:t>
            </w:r>
          </w:p>
        </w:tc>
        <w:tc>
          <w:tcPr>
            <w:tcW w:w="1700" w:type="dxa"/>
            <w:shd w:val="clear" w:color="auto" w:fill="auto"/>
            <w:noWrap/>
            <w:vAlign w:val="center"/>
          </w:tcPr>
          <w:p w14:paraId="3012F58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14.79</w:t>
            </w:r>
          </w:p>
        </w:tc>
        <w:tc>
          <w:tcPr>
            <w:tcW w:w="2025" w:type="dxa"/>
            <w:shd w:val="clear" w:color="auto" w:fill="auto"/>
            <w:noWrap/>
            <w:vAlign w:val="center"/>
          </w:tcPr>
          <w:p w14:paraId="4CF2294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78</w:t>
            </w:r>
          </w:p>
        </w:tc>
        <w:tc>
          <w:tcPr>
            <w:tcW w:w="1663" w:type="dxa"/>
            <w:shd w:val="clear" w:color="auto" w:fill="auto"/>
            <w:noWrap/>
            <w:vAlign w:val="center"/>
          </w:tcPr>
          <w:p w14:paraId="3049520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g</w:t>
            </w:r>
          </w:p>
        </w:tc>
        <w:tc>
          <w:tcPr>
            <w:tcW w:w="2150" w:type="dxa"/>
            <w:shd w:val="clear" w:color="auto" w:fill="auto"/>
            <w:noWrap/>
            <w:vAlign w:val="center"/>
          </w:tcPr>
          <w:p w14:paraId="143557F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bidi="ar"/>
              </w:rPr>
              <w:t>118-189</w:t>
            </w:r>
          </w:p>
        </w:tc>
        <w:tc>
          <w:tcPr>
            <w:tcW w:w="2187" w:type="dxa"/>
            <w:shd w:val="clear" w:color="auto" w:fill="auto"/>
            <w:noWrap/>
            <w:vAlign w:val="center"/>
          </w:tcPr>
          <w:p w14:paraId="0BF2925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2E99571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3299" w:type="dxa"/>
            <w:gridSpan w:val="7"/>
            <w:shd w:val="clear" w:color="auto" w:fill="auto"/>
            <w:noWrap/>
            <w:vAlign w:val="center"/>
          </w:tcPr>
          <w:p w14:paraId="68AB550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bCs/>
                <w:i/>
                <w:iCs/>
                <w:color w:val="auto"/>
                <w:kern w:val="0"/>
                <w:sz w:val="28"/>
                <w:szCs w:val="28"/>
              </w:rPr>
            </w:pPr>
            <w:r>
              <w:rPr>
                <w:rFonts w:hint="default" w:ascii="Times New Roman" w:hAnsi="Times New Roman" w:eastAsia="宋体" w:cs="Times New Roman"/>
                <w:b/>
                <w:bCs/>
                <w:i/>
                <w:iCs/>
                <w:color w:val="auto"/>
                <w:kern w:val="0"/>
                <w:sz w:val="28"/>
                <w:szCs w:val="28"/>
                <w:lang w:val="en-US" w:eastAsia="zh-CN" w:bidi="ar"/>
              </w:rPr>
              <w:t xml:space="preserve">Bubalus </w:t>
            </w:r>
            <w:r>
              <w:rPr>
                <w:rFonts w:hint="default" w:ascii="Times New Roman" w:hAnsi="Times New Roman" w:eastAsia="宋体" w:cs="Times New Roman"/>
                <w:b/>
                <w:bCs/>
                <w:color w:val="auto"/>
                <w:kern w:val="0"/>
                <w:sz w:val="28"/>
                <w:szCs w:val="28"/>
                <w:lang w:val="en-US" w:eastAsia="zh-CN" w:bidi="ar"/>
              </w:rPr>
              <w:t>sp.</w:t>
            </w:r>
          </w:p>
        </w:tc>
      </w:tr>
      <w:tr w14:paraId="79252B3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20E97A9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1</w:t>
            </w:r>
          </w:p>
        </w:tc>
        <w:tc>
          <w:tcPr>
            <w:tcW w:w="2850" w:type="dxa"/>
            <w:shd w:val="clear" w:color="auto" w:fill="auto"/>
            <w:noWrap/>
            <w:vAlign w:val="center"/>
          </w:tcPr>
          <w:p w14:paraId="0CCB42D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-L2:2738</w:t>
            </w:r>
          </w:p>
        </w:tc>
        <w:tc>
          <w:tcPr>
            <w:tcW w:w="1700" w:type="dxa"/>
            <w:shd w:val="clear" w:color="auto" w:fill="auto"/>
            <w:noWrap/>
            <w:vAlign w:val="center"/>
          </w:tcPr>
          <w:p w14:paraId="2E83C6B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47.89</w:t>
            </w:r>
          </w:p>
        </w:tc>
        <w:tc>
          <w:tcPr>
            <w:tcW w:w="2025" w:type="dxa"/>
            <w:shd w:val="clear" w:color="auto" w:fill="auto"/>
            <w:noWrap/>
            <w:vAlign w:val="center"/>
          </w:tcPr>
          <w:p w14:paraId="18F4C1D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65</w:t>
            </w:r>
          </w:p>
        </w:tc>
        <w:tc>
          <w:tcPr>
            <w:tcW w:w="1663" w:type="dxa"/>
            <w:shd w:val="clear" w:color="auto" w:fill="auto"/>
            <w:noWrap/>
            <w:vAlign w:val="center"/>
          </w:tcPr>
          <w:p w14:paraId="7DE0713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j</w:t>
            </w:r>
          </w:p>
        </w:tc>
        <w:tc>
          <w:tcPr>
            <w:tcW w:w="2150" w:type="dxa"/>
            <w:shd w:val="clear" w:color="auto" w:fill="auto"/>
            <w:noWrap/>
            <w:vAlign w:val="center"/>
          </w:tcPr>
          <w:p w14:paraId="4CA7993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82-93</w:t>
            </w:r>
          </w:p>
        </w:tc>
        <w:tc>
          <w:tcPr>
            <w:tcW w:w="2187" w:type="dxa"/>
            <w:shd w:val="clear" w:color="auto" w:fill="auto"/>
            <w:noWrap/>
            <w:vAlign w:val="center"/>
          </w:tcPr>
          <w:p w14:paraId="645A4E8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6C130B8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59B9649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2</w:t>
            </w:r>
          </w:p>
        </w:tc>
        <w:tc>
          <w:tcPr>
            <w:tcW w:w="2850" w:type="dxa"/>
            <w:shd w:val="clear" w:color="auto" w:fill="auto"/>
            <w:noWrap/>
            <w:vAlign w:val="center"/>
          </w:tcPr>
          <w:p w14:paraId="22C3CE9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⑦</w:t>
            </w:r>
            <w:r>
              <w:rPr>
                <w:rFonts w:hint="default" w:ascii="Times New Roman" w:hAnsi="Times New Roman" w:eastAsia="宋体" w:cs="Times New Roman"/>
                <w:kern w:val="0"/>
                <w:sz w:val="20"/>
                <w:szCs w:val="20"/>
                <w:lang w:val="en-US" w:eastAsia="zh-CN" w:bidi="ar"/>
              </w:rPr>
              <w:t>-L2:297</w:t>
            </w:r>
          </w:p>
        </w:tc>
        <w:tc>
          <w:tcPr>
            <w:tcW w:w="1700" w:type="dxa"/>
            <w:shd w:val="clear" w:color="auto" w:fill="auto"/>
            <w:noWrap/>
            <w:vAlign w:val="center"/>
          </w:tcPr>
          <w:p w14:paraId="2C3676F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59.27</w:t>
            </w:r>
          </w:p>
        </w:tc>
        <w:tc>
          <w:tcPr>
            <w:tcW w:w="2025" w:type="dxa"/>
            <w:shd w:val="clear" w:color="auto" w:fill="auto"/>
            <w:noWrap/>
            <w:vAlign w:val="center"/>
          </w:tcPr>
          <w:p w14:paraId="03E7AF7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41</w:t>
            </w:r>
          </w:p>
        </w:tc>
        <w:tc>
          <w:tcPr>
            <w:tcW w:w="1663" w:type="dxa"/>
            <w:shd w:val="clear" w:color="auto" w:fill="auto"/>
            <w:noWrap/>
            <w:vAlign w:val="center"/>
          </w:tcPr>
          <w:p w14:paraId="39C62F8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d</w:t>
            </w:r>
          </w:p>
        </w:tc>
        <w:tc>
          <w:tcPr>
            <w:tcW w:w="2150" w:type="dxa"/>
            <w:shd w:val="clear" w:color="auto" w:fill="auto"/>
            <w:noWrap/>
            <w:vAlign w:val="center"/>
          </w:tcPr>
          <w:p w14:paraId="2ABA982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37-48</w:t>
            </w:r>
          </w:p>
        </w:tc>
        <w:tc>
          <w:tcPr>
            <w:tcW w:w="2187" w:type="dxa"/>
            <w:shd w:val="clear" w:color="auto" w:fill="auto"/>
            <w:noWrap/>
            <w:vAlign w:val="center"/>
          </w:tcPr>
          <w:p w14:paraId="4D0585F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6A6601B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24D8E22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3</w:t>
            </w:r>
          </w:p>
        </w:tc>
        <w:tc>
          <w:tcPr>
            <w:tcW w:w="2850" w:type="dxa"/>
            <w:shd w:val="clear" w:color="auto" w:fill="auto"/>
            <w:noWrap/>
            <w:vAlign w:val="center"/>
          </w:tcPr>
          <w:p w14:paraId="2CA4DEF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⑦</w:t>
            </w:r>
            <w:r>
              <w:rPr>
                <w:rFonts w:hint="default" w:ascii="Times New Roman" w:hAnsi="Times New Roman" w:eastAsia="宋体" w:cs="Times New Roman"/>
                <w:kern w:val="0"/>
                <w:sz w:val="20"/>
                <w:szCs w:val="20"/>
                <w:lang w:val="en-US" w:eastAsia="zh-CN" w:bidi="ar"/>
              </w:rPr>
              <w:t>-L3:2911</w:t>
            </w:r>
          </w:p>
        </w:tc>
        <w:tc>
          <w:tcPr>
            <w:tcW w:w="1700" w:type="dxa"/>
            <w:shd w:val="clear" w:color="auto" w:fill="auto"/>
            <w:noWrap/>
            <w:vAlign w:val="center"/>
          </w:tcPr>
          <w:p w14:paraId="327AA98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54.93</w:t>
            </w:r>
          </w:p>
        </w:tc>
        <w:tc>
          <w:tcPr>
            <w:tcW w:w="2025" w:type="dxa"/>
            <w:shd w:val="clear" w:color="auto" w:fill="auto"/>
            <w:noWrap/>
            <w:vAlign w:val="center"/>
          </w:tcPr>
          <w:p w14:paraId="516DF7A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53</w:t>
            </w:r>
          </w:p>
        </w:tc>
        <w:tc>
          <w:tcPr>
            <w:tcW w:w="1663" w:type="dxa"/>
            <w:shd w:val="clear" w:color="auto" w:fill="auto"/>
            <w:noWrap/>
            <w:vAlign w:val="center"/>
          </w:tcPr>
          <w:p w14:paraId="6E15BE8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j</w:t>
            </w:r>
          </w:p>
        </w:tc>
        <w:tc>
          <w:tcPr>
            <w:tcW w:w="2150" w:type="dxa"/>
            <w:shd w:val="clear" w:color="auto" w:fill="auto"/>
            <w:noWrap/>
            <w:vAlign w:val="center"/>
          </w:tcPr>
          <w:p w14:paraId="223A31A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82-93</w:t>
            </w:r>
          </w:p>
        </w:tc>
        <w:tc>
          <w:tcPr>
            <w:tcW w:w="2187" w:type="dxa"/>
            <w:shd w:val="clear" w:color="auto" w:fill="auto"/>
            <w:noWrap/>
            <w:vAlign w:val="center"/>
          </w:tcPr>
          <w:p w14:paraId="0FD574D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510D474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362510E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4</w:t>
            </w:r>
          </w:p>
        </w:tc>
        <w:tc>
          <w:tcPr>
            <w:tcW w:w="2850" w:type="dxa"/>
            <w:shd w:val="clear" w:color="auto" w:fill="auto"/>
            <w:noWrap/>
            <w:vAlign w:val="center"/>
          </w:tcPr>
          <w:p w14:paraId="10805EE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⑨</w:t>
            </w:r>
            <w:r>
              <w:rPr>
                <w:rFonts w:hint="default" w:ascii="Times New Roman" w:hAnsi="Times New Roman" w:eastAsia="宋体" w:cs="Times New Roman"/>
                <w:kern w:val="0"/>
                <w:sz w:val="20"/>
                <w:szCs w:val="20"/>
                <w:lang w:val="en-US" w:eastAsia="zh-CN" w:bidi="ar"/>
              </w:rPr>
              <w:t>-L2:550</w:t>
            </w:r>
          </w:p>
        </w:tc>
        <w:tc>
          <w:tcPr>
            <w:tcW w:w="1700" w:type="dxa"/>
            <w:shd w:val="clear" w:color="auto" w:fill="auto"/>
            <w:noWrap/>
            <w:vAlign w:val="center"/>
          </w:tcPr>
          <w:p w14:paraId="652C6DE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w:t>
            </w:r>
          </w:p>
        </w:tc>
        <w:tc>
          <w:tcPr>
            <w:tcW w:w="2025" w:type="dxa"/>
            <w:shd w:val="clear" w:color="auto" w:fill="auto"/>
            <w:noWrap/>
            <w:vAlign w:val="center"/>
          </w:tcPr>
          <w:p w14:paraId="505EEFE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eastAsia" w:ascii="宋体" w:hAnsi="宋体" w:eastAsia="宋体" w:cs="宋体"/>
                <w:kern w:val="0"/>
                <w:sz w:val="22"/>
                <w:szCs w:val="22"/>
                <w:lang w:val="en-US" w:eastAsia="zh-CN" w:bidi="ar"/>
              </w:rPr>
              <w:t>　</w:t>
            </w:r>
          </w:p>
        </w:tc>
        <w:tc>
          <w:tcPr>
            <w:tcW w:w="1663" w:type="dxa"/>
            <w:shd w:val="clear" w:color="auto" w:fill="auto"/>
            <w:noWrap/>
            <w:vAlign w:val="center"/>
          </w:tcPr>
          <w:p w14:paraId="5B5AF62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j</w:t>
            </w:r>
          </w:p>
        </w:tc>
        <w:tc>
          <w:tcPr>
            <w:tcW w:w="2150" w:type="dxa"/>
            <w:shd w:val="clear" w:color="auto" w:fill="auto"/>
            <w:noWrap/>
            <w:vAlign w:val="center"/>
          </w:tcPr>
          <w:p w14:paraId="3B2CAA8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82-93</w:t>
            </w:r>
          </w:p>
        </w:tc>
        <w:tc>
          <w:tcPr>
            <w:tcW w:w="2187" w:type="dxa"/>
            <w:shd w:val="clear" w:color="auto" w:fill="auto"/>
            <w:noWrap/>
            <w:vAlign w:val="center"/>
          </w:tcPr>
          <w:p w14:paraId="6BB1AA2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52590EC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1D1D665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5</w:t>
            </w:r>
          </w:p>
        </w:tc>
        <w:tc>
          <w:tcPr>
            <w:tcW w:w="2850" w:type="dxa"/>
            <w:shd w:val="clear" w:color="auto" w:fill="auto"/>
            <w:noWrap/>
            <w:vAlign w:val="center"/>
          </w:tcPr>
          <w:p w14:paraId="308AD33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⑨</w:t>
            </w:r>
            <w:r>
              <w:rPr>
                <w:rFonts w:hint="default" w:ascii="Times New Roman" w:hAnsi="Times New Roman" w:eastAsia="宋体" w:cs="Times New Roman"/>
                <w:kern w:val="0"/>
                <w:sz w:val="20"/>
                <w:szCs w:val="20"/>
                <w:lang w:val="en-US" w:eastAsia="zh-CN" w:bidi="ar"/>
              </w:rPr>
              <w:t>-L2:554</w:t>
            </w:r>
          </w:p>
        </w:tc>
        <w:tc>
          <w:tcPr>
            <w:tcW w:w="1700" w:type="dxa"/>
            <w:shd w:val="clear" w:color="auto" w:fill="auto"/>
            <w:noWrap/>
            <w:vAlign w:val="center"/>
          </w:tcPr>
          <w:p w14:paraId="73E72E6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50.71</w:t>
            </w:r>
          </w:p>
        </w:tc>
        <w:tc>
          <w:tcPr>
            <w:tcW w:w="2025" w:type="dxa"/>
            <w:shd w:val="clear" w:color="auto" w:fill="auto"/>
            <w:noWrap/>
            <w:vAlign w:val="center"/>
          </w:tcPr>
          <w:p w14:paraId="7763B57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60</w:t>
            </w:r>
          </w:p>
        </w:tc>
        <w:tc>
          <w:tcPr>
            <w:tcW w:w="1663" w:type="dxa"/>
            <w:shd w:val="clear" w:color="auto" w:fill="auto"/>
            <w:noWrap/>
            <w:vAlign w:val="center"/>
          </w:tcPr>
          <w:p w14:paraId="5B93086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j</w:t>
            </w:r>
          </w:p>
        </w:tc>
        <w:tc>
          <w:tcPr>
            <w:tcW w:w="2150" w:type="dxa"/>
            <w:shd w:val="clear" w:color="auto" w:fill="auto"/>
            <w:noWrap/>
            <w:vAlign w:val="center"/>
          </w:tcPr>
          <w:p w14:paraId="6CAB840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82-93</w:t>
            </w:r>
          </w:p>
        </w:tc>
        <w:tc>
          <w:tcPr>
            <w:tcW w:w="2187" w:type="dxa"/>
            <w:shd w:val="clear" w:color="auto" w:fill="auto"/>
            <w:noWrap/>
            <w:vAlign w:val="center"/>
          </w:tcPr>
          <w:p w14:paraId="319AABC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0C9DB95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32A717B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6</w:t>
            </w:r>
          </w:p>
        </w:tc>
        <w:tc>
          <w:tcPr>
            <w:tcW w:w="2850" w:type="dxa"/>
            <w:shd w:val="clear" w:color="auto" w:fill="auto"/>
            <w:noWrap/>
            <w:vAlign w:val="center"/>
          </w:tcPr>
          <w:p w14:paraId="73D44B7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⑨</w:t>
            </w:r>
            <w:r>
              <w:rPr>
                <w:rFonts w:hint="default" w:ascii="Times New Roman" w:hAnsi="Times New Roman" w:eastAsia="宋体" w:cs="Times New Roman"/>
                <w:kern w:val="0"/>
                <w:sz w:val="20"/>
                <w:szCs w:val="20"/>
                <w:lang w:val="en-US" w:eastAsia="zh-CN" w:bidi="ar"/>
              </w:rPr>
              <w:t>-L2:597</w:t>
            </w:r>
          </w:p>
        </w:tc>
        <w:tc>
          <w:tcPr>
            <w:tcW w:w="1700" w:type="dxa"/>
            <w:shd w:val="clear" w:color="auto" w:fill="auto"/>
            <w:noWrap/>
            <w:vAlign w:val="center"/>
          </w:tcPr>
          <w:p w14:paraId="4C2DDBF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50.19</w:t>
            </w:r>
          </w:p>
        </w:tc>
        <w:tc>
          <w:tcPr>
            <w:tcW w:w="2025" w:type="dxa"/>
            <w:shd w:val="clear" w:color="auto" w:fill="auto"/>
            <w:noWrap/>
            <w:vAlign w:val="center"/>
          </w:tcPr>
          <w:p w14:paraId="44E00C5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55</w:t>
            </w:r>
          </w:p>
        </w:tc>
        <w:tc>
          <w:tcPr>
            <w:tcW w:w="1663" w:type="dxa"/>
            <w:shd w:val="clear" w:color="auto" w:fill="auto"/>
            <w:noWrap/>
            <w:vAlign w:val="center"/>
          </w:tcPr>
          <w:p w14:paraId="3C255F1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j</w:t>
            </w:r>
          </w:p>
        </w:tc>
        <w:tc>
          <w:tcPr>
            <w:tcW w:w="2150" w:type="dxa"/>
            <w:shd w:val="clear" w:color="auto" w:fill="auto"/>
            <w:noWrap/>
            <w:vAlign w:val="center"/>
          </w:tcPr>
          <w:p w14:paraId="5595A29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82-93</w:t>
            </w:r>
          </w:p>
        </w:tc>
        <w:tc>
          <w:tcPr>
            <w:tcW w:w="2187" w:type="dxa"/>
            <w:shd w:val="clear" w:color="auto" w:fill="auto"/>
            <w:noWrap/>
            <w:vAlign w:val="center"/>
          </w:tcPr>
          <w:p w14:paraId="46A0E2B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7A3B031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09DA4B3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7</w:t>
            </w:r>
          </w:p>
        </w:tc>
        <w:tc>
          <w:tcPr>
            <w:tcW w:w="2850" w:type="dxa"/>
            <w:shd w:val="clear" w:color="auto" w:fill="auto"/>
            <w:noWrap/>
            <w:vAlign w:val="center"/>
          </w:tcPr>
          <w:p w14:paraId="464E9CD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⑨</w:t>
            </w:r>
            <w:r>
              <w:rPr>
                <w:rFonts w:hint="default" w:ascii="Times New Roman" w:hAnsi="Times New Roman" w:eastAsia="宋体" w:cs="Times New Roman"/>
                <w:kern w:val="0"/>
                <w:sz w:val="20"/>
                <w:szCs w:val="20"/>
                <w:lang w:val="en-US" w:eastAsia="zh-CN" w:bidi="ar"/>
              </w:rPr>
              <w:t>-L2:602</w:t>
            </w:r>
          </w:p>
        </w:tc>
        <w:tc>
          <w:tcPr>
            <w:tcW w:w="1700" w:type="dxa"/>
            <w:shd w:val="clear" w:color="auto" w:fill="auto"/>
            <w:noWrap/>
            <w:vAlign w:val="center"/>
          </w:tcPr>
          <w:p w14:paraId="1AA99CA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w:t>
            </w:r>
          </w:p>
        </w:tc>
        <w:tc>
          <w:tcPr>
            <w:tcW w:w="2025" w:type="dxa"/>
            <w:shd w:val="clear" w:color="auto" w:fill="auto"/>
            <w:noWrap/>
            <w:vAlign w:val="center"/>
          </w:tcPr>
          <w:p w14:paraId="345F8AC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eastAsia" w:ascii="宋体" w:hAnsi="宋体" w:eastAsia="宋体" w:cs="宋体"/>
                <w:kern w:val="0"/>
                <w:sz w:val="22"/>
                <w:szCs w:val="22"/>
                <w:lang w:val="en-US" w:eastAsia="zh-CN" w:bidi="ar"/>
              </w:rPr>
              <w:t>　</w:t>
            </w:r>
          </w:p>
        </w:tc>
        <w:tc>
          <w:tcPr>
            <w:tcW w:w="1663" w:type="dxa"/>
            <w:shd w:val="clear" w:color="auto" w:fill="auto"/>
            <w:noWrap/>
            <w:vAlign w:val="center"/>
          </w:tcPr>
          <w:p w14:paraId="52FBB47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g</w:t>
            </w:r>
          </w:p>
        </w:tc>
        <w:tc>
          <w:tcPr>
            <w:tcW w:w="2150" w:type="dxa"/>
            <w:shd w:val="clear" w:color="auto" w:fill="auto"/>
            <w:noWrap/>
            <w:vAlign w:val="center"/>
          </w:tcPr>
          <w:p w14:paraId="1414DCE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53-70</w:t>
            </w:r>
          </w:p>
        </w:tc>
        <w:tc>
          <w:tcPr>
            <w:tcW w:w="2187" w:type="dxa"/>
            <w:shd w:val="clear" w:color="auto" w:fill="auto"/>
            <w:noWrap/>
            <w:vAlign w:val="center"/>
          </w:tcPr>
          <w:p w14:paraId="26B4F16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6A5CB22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15E4A0A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8</w:t>
            </w:r>
          </w:p>
        </w:tc>
        <w:tc>
          <w:tcPr>
            <w:tcW w:w="2850" w:type="dxa"/>
            <w:shd w:val="clear" w:color="auto" w:fill="auto"/>
            <w:noWrap/>
            <w:vAlign w:val="center"/>
          </w:tcPr>
          <w:p w14:paraId="0D42873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default" w:ascii="Cambria Math" w:hAnsi="Cambria Math" w:eastAsia="Cambria Math" w:cs="Cambria Math"/>
                <w:kern w:val="0"/>
                <w:sz w:val="20"/>
                <w:szCs w:val="20"/>
                <w:lang w:val="en-US" w:eastAsia="zh-CN" w:bidi="ar"/>
              </w:rPr>
              <w:t>⑪</w:t>
            </w:r>
            <w:r>
              <w:rPr>
                <w:rFonts w:hint="default" w:ascii="Times New Roman" w:hAnsi="Times New Roman" w:eastAsia="宋体" w:cs="Times New Roman"/>
                <w:kern w:val="0"/>
                <w:sz w:val="20"/>
                <w:szCs w:val="20"/>
                <w:lang w:val="en-US" w:eastAsia="zh-CN" w:bidi="ar"/>
              </w:rPr>
              <w:t>-L1:2389</w:t>
            </w:r>
          </w:p>
        </w:tc>
        <w:tc>
          <w:tcPr>
            <w:tcW w:w="1700" w:type="dxa"/>
            <w:shd w:val="clear" w:color="auto" w:fill="auto"/>
            <w:noWrap/>
            <w:vAlign w:val="center"/>
          </w:tcPr>
          <w:p w14:paraId="22CDDBC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35.38</w:t>
            </w:r>
          </w:p>
        </w:tc>
        <w:tc>
          <w:tcPr>
            <w:tcW w:w="2025" w:type="dxa"/>
            <w:shd w:val="clear" w:color="auto" w:fill="auto"/>
            <w:noWrap/>
            <w:vAlign w:val="center"/>
          </w:tcPr>
          <w:p w14:paraId="08F29F1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100</w:t>
            </w:r>
          </w:p>
        </w:tc>
        <w:tc>
          <w:tcPr>
            <w:tcW w:w="1663" w:type="dxa"/>
            <w:shd w:val="clear" w:color="auto" w:fill="auto"/>
            <w:noWrap/>
            <w:vAlign w:val="center"/>
          </w:tcPr>
          <w:p w14:paraId="044E007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j</w:t>
            </w:r>
          </w:p>
        </w:tc>
        <w:tc>
          <w:tcPr>
            <w:tcW w:w="2150" w:type="dxa"/>
            <w:shd w:val="clear" w:color="auto" w:fill="auto"/>
            <w:noWrap/>
            <w:vAlign w:val="center"/>
          </w:tcPr>
          <w:p w14:paraId="1CBF1B5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82-93</w:t>
            </w:r>
          </w:p>
        </w:tc>
        <w:tc>
          <w:tcPr>
            <w:tcW w:w="2187" w:type="dxa"/>
            <w:shd w:val="clear" w:color="auto" w:fill="auto"/>
            <w:noWrap/>
            <w:vAlign w:val="center"/>
          </w:tcPr>
          <w:p w14:paraId="168E0FF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3DAF2F5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60A3FE5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9</w:t>
            </w:r>
          </w:p>
        </w:tc>
        <w:tc>
          <w:tcPr>
            <w:tcW w:w="2850" w:type="dxa"/>
            <w:shd w:val="clear" w:color="auto" w:fill="auto"/>
            <w:noWrap/>
            <w:vAlign w:val="center"/>
          </w:tcPr>
          <w:p w14:paraId="554660C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default" w:ascii="Cambria Math" w:hAnsi="Cambria Math" w:eastAsia="Cambria Math" w:cs="Cambria Math"/>
                <w:kern w:val="0"/>
                <w:sz w:val="20"/>
                <w:szCs w:val="20"/>
                <w:lang w:val="en-US" w:eastAsia="zh-CN" w:bidi="ar"/>
              </w:rPr>
              <w:t>⑪</w:t>
            </w:r>
            <w:r>
              <w:rPr>
                <w:rFonts w:hint="default" w:ascii="Times New Roman" w:hAnsi="Times New Roman" w:eastAsia="宋体" w:cs="Times New Roman"/>
                <w:kern w:val="0"/>
                <w:sz w:val="20"/>
                <w:szCs w:val="20"/>
                <w:lang w:val="en-US" w:eastAsia="zh-CN" w:bidi="ar"/>
              </w:rPr>
              <w:t>-L2:832</w:t>
            </w:r>
          </w:p>
        </w:tc>
        <w:tc>
          <w:tcPr>
            <w:tcW w:w="1700" w:type="dxa"/>
            <w:shd w:val="clear" w:color="auto" w:fill="auto"/>
            <w:noWrap/>
            <w:vAlign w:val="center"/>
          </w:tcPr>
          <w:p w14:paraId="20EDE68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w:t>
            </w:r>
          </w:p>
        </w:tc>
        <w:tc>
          <w:tcPr>
            <w:tcW w:w="2025" w:type="dxa"/>
            <w:shd w:val="clear" w:color="auto" w:fill="auto"/>
            <w:noWrap/>
            <w:vAlign w:val="center"/>
          </w:tcPr>
          <w:p w14:paraId="6C75DCF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eastAsia" w:ascii="宋体" w:hAnsi="宋体" w:eastAsia="宋体" w:cs="宋体"/>
                <w:kern w:val="0"/>
                <w:sz w:val="22"/>
                <w:szCs w:val="22"/>
                <w:lang w:val="en-US" w:eastAsia="zh-CN" w:bidi="ar"/>
              </w:rPr>
              <w:t>　</w:t>
            </w:r>
          </w:p>
        </w:tc>
        <w:tc>
          <w:tcPr>
            <w:tcW w:w="1663" w:type="dxa"/>
            <w:shd w:val="clear" w:color="auto" w:fill="auto"/>
            <w:noWrap/>
            <w:vAlign w:val="center"/>
          </w:tcPr>
          <w:p w14:paraId="52347E4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k</w:t>
            </w:r>
          </w:p>
        </w:tc>
        <w:tc>
          <w:tcPr>
            <w:tcW w:w="2150" w:type="dxa"/>
            <w:shd w:val="clear" w:color="auto" w:fill="auto"/>
            <w:noWrap/>
            <w:vAlign w:val="center"/>
          </w:tcPr>
          <w:p w14:paraId="1593B34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99-159</w:t>
            </w:r>
          </w:p>
        </w:tc>
        <w:tc>
          <w:tcPr>
            <w:tcW w:w="2187" w:type="dxa"/>
            <w:shd w:val="clear" w:color="auto" w:fill="auto"/>
            <w:noWrap/>
            <w:vAlign w:val="center"/>
          </w:tcPr>
          <w:p w14:paraId="310CAD4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2391D92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742967B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10</w:t>
            </w:r>
          </w:p>
        </w:tc>
        <w:tc>
          <w:tcPr>
            <w:tcW w:w="2850" w:type="dxa"/>
            <w:shd w:val="clear" w:color="auto" w:fill="auto"/>
            <w:noWrap/>
            <w:vAlign w:val="center"/>
          </w:tcPr>
          <w:p w14:paraId="0C99D26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default" w:ascii="Cambria Math" w:hAnsi="Cambria Math" w:eastAsia="Cambria Math" w:cs="Cambria Math"/>
                <w:kern w:val="0"/>
                <w:sz w:val="20"/>
                <w:szCs w:val="20"/>
                <w:lang w:val="en-US" w:eastAsia="zh-CN" w:bidi="ar"/>
              </w:rPr>
              <w:t>⑪</w:t>
            </w:r>
            <w:r>
              <w:rPr>
                <w:rFonts w:hint="default" w:ascii="Times New Roman" w:hAnsi="Times New Roman" w:eastAsia="宋体" w:cs="Times New Roman"/>
                <w:kern w:val="0"/>
                <w:sz w:val="20"/>
                <w:szCs w:val="20"/>
                <w:lang w:val="en-US" w:eastAsia="zh-CN" w:bidi="ar"/>
              </w:rPr>
              <w:t>-L1:733</w:t>
            </w:r>
          </w:p>
        </w:tc>
        <w:tc>
          <w:tcPr>
            <w:tcW w:w="1700" w:type="dxa"/>
            <w:shd w:val="clear" w:color="auto" w:fill="auto"/>
            <w:noWrap/>
            <w:vAlign w:val="center"/>
          </w:tcPr>
          <w:p w14:paraId="16885CD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51.43</w:t>
            </w:r>
          </w:p>
        </w:tc>
        <w:tc>
          <w:tcPr>
            <w:tcW w:w="2025" w:type="dxa"/>
            <w:shd w:val="clear" w:color="auto" w:fill="auto"/>
            <w:noWrap/>
            <w:vAlign w:val="center"/>
          </w:tcPr>
          <w:p w14:paraId="2489DE2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52</w:t>
            </w:r>
          </w:p>
        </w:tc>
        <w:tc>
          <w:tcPr>
            <w:tcW w:w="1663" w:type="dxa"/>
            <w:shd w:val="clear" w:color="auto" w:fill="auto"/>
            <w:noWrap/>
            <w:vAlign w:val="center"/>
          </w:tcPr>
          <w:p w14:paraId="450CD098">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k</w:t>
            </w:r>
          </w:p>
        </w:tc>
        <w:tc>
          <w:tcPr>
            <w:tcW w:w="2150" w:type="dxa"/>
            <w:shd w:val="clear" w:color="auto" w:fill="auto"/>
            <w:noWrap/>
            <w:vAlign w:val="center"/>
          </w:tcPr>
          <w:p w14:paraId="6E2634C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99-159</w:t>
            </w:r>
          </w:p>
        </w:tc>
        <w:tc>
          <w:tcPr>
            <w:tcW w:w="2187" w:type="dxa"/>
            <w:shd w:val="clear" w:color="auto" w:fill="auto"/>
            <w:noWrap/>
            <w:vAlign w:val="center"/>
          </w:tcPr>
          <w:p w14:paraId="42AEF46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56ED890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3299" w:type="dxa"/>
            <w:gridSpan w:val="7"/>
            <w:shd w:val="clear" w:color="auto" w:fill="auto"/>
            <w:noWrap/>
            <w:vAlign w:val="center"/>
          </w:tcPr>
          <w:p w14:paraId="7B63B3E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b/>
                <w:bCs/>
                <w:i/>
                <w:iCs/>
                <w:color w:val="auto"/>
                <w:kern w:val="0"/>
                <w:sz w:val="28"/>
                <w:szCs w:val="28"/>
              </w:rPr>
            </w:pPr>
            <w:r>
              <w:rPr>
                <w:rFonts w:hint="default" w:ascii="Times New Roman" w:hAnsi="Times New Roman" w:eastAsia="宋体" w:cs="Times New Roman"/>
                <w:b/>
                <w:bCs/>
                <w:i/>
                <w:iCs/>
                <w:color w:val="auto"/>
                <w:kern w:val="0"/>
                <w:sz w:val="28"/>
                <w:szCs w:val="28"/>
                <w:lang w:val="en-US" w:eastAsia="zh-CN" w:bidi="ar"/>
              </w:rPr>
              <w:t>Bos(Bibos) gaurus</w:t>
            </w:r>
          </w:p>
        </w:tc>
      </w:tr>
      <w:tr w14:paraId="29024A4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21A0C34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1</w:t>
            </w:r>
          </w:p>
        </w:tc>
        <w:tc>
          <w:tcPr>
            <w:tcW w:w="2850" w:type="dxa"/>
            <w:shd w:val="clear" w:color="auto" w:fill="auto"/>
            <w:noWrap/>
            <w:vAlign w:val="center"/>
          </w:tcPr>
          <w:p w14:paraId="69DE728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-L2:1466</w:t>
            </w:r>
          </w:p>
        </w:tc>
        <w:tc>
          <w:tcPr>
            <w:tcW w:w="1700" w:type="dxa"/>
            <w:shd w:val="clear" w:color="auto" w:fill="auto"/>
            <w:noWrap/>
            <w:vAlign w:val="center"/>
          </w:tcPr>
          <w:p w14:paraId="2A761E0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58.77</w:t>
            </w:r>
          </w:p>
        </w:tc>
        <w:tc>
          <w:tcPr>
            <w:tcW w:w="2025" w:type="dxa"/>
            <w:shd w:val="clear" w:color="auto" w:fill="auto"/>
            <w:noWrap/>
            <w:vAlign w:val="center"/>
          </w:tcPr>
          <w:p w14:paraId="3423B41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43</w:t>
            </w:r>
          </w:p>
        </w:tc>
        <w:tc>
          <w:tcPr>
            <w:tcW w:w="1663" w:type="dxa"/>
            <w:shd w:val="clear" w:color="auto" w:fill="auto"/>
            <w:noWrap/>
            <w:vAlign w:val="center"/>
          </w:tcPr>
          <w:p w14:paraId="589FF14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e</w:t>
            </w:r>
          </w:p>
        </w:tc>
        <w:tc>
          <w:tcPr>
            <w:tcW w:w="2150" w:type="dxa"/>
            <w:shd w:val="clear" w:color="auto" w:fill="auto"/>
            <w:noWrap/>
            <w:vAlign w:val="center"/>
          </w:tcPr>
          <w:p w14:paraId="356ECC4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50</w:t>
            </w:r>
          </w:p>
        </w:tc>
        <w:tc>
          <w:tcPr>
            <w:tcW w:w="2187" w:type="dxa"/>
            <w:shd w:val="clear" w:color="auto" w:fill="auto"/>
            <w:noWrap/>
            <w:vAlign w:val="center"/>
          </w:tcPr>
          <w:p w14:paraId="35C3AB4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64E5247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5185A42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2</w:t>
            </w:r>
          </w:p>
        </w:tc>
        <w:tc>
          <w:tcPr>
            <w:tcW w:w="2850" w:type="dxa"/>
            <w:shd w:val="clear" w:color="auto" w:fill="auto"/>
            <w:noWrap/>
            <w:vAlign w:val="center"/>
          </w:tcPr>
          <w:p w14:paraId="022101A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-L2:2498</w:t>
            </w:r>
          </w:p>
        </w:tc>
        <w:tc>
          <w:tcPr>
            <w:tcW w:w="1700" w:type="dxa"/>
            <w:shd w:val="clear" w:color="auto" w:fill="auto"/>
            <w:noWrap/>
            <w:vAlign w:val="center"/>
          </w:tcPr>
          <w:p w14:paraId="01A33F4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41.41</w:t>
            </w:r>
          </w:p>
        </w:tc>
        <w:tc>
          <w:tcPr>
            <w:tcW w:w="2025" w:type="dxa"/>
            <w:shd w:val="clear" w:color="auto" w:fill="auto"/>
            <w:noWrap/>
            <w:vAlign w:val="center"/>
          </w:tcPr>
          <w:p w14:paraId="05CA5B4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80</w:t>
            </w:r>
          </w:p>
        </w:tc>
        <w:tc>
          <w:tcPr>
            <w:tcW w:w="1663" w:type="dxa"/>
            <w:shd w:val="clear" w:color="auto" w:fill="auto"/>
            <w:noWrap/>
            <w:vAlign w:val="center"/>
          </w:tcPr>
          <w:p w14:paraId="68F3DA66">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j</w:t>
            </w:r>
          </w:p>
        </w:tc>
        <w:tc>
          <w:tcPr>
            <w:tcW w:w="2150" w:type="dxa"/>
            <w:shd w:val="clear" w:color="auto" w:fill="auto"/>
            <w:noWrap/>
            <w:vAlign w:val="center"/>
          </w:tcPr>
          <w:p w14:paraId="524F1DD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82-93</w:t>
            </w:r>
          </w:p>
        </w:tc>
        <w:tc>
          <w:tcPr>
            <w:tcW w:w="2187" w:type="dxa"/>
            <w:shd w:val="clear" w:color="auto" w:fill="auto"/>
            <w:noWrap/>
            <w:vAlign w:val="center"/>
          </w:tcPr>
          <w:p w14:paraId="7CE7467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6B4C6D3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05D7F99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3</w:t>
            </w:r>
          </w:p>
        </w:tc>
        <w:tc>
          <w:tcPr>
            <w:tcW w:w="2850" w:type="dxa"/>
            <w:shd w:val="clear" w:color="auto" w:fill="auto"/>
            <w:noWrap/>
            <w:vAlign w:val="center"/>
          </w:tcPr>
          <w:p w14:paraId="6980DFB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③</w:t>
            </w:r>
            <w:r>
              <w:rPr>
                <w:rFonts w:hint="default" w:ascii="Times New Roman" w:hAnsi="Times New Roman" w:eastAsia="宋体" w:cs="Times New Roman"/>
                <w:kern w:val="0"/>
                <w:sz w:val="20"/>
                <w:szCs w:val="20"/>
                <w:lang w:val="en-US" w:eastAsia="zh-CN" w:bidi="ar"/>
              </w:rPr>
              <w:t>-L2:71</w:t>
            </w:r>
          </w:p>
        </w:tc>
        <w:tc>
          <w:tcPr>
            <w:tcW w:w="1700" w:type="dxa"/>
            <w:shd w:val="clear" w:color="auto" w:fill="auto"/>
            <w:noWrap/>
            <w:vAlign w:val="center"/>
          </w:tcPr>
          <w:p w14:paraId="6B3960B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22.37</w:t>
            </w:r>
          </w:p>
        </w:tc>
        <w:tc>
          <w:tcPr>
            <w:tcW w:w="2025" w:type="dxa"/>
            <w:shd w:val="clear" w:color="auto" w:fill="auto"/>
            <w:noWrap/>
            <w:vAlign w:val="center"/>
          </w:tcPr>
          <w:p w14:paraId="507F4F8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157</w:t>
            </w:r>
          </w:p>
        </w:tc>
        <w:tc>
          <w:tcPr>
            <w:tcW w:w="1663" w:type="dxa"/>
            <w:shd w:val="clear" w:color="auto" w:fill="auto"/>
            <w:noWrap/>
            <w:vAlign w:val="center"/>
          </w:tcPr>
          <w:p w14:paraId="3EC6084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k</w:t>
            </w:r>
          </w:p>
        </w:tc>
        <w:tc>
          <w:tcPr>
            <w:tcW w:w="2150" w:type="dxa"/>
            <w:shd w:val="clear" w:color="auto" w:fill="auto"/>
            <w:noWrap/>
            <w:vAlign w:val="center"/>
          </w:tcPr>
          <w:p w14:paraId="256A920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99-159</w:t>
            </w:r>
          </w:p>
        </w:tc>
        <w:tc>
          <w:tcPr>
            <w:tcW w:w="2187" w:type="dxa"/>
            <w:shd w:val="clear" w:color="auto" w:fill="auto"/>
            <w:noWrap/>
            <w:vAlign w:val="center"/>
          </w:tcPr>
          <w:p w14:paraId="7CA6110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Old adult</w:t>
            </w:r>
          </w:p>
        </w:tc>
      </w:tr>
      <w:tr w14:paraId="37C8794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507B0C4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4</w:t>
            </w:r>
          </w:p>
        </w:tc>
        <w:tc>
          <w:tcPr>
            <w:tcW w:w="2850" w:type="dxa"/>
            <w:shd w:val="clear" w:color="auto" w:fill="auto"/>
            <w:noWrap/>
            <w:vAlign w:val="center"/>
          </w:tcPr>
          <w:p w14:paraId="1C88C0D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④</w:t>
            </w:r>
            <w:r>
              <w:rPr>
                <w:rFonts w:hint="default" w:ascii="Times New Roman" w:hAnsi="Times New Roman" w:eastAsia="宋体" w:cs="Times New Roman"/>
                <w:kern w:val="0"/>
                <w:sz w:val="20"/>
                <w:szCs w:val="20"/>
                <w:lang w:val="en-US" w:eastAsia="zh-CN" w:bidi="ar"/>
              </w:rPr>
              <w:t>-L1:2873</w:t>
            </w:r>
          </w:p>
        </w:tc>
        <w:tc>
          <w:tcPr>
            <w:tcW w:w="1700" w:type="dxa"/>
            <w:shd w:val="clear" w:color="auto" w:fill="auto"/>
            <w:noWrap/>
            <w:vAlign w:val="center"/>
          </w:tcPr>
          <w:p w14:paraId="2BFD5C9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21.82</w:t>
            </w:r>
          </w:p>
        </w:tc>
        <w:tc>
          <w:tcPr>
            <w:tcW w:w="2025" w:type="dxa"/>
            <w:shd w:val="clear" w:color="auto" w:fill="auto"/>
            <w:noWrap/>
            <w:vAlign w:val="center"/>
          </w:tcPr>
          <w:p w14:paraId="572EA31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162</w:t>
            </w:r>
          </w:p>
        </w:tc>
        <w:tc>
          <w:tcPr>
            <w:tcW w:w="1663" w:type="dxa"/>
            <w:shd w:val="clear" w:color="auto" w:fill="auto"/>
            <w:noWrap/>
            <w:vAlign w:val="center"/>
          </w:tcPr>
          <w:p w14:paraId="1D1ABE8A">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k</w:t>
            </w:r>
          </w:p>
        </w:tc>
        <w:tc>
          <w:tcPr>
            <w:tcW w:w="2150" w:type="dxa"/>
            <w:shd w:val="clear" w:color="auto" w:fill="auto"/>
            <w:noWrap/>
            <w:vAlign w:val="center"/>
          </w:tcPr>
          <w:p w14:paraId="0B8BDE4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99-159</w:t>
            </w:r>
          </w:p>
        </w:tc>
        <w:tc>
          <w:tcPr>
            <w:tcW w:w="2187" w:type="dxa"/>
            <w:shd w:val="clear" w:color="auto" w:fill="auto"/>
            <w:noWrap/>
            <w:vAlign w:val="center"/>
          </w:tcPr>
          <w:p w14:paraId="506D136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Old adult</w:t>
            </w:r>
          </w:p>
        </w:tc>
      </w:tr>
      <w:tr w14:paraId="789A3C5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55FFA1CF">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5</w:t>
            </w:r>
          </w:p>
        </w:tc>
        <w:tc>
          <w:tcPr>
            <w:tcW w:w="2850" w:type="dxa"/>
            <w:shd w:val="clear" w:color="auto" w:fill="auto"/>
            <w:noWrap/>
            <w:vAlign w:val="center"/>
          </w:tcPr>
          <w:p w14:paraId="7164B8F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⑦</w:t>
            </w:r>
            <w:r>
              <w:rPr>
                <w:rFonts w:hint="default" w:ascii="Times New Roman" w:hAnsi="Times New Roman" w:eastAsia="宋体" w:cs="Times New Roman"/>
                <w:kern w:val="0"/>
                <w:sz w:val="20"/>
                <w:szCs w:val="20"/>
                <w:lang w:val="en-US" w:eastAsia="zh-CN" w:bidi="ar"/>
              </w:rPr>
              <w:t>-L1:3394</w:t>
            </w:r>
          </w:p>
        </w:tc>
        <w:tc>
          <w:tcPr>
            <w:tcW w:w="1700" w:type="dxa"/>
            <w:shd w:val="clear" w:color="auto" w:fill="auto"/>
            <w:noWrap/>
            <w:vAlign w:val="center"/>
          </w:tcPr>
          <w:p w14:paraId="2961699C">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49.41</w:t>
            </w:r>
          </w:p>
        </w:tc>
        <w:tc>
          <w:tcPr>
            <w:tcW w:w="2025" w:type="dxa"/>
            <w:shd w:val="clear" w:color="auto" w:fill="auto"/>
            <w:noWrap/>
            <w:vAlign w:val="center"/>
          </w:tcPr>
          <w:p w14:paraId="7DDAE76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57</w:t>
            </w:r>
          </w:p>
        </w:tc>
        <w:tc>
          <w:tcPr>
            <w:tcW w:w="1663" w:type="dxa"/>
            <w:shd w:val="clear" w:color="auto" w:fill="auto"/>
            <w:noWrap/>
            <w:vAlign w:val="center"/>
          </w:tcPr>
          <w:p w14:paraId="0618D72B">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k</w:t>
            </w:r>
          </w:p>
        </w:tc>
        <w:tc>
          <w:tcPr>
            <w:tcW w:w="2150" w:type="dxa"/>
            <w:shd w:val="clear" w:color="auto" w:fill="auto"/>
            <w:noWrap/>
            <w:vAlign w:val="center"/>
          </w:tcPr>
          <w:p w14:paraId="2D6A281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99-159</w:t>
            </w:r>
          </w:p>
        </w:tc>
        <w:tc>
          <w:tcPr>
            <w:tcW w:w="2187" w:type="dxa"/>
            <w:shd w:val="clear" w:color="auto" w:fill="auto"/>
            <w:noWrap/>
            <w:vAlign w:val="center"/>
          </w:tcPr>
          <w:p w14:paraId="58C04FC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1D1A745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shd w:val="clear" w:color="auto" w:fill="auto"/>
            <w:noWrap/>
            <w:vAlign w:val="center"/>
          </w:tcPr>
          <w:p w14:paraId="5CC1DAA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6</w:t>
            </w:r>
          </w:p>
        </w:tc>
        <w:tc>
          <w:tcPr>
            <w:tcW w:w="2850" w:type="dxa"/>
            <w:shd w:val="clear" w:color="auto" w:fill="auto"/>
            <w:noWrap/>
            <w:vAlign w:val="center"/>
          </w:tcPr>
          <w:p w14:paraId="2758783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⑨</w:t>
            </w:r>
            <w:r>
              <w:rPr>
                <w:rFonts w:hint="default" w:ascii="Times New Roman" w:hAnsi="Times New Roman" w:eastAsia="宋体" w:cs="Times New Roman"/>
                <w:kern w:val="0"/>
                <w:sz w:val="20"/>
                <w:szCs w:val="20"/>
                <w:lang w:val="en-US" w:eastAsia="zh-CN" w:bidi="ar"/>
              </w:rPr>
              <w:t>-L1:414</w:t>
            </w:r>
          </w:p>
        </w:tc>
        <w:tc>
          <w:tcPr>
            <w:tcW w:w="1700" w:type="dxa"/>
            <w:shd w:val="clear" w:color="auto" w:fill="auto"/>
            <w:noWrap/>
            <w:vAlign w:val="center"/>
          </w:tcPr>
          <w:p w14:paraId="65E7E48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63.72</w:t>
            </w:r>
          </w:p>
        </w:tc>
        <w:tc>
          <w:tcPr>
            <w:tcW w:w="2025" w:type="dxa"/>
            <w:shd w:val="clear" w:color="auto" w:fill="auto"/>
            <w:noWrap/>
            <w:vAlign w:val="center"/>
          </w:tcPr>
          <w:p w14:paraId="5938FA7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38</w:t>
            </w:r>
          </w:p>
        </w:tc>
        <w:tc>
          <w:tcPr>
            <w:tcW w:w="1663" w:type="dxa"/>
            <w:shd w:val="clear" w:color="auto" w:fill="auto"/>
            <w:noWrap/>
            <w:vAlign w:val="center"/>
          </w:tcPr>
          <w:p w14:paraId="4EAD278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d</w:t>
            </w:r>
          </w:p>
        </w:tc>
        <w:tc>
          <w:tcPr>
            <w:tcW w:w="2150" w:type="dxa"/>
            <w:shd w:val="clear" w:color="auto" w:fill="auto"/>
            <w:noWrap/>
            <w:vAlign w:val="center"/>
          </w:tcPr>
          <w:p w14:paraId="1003EFC2">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37-48</w:t>
            </w:r>
          </w:p>
        </w:tc>
        <w:tc>
          <w:tcPr>
            <w:tcW w:w="2187" w:type="dxa"/>
            <w:shd w:val="clear" w:color="auto" w:fill="auto"/>
            <w:noWrap/>
            <w:vAlign w:val="center"/>
          </w:tcPr>
          <w:p w14:paraId="092FAEF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0A55EE0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60A26E0E">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7</w:t>
            </w:r>
          </w:p>
        </w:tc>
        <w:tc>
          <w:tcPr>
            <w:tcW w:w="2850" w:type="dxa"/>
            <w:shd w:val="clear" w:color="auto" w:fill="auto"/>
            <w:noWrap/>
            <w:vAlign w:val="center"/>
          </w:tcPr>
          <w:p w14:paraId="6F0BF84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⑨</w:t>
            </w:r>
            <w:r>
              <w:rPr>
                <w:rFonts w:hint="default" w:ascii="Times New Roman" w:hAnsi="Times New Roman" w:eastAsia="宋体" w:cs="Times New Roman"/>
                <w:kern w:val="0"/>
                <w:sz w:val="20"/>
                <w:szCs w:val="20"/>
                <w:lang w:val="en-US" w:eastAsia="zh-CN" w:bidi="ar"/>
              </w:rPr>
              <w:t>-L1:429</w:t>
            </w:r>
          </w:p>
        </w:tc>
        <w:tc>
          <w:tcPr>
            <w:tcW w:w="1700" w:type="dxa"/>
            <w:shd w:val="clear" w:color="auto" w:fill="auto"/>
            <w:noWrap/>
            <w:vAlign w:val="center"/>
          </w:tcPr>
          <w:p w14:paraId="2EF898C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48.81</w:t>
            </w:r>
          </w:p>
        </w:tc>
        <w:tc>
          <w:tcPr>
            <w:tcW w:w="2025" w:type="dxa"/>
            <w:shd w:val="clear" w:color="auto" w:fill="auto"/>
            <w:noWrap/>
            <w:vAlign w:val="center"/>
          </w:tcPr>
          <w:p w14:paraId="1D3913A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59</w:t>
            </w:r>
          </w:p>
        </w:tc>
        <w:tc>
          <w:tcPr>
            <w:tcW w:w="1663" w:type="dxa"/>
            <w:shd w:val="clear" w:color="auto" w:fill="auto"/>
            <w:noWrap/>
            <w:vAlign w:val="center"/>
          </w:tcPr>
          <w:p w14:paraId="7C471C0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j</w:t>
            </w:r>
          </w:p>
        </w:tc>
        <w:tc>
          <w:tcPr>
            <w:tcW w:w="2150" w:type="dxa"/>
            <w:shd w:val="clear" w:color="auto" w:fill="auto"/>
            <w:noWrap/>
            <w:vAlign w:val="center"/>
          </w:tcPr>
          <w:p w14:paraId="5FF1B8D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82-93</w:t>
            </w:r>
          </w:p>
        </w:tc>
        <w:tc>
          <w:tcPr>
            <w:tcW w:w="2187" w:type="dxa"/>
            <w:shd w:val="clear" w:color="auto" w:fill="auto"/>
            <w:noWrap/>
            <w:vAlign w:val="center"/>
          </w:tcPr>
          <w:p w14:paraId="16FF6AA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51699B0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755F2069">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8</w:t>
            </w:r>
          </w:p>
        </w:tc>
        <w:tc>
          <w:tcPr>
            <w:tcW w:w="2850" w:type="dxa"/>
            <w:shd w:val="clear" w:color="auto" w:fill="auto"/>
            <w:noWrap/>
            <w:vAlign w:val="center"/>
          </w:tcPr>
          <w:p w14:paraId="2257C2F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eastAsia" w:ascii="宋体" w:hAnsi="宋体" w:eastAsia="宋体" w:cs="宋体"/>
                <w:kern w:val="0"/>
                <w:sz w:val="20"/>
                <w:szCs w:val="20"/>
                <w:lang w:val="en-US" w:eastAsia="zh-CN" w:bidi="ar"/>
              </w:rPr>
              <w:t>⑨</w:t>
            </w:r>
            <w:r>
              <w:rPr>
                <w:rFonts w:hint="default" w:ascii="Times New Roman" w:hAnsi="Times New Roman" w:eastAsia="宋体" w:cs="Times New Roman"/>
                <w:kern w:val="0"/>
                <w:sz w:val="20"/>
                <w:szCs w:val="20"/>
                <w:lang w:val="en-US" w:eastAsia="zh-CN" w:bidi="ar"/>
              </w:rPr>
              <w:t>-L2:598</w:t>
            </w:r>
          </w:p>
        </w:tc>
        <w:tc>
          <w:tcPr>
            <w:tcW w:w="1700" w:type="dxa"/>
            <w:shd w:val="clear" w:color="auto" w:fill="auto"/>
            <w:noWrap/>
            <w:vAlign w:val="center"/>
          </w:tcPr>
          <w:p w14:paraId="3549ED6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54.49</w:t>
            </w:r>
          </w:p>
        </w:tc>
        <w:tc>
          <w:tcPr>
            <w:tcW w:w="2025" w:type="dxa"/>
            <w:shd w:val="clear" w:color="auto" w:fill="auto"/>
            <w:noWrap/>
            <w:vAlign w:val="center"/>
          </w:tcPr>
          <w:p w14:paraId="2330FEF4">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49</w:t>
            </w:r>
          </w:p>
        </w:tc>
        <w:tc>
          <w:tcPr>
            <w:tcW w:w="1663" w:type="dxa"/>
            <w:shd w:val="clear" w:color="auto" w:fill="auto"/>
            <w:noWrap/>
            <w:vAlign w:val="center"/>
          </w:tcPr>
          <w:p w14:paraId="0EC2D803">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e</w:t>
            </w:r>
          </w:p>
        </w:tc>
        <w:tc>
          <w:tcPr>
            <w:tcW w:w="2150" w:type="dxa"/>
            <w:shd w:val="clear" w:color="auto" w:fill="auto"/>
            <w:noWrap/>
            <w:vAlign w:val="center"/>
          </w:tcPr>
          <w:p w14:paraId="44D7D921">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50</w:t>
            </w:r>
          </w:p>
        </w:tc>
        <w:tc>
          <w:tcPr>
            <w:tcW w:w="2187" w:type="dxa"/>
            <w:shd w:val="clear" w:color="auto" w:fill="auto"/>
            <w:noWrap/>
            <w:vAlign w:val="center"/>
          </w:tcPr>
          <w:p w14:paraId="5000FBA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Prime adult</w:t>
            </w:r>
          </w:p>
        </w:tc>
      </w:tr>
      <w:tr w14:paraId="293B1A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724" w:type="dxa"/>
            <w:shd w:val="clear" w:color="auto" w:fill="auto"/>
            <w:noWrap/>
            <w:vAlign w:val="center"/>
          </w:tcPr>
          <w:p w14:paraId="33A5F47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9</w:t>
            </w:r>
          </w:p>
        </w:tc>
        <w:tc>
          <w:tcPr>
            <w:tcW w:w="2850" w:type="dxa"/>
            <w:shd w:val="clear" w:color="auto" w:fill="auto"/>
            <w:noWrap/>
            <w:vAlign w:val="center"/>
          </w:tcPr>
          <w:p w14:paraId="62F5CE90">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bidi="ar"/>
              </w:rPr>
              <w:t>2019YHBT2</w:t>
            </w:r>
            <w:r>
              <w:rPr>
                <w:rFonts w:hint="default" w:ascii="Cambria Math" w:hAnsi="Cambria Math" w:eastAsia="Cambria Math" w:cs="Cambria Math"/>
                <w:kern w:val="0"/>
                <w:sz w:val="20"/>
                <w:szCs w:val="20"/>
                <w:lang w:val="en-US" w:eastAsia="zh-CN" w:bidi="ar"/>
              </w:rPr>
              <w:t>⑪</w:t>
            </w:r>
            <w:r>
              <w:rPr>
                <w:rFonts w:hint="default" w:ascii="Times New Roman" w:hAnsi="Times New Roman" w:eastAsia="宋体" w:cs="Times New Roman"/>
                <w:kern w:val="0"/>
                <w:sz w:val="20"/>
                <w:szCs w:val="20"/>
                <w:lang w:val="en-US" w:eastAsia="zh-CN" w:bidi="ar"/>
              </w:rPr>
              <w:t>-L1:737</w:t>
            </w:r>
          </w:p>
        </w:tc>
        <w:tc>
          <w:tcPr>
            <w:tcW w:w="1700" w:type="dxa"/>
            <w:shd w:val="clear" w:color="auto" w:fill="auto"/>
            <w:noWrap/>
            <w:vAlign w:val="center"/>
          </w:tcPr>
          <w:p w14:paraId="524FE8B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32.95</w:t>
            </w:r>
          </w:p>
        </w:tc>
        <w:tc>
          <w:tcPr>
            <w:tcW w:w="2025" w:type="dxa"/>
            <w:shd w:val="clear" w:color="auto" w:fill="auto"/>
            <w:noWrap/>
            <w:vAlign w:val="center"/>
          </w:tcPr>
          <w:p w14:paraId="597BEAB7">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110</w:t>
            </w:r>
          </w:p>
        </w:tc>
        <w:tc>
          <w:tcPr>
            <w:tcW w:w="1663" w:type="dxa"/>
            <w:shd w:val="clear" w:color="auto" w:fill="auto"/>
            <w:noWrap/>
            <w:vAlign w:val="center"/>
          </w:tcPr>
          <w:p w14:paraId="603DFD1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k</w:t>
            </w:r>
          </w:p>
        </w:tc>
        <w:tc>
          <w:tcPr>
            <w:tcW w:w="2150" w:type="dxa"/>
            <w:shd w:val="clear" w:color="auto" w:fill="auto"/>
            <w:noWrap/>
            <w:vAlign w:val="center"/>
          </w:tcPr>
          <w:p w14:paraId="1533D215">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bidi="ar"/>
              </w:rPr>
              <w:t>99-159</w:t>
            </w:r>
          </w:p>
        </w:tc>
        <w:tc>
          <w:tcPr>
            <w:tcW w:w="2187" w:type="dxa"/>
            <w:shd w:val="clear" w:color="auto" w:fill="auto"/>
            <w:noWrap/>
            <w:vAlign w:val="center"/>
          </w:tcPr>
          <w:p w14:paraId="1F0866DD">
            <w:pPr>
              <w:keepNext w:val="0"/>
              <w:keepLines w:val="0"/>
              <w:widowControl/>
              <w:suppressLineNumbers w:val="0"/>
              <w:spacing w:before="0" w:beforeAutospacing="1" w:after="0" w:afterAutospacing="0" w:line="360" w:lineRule="auto"/>
              <w:ind w:left="0" w:right="0" w:firstLine="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Old adult</w:t>
            </w:r>
          </w:p>
        </w:tc>
      </w:tr>
    </w:tbl>
    <w:p w14:paraId="2F63C957">
      <w:pPr>
        <w:keepNext w:val="0"/>
        <w:keepLines w:val="0"/>
        <w:widowControl/>
        <w:suppressLineNumbers w:val="0"/>
        <w:spacing w:before="0" w:beforeAutospacing="1" w:after="60" w:afterAutospacing="0" w:line="360" w:lineRule="auto"/>
        <w:ind w:left="0" w:right="0" w:firstLine="0"/>
        <w:jc w:val="left"/>
        <w:rPr>
          <w:rFonts w:hint="default" w:ascii="Times New Roman" w:hAnsi="Times New Roman" w:eastAsia="宋体" w:cs="Times New Roman"/>
          <w:kern w:val="0"/>
          <w:sz w:val="24"/>
          <w:szCs w:val="24"/>
        </w:rPr>
      </w:pPr>
    </w:p>
    <w:p w14:paraId="71D1D8D1">
      <w:pPr>
        <w:ind w:firstLine="0"/>
        <w:jc w:val="both"/>
        <w:rPr>
          <w:rFonts w:asciiTheme="majorBidi" w:hAnsiTheme="majorBidi" w:cstheme="majorBidi"/>
        </w:rPr>
      </w:pPr>
    </w:p>
    <w:p w14:paraId="2545A35D">
      <w:pPr>
        <w:widowControl/>
        <w:spacing w:after="0" w:line="240" w:lineRule="auto"/>
        <w:ind w:firstLine="0"/>
        <w:jc w:val="left"/>
        <w:rPr>
          <w:rFonts w:hint="eastAsia" w:ascii="Times New Roman" w:hAnsi="Times New Roman" w:cs="Times New Roman" w:eastAsiaTheme="minorEastAsia"/>
          <w:b/>
          <w:bCs/>
          <w:kern w:val="2"/>
          <w:sz w:val="24"/>
          <w:szCs w:val="24"/>
          <w:lang w:val="en-US" w:eastAsia="zh-CN"/>
        </w:rPr>
      </w:pPr>
    </w:p>
    <w:p w14:paraId="728CA00C">
      <w:pPr>
        <w:widowControl/>
        <w:spacing w:after="0" w:line="240" w:lineRule="auto"/>
        <w:ind w:firstLine="0"/>
        <w:jc w:val="left"/>
        <w:rPr>
          <w:rFonts w:hint="eastAsia" w:ascii="Times New Roman" w:hAnsi="Times New Roman" w:cs="Times New Roman" w:eastAsiaTheme="minorEastAsia"/>
          <w:b/>
          <w:bCs/>
          <w:kern w:val="2"/>
          <w:sz w:val="24"/>
          <w:szCs w:val="24"/>
          <w:lang w:val="en-US" w:eastAsia="zh-CN"/>
        </w:rPr>
      </w:pPr>
    </w:p>
    <w:p w14:paraId="668B6637">
      <w:pPr>
        <w:widowControl/>
        <w:spacing w:after="0" w:line="240" w:lineRule="auto"/>
        <w:ind w:firstLine="0"/>
        <w:jc w:val="left"/>
        <w:rPr>
          <w:rFonts w:hint="eastAsia" w:ascii="Times New Roman" w:hAnsi="Times New Roman" w:cs="Times New Roman" w:eastAsiaTheme="minorEastAsia"/>
          <w:b/>
          <w:bCs/>
          <w:kern w:val="2"/>
          <w:sz w:val="24"/>
          <w:szCs w:val="24"/>
          <w:lang w:val="en-US" w:eastAsia="zh-CN"/>
        </w:rPr>
      </w:pPr>
    </w:p>
    <w:p w14:paraId="2934998D">
      <w:pPr>
        <w:widowControl/>
        <w:spacing w:after="0" w:line="240" w:lineRule="auto"/>
        <w:ind w:firstLine="0"/>
        <w:jc w:val="left"/>
        <w:rPr>
          <w:rFonts w:hint="eastAsia" w:ascii="Times New Roman" w:hAnsi="Times New Roman" w:cs="Times New Roman" w:eastAsiaTheme="minorEastAsia"/>
          <w:b/>
          <w:bCs/>
          <w:kern w:val="2"/>
          <w:sz w:val="24"/>
          <w:szCs w:val="24"/>
          <w:lang w:val="en-US" w:eastAsia="zh-CN"/>
        </w:rPr>
      </w:pPr>
    </w:p>
    <w:p w14:paraId="24ED5DD8">
      <w:pPr>
        <w:widowControl/>
        <w:spacing w:after="0" w:line="240" w:lineRule="auto"/>
        <w:ind w:firstLine="0"/>
        <w:jc w:val="left"/>
        <w:rPr>
          <w:rFonts w:hint="eastAsia" w:ascii="Times New Roman" w:hAnsi="Times New Roman" w:cs="Times New Roman" w:eastAsiaTheme="minorEastAsia"/>
          <w:b/>
          <w:bCs/>
          <w:kern w:val="2"/>
          <w:sz w:val="24"/>
          <w:szCs w:val="24"/>
          <w:lang w:val="en-US" w:eastAsia="zh-CN"/>
        </w:rPr>
      </w:pPr>
    </w:p>
    <w:p w14:paraId="07988049">
      <w:pPr>
        <w:widowControl/>
        <w:spacing w:after="0" w:line="240" w:lineRule="auto"/>
        <w:ind w:firstLine="0"/>
        <w:jc w:val="left"/>
        <w:rPr>
          <w:rFonts w:hint="eastAsia" w:ascii="Times New Roman" w:hAnsi="Times New Roman" w:cs="Times New Roman" w:eastAsiaTheme="minorEastAsia"/>
          <w:b/>
          <w:bCs/>
          <w:kern w:val="2"/>
          <w:sz w:val="24"/>
          <w:szCs w:val="24"/>
          <w:lang w:val="en-US" w:eastAsia="zh-CN"/>
        </w:rPr>
      </w:pPr>
    </w:p>
    <w:p w14:paraId="586F1010">
      <w:pPr>
        <w:widowControl/>
        <w:spacing w:after="0" w:line="240" w:lineRule="auto"/>
        <w:ind w:firstLine="0"/>
        <w:jc w:val="left"/>
        <w:rPr>
          <w:rFonts w:hint="eastAsia" w:ascii="Times New Roman" w:hAnsi="Times New Roman" w:cs="Times New Roman" w:eastAsiaTheme="minorEastAsia"/>
          <w:b/>
          <w:bCs/>
          <w:kern w:val="2"/>
          <w:sz w:val="24"/>
          <w:szCs w:val="24"/>
          <w:lang w:val="en-US" w:eastAsia="zh-CN"/>
        </w:rPr>
      </w:pPr>
    </w:p>
    <w:p w14:paraId="15D3285F">
      <w:pPr>
        <w:widowControl/>
        <w:spacing w:after="0" w:line="240" w:lineRule="auto"/>
        <w:ind w:firstLine="0"/>
        <w:jc w:val="left"/>
        <w:rPr>
          <w:rFonts w:hint="eastAsia" w:ascii="Times New Roman" w:hAnsi="Times New Roman" w:cs="Times New Roman" w:eastAsiaTheme="minorEastAsia"/>
          <w:b/>
          <w:bCs/>
          <w:kern w:val="2"/>
          <w:sz w:val="24"/>
          <w:szCs w:val="24"/>
          <w:lang w:val="en-US" w:eastAsia="zh-CN"/>
        </w:rPr>
      </w:pPr>
    </w:p>
    <w:p w14:paraId="624D5208">
      <w:pPr>
        <w:widowControl/>
        <w:spacing w:after="0" w:line="240" w:lineRule="auto"/>
        <w:ind w:firstLine="0"/>
        <w:jc w:val="left"/>
        <w:rPr>
          <w:rFonts w:hint="eastAsia" w:ascii="Times New Roman" w:hAnsi="Times New Roman" w:cs="Times New Roman" w:eastAsiaTheme="minorEastAsia"/>
          <w:b/>
          <w:bCs/>
          <w:kern w:val="2"/>
          <w:sz w:val="24"/>
          <w:szCs w:val="24"/>
          <w:lang w:val="en-US" w:eastAsia="zh-CN"/>
        </w:rPr>
      </w:pPr>
    </w:p>
    <w:p w14:paraId="1A17A7AE">
      <w:pPr>
        <w:ind w:firstLine="0"/>
        <w:jc w:val="both"/>
        <w:rPr>
          <w:rFonts w:asciiTheme="majorBidi" w:hAnsiTheme="majorBidi" w:cstheme="majorBidi"/>
        </w:rPr>
      </w:pPr>
    </w:p>
    <w:p w14:paraId="4CA8A872">
      <w:pPr>
        <w:keepNext w:val="0"/>
        <w:keepLines w:val="0"/>
        <w:widowControl w:val="0"/>
        <w:suppressLineNumbers w:val="0"/>
        <w:spacing w:before="0" w:beforeAutospacing="0" w:after="0" w:afterAutospacing="0"/>
        <w:ind w:left="0" w:leftChars="0" w:right="0" w:firstLine="0" w:firstLineChars="0"/>
        <w:jc w:val="both"/>
        <w:rPr>
          <w:rFonts w:hint="default" w:ascii="Times New Roman" w:hAnsi="Times New Roman" w:eastAsia="宋体" w:cs="Times New Roman"/>
          <w:b/>
          <w:bCs/>
          <w:kern w:val="2"/>
          <w:sz w:val="24"/>
          <w:szCs w:val="24"/>
          <w:lang w:val="en-US" w:eastAsia="zh-CN" w:bidi="ar"/>
        </w:rPr>
      </w:pPr>
    </w:p>
    <w:p w14:paraId="2DB01EDA">
      <w:pPr>
        <w:keepNext w:val="0"/>
        <w:keepLines w:val="0"/>
        <w:widowControl w:val="0"/>
        <w:suppressLineNumbers w:val="0"/>
        <w:spacing w:before="0" w:beforeAutospacing="0" w:after="0" w:afterAutospacing="0"/>
        <w:ind w:left="0" w:leftChars="0" w:right="0" w:firstLine="0" w:firstLineChars="0"/>
        <w:jc w:val="both"/>
        <w:rPr>
          <w:rFonts w:hint="default" w:ascii="Times New Roman" w:hAnsi="Times New Roman" w:eastAsia="宋体" w:cs="Times New Roman"/>
          <w:b/>
          <w:bCs/>
          <w:kern w:val="2"/>
          <w:sz w:val="24"/>
          <w:szCs w:val="24"/>
          <w:lang w:val="en-US" w:eastAsia="zh-CN" w:bidi="ar"/>
        </w:rPr>
      </w:pPr>
    </w:p>
    <w:p w14:paraId="3E0E528D">
      <w:pPr>
        <w:keepNext w:val="0"/>
        <w:keepLines w:val="0"/>
        <w:pageBreakBefore w:val="0"/>
        <w:widowControl w:val="0"/>
        <w:suppressLineNumbers w:val="0"/>
        <w:kinsoku/>
        <w:wordWrap/>
        <w:overflowPunct/>
        <w:topLinePunct w:val="0"/>
        <w:autoSpaceDE/>
        <w:autoSpaceDN/>
        <w:bidi w:val="0"/>
        <w:adjustRightInd/>
        <w:snapToGrid/>
        <w:spacing w:before="0" w:beforeAutospacing="0" w:after="60" w:afterAutospacing="0" w:line="240" w:lineRule="auto"/>
        <w:ind w:left="0" w:leftChars="0" w:right="0" w:firstLine="0" w:firstLineChars="0"/>
        <w:jc w:val="both"/>
        <w:textAlignment w:val="auto"/>
        <w:rPr>
          <w:rFonts w:hint="default" w:ascii="Calibri" w:hAnsi="Calibri" w:eastAsia="宋体" w:cs="Times New Roman"/>
          <w:b w:val="0"/>
          <w:bCs w:val="0"/>
          <w:kern w:val="2"/>
          <w:sz w:val="21"/>
          <w:szCs w:val="21"/>
        </w:rPr>
      </w:pPr>
      <w:r>
        <w:rPr>
          <w:rFonts w:hint="default" w:ascii="Times New Roman" w:hAnsi="Times New Roman" w:eastAsia="宋体" w:cs="Times New Roman"/>
          <w:b/>
          <w:bCs/>
          <w:kern w:val="2"/>
          <w:sz w:val="24"/>
          <w:szCs w:val="24"/>
          <w:lang w:val="en-US" w:eastAsia="zh-CN" w:bidi="ar"/>
        </w:rPr>
        <w:t xml:space="preserve">Supplementary Table </w:t>
      </w:r>
      <w:r>
        <w:rPr>
          <w:rFonts w:hint="eastAsia" w:cs="Times New Roman"/>
          <w:b/>
          <w:bCs/>
          <w:kern w:val="2"/>
          <w:sz w:val="24"/>
          <w:szCs w:val="24"/>
          <w:lang w:val="en-US" w:eastAsia="zh-CN" w:bidi="ar"/>
        </w:rPr>
        <w:t>30</w:t>
      </w:r>
      <w:r>
        <w:t xml:space="preserve"> |</w:t>
      </w:r>
      <w:r>
        <w:rPr>
          <w:rFonts w:hint="default" w:ascii="Times New Roman" w:hAnsi="Times New Roman" w:eastAsia="宋体" w:cs="Times New Roman"/>
          <w:b/>
          <w:bCs/>
          <w:kern w:val="2"/>
          <w:sz w:val="24"/>
          <w:szCs w:val="24"/>
          <w:lang w:val="en-US" w:eastAsia="zh-CN" w:bidi="ar"/>
        </w:rPr>
        <w:t xml:space="preserve"> </w:t>
      </w:r>
      <w:r>
        <w:rPr>
          <w:rFonts w:hint="default" w:ascii="Times New Roman" w:hAnsi="Times New Roman" w:eastAsia="宋体" w:cs="Times New Roman"/>
          <w:b w:val="0"/>
          <w:bCs w:val="0"/>
          <w:kern w:val="2"/>
          <w:sz w:val="24"/>
          <w:szCs w:val="24"/>
          <w:lang w:val="en-US" w:eastAsia="zh-CN" w:bidi="ar"/>
        </w:rPr>
        <w:t>Statistic of taphonomic factors by layers</w:t>
      </w:r>
      <w:r>
        <w:rPr>
          <w:rFonts w:hint="eastAsia" w:ascii="Times New Roman" w:hAnsi="Times New Roman" w:eastAsia="宋体" w:cs="Times New Roman"/>
          <w:b w:val="0"/>
          <w:bCs w:val="0"/>
          <w:kern w:val="2"/>
          <w:sz w:val="24"/>
          <w:szCs w:val="24"/>
          <w:lang w:val="en-US" w:eastAsia="zh-CN" w:bidi="ar"/>
        </w:rPr>
        <w:t xml:space="preserve"> </w:t>
      </w:r>
      <w:r>
        <w:rPr>
          <w:rFonts w:hint="default" w:ascii="Times New Roman" w:hAnsi="Times New Roman" w:eastAsia="宋体" w:cs="Times New Roman"/>
          <w:b w:val="0"/>
          <w:bCs w:val="0"/>
          <w:kern w:val="2"/>
          <w:sz w:val="24"/>
          <w:szCs w:val="24"/>
          <w:lang w:val="en-US" w:eastAsia="zh-CN" w:bidi="ar"/>
        </w:rPr>
        <w:t xml:space="preserve">at </w:t>
      </w:r>
      <w:r>
        <w:rPr>
          <w:rFonts w:hint="eastAsia" w:cs="Times New Roman"/>
          <w:b w:val="0"/>
          <w:bCs w:val="0"/>
          <w:kern w:val="2"/>
          <w:sz w:val="24"/>
          <w:szCs w:val="24"/>
          <w:lang w:val="en-US" w:eastAsia="zh-CN" w:bidi="ar"/>
        </w:rPr>
        <w:t xml:space="preserve">the </w:t>
      </w:r>
      <w:r>
        <w:rPr>
          <w:rFonts w:hint="default" w:ascii="Times New Roman" w:hAnsi="Times New Roman" w:eastAsia="宋体" w:cs="Times New Roman"/>
          <w:b w:val="0"/>
          <w:bCs w:val="0"/>
          <w:kern w:val="2"/>
          <w:sz w:val="24"/>
          <w:szCs w:val="24"/>
          <w:lang w:val="en-US" w:eastAsia="zh-CN" w:bidi="ar"/>
        </w:rPr>
        <w:t>Bianfu Cave. The total number of observed specimens is 5428.</w:t>
      </w:r>
    </w:p>
    <w:tbl>
      <w:tblPr>
        <w:tblStyle w:val="24"/>
        <w:tblW w:w="158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43"/>
        <w:gridCol w:w="695"/>
        <w:gridCol w:w="794"/>
        <w:gridCol w:w="555"/>
        <w:gridCol w:w="867"/>
        <w:gridCol w:w="522"/>
        <w:gridCol w:w="858"/>
        <w:gridCol w:w="611"/>
        <w:gridCol w:w="823"/>
        <w:gridCol w:w="513"/>
        <w:gridCol w:w="832"/>
        <w:gridCol w:w="593"/>
        <w:gridCol w:w="823"/>
        <w:gridCol w:w="531"/>
        <w:gridCol w:w="805"/>
        <w:gridCol w:w="531"/>
        <w:gridCol w:w="859"/>
        <w:gridCol w:w="487"/>
        <w:gridCol w:w="823"/>
        <w:gridCol w:w="725"/>
        <w:gridCol w:w="725"/>
      </w:tblGrid>
      <w:tr w14:paraId="06481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jc w:val="center"/>
        </w:trPr>
        <w:tc>
          <w:tcPr>
            <w:tcW w:w="1843" w:type="dxa"/>
            <w:vMerge w:val="restart"/>
            <w:tcBorders>
              <w:top w:val="single" w:color="auto" w:sz="4" w:space="0"/>
              <w:left w:val="nil"/>
              <w:bottom w:val="nil"/>
              <w:right w:val="nil"/>
            </w:tcBorders>
            <w:shd w:val="clear" w:color="auto" w:fill="auto"/>
            <w:vAlign w:val="center"/>
          </w:tcPr>
          <w:p w14:paraId="43914DF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1"/>
                <w:szCs w:val="21"/>
              </w:rPr>
            </w:pPr>
            <w:r>
              <w:rPr>
                <w:rFonts w:hint="default" w:ascii="Times New Roman" w:hAnsi="Times New Roman" w:eastAsia="宋体" w:cs="Times New Roman"/>
                <w:b w:val="0"/>
                <w:bCs w:val="0"/>
                <w:i w:val="0"/>
                <w:iCs w:val="0"/>
                <w:color w:val="000000"/>
                <w:kern w:val="0"/>
                <w:sz w:val="21"/>
                <w:szCs w:val="21"/>
                <w:lang w:val="en-US" w:eastAsia="zh-CN" w:bidi="ar"/>
              </w:rPr>
              <w:t>Taphonomic Factor</w:t>
            </w:r>
          </w:p>
        </w:tc>
        <w:tc>
          <w:tcPr>
            <w:tcW w:w="1489" w:type="dxa"/>
            <w:gridSpan w:val="2"/>
            <w:tcBorders>
              <w:top w:val="single" w:color="auto" w:sz="4" w:space="0"/>
              <w:left w:val="nil"/>
              <w:bottom w:val="single" w:color="auto" w:sz="4" w:space="0"/>
              <w:right w:val="nil"/>
            </w:tcBorders>
            <w:shd w:val="clear" w:color="auto" w:fill="auto"/>
            <w:vAlign w:val="center"/>
          </w:tcPr>
          <w:p w14:paraId="35F106F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1"/>
                <w:szCs w:val="21"/>
              </w:rPr>
            </w:pPr>
            <w:r>
              <w:rPr>
                <w:rFonts w:hint="default" w:ascii="Times New Roman" w:hAnsi="Times New Roman" w:eastAsia="宋体" w:cs="Times New Roman"/>
                <w:b w:val="0"/>
                <w:bCs w:val="0"/>
                <w:i w:val="0"/>
                <w:iCs w:val="0"/>
                <w:color w:val="000000"/>
                <w:kern w:val="0"/>
                <w:sz w:val="21"/>
                <w:szCs w:val="21"/>
                <w:lang w:val="en-US" w:eastAsia="zh-CN" w:bidi="ar"/>
              </w:rPr>
              <w:t>Layer 3</w:t>
            </w:r>
          </w:p>
        </w:tc>
        <w:tc>
          <w:tcPr>
            <w:tcW w:w="1422" w:type="dxa"/>
            <w:gridSpan w:val="2"/>
            <w:tcBorders>
              <w:top w:val="single" w:color="auto" w:sz="4" w:space="0"/>
              <w:left w:val="nil"/>
              <w:bottom w:val="single" w:color="auto" w:sz="4" w:space="0"/>
              <w:right w:val="nil"/>
            </w:tcBorders>
            <w:shd w:val="clear" w:color="auto" w:fill="auto"/>
            <w:vAlign w:val="center"/>
          </w:tcPr>
          <w:p w14:paraId="2A6EE8B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1"/>
                <w:szCs w:val="21"/>
              </w:rPr>
            </w:pPr>
            <w:r>
              <w:rPr>
                <w:rFonts w:hint="default" w:ascii="Times New Roman" w:hAnsi="Times New Roman" w:eastAsia="宋体" w:cs="Times New Roman"/>
                <w:b w:val="0"/>
                <w:bCs w:val="0"/>
                <w:i w:val="0"/>
                <w:iCs w:val="0"/>
                <w:color w:val="000000"/>
                <w:kern w:val="0"/>
                <w:sz w:val="21"/>
                <w:szCs w:val="21"/>
                <w:lang w:val="en-US" w:eastAsia="zh-CN" w:bidi="ar"/>
              </w:rPr>
              <w:t>Layer 4</w:t>
            </w:r>
          </w:p>
        </w:tc>
        <w:tc>
          <w:tcPr>
            <w:tcW w:w="1380" w:type="dxa"/>
            <w:gridSpan w:val="2"/>
            <w:tcBorders>
              <w:top w:val="single" w:color="auto" w:sz="4" w:space="0"/>
              <w:left w:val="nil"/>
              <w:bottom w:val="single" w:color="auto" w:sz="4" w:space="0"/>
              <w:right w:val="nil"/>
            </w:tcBorders>
            <w:shd w:val="clear" w:color="auto" w:fill="auto"/>
            <w:vAlign w:val="center"/>
          </w:tcPr>
          <w:p w14:paraId="76F0992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1"/>
                <w:szCs w:val="21"/>
              </w:rPr>
            </w:pPr>
            <w:r>
              <w:rPr>
                <w:rFonts w:hint="default" w:ascii="Times New Roman" w:hAnsi="Times New Roman" w:eastAsia="宋体" w:cs="Times New Roman"/>
                <w:b w:val="0"/>
                <w:bCs w:val="0"/>
                <w:i w:val="0"/>
                <w:iCs w:val="0"/>
                <w:color w:val="000000"/>
                <w:kern w:val="0"/>
                <w:sz w:val="21"/>
                <w:szCs w:val="21"/>
                <w:lang w:val="en-US" w:eastAsia="zh-CN" w:bidi="ar"/>
              </w:rPr>
              <w:t>Layer 6</w:t>
            </w:r>
          </w:p>
        </w:tc>
        <w:tc>
          <w:tcPr>
            <w:tcW w:w="1434" w:type="dxa"/>
            <w:gridSpan w:val="2"/>
            <w:tcBorders>
              <w:top w:val="single" w:color="auto" w:sz="4" w:space="0"/>
              <w:left w:val="nil"/>
              <w:bottom w:val="single" w:color="auto" w:sz="4" w:space="0"/>
              <w:right w:val="nil"/>
            </w:tcBorders>
            <w:shd w:val="clear" w:color="auto" w:fill="auto"/>
            <w:vAlign w:val="center"/>
          </w:tcPr>
          <w:p w14:paraId="4C0CE98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1"/>
                <w:szCs w:val="21"/>
              </w:rPr>
            </w:pPr>
            <w:r>
              <w:rPr>
                <w:rFonts w:hint="default" w:ascii="Times New Roman" w:hAnsi="Times New Roman" w:eastAsia="宋体" w:cs="Times New Roman"/>
                <w:b w:val="0"/>
                <w:bCs w:val="0"/>
                <w:i w:val="0"/>
                <w:iCs w:val="0"/>
                <w:color w:val="000000"/>
                <w:kern w:val="0"/>
                <w:sz w:val="21"/>
                <w:szCs w:val="21"/>
                <w:lang w:val="en-US" w:eastAsia="zh-CN" w:bidi="ar"/>
              </w:rPr>
              <w:t>Layer 7</w:t>
            </w:r>
          </w:p>
        </w:tc>
        <w:tc>
          <w:tcPr>
            <w:tcW w:w="1345" w:type="dxa"/>
            <w:gridSpan w:val="2"/>
            <w:tcBorders>
              <w:top w:val="single" w:color="auto" w:sz="4" w:space="0"/>
              <w:left w:val="nil"/>
              <w:bottom w:val="single" w:color="auto" w:sz="4" w:space="0"/>
              <w:right w:val="nil"/>
            </w:tcBorders>
            <w:shd w:val="clear" w:color="auto" w:fill="auto"/>
            <w:vAlign w:val="center"/>
          </w:tcPr>
          <w:p w14:paraId="762D2D9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1"/>
                <w:szCs w:val="21"/>
              </w:rPr>
            </w:pPr>
            <w:r>
              <w:rPr>
                <w:rFonts w:hint="default" w:ascii="Times New Roman" w:hAnsi="Times New Roman" w:eastAsia="宋体" w:cs="Times New Roman"/>
                <w:b w:val="0"/>
                <w:bCs w:val="0"/>
                <w:i w:val="0"/>
                <w:iCs w:val="0"/>
                <w:color w:val="000000"/>
                <w:kern w:val="0"/>
                <w:sz w:val="21"/>
                <w:szCs w:val="21"/>
                <w:lang w:val="en-US" w:eastAsia="zh-CN" w:bidi="ar"/>
              </w:rPr>
              <w:t>Layer 8</w:t>
            </w:r>
          </w:p>
        </w:tc>
        <w:tc>
          <w:tcPr>
            <w:tcW w:w="1416" w:type="dxa"/>
            <w:gridSpan w:val="2"/>
            <w:tcBorders>
              <w:top w:val="single" w:color="auto" w:sz="4" w:space="0"/>
              <w:left w:val="nil"/>
              <w:bottom w:val="single" w:color="auto" w:sz="4" w:space="0"/>
              <w:right w:val="nil"/>
            </w:tcBorders>
            <w:shd w:val="clear" w:color="auto" w:fill="auto"/>
            <w:vAlign w:val="center"/>
          </w:tcPr>
          <w:p w14:paraId="64BDA20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1"/>
                <w:szCs w:val="21"/>
              </w:rPr>
            </w:pPr>
            <w:r>
              <w:rPr>
                <w:rFonts w:hint="default" w:ascii="Times New Roman" w:hAnsi="Times New Roman" w:eastAsia="宋体" w:cs="Times New Roman"/>
                <w:b w:val="0"/>
                <w:bCs w:val="0"/>
                <w:i w:val="0"/>
                <w:iCs w:val="0"/>
                <w:color w:val="000000"/>
                <w:kern w:val="0"/>
                <w:sz w:val="21"/>
                <w:szCs w:val="21"/>
                <w:lang w:val="en-US" w:eastAsia="zh-CN" w:bidi="ar"/>
              </w:rPr>
              <w:t>Layer 9</w:t>
            </w:r>
          </w:p>
        </w:tc>
        <w:tc>
          <w:tcPr>
            <w:tcW w:w="1336" w:type="dxa"/>
            <w:gridSpan w:val="2"/>
            <w:tcBorders>
              <w:top w:val="single" w:color="auto" w:sz="4" w:space="0"/>
              <w:left w:val="nil"/>
              <w:bottom w:val="single" w:color="auto" w:sz="4" w:space="0"/>
              <w:right w:val="nil"/>
            </w:tcBorders>
            <w:shd w:val="clear" w:color="auto" w:fill="auto"/>
            <w:vAlign w:val="center"/>
          </w:tcPr>
          <w:p w14:paraId="5BC9615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1"/>
                <w:szCs w:val="21"/>
              </w:rPr>
            </w:pPr>
            <w:r>
              <w:rPr>
                <w:rFonts w:hint="default" w:ascii="Times New Roman" w:hAnsi="Times New Roman" w:eastAsia="宋体" w:cs="Times New Roman"/>
                <w:b w:val="0"/>
                <w:bCs w:val="0"/>
                <w:i w:val="0"/>
                <w:iCs w:val="0"/>
                <w:color w:val="000000"/>
                <w:kern w:val="0"/>
                <w:sz w:val="21"/>
                <w:szCs w:val="21"/>
                <w:lang w:val="en-US" w:eastAsia="zh-CN" w:bidi="ar"/>
              </w:rPr>
              <w:t>Layer 10</w:t>
            </w:r>
          </w:p>
        </w:tc>
        <w:tc>
          <w:tcPr>
            <w:tcW w:w="1390" w:type="dxa"/>
            <w:gridSpan w:val="2"/>
            <w:tcBorders>
              <w:top w:val="single" w:color="auto" w:sz="4" w:space="0"/>
              <w:left w:val="nil"/>
              <w:bottom w:val="single" w:color="auto" w:sz="4" w:space="0"/>
              <w:right w:val="nil"/>
            </w:tcBorders>
            <w:shd w:val="clear" w:color="auto" w:fill="auto"/>
            <w:vAlign w:val="center"/>
          </w:tcPr>
          <w:p w14:paraId="18C9225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1"/>
                <w:szCs w:val="21"/>
              </w:rPr>
            </w:pPr>
            <w:r>
              <w:rPr>
                <w:rFonts w:hint="default" w:ascii="Times New Roman" w:hAnsi="Times New Roman" w:eastAsia="宋体" w:cs="Times New Roman"/>
                <w:b w:val="0"/>
                <w:bCs w:val="0"/>
                <w:i w:val="0"/>
                <w:iCs w:val="0"/>
                <w:color w:val="000000"/>
                <w:kern w:val="0"/>
                <w:sz w:val="21"/>
                <w:szCs w:val="21"/>
                <w:lang w:val="en-US" w:eastAsia="zh-CN" w:bidi="ar"/>
              </w:rPr>
              <w:t>Layer 11</w:t>
            </w:r>
          </w:p>
        </w:tc>
        <w:tc>
          <w:tcPr>
            <w:tcW w:w="1310" w:type="dxa"/>
            <w:gridSpan w:val="2"/>
            <w:tcBorders>
              <w:top w:val="single" w:color="auto" w:sz="4" w:space="0"/>
              <w:left w:val="nil"/>
              <w:bottom w:val="single" w:color="auto" w:sz="4" w:space="0"/>
              <w:right w:val="nil"/>
            </w:tcBorders>
            <w:shd w:val="clear" w:color="auto" w:fill="auto"/>
            <w:vAlign w:val="center"/>
          </w:tcPr>
          <w:p w14:paraId="77CA196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1"/>
                <w:szCs w:val="21"/>
              </w:rPr>
            </w:pPr>
            <w:r>
              <w:rPr>
                <w:rFonts w:hint="default" w:ascii="Times New Roman" w:hAnsi="Times New Roman" w:eastAsia="宋体" w:cs="Times New Roman"/>
                <w:b w:val="0"/>
                <w:bCs w:val="0"/>
                <w:i w:val="0"/>
                <w:iCs w:val="0"/>
                <w:color w:val="000000"/>
                <w:kern w:val="0"/>
                <w:sz w:val="21"/>
                <w:szCs w:val="21"/>
                <w:lang w:val="en-US" w:eastAsia="zh-CN" w:bidi="ar"/>
              </w:rPr>
              <w:t>Layer 12</w:t>
            </w:r>
          </w:p>
        </w:tc>
        <w:tc>
          <w:tcPr>
            <w:tcW w:w="725" w:type="dxa"/>
            <w:vMerge w:val="restart"/>
            <w:tcBorders>
              <w:top w:val="single" w:color="auto" w:sz="4" w:space="0"/>
              <w:left w:val="nil"/>
              <w:bottom w:val="nil"/>
              <w:right w:val="nil"/>
            </w:tcBorders>
            <w:shd w:val="clear" w:color="auto" w:fill="auto"/>
            <w:noWrap/>
            <w:vAlign w:val="center"/>
          </w:tcPr>
          <w:p w14:paraId="3E1B298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1"/>
                <w:szCs w:val="21"/>
              </w:rPr>
            </w:pPr>
            <w:r>
              <w:rPr>
                <w:rFonts w:hint="default" w:ascii="Times New Roman" w:hAnsi="Times New Roman" w:eastAsia="宋体" w:cs="Times New Roman"/>
                <w:b w:val="0"/>
                <w:bCs w:val="0"/>
                <w:i w:val="0"/>
                <w:iCs w:val="0"/>
                <w:color w:val="000000"/>
                <w:kern w:val="0"/>
                <w:sz w:val="21"/>
                <w:szCs w:val="21"/>
                <w:lang w:val="en-US" w:eastAsia="zh-CN" w:bidi="ar"/>
              </w:rPr>
              <w:t>Total</w:t>
            </w:r>
          </w:p>
        </w:tc>
        <w:tc>
          <w:tcPr>
            <w:tcW w:w="725" w:type="dxa"/>
            <w:vMerge w:val="restart"/>
            <w:tcBorders>
              <w:top w:val="single" w:color="auto" w:sz="4" w:space="0"/>
              <w:left w:val="nil"/>
              <w:bottom w:val="nil"/>
              <w:right w:val="nil"/>
            </w:tcBorders>
            <w:shd w:val="clear" w:color="auto" w:fill="auto"/>
            <w:noWrap/>
            <w:vAlign w:val="center"/>
          </w:tcPr>
          <w:p w14:paraId="375D14D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1"/>
                <w:szCs w:val="21"/>
              </w:rPr>
            </w:pPr>
            <w:r>
              <w:rPr>
                <w:rFonts w:hint="default" w:ascii="Times New Roman" w:hAnsi="Times New Roman" w:eastAsia="宋体" w:cs="Times New Roman"/>
                <w:b w:val="0"/>
                <w:bCs w:val="0"/>
                <w:i w:val="0"/>
                <w:iCs w:val="0"/>
                <w:color w:val="000000"/>
                <w:kern w:val="0"/>
                <w:sz w:val="21"/>
                <w:szCs w:val="21"/>
                <w:lang w:val="en-US" w:eastAsia="zh-CN" w:bidi="ar"/>
              </w:rPr>
              <w:t>%</w:t>
            </w:r>
          </w:p>
        </w:tc>
      </w:tr>
      <w:tr w14:paraId="57530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3" w:hRule="atLeast"/>
          <w:jc w:val="center"/>
        </w:trPr>
        <w:tc>
          <w:tcPr>
            <w:tcW w:w="1843" w:type="dxa"/>
            <w:vMerge w:val="continue"/>
            <w:tcBorders>
              <w:top w:val="single" w:color="auto" w:sz="4" w:space="0"/>
              <w:left w:val="nil"/>
              <w:bottom w:val="single" w:color="auto" w:sz="4" w:space="0"/>
              <w:right w:val="nil"/>
            </w:tcBorders>
            <w:shd w:val="clear" w:color="auto" w:fill="auto"/>
            <w:vAlign w:val="center"/>
          </w:tcPr>
          <w:p w14:paraId="7555D01A">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695" w:type="dxa"/>
            <w:tcBorders>
              <w:top w:val="single" w:color="auto" w:sz="4" w:space="0"/>
              <w:left w:val="nil"/>
              <w:bottom w:val="single" w:color="auto" w:sz="4" w:space="0"/>
              <w:right w:val="nil"/>
            </w:tcBorders>
            <w:shd w:val="clear" w:color="auto" w:fill="auto"/>
            <w:vAlign w:val="center"/>
          </w:tcPr>
          <w:p w14:paraId="745E68C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1"/>
                <w:szCs w:val="21"/>
              </w:rPr>
            </w:pPr>
            <w:r>
              <w:rPr>
                <w:rFonts w:hint="default" w:ascii="Times New Roman" w:hAnsi="Times New Roman" w:eastAsia="宋体" w:cs="Times New Roman"/>
                <w:b w:val="0"/>
                <w:bCs/>
                <w:i w:val="0"/>
                <w:iCs w:val="0"/>
                <w:color w:val="000000"/>
                <w:kern w:val="0"/>
                <w:sz w:val="21"/>
                <w:szCs w:val="21"/>
                <w:lang w:val="en-US" w:eastAsia="zh-CN" w:bidi="ar"/>
              </w:rPr>
              <w:t>NISP</w:t>
            </w:r>
          </w:p>
        </w:tc>
        <w:tc>
          <w:tcPr>
            <w:tcW w:w="794" w:type="dxa"/>
            <w:tcBorders>
              <w:top w:val="single" w:color="auto" w:sz="4" w:space="0"/>
              <w:left w:val="nil"/>
              <w:bottom w:val="single" w:color="auto" w:sz="4" w:space="0"/>
              <w:right w:val="nil"/>
            </w:tcBorders>
            <w:shd w:val="clear" w:color="auto" w:fill="auto"/>
            <w:vAlign w:val="center"/>
          </w:tcPr>
          <w:p w14:paraId="1C2FD6F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1"/>
                <w:szCs w:val="21"/>
              </w:rPr>
            </w:pPr>
            <w:r>
              <w:rPr>
                <w:rFonts w:hint="default" w:ascii="Times New Roman" w:hAnsi="Times New Roman" w:eastAsia="宋体" w:cs="Times New Roman"/>
                <w:b w:val="0"/>
                <w:bCs/>
                <w:i w:val="0"/>
                <w:iCs w:val="0"/>
                <w:color w:val="000000"/>
                <w:kern w:val="0"/>
                <w:sz w:val="21"/>
                <w:szCs w:val="21"/>
                <w:lang w:val="en-US" w:eastAsia="zh-CN" w:bidi="ar"/>
              </w:rPr>
              <w:t>%</w:t>
            </w:r>
          </w:p>
        </w:tc>
        <w:tc>
          <w:tcPr>
            <w:tcW w:w="555" w:type="dxa"/>
            <w:tcBorders>
              <w:top w:val="single" w:color="auto" w:sz="4" w:space="0"/>
              <w:left w:val="nil"/>
              <w:bottom w:val="single" w:color="auto" w:sz="4" w:space="0"/>
              <w:right w:val="nil"/>
            </w:tcBorders>
            <w:shd w:val="clear" w:color="auto" w:fill="auto"/>
            <w:vAlign w:val="center"/>
          </w:tcPr>
          <w:p w14:paraId="3287301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1"/>
                <w:szCs w:val="21"/>
              </w:rPr>
            </w:pPr>
            <w:r>
              <w:rPr>
                <w:rFonts w:hint="default" w:ascii="Times New Roman" w:hAnsi="Times New Roman" w:eastAsia="宋体" w:cs="Times New Roman"/>
                <w:b w:val="0"/>
                <w:bCs/>
                <w:i w:val="0"/>
                <w:iCs w:val="0"/>
                <w:color w:val="000000"/>
                <w:kern w:val="0"/>
                <w:sz w:val="21"/>
                <w:szCs w:val="21"/>
                <w:lang w:val="en-US" w:eastAsia="zh-CN" w:bidi="ar"/>
              </w:rPr>
              <w:t>NISP</w:t>
            </w:r>
          </w:p>
        </w:tc>
        <w:tc>
          <w:tcPr>
            <w:tcW w:w="867" w:type="dxa"/>
            <w:tcBorders>
              <w:top w:val="single" w:color="auto" w:sz="4" w:space="0"/>
              <w:left w:val="nil"/>
              <w:bottom w:val="single" w:color="auto" w:sz="4" w:space="0"/>
              <w:right w:val="nil"/>
            </w:tcBorders>
            <w:shd w:val="clear" w:color="auto" w:fill="auto"/>
            <w:vAlign w:val="center"/>
          </w:tcPr>
          <w:p w14:paraId="377A95A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1"/>
                <w:szCs w:val="21"/>
              </w:rPr>
            </w:pPr>
            <w:r>
              <w:rPr>
                <w:rFonts w:hint="default" w:ascii="Times New Roman" w:hAnsi="Times New Roman" w:eastAsia="宋体" w:cs="Times New Roman"/>
                <w:b w:val="0"/>
                <w:bCs/>
                <w:i w:val="0"/>
                <w:iCs w:val="0"/>
                <w:color w:val="000000"/>
                <w:kern w:val="0"/>
                <w:sz w:val="21"/>
                <w:szCs w:val="21"/>
                <w:lang w:val="en-US" w:eastAsia="zh-CN" w:bidi="ar"/>
              </w:rPr>
              <w:t>%</w:t>
            </w:r>
          </w:p>
        </w:tc>
        <w:tc>
          <w:tcPr>
            <w:tcW w:w="522" w:type="dxa"/>
            <w:tcBorders>
              <w:top w:val="single" w:color="auto" w:sz="4" w:space="0"/>
              <w:left w:val="nil"/>
              <w:bottom w:val="single" w:color="auto" w:sz="4" w:space="0"/>
              <w:right w:val="nil"/>
            </w:tcBorders>
            <w:shd w:val="clear" w:color="auto" w:fill="auto"/>
            <w:vAlign w:val="center"/>
          </w:tcPr>
          <w:p w14:paraId="6DA00C9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1"/>
                <w:szCs w:val="21"/>
              </w:rPr>
            </w:pPr>
            <w:r>
              <w:rPr>
                <w:rFonts w:hint="default" w:ascii="Times New Roman" w:hAnsi="Times New Roman" w:eastAsia="宋体" w:cs="Times New Roman"/>
                <w:b w:val="0"/>
                <w:bCs/>
                <w:i w:val="0"/>
                <w:iCs w:val="0"/>
                <w:color w:val="000000"/>
                <w:kern w:val="0"/>
                <w:sz w:val="21"/>
                <w:szCs w:val="21"/>
                <w:lang w:val="en-US" w:eastAsia="zh-CN" w:bidi="ar"/>
              </w:rPr>
              <w:t>NISP</w:t>
            </w:r>
          </w:p>
        </w:tc>
        <w:tc>
          <w:tcPr>
            <w:tcW w:w="858" w:type="dxa"/>
            <w:tcBorders>
              <w:top w:val="single" w:color="auto" w:sz="4" w:space="0"/>
              <w:left w:val="nil"/>
              <w:bottom w:val="single" w:color="auto" w:sz="4" w:space="0"/>
              <w:right w:val="nil"/>
            </w:tcBorders>
            <w:shd w:val="clear" w:color="auto" w:fill="auto"/>
            <w:vAlign w:val="center"/>
          </w:tcPr>
          <w:p w14:paraId="4A762AA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1"/>
                <w:szCs w:val="21"/>
              </w:rPr>
            </w:pPr>
            <w:r>
              <w:rPr>
                <w:rFonts w:hint="default" w:ascii="Times New Roman" w:hAnsi="Times New Roman" w:eastAsia="宋体" w:cs="Times New Roman"/>
                <w:b w:val="0"/>
                <w:bCs/>
                <w:i w:val="0"/>
                <w:iCs w:val="0"/>
                <w:color w:val="000000"/>
                <w:kern w:val="0"/>
                <w:sz w:val="21"/>
                <w:szCs w:val="21"/>
                <w:lang w:val="en-US" w:eastAsia="zh-CN" w:bidi="ar"/>
              </w:rPr>
              <w:t>%</w:t>
            </w:r>
          </w:p>
        </w:tc>
        <w:tc>
          <w:tcPr>
            <w:tcW w:w="611" w:type="dxa"/>
            <w:tcBorders>
              <w:top w:val="single" w:color="auto" w:sz="4" w:space="0"/>
              <w:left w:val="nil"/>
              <w:bottom w:val="single" w:color="auto" w:sz="4" w:space="0"/>
              <w:right w:val="nil"/>
            </w:tcBorders>
            <w:shd w:val="clear" w:color="auto" w:fill="auto"/>
            <w:vAlign w:val="center"/>
          </w:tcPr>
          <w:p w14:paraId="4E4EEB5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1"/>
                <w:szCs w:val="21"/>
              </w:rPr>
            </w:pPr>
            <w:r>
              <w:rPr>
                <w:rFonts w:hint="default" w:ascii="Times New Roman" w:hAnsi="Times New Roman" w:eastAsia="宋体" w:cs="Times New Roman"/>
                <w:b w:val="0"/>
                <w:bCs/>
                <w:i w:val="0"/>
                <w:iCs w:val="0"/>
                <w:color w:val="000000"/>
                <w:kern w:val="0"/>
                <w:sz w:val="21"/>
                <w:szCs w:val="21"/>
                <w:lang w:val="en-US" w:eastAsia="zh-CN" w:bidi="ar"/>
              </w:rPr>
              <w:t>NI</w:t>
            </w:r>
          </w:p>
          <w:p w14:paraId="4BBF1C7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1"/>
                <w:szCs w:val="21"/>
              </w:rPr>
            </w:pPr>
            <w:r>
              <w:rPr>
                <w:rFonts w:hint="default" w:ascii="Times New Roman" w:hAnsi="Times New Roman" w:eastAsia="宋体" w:cs="Times New Roman"/>
                <w:b w:val="0"/>
                <w:bCs/>
                <w:i w:val="0"/>
                <w:iCs w:val="0"/>
                <w:color w:val="000000"/>
                <w:kern w:val="0"/>
                <w:sz w:val="21"/>
                <w:szCs w:val="21"/>
                <w:lang w:val="en-US" w:eastAsia="zh-CN" w:bidi="ar"/>
              </w:rPr>
              <w:t>SP</w:t>
            </w:r>
          </w:p>
        </w:tc>
        <w:tc>
          <w:tcPr>
            <w:tcW w:w="823" w:type="dxa"/>
            <w:tcBorders>
              <w:top w:val="single" w:color="auto" w:sz="4" w:space="0"/>
              <w:left w:val="nil"/>
              <w:bottom w:val="single" w:color="auto" w:sz="4" w:space="0"/>
              <w:right w:val="nil"/>
            </w:tcBorders>
            <w:shd w:val="clear" w:color="auto" w:fill="auto"/>
            <w:vAlign w:val="center"/>
          </w:tcPr>
          <w:p w14:paraId="620CAE3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1"/>
                <w:szCs w:val="21"/>
              </w:rPr>
            </w:pPr>
            <w:r>
              <w:rPr>
                <w:rFonts w:hint="default" w:ascii="Times New Roman" w:hAnsi="Times New Roman" w:eastAsia="宋体" w:cs="Times New Roman"/>
                <w:b w:val="0"/>
                <w:bCs/>
                <w:i w:val="0"/>
                <w:iCs w:val="0"/>
                <w:color w:val="000000"/>
                <w:kern w:val="0"/>
                <w:sz w:val="21"/>
                <w:szCs w:val="21"/>
                <w:lang w:val="en-US" w:eastAsia="zh-CN" w:bidi="ar"/>
              </w:rPr>
              <w:t>%</w:t>
            </w:r>
          </w:p>
        </w:tc>
        <w:tc>
          <w:tcPr>
            <w:tcW w:w="513" w:type="dxa"/>
            <w:tcBorders>
              <w:top w:val="single" w:color="auto" w:sz="4" w:space="0"/>
              <w:left w:val="nil"/>
              <w:bottom w:val="single" w:color="auto" w:sz="4" w:space="0"/>
              <w:right w:val="nil"/>
            </w:tcBorders>
            <w:shd w:val="clear" w:color="auto" w:fill="auto"/>
            <w:vAlign w:val="center"/>
          </w:tcPr>
          <w:p w14:paraId="59B93D8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1"/>
                <w:szCs w:val="21"/>
              </w:rPr>
            </w:pPr>
            <w:r>
              <w:rPr>
                <w:rFonts w:hint="default" w:ascii="Times New Roman" w:hAnsi="Times New Roman" w:eastAsia="宋体" w:cs="Times New Roman"/>
                <w:b w:val="0"/>
                <w:bCs/>
                <w:i w:val="0"/>
                <w:iCs w:val="0"/>
                <w:color w:val="000000"/>
                <w:kern w:val="0"/>
                <w:sz w:val="21"/>
                <w:szCs w:val="21"/>
                <w:lang w:val="en-US" w:eastAsia="zh-CN" w:bidi="ar"/>
              </w:rPr>
              <w:t>NISP</w:t>
            </w:r>
          </w:p>
        </w:tc>
        <w:tc>
          <w:tcPr>
            <w:tcW w:w="832" w:type="dxa"/>
            <w:tcBorders>
              <w:top w:val="single" w:color="auto" w:sz="4" w:space="0"/>
              <w:left w:val="nil"/>
              <w:bottom w:val="single" w:color="auto" w:sz="4" w:space="0"/>
              <w:right w:val="nil"/>
            </w:tcBorders>
            <w:shd w:val="clear" w:color="auto" w:fill="auto"/>
            <w:vAlign w:val="center"/>
          </w:tcPr>
          <w:p w14:paraId="6272DE8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1"/>
                <w:szCs w:val="21"/>
              </w:rPr>
            </w:pPr>
            <w:r>
              <w:rPr>
                <w:rFonts w:hint="default" w:ascii="Times New Roman" w:hAnsi="Times New Roman" w:eastAsia="宋体" w:cs="Times New Roman"/>
                <w:b w:val="0"/>
                <w:bCs/>
                <w:i w:val="0"/>
                <w:iCs w:val="0"/>
                <w:color w:val="000000"/>
                <w:kern w:val="0"/>
                <w:sz w:val="21"/>
                <w:szCs w:val="21"/>
                <w:lang w:val="en-US" w:eastAsia="zh-CN" w:bidi="ar"/>
              </w:rPr>
              <w:t>%</w:t>
            </w:r>
          </w:p>
        </w:tc>
        <w:tc>
          <w:tcPr>
            <w:tcW w:w="593" w:type="dxa"/>
            <w:tcBorders>
              <w:top w:val="single" w:color="auto" w:sz="4" w:space="0"/>
              <w:left w:val="nil"/>
              <w:bottom w:val="single" w:color="auto" w:sz="4" w:space="0"/>
              <w:right w:val="nil"/>
            </w:tcBorders>
            <w:shd w:val="clear" w:color="auto" w:fill="auto"/>
            <w:vAlign w:val="center"/>
          </w:tcPr>
          <w:p w14:paraId="0E77543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0"/>
                <w:sz w:val="21"/>
                <w:szCs w:val="21"/>
              </w:rPr>
            </w:pPr>
            <w:r>
              <w:rPr>
                <w:rFonts w:hint="default" w:ascii="Times New Roman" w:hAnsi="Times New Roman" w:eastAsia="宋体" w:cs="Times New Roman"/>
                <w:b w:val="0"/>
                <w:bCs/>
                <w:i w:val="0"/>
                <w:iCs w:val="0"/>
                <w:color w:val="000000"/>
                <w:kern w:val="0"/>
                <w:sz w:val="21"/>
                <w:szCs w:val="21"/>
                <w:lang w:val="en-US" w:eastAsia="zh-CN" w:bidi="ar"/>
              </w:rPr>
              <w:t>NI</w:t>
            </w:r>
          </w:p>
          <w:p w14:paraId="6C30B9D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1"/>
                <w:szCs w:val="21"/>
              </w:rPr>
            </w:pPr>
            <w:r>
              <w:rPr>
                <w:rFonts w:hint="default" w:ascii="Times New Roman" w:hAnsi="Times New Roman" w:eastAsia="宋体" w:cs="Times New Roman"/>
                <w:b w:val="0"/>
                <w:bCs/>
                <w:i w:val="0"/>
                <w:iCs w:val="0"/>
                <w:color w:val="000000"/>
                <w:kern w:val="0"/>
                <w:sz w:val="21"/>
                <w:szCs w:val="21"/>
                <w:lang w:val="en-US" w:eastAsia="zh-CN" w:bidi="ar"/>
              </w:rPr>
              <w:t>SP</w:t>
            </w:r>
          </w:p>
        </w:tc>
        <w:tc>
          <w:tcPr>
            <w:tcW w:w="823" w:type="dxa"/>
            <w:tcBorders>
              <w:top w:val="single" w:color="auto" w:sz="4" w:space="0"/>
              <w:left w:val="nil"/>
              <w:bottom w:val="single" w:color="auto" w:sz="4" w:space="0"/>
              <w:right w:val="nil"/>
            </w:tcBorders>
            <w:shd w:val="clear" w:color="auto" w:fill="auto"/>
            <w:vAlign w:val="center"/>
          </w:tcPr>
          <w:p w14:paraId="6BBDAFE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1"/>
                <w:szCs w:val="21"/>
              </w:rPr>
            </w:pPr>
            <w:r>
              <w:rPr>
                <w:rFonts w:hint="default" w:ascii="Times New Roman" w:hAnsi="Times New Roman" w:eastAsia="宋体" w:cs="Times New Roman"/>
                <w:b w:val="0"/>
                <w:bCs/>
                <w:i w:val="0"/>
                <w:iCs w:val="0"/>
                <w:color w:val="000000"/>
                <w:kern w:val="0"/>
                <w:sz w:val="21"/>
                <w:szCs w:val="21"/>
                <w:lang w:val="en-US" w:eastAsia="zh-CN" w:bidi="ar"/>
              </w:rPr>
              <w:t>%</w:t>
            </w:r>
          </w:p>
        </w:tc>
        <w:tc>
          <w:tcPr>
            <w:tcW w:w="531" w:type="dxa"/>
            <w:tcBorders>
              <w:top w:val="single" w:color="auto" w:sz="4" w:space="0"/>
              <w:left w:val="nil"/>
              <w:bottom w:val="single" w:color="auto" w:sz="4" w:space="0"/>
              <w:right w:val="nil"/>
            </w:tcBorders>
            <w:shd w:val="clear" w:color="auto" w:fill="auto"/>
            <w:vAlign w:val="center"/>
          </w:tcPr>
          <w:p w14:paraId="0120F39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1"/>
                <w:szCs w:val="21"/>
              </w:rPr>
            </w:pPr>
            <w:r>
              <w:rPr>
                <w:rFonts w:hint="default" w:ascii="Times New Roman" w:hAnsi="Times New Roman" w:eastAsia="宋体" w:cs="Times New Roman"/>
                <w:b w:val="0"/>
                <w:bCs/>
                <w:i w:val="0"/>
                <w:iCs w:val="0"/>
                <w:color w:val="000000"/>
                <w:kern w:val="0"/>
                <w:sz w:val="21"/>
                <w:szCs w:val="21"/>
                <w:lang w:val="en-US" w:eastAsia="zh-CN" w:bidi="ar"/>
              </w:rPr>
              <w:t>NISP</w:t>
            </w:r>
          </w:p>
        </w:tc>
        <w:tc>
          <w:tcPr>
            <w:tcW w:w="805" w:type="dxa"/>
            <w:tcBorders>
              <w:top w:val="single" w:color="auto" w:sz="4" w:space="0"/>
              <w:left w:val="nil"/>
              <w:bottom w:val="single" w:color="auto" w:sz="4" w:space="0"/>
              <w:right w:val="nil"/>
            </w:tcBorders>
            <w:shd w:val="clear" w:color="auto" w:fill="auto"/>
            <w:vAlign w:val="center"/>
          </w:tcPr>
          <w:p w14:paraId="04AC6DA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1"/>
                <w:szCs w:val="21"/>
              </w:rPr>
            </w:pPr>
            <w:r>
              <w:rPr>
                <w:rFonts w:hint="default" w:ascii="Times New Roman" w:hAnsi="Times New Roman" w:eastAsia="宋体" w:cs="Times New Roman"/>
                <w:b w:val="0"/>
                <w:bCs/>
                <w:i w:val="0"/>
                <w:iCs w:val="0"/>
                <w:color w:val="000000"/>
                <w:kern w:val="0"/>
                <w:sz w:val="21"/>
                <w:szCs w:val="21"/>
                <w:lang w:val="en-US" w:eastAsia="zh-CN" w:bidi="ar"/>
              </w:rPr>
              <w:t>%</w:t>
            </w:r>
          </w:p>
        </w:tc>
        <w:tc>
          <w:tcPr>
            <w:tcW w:w="531" w:type="dxa"/>
            <w:tcBorders>
              <w:top w:val="single" w:color="auto" w:sz="4" w:space="0"/>
              <w:left w:val="nil"/>
              <w:bottom w:val="single" w:color="auto" w:sz="4" w:space="0"/>
              <w:right w:val="nil"/>
            </w:tcBorders>
            <w:shd w:val="clear" w:color="auto" w:fill="auto"/>
            <w:vAlign w:val="center"/>
          </w:tcPr>
          <w:p w14:paraId="426DF2C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1"/>
                <w:szCs w:val="21"/>
              </w:rPr>
            </w:pPr>
            <w:r>
              <w:rPr>
                <w:rFonts w:hint="default" w:ascii="Times New Roman" w:hAnsi="Times New Roman" w:eastAsia="宋体" w:cs="Times New Roman"/>
                <w:b w:val="0"/>
                <w:bCs/>
                <w:i w:val="0"/>
                <w:iCs w:val="0"/>
                <w:color w:val="000000"/>
                <w:kern w:val="0"/>
                <w:sz w:val="21"/>
                <w:szCs w:val="21"/>
                <w:lang w:val="en-US" w:eastAsia="zh-CN" w:bidi="ar"/>
              </w:rPr>
              <w:t>NISP</w:t>
            </w:r>
          </w:p>
        </w:tc>
        <w:tc>
          <w:tcPr>
            <w:tcW w:w="859" w:type="dxa"/>
            <w:tcBorders>
              <w:top w:val="single" w:color="auto" w:sz="4" w:space="0"/>
              <w:left w:val="nil"/>
              <w:bottom w:val="single" w:color="auto" w:sz="4" w:space="0"/>
              <w:right w:val="nil"/>
            </w:tcBorders>
            <w:shd w:val="clear" w:color="auto" w:fill="auto"/>
            <w:vAlign w:val="center"/>
          </w:tcPr>
          <w:p w14:paraId="5C2A16F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1"/>
                <w:szCs w:val="21"/>
              </w:rPr>
            </w:pPr>
            <w:r>
              <w:rPr>
                <w:rFonts w:hint="default" w:ascii="Times New Roman" w:hAnsi="Times New Roman" w:eastAsia="宋体" w:cs="Times New Roman"/>
                <w:b w:val="0"/>
                <w:bCs/>
                <w:i w:val="0"/>
                <w:iCs w:val="0"/>
                <w:color w:val="000000"/>
                <w:kern w:val="0"/>
                <w:sz w:val="21"/>
                <w:szCs w:val="21"/>
                <w:lang w:val="en-US" w:eastAsia="zh-CN" w:bidi="ar"/>
              </w:rPr>
              <w:t>%</w:t>
            </w:r>
          </w:p>
        </w:tc>
        <w:tc>
          <w:tcPr>
            <w:tcW w:w="487" w:type="dxa"/>
            <w:tcBorders>
              <w:top w:val="single" w:color="auto" w:sz="4" w:space="0"/>
              <w:left w:val="nil"/>
              <w:bottom w:val="single" w:color="auto" w:sz="4" w:space="0"/>
              <w:right w:val="nil"/>
            </w:tcBorders>
            <w:shd w:val="clear" w:color="auto" w:fill="auto"/>
            <w:vAlign w:val="center"/>
          </w:tcPr>
          <w:p w14:paraId="7F4CB08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1"/>
                <w:szCs w:val="21"/>
              </w:rPr>
            </w:pPr>
            <w:r>
              <w:rPr>
                <w:rFonts w:hint="default" w:ascii="Times New Roman" w:hAnsi="Times New Roman" w:eastAsia="宋体" w:cs="Times New Roman"/>
                <w:b w:val="0"/>
                <w:bCs/>
                <w:i w:val="0"/>
                <w:iCs w:val="0"/>
                <w:color w:val="000000"/>
                <w:kern w:val="0"/>
                <w:sz w:val="21"/>
                <w:szCs w:val="21"/>
                <w:lang w:val="en-US" w:eastAsia="zh-CN" w:bidi="ar"/>
              </w:rPr>
              <w:t>NISP</w:t>
            </w:r>
          </w:p>
        </w:tc>
        <w:tc>
          <w:tcPr>
            <w:tcW w:w="823" w:type="dxa"/>
            <w:tcBorders>
              <w:top w:val="single" w:color="auto" w:sz="4" w:space="0"/>
              <w:left w:val="nil"/>
              <w:bottom w:val="single" w:color="auto" w:sz="4" w:space="0"/>
              <w:right w:val="nil"/>
            </w:tcBorders>
            <w:shd w:val="clear" w:color="auto" w:fill="auto"/>
            <w:vAlign w:val="center"/>
          </w:tcPr>
          <w:p w14:paraId="7FCB045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i w:val="0"/>
                <w:iCs w:val="0"/>
                <w:color w:val="000000"/>
                <w:kern w:val="2"/>
                <w:sz w:val="21"/>
                <w:szCs w:val="21"/>
              </w:rPr>
            </w:pPr>
            <w:r>
              <w:rPr>
                <w:rFonts w:hint="default" w:ascii="Times New Roman" w:hAnsi="Times New Roman" w:eastAsia="宋体" w:cs="Times New Roman"/>
                <w:b w:val="0"/>
                <w:bCs/>
                <w:i w:val="0"/>
                <w:iCs w:val="0"/>
                <w:color w:val="000000"/>
                <w:kern w:val="0"/>
                <w:sz w:val="21"/>
                <w:szCs w:val="21"/>
                <w:lang w:val="en-US" w:eastAsia="zh-CN" w:bidi="ar"/>
              </w:rPr>
              <w:t>%</w:t>
            </w:r>
          </w:p>
        </w:tc>
        <w:tc>
          <w:tcPr>
            <w:tcW w:w="725" w:type="dxa"/>
            <w:vMerge w:val="continue"/>
            <w:tcBorders>
              <w:top w:val="single" w:color="auto" w:sz="4" w:space="0"/>
              <w:left w:val="nil"/>
              <w:bottom w:val="single" w:color="auto" w:sz="4" w:space="0"/>
              <w:right w:val="nil"/>
            </w:tcBorders>
            <w:shd w:val="clear" w:color="auto" w:fill="auto"/>
            <w:noWrap/>
            <w:vAlign w:val="center"/>
          </w:tcPr>
          <w:p w14:paraId="0323CB29">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725" w:type="dxa"/>
            <w:vMerge w:val="continue"/>
            <w:tcBorders>
              <w:top w:val="single" w:color="auto" w:sz="4" w:space="0"/>
              <w:left w:val="nil"/>
              <w:bottom w:val="single" w:color="auto" w:sz="4" w:space="0"/>
              <w:right w:val="nil"/>
            </w:tcBorders>
            <w:shd w:val="clear" w:color="auto" w:fill="auto"/>
            <w:noWrap/>
            <w:vAlign w:val="center"/>
          </w:tcPr>
          <w:p w14:paraId="6D2EC1F6">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r>
      <w:tr w14:paraId="0EB7C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15815" w:type="dxa"/>
            <w:gridSpan w:val="21"/>
            <w:tcBorders>
              <w:top w:val="single" w:color="auto" w:sz="4" w:space="0"/>
              <w:left w:val="nil"/>
              <w:bottom w:val="single" w:color="auto" w:sz="4" w:space="0"/>
              <w:right w:val="nil"/>
            </w:tcBorders>
            <w:shd w:val="clear" w:color="auto" w:fill="auto"/>
            <w:vAlign w:val="center"/>
          </w:tcPr>
          <w:p w14:paraId="37CF0B8E">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b/>
                <w:bCs/>
                <w:i w:val="0"/>
                <w:iCs w:val="0"/>
                <w:color w:val="000000"/>
                <w:kern w:val="0"/>
                <w:sz w:val="20"/>
                <w:szCs w:val="20"/>
                <w:lang w:val="en-US" w:eastAsia="zh-CN"/>
              </w:rPr>
            </w:pPr>
            <w:r>
              <w:rPr>
                <w:rFonts w:hint="eastAsia" w:cs="Times New Roman"/>
                <w:b/>
                <w:bCs/>
                <w:i w:val="0"/>
                <w:iCs w:val="0"/>
                <w:color w:val="000000"/>
                <w:kern w:val="0"/>
                <w:sz w:val="20"/>
                <w:szCs w:val="20"/>
                <w:lang w:val="en-US" w:eastAsia="zh-CN"/>
              </w:rPr>
              <w:t>Intact cortical surface</w:t>
            </w:r>
          </w:p>
        </w:tc>
      </w:tr>
      <w:tr w14:paraId="6CA9B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1843" w:type="dxa"/>
            <w:tcBorders>
              <w:top w:val="single" w:color="auto" w:sz="4" w:space="0"/>
              <w:left w:val="nil"/>
              <w:bottom w:val="nil"/>
              <w:right w:val="nil"/>
            </w:tcBorders>
            <w:shd w:val="clear" w:color="auto" w:fill="auto"/>
            <w:vAlign w:val="center"/>
          </w:tcPr>
          <w:p w14:paraId="2FB4FC7F">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iCs/>
                <w:color w:val="000000"/>
                <w:kern w:val="2"/>
                <w:sz w:val="20"/>
                <w:szCs w:val="20"/>
              </w:rPr>
            </w:pPr>
            <w:r>
              <w:rPr>
                <w:rFonts w:hint="default" w:ascii="Times New Roman" w:hAnsi="Times New Roman" w:eastAsia="宋体" w:cs="Times New Roman"/>
                <w:i/>
                <w:iCs/>
                <w:color w:val="000000"/>
                <w:kern w:val="0"/>
                <w:sz w:val="20"/>
                <w:szCs w:val="20"/>
                <w:lang w:val="en-US" w:eastAsia="zh-CN" w:bidi="ar"/>
              </w:rPr>
              <w:t>0-20%</w:t>
            </w:r>
          </w:p>
        </w:tc>
        <w:tc>
          <w:tcPr>
            <w:tcW w:w="695" w:type="dxa"/>
            <w:tcBorders>
              <w:top w:val="single" w:color="auto" w:sz="4" w:space="0"/>
              <w:left w:val="nil"/>
              <w:bottom w:val="nil"/>
              <w:right w:val="nil"/>
            </w:tcBorders>
            <w:shd w:val="clear" w:color="auto" w:fill="auto"/>
            <w:vAlign w:val="center"/>
          </w:tcPr>
          <w:p w14:paraId="41C29128">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624</w:t>
            </w:r>
          </w:p>
        </w:tc>
        <w:tc>
          <w:tcPr>
            <w:tcW w:w="794" w:type="dxa"/>
            <w:tcBorders>
              <w:top w:val="single" w:color="auto" w:sz="4" w:space="0"/>
              <w:left w:val="nil"/>
              <w:bottom w:val="nil"/>
              <w:right w:val="nil"/>
            </w:tcBorders>
            <w:shd w:val="clear" w:color="auto" w:fill="auto"/>
            <w:vAlign w:val="center"/>
          </w:tcPr>
          <w:p w14:paraId="41944B4E">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22.37</w:t>
            </w:r>
          </w:p>
        </w:tc>
        <w:tc>
          <w:tcPr>
            <w:tcW w:w="555" w:type="dxa"/>
            <w:tcBorders>
              <w:top w:val="single" w:color="auto" w:sz="4" w:space="0"/>
              <w:left w:val="nil"/>
              <w:bottom w:val="nil"/>
              <w:right w:val="nil"/>
            </w:tcBorders>
            <w:shd w:val="clear" w:color="auto" w:fill="auto"/>
            <w:vAlign w:val="center"/>
          </w:tcPr>
          <w:p w14:paraId="743637B6">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134</w:t>
            </w:r>
          </w:p>
        </w:tc>
        <w:tc>
          <w:tcPr>
            <w:tcW w:w="867" w:type="dxa"/>
            <w:tcBorders>
              <w:top w:val="single" w:color="auto" w:sz="4" w:space="0"/>
              <w:left w:val="nil"/>
              <w:bottom w:val="nil"/>
              <w:right w:val="nil"/>
            </w:tcBorders>
            <w:shd w:val="clear" w:color="auto" w:fill="auto"/>
            <w:vAlign w:val="center"/>
          </w:tcPr>
          <w:p w14:paraId="472F87CC">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30.52</w:t>
            </w:r>
          </w:p>
        </w:tc>
        <w:tc>
          <w:tcPr>
            <w:tcW w:w="522" w:type="dxa"/>
            <w:tcBorders>
              <w:top w:val="single" w:color="auto" w:sz="4" w:space="0"/>
              <w:left w:val="nil"/>
              <w:bottom w:val="nil"/>
              <w:right w:val="nil"/>
            </w:tcBorders>
            <w:shd w:val="clear" w:color="auto" w:fill="auto"/>
            <w:vAlign w:val="center"/>
          </w:tcPr>
          <w:p w14:paraId="43898C6C">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w:t>
            </w:r>
          </w:p>
        </w:tc>
        <w:tc>
          <w:tcPr>
            <w:tcW w:w="858" w:type="dxa"/>
            <w:tcBorders>
              <w:top w:val="single" w:color="auto" w:sz="4" w:space="0"/>
              <w:left w:val="nil"/>
              <w:bottom w:val="nil"/>
              <w:right w:val="nil"/>
            </w:tcBorders>
            <w:shd w:val="clear" w:color="auto" w:fill="auto"/>
            <w:vAlign w:val="center"/>
          </w:tcPr>
          <w:p w14:paraId="588E599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22.22</w:t>
            </w:r>
          </w:p>
        </w:tc>
        <w:tc>
          <w:tcPr>
            <w:tcW w:w="611" w:type="dxa"/>
            <w:tcBorders>
              <w:top w:val="single" w:color="auto" w:sz="4" w:space="0"/>
              <w:left w:val="nil"/>
              <w:bottom w:val="nil"/>
              <w:right w:val="nil"/>
            </w:tcBorders>
            <w:shd w:val="clear" w:color="auto" w:fill="auto"/>
            <w:vAlign w:val="center"/>
          </w:tcPr>
          <w:p w14:paraId="7037BCA9">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498</w:t>
            </w:r>
          </w:p>
        </w:tc>
        <w:tc>
          <w:tcPr>
            <w:tcW w:w="823" w:type="dxa"/>
            <w:tcBorders>
              <w:top w:val="single" w:color="auto" w:sz="4" w:space="0"/>
              <w:left w:val="nil"/>
              <w:bottom w:val="nil"/>
              <w:right w:val="nil"/>
            </w:tcBorders>
            <w:shd w:val="clear" w:color="auto" w:fill="auto"/>
            <w:vAlign w:val="center"/>
          </w:tcPr>
          <w:p w14:paraId="3DE616AF">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51.88</w:t>
            </w:r>
          </w:p>
        </w:tc>
        <w:tc>
          <w:tcPr>
            <w:tcW w:w="513" w:type="dxa"/>
            <w:tcBorders>
              <w:top w:val="single" w:color="auto" w:sz="4" w:space="0"/>
              <w:left w:val="nil"/>
              <w:bottom w:val="nil"/>
              <w:right w:val="nil"/>
            </w:tcBorders>
            <w:shd w:val="clear" w:color="auto" w:fill="auto"/>
            <w:vAlign w:val="center"/>
          </w:tcPr>
          <w:p w14:paraId="7896EE04">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36</w:t>
            </w:r>
          </w:p>
        </w:tc>
        <w:tc>
          <w:tcPr>
            <w:tcW w:w="832" w:type="dxa"/>
            <w:tcBorders>
              <w:top w:val="single" w:color="auto" w:sz="4" w:space="0"/>
              <w:left w:val="nil"/>
              <w:bottom w:val="nil"/>
              <w:right w:val="nil"/>
            </w:tcBorders>
            <w:shd w:val="clear" w:color="auto" w:fill="auto"/>
            <w:vAlign w:val="center"/>
          </w:tcPr>
          <w:p w14:paraId="2BD5E034">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54.55</w:t>
            </w:r>
          </w:p>
        </w:tc>
        <w:tc>
          <w:tcPr>
            <w:tcW w:w="593" w:type="dxa"/>
            <w:tcBorders>
              <w:top w:val="single" w:color="auto" w:sz="4" w:space="0"/>
              <w:left w:val="nil"/>
              <w:bottom w:val="nil"/>
              <w:right w:val="nil"/>
            </w:tcBorders>
            <w:shd w:val="clear" w:color="auto" w:fill="auto"/>
            <w:vAlign w:val="center"/>
          </w:tcPr>
          <w:p w14:paraId="2A7CB84B">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385</w:t>
            </w:r>
          </w:p>
        </w:tc>
        <w:tc>
          <w:tcPr>
            <w:tcW w:w="823" w:type="dxa"/>
            <w:tcBorders>
              <w:top w:val="single" w:color="auto" w:sz="4" w:space="0"/>
              <w:left w:val="nil"/>
              <w:bottom w:val="nil"/>
              <w:right w:val="nil"/>
            </w:tcBorders>
            <w:shd w:val="clear" w:color="auto" w:fill="auto"/>
            <w:vAlign w:val="center"/>
          </w:tcPr>
          <w:p w14:paraId="74B4785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46.78</w:t>
            </w:r>
          </w:p>
        </w:tc>
        <w:tc>
          <w:tcPr>
            <w:tcW w:w="531" w:type="dxa"/>
            <w:tcBorders>
              <w:top w:val="single" w:color="auto" w:sz="4" w:space="0"/>
              <w:left w:val="nil"/>
              <w:bottom w:val="nil"/>
              <w:right w:val="nil"/>
            </w:tcBorders>
            <w:shd w:val="clear" w:color="auto" w:fill="auto"/>
            <w:vAlign w:val="center"/>
          </w:tcPr>
          <w:p w14:paraId="30ECD93F">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30</w:t>
            </w:r>
          </w:p>
        </w:tc>
        <w:tc>
          <w:tcPr>
            <w:tcW w:w="805" w:type="dxa"/>
            <w:tcBorders>
              <w:top w:val="single" w:color="auto" w:sz="4" w:space="0"/>
              <w:left w:val="nil"/>
              <w:bottom w:val="nil"/>
              <w:right w:val="nil"/>
            </w:tcBorders>
            <w:shd w:val="clear" w:color="auto" w:fill="auto"/>
            <w:vAlign w:val="center"/>
          </w:tcPr>
          <w:p w14:paraId="75E24E9B">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50.00</w:t>
            </w:r>
          </w:p>
        </w:tc>
        <w:tc>
          <w:tcPr>
            <w:tcW w:w="531" w:type="dxa"/>
            <w:tcBorders>
              <w:top w:val="single" w:color="auto" w:sz="4" w:space="0"/>
              <w:left w:val="nil"/>
              <w:bottom w:val="nil"/>
              <w:right w:val="nil"/>
            </w:tcBorders>
            <w:shd w:val="clear" w:color="auto" w:fill="auto"/>
            <w:vAlign w:val="center"/>
          </w:tcPr>
          <w:p w14:paraId="244AF3CF">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111</w:t>
            </w:r>
          </w:p>
        </w:tc>
        <w:tc>
          <w:tcPr>
            <w:tcW w:w="859" w:type="dxa"/>
            <w:tcBorders>
              <w:top w:val="single" w:color="auto" w:sz="4" w:space="0"/>
              <w:left w:val="nil"/>
              <w:bottom w:val="nil"/>
              <w:right w:val="nil"/>
            </w:tcBorders>
            <w:shd w:val="clear" w:color="auto" w:fill="auto"/>
            <w:vAlign w:val="center"/>
          </w:tcPr>
          <w:p w14:paraId="37F9760F">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52.61</w:t>
            </w:r>
          </w:p>
        </w:tc>
        <w:tc>
          <w:tcPr>
            <w:tcW w:w="487" w:type="dxa"/>
            <w:tcBorders>
              <w:top w:val="single" w:color="auto" w:sz="4" w:space="0"/>
              <w:left w:val="nil"/>
              <w:bottom w:val="nil"/>
              <w:right w:val="nil"/>
            </w:tcBorders>
            <w:shd w:val="clear" w:color="auto" w:fill="auto"/>
            <w:vAlign w:val="center"/>
          </w:tcPr>
          <w:p w14:paraId="5EC6E970">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21</w:t>
            </w:r>
          </w:p>
        </w:tc>
        <w:tc>
          <w:tcPr>
            <w:tcW w:w="823" w:type="dxa"/>
            <w:tcBorders>
              <w:top w:val="single" w:color="auto" w:sz="4" w:space="0"/>
              <w:left w:val="nil"/>
              <w:bottom w:val="nil"/>
              <w:right w:val="nil"/>
            </w:tcBorders>
            <w:shd w:val="clear" w:color="auto" w:fill="auto"/>
            <w:vAlign w:val="center"/>
          </w:tcPr>
          <w:p w14:paraId="606D58E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30.00</w:t>
            </w:r>
          </w:p>
        </w:tc>
        <w:tc>
          <w:tcPr>
            <w:tcW w:w="725" w:type="dxa"/>
            <w:tcBorders>
              <w:top w:val="single" w:color="auto" w:sz="4" w:space="0"/>
              <w:left w:val="nil"/>
              <w:bottom w:val="nil"/>
              <w:right w:val="nil"/>
            </w:tcBorders>
            <w:shd w:val="clear" w:color="auto" w:fill="auto"/>
            <w:noWrap/>
            <w:vAlign w:val="center"/>
          </w:tcPr>
          <w:p w14:paraId="4BC8BA6D">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1841</w:t>
            </w:r>
          </w:p>
        </w:tc>
        <w:tc>
          <w:tcPr>
            <w:tcW w:w="725" w:type="dxa"/>
            <w:tcBorders>
              <w:top w:val="single" w:color="auto" w:sz="4" w:space="0"/>
              <w:left w:val="nil"/>
              <w:bottom w:val="nil"/>
              <w:right w:val="nil"/>
            </w:tcBorders>
            <w:shd w:val="clear" w:color="auto" w:fill="auto"/>
            <w:noWrap/>
            <w:vAlign w:val="center"/>
          </w:tcPr>
          <w:p w14:paraId="662143F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0"/>
                <w:sz w:val="20"/>
                <w:szCs w:val="20"/>
              </w:rPr>
            </w:pPr>
            <w:r>
              <w:rPr>
                <w:rFonts w:hint="default" w:ascii="Times New Roman" w:hAnsi="Times New Roman" w:eastAsia="宋体" w:cs="Times New Roman"/>
                <w:i w:val="0"/>
                <w:iCs w:val="0"/>
                <w:color w:val="000000"/>
                <w:kern w:val="0"/>
                <w:sz w:val="20"/>
                <w:szCs w:val="20"/>
                <w:lang w:val="en-US" w:eastAsia="zh-CN" w:bidi="ar"/>
              </w:rPr>
              <w:t xml:space="preserve">33.92 </w:t>
            </w:r>
          </w:p>
        </w:tc>
      </w:tr>
      <w:tr w14:paraId="42FD3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1843" w:type="dxa"/>
            <w:tcBorders>
              <w:top w:val="nil"/>
              <w:left w:val="nil"/>
              <w:bottom w:val="nil"/>
              <w:right w:val="nil"/>
            </w:tcBorders>
            <w:shd w:val="clear" w:color="auto" w:fill="auto"/>
            <w:vAlign w:val="center"/>
          </w:tcPr>
          <w:p w14:paraId="1AD06A13">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iCs/>
                <w:color w:val="000000"/>
                <w:kern w:val="2"/>
                <w:sz w:val="20"/>
                <w:szCs w:val="20"/>
              </w:rPr>
            </w:pPr>
            <w:r>
              <w:rPr>
                <w:rFonts w:hint="default" w:ascii="Times New Roman" w:hAnsi="Times New Roman" w:eastAsia="宋体" w:cs="Times New Roman"/>
                <w:i/>
                <w:iCs/>
                <w:color w:val="000000"/>
                <w:kern w:val="0"/>
                <w:sz w:val="20"/>
                <w:szCs w:val="20"/>
                <w:lang w:val="en-US" w:eastAsia="zh-CN" w:bidi="ar"/>
              </w:rPr>
              <w:t>20-60%</w:t>
            </w:r>
          </w:p>
        </w:tc>
        <w:tc>
          <w:tcPr>
            <w:tcW w:w="695" w:type="dxa"/>
            <w:tcBorders>
              <w:top w:val="nil"/>
              <w:left w:val="nil"/>
              <w:bottom w:val="nil"/>
              <w:right w:val="nil"/>
            </w:tcBorders>
            <w:shd w:val="clear" w:color="auto" w:fill="auto"/>
            <w:vAlign w:val="center"/>
          </w:tcPr>
          <w:p w14:paraId="65771DE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863</w:t>
            </w:r>
          </w:p>
        </w:tc>
        <w:tc>
          <w:tcPr>
            <w:tcW w:w="794" w:type="dxa"/>
            <w:tcBorders>
              <w:top w:val="nil"/>
              <w:left w:val="nil"/>
              <w:bottom w:val="nil"/>
              <w:right w:val="nil"/>
            </w:tcBorders>
            <w:shd w:val="clear" w:color="auto" w:fill="auto"/>
            <w:vAlign w:val="center"/>
          </w:tcPr>
          <w:p w14:paraId="6C45D9F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30.93</w:t>
            </w:r>
          </w:p>
        </w:tc>
        <w:tc>
          <w:tcPr>
            <w:tcW w:w="555" w:type="dxa"/>
            <w:tcBorders>
              <w:top w:val="nil"/>
              <w:left w:val="nil"/>
              <w:bottom w:val="nil"/>
              <w:right w:val="nil"/>
            </w:tcBorders>
            <w:shd w:val="clear" w:color="auto" w:fill="auto"/>
            <w:vAlign w:val="center"/>
          </w:tcPr>
          <w:p w14:paraId="49362376">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136</w:t>
            </w:r>
          </w:p>
        </w:tc>
        <w:tc>
          <w:tcPr>
            <w:tcW w:w="867" w:type="dxa"/>
            <w:tcBorders>
              <w:top w:val="nil"/>
              <w:left w:val="nil"/>
              <w:bottom w:val="nil"/>
              <w:right w:val="nil"/>
            </w:tcBorders>
            <w:shd w:val="clear" w:color="auto" w:fill="auto"/>
            <w:vAlign w:val="center"/>
          </w:tcPr>
          <w:p w14:paraId="239E319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30.98</w:t>
            </w:r>
          </w:p>
        </w:tc>
        <w:tc>
          <w:tcPr>
            <w:tcW w:w="522" w:type="dxa"/>
            <w:tcBorders>
              <w:top w:val="nil"/>
              <w:left w:val="nil"/>
              <w:bottom w:val="nil"/>
              <w:right w:val="nil"/>
            </w:tcBorders>
            <w:shd w:val="clear" w:color="auto" w:fill="auto"/>
            <w:vAlign w:val="center"/>
          </w:tcPr>
          <w:p w14:paraId="247F56B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3</w:t>
            </w:r>
          </w:p>
        </w:tc>
        <w:tc>
          <w:tcPr>
            <w:tcW w:w="858" w:type="dxa"/>
            <w:tcBorders>
              <w:top w:val="nil"/>
              <w:left w:val="nil"/>
              <w:bottom w:val="nil"/>
              <w:right w:val="nil"/>
            </w:tcBorders>
            <w:shd w:val="clear" w:color="auto" w:fill="auto"/>
            <w:vAlign w:val="center"/>
          </w:tcPr>
          <w:p w14:paraId="3A092D2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33.33</w:t>
            </w:r>
          </w:p>
        </w:tc>
        <w:tc>
          <w:tcPr>
            <w:tcW w:w="611" w:type="dxa"/>
            <w:tcBorders>
              <w:top w:val="nil"/>
              <w:left w:val="nil"/>
              <w:bottom w:val="nil"/>
              <w:right w:val="nil"/>
            </w:tcBorders>
            <w:shd w:val="clear" w:color="auto" w:fill="auto"/>
            <w:vAlign w:val="center"/>
          </w:tcPr>
          <w:p w14:paraId="008165B5">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275</w:t>
            </w:r>
          </w:p>
        </w:tc>
        <w:tc>
          <w:tcPr>
            <w:tcW w:w="823" w:type="dxa"/>
            <w:tcBorders>
              <w:top w:val="nil"/>
              <w:left w:val="nil"/>
              <w:bottom w:val="nil"/>
              <w:right w:val="nil"/>
            </w:tcBorders>
            <w:shd w:val="clear" w:color="auto" w:fill="auto"/>
            <w:vAlign w:val="center"/>
          </w:tcPr>
          <w:p w14:paraId="598B5335">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28.65</w:t>
            </w:r>
          </w:p>
        </w:tc>
        <w:tc>
          <w:tcPr>
            <w:tcW w:w="513" w:type="dxa"/>
            <w:tcBorders>
              <w:top w:val="nil"/>
              <w:left w:val="nil"/>
              <w:bottom w:val="nil"/>
              <w:right w:val="nil"/>
            </w:tcBorders>
            <w:shd w:val="clear" w:color="auto" w:fill="auto"/>
            <w:vAlign w:val="center"/>
          </w:tcPr>
          <w:p w14:paraId="55159C2C">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14</w:t>
            </w:r>
          </w:p>
        </w:tc>
        <w:tc>
          <w:tcPr>
            <w:tcW w:w="832" w:type="dxa"/>
            <w:tcBorders>
              <w:top w:val="nil"/>
              <w:left w:val="nil"/>
              <w:bottom w:val="nil"/>
              <w:right w:val="nil"/>
            </w:tcBorders>
            <w:shd w:val="clear" w:color="auto" w:fill="auto"/>
            <w:vAlign w:val="center"/>
          </w:tcPr>
          <w:p w14:paraId="42E773CC">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21.21</w:t>
            </w:r>
          </w:p>
        </w:tc>
        <w:tc>
          <w:tcPr>
            <w:tcW w:w="593" w:type="dxa"/>
            <w:tcBorders>
              <w:top w:val="nil"/>
              <w:left w:val="nil"/>
              <w:bottom w:val="nil"/>
              <w:right w:val="nil"/>
            </w:tcBorders>
            <w:shd w:val="clear" w:color="auto" w:fill="auto"/>
            <w:vAlign w:val="center"/>
          </w:tcPr>
          <w:p w14:paraId="78815238">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229</w:t>
            </w:r>
          </w:p>
        </w:tc>
        <w:tc>
          <w:tcPr>
            <w:tcW w:w="823" w:type="dxa"/>
            <w:tcBorders>
              <w:top w:val="nil"/>
              <w:left w:val="nil"/>
              <w:bottom w:val="nil"/>
              <w:right w:val="nil"/>
            </w:tcBorders>
            <w:shd w:val="clear" w:color="auto" w:fill="auto"/>
            <w:vAlign w:val="center"/>
          </w:tcPr>
          <w:p w14:paraId="54774B1B">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27.83</w:t>
            </w:r>
          </w:p>
        </w:tc>
        <w:tc>
          <w:tcPr>
            <w:tcW w:w="531" w:type="dxa"/>
            <w:tcBorders>
              <w:top w:val="nil"/>
              <w:left w:val="nil"/>
              <w:bottom w:val="nil"/>
              <w:right w:val="nil"/>
            </w:tcBorders>
            <w:shd w:val="clear" w:color="auto" w:fill="auto"/>
            <w:vAlign w:val="center"/>
          </w:tcPr>
          <w:p w14:paraId="2848780B">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19</w:t>
            </w:r>
          </w:p>
        </w:tc>
        <w:tc>
          <w:tcPr>
            <w:tcW w:w="805" w:type="dxa"/>
            <w:tcBorders>
              <w:top w:val="nil"/>
              <w:left w:val="nil"/>
              <w:bottom w:val="nil"/>
              <w:right w:val="nil"/>
            </w:tcBorders>
            <w:shd w:val="clear" w:color="auto" w:fill="auto"/>
            <w:vAlign w:val="center"/>
          </w:tcPr>
          <w:p w14:paraId="110643D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31.67</w:t>
            </w:r>
          </w:p>
        </w:tc>
        <w:tc>
          <w:tcPr>
            <w:tcW w:w="531" w:type="dxa"/>
            <w:tcBorders>
              <w:top w:val="nil"/>
              <w:left w:val="nil"/>
              <w:bottom w:val="nil"/>
              <w:right w:val="nil"/>
            </w:tcBorders>
            <w:shd w:val="clear" w:color="auto" w:fill="auto"/>
            <w:vAlign w:val="center"/>
          </w:tcPr>
          <w:p w14:paraId="32887D8F">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66</w:t>
            </w:r>
          </w:p>
        </w:tc>
        <w:tc>
          <w:tcPr>
            <w:tcW w:w="859" w:type="dxa"/>
            <w:tcBorders>
              <w:top w:val="nil"/>
              <w:left w:val="nil"/>
              <w:bottom w:val="nil"/>
              <w:right w:val="nil"/>
            </w:tcBorders>
            <w:shd w:val="clear" w:color="auto" w:fill="auto"/>
            <w:vAlign w:val="center"/>
          </w:tcPr>
          <w:p w14:paraId="070FB5CD">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31.28</w:t>
            </w:r>
          </w:p>
        </w:tc>
        <w:tc>
          <w:tcPr>
            <w:tcW w:w="487" w:type="dxa"/>
            <w:tcBorders>
              <w:top w:val="nil"/>
              <w:left w:val="nil"/>
              <w:bottom w:val="nil"/>
              <w:right w:val="nil"/>
            </w:tcBorders>
            <w:shd w:val="clear" w:color="auto" w:fill="auto"/>
            <w:vAlign w:val="center"/>
          </w:tcPr>
          <w:p w14:paraId="49F39B4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25</w:t>
            </w:r>
          </w:p>
        </w:tc>
        <w:tc>
          <w:tcPr>
            <w:tcW w:w="823" w:type="dxa"/>
            <w:tcBorders>
              <w:top w:val="nil"/>
              <w:left w:val="nil"/>
              <w:bottom w:val="nil"/>
              <w:right w:val="nil"/>
            </w:tcBorders>
            <w:shd w:val="clear" w:color="auto" w:fill="auto"/>
            <w:vAlign w:val="center"/>
          </w:tcPr>
          <w:p w14:paraId="23C120C9">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35.71</w:t>
            </w:r>
          </w:p>
        </w:tc>
        <w:tc>
          <w:tcPr>
            <w:tcW w:w="725" w:type="dxa"/>
            <w:tcBorders>
              <w:top w:val="nil"/>
              <w:left w:val="nil"/>
              <w:bottom w:val="nil"/>
              <w:right w:val="nil"/>
            </w:tcBorders>
            <w:shd w:val="clear" w:color="auto" w:fill="auto"/>
            <w:noWrap/>
            <w:vAlign w:val="center"/>
          </w:tcPr>
          <w:p w14:paraId="088F8A2D">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1630</w:t>
            </w:r>
          </w:p>
        </w:tc>
        <w:tc>
          <w:tcPr>
            <w:tcW w:w="725" w:type="dxa"/>
            <w:tcBorders>
              <w:top w:val="nil"/>
              <w:left w:val="nil"/>
              <w:bottom w:val="nil"/>
              <w:right w:val="nil"/>
            </w:tcBorders>
            <w:shd w:val="clear" w:color="auto" w:fill="auto"/>
            <w:noWrap/>
            <w:vAlign w:val="center"/>
          </w:tcPr>
          <w:p w14:paraId="1521A0D7">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0"/>
                <w:sz w:val="20"/>
                <w:szCs w:val="20"/>
              </w:rPr>
            </w:pPr>
            <w:r>
              <w:rPr>
                <w:rFonts w:hint="default" w:ascii="Times New Roman" w:hAnsi="Times New Roman" w:eastAsia="宋体" w:cs="Times New Roman"/>
                <w:i w:val="0"/>
                <w:iCs w:val="0"/>
                <w:color w:val="000000"/>
                <w:kern w:val="0"/>
                <w:sz w:val="20"/>
                <w:szCs w:val="20"/>
                <w:lang w:val="en-US" w:eastAsia="zh-CN" w:bidi="ar"/>
              </w:rPr>
              <w:t xml:space="preserve">30.03 </w:t>
            </w:r>
          </w:p>
        </w:tc>
      </w:tr>
      <w:tr w14:paraId="2F61C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1843" w:type="dxa"/>
            <w:tcBorders>
              <w:top w:val="nil"/>
              <w:left w:val="nil"/>
              <w:bottom w:val="nil"/>
              <w:right w:val="nil"/>
            </w:tcBorders>
            <w:shd w:val="clear" w:color="auto" w:fill="auto"/>
            <w:vAlign w:val="center"/>
          </w:tcPr>
          <w:p w14:paraId="6F7F4F19">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iCs/>
                <w:color w:val="000000"/>
                <w:kern w:val="2"/>
                <w:sz w:val="20"/>
                <w:szCs w:val="20"/>
              </w:rPr>
            </w:pPr>
            <w:r>
              <w:rPr>
                <w:rFonts w:hint="default" w:ascii="Times New Roman" w:hAnsi="Times New Roman" w:eastAsia="宋体" w:cs="Times New Roman"/>
                <w:i/>
                <w:iCs/>
                <w:color w:val="000000"/>
                <w:kern w:val="0"/>
                <w:sz w:val="20"/>
                <w:szCs w:val="20"/>
                <w:lang w:val="en-US" w:eastAsia="zh-CN" w:bidi="ar"/>
              </w:rPr>
              <w:t>60-80%</w:t>
            </w:r>
          </w:p>
        </w:tc>
        <w:tc>
          <w:tcPr>
            <w:tcW w:w="695" w:type="dxa"/>
            <w:tcBorders>
              <w:top w:val="nil"/>
              <w:left w:val="nil"/>
              <w:bottom w:val="nil"/>
              <w:right w:val="nil"/>
            </w:tcBorders>
            <w:shd w:val="clear" w:color="auto" w:fill="auto"/>
            <w:vAlign w:val="center"/>
          </w:tcPr>
          <w:p w14:paraId="524B90C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830</w:t>
            </w:r>
          </w:p>
        </w:tc>
        <w:tc>
          <w:tcPr>
            <w:tcW w:w="794" w:type="dxa"/>
            <w:tcBorders>
              <w:top w:val="nil"/>
              <w:left w:val="nil"/>
              <w:bottom w:val="nil"/>
              <w:right w:val="nil"/>
            </w:tcBorders>
            <w:shd w:val="clear" w:color="auto" w:fill="auto"/>
            <w:vAlign w:val="center"/>
          </w:tcPr>
          <w:p w14:paraId="41EA61BD">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29.75</w:t>
            </w:r>
          </w:p>
        </w:tc>
        <w:tc>
          <w:tcPr>
            <w:tcW w:w="555" w:type="dxa"/>
            <w:tcBorders>
              <w:top w:val="nil"/>
              <w:left w:val="nil"/>
              <w:bottom w:val="nil"/>
              <w:right w:val="nil"/>
            </w:tcBorders>
            <w:shd w:val="clear" w:color="auto" w:fill="auto"/>
            <w:vAlign w:val="center"/>
          </w:tcPr>
          <w:p w14:paraId="032536A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103</w:t>
            </w:r>
          </w:p>
        </w:tc>
        <w:tc>
          <w:tcPr>
            <w:tcW w:w="867" w:type="dxa"/>
            <w:tcBorders>
              <w:top w:val="nil"/>
              <w:left w:val="nil"/>
              <w:bottom w:val="nil"/>
              <w:right w:val="nil"/>
            </w:tcBorders>
            <w:shd w:val="clear" w:color="auto" w:fill="auto"/>
            <w:vAlign w:val="center"/>
          </w:tcPr>
          <w:p w14:paraId="5B40C5E6">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23.46</w:t>
            </w:r>
          </w:p>
        </w:tc>
        <w:tc>
          <w:tcPr>
            <w:tcW w:w="522" w:type="dxa"/>
            <w:tcBorders>
              <w:top w:val="nil"/>
              <w:left w:val="nil"/>
              <w:bottom w:val="nil"/>
              <w:right w:val="nil"/>
            </w:tcBorders>
            <w:shd w:val="clear" w:color="auto" w:fill="auto"/>
            <w:vAlign w:val="center"/>
          </w:tcPr>
          <w:p w14:paraId="1C2AA79D">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4</w:t>
            </w:r>
          </w:p>
        </w:tc>
        <w:tc>
          <w:tcPr>
            <w:tcW w:w="858" w:type="dxa"/>
            <w:tcBorders>
              <w:top w:val="nil"/>
              <w:left w:val="nil"/>
              <w:bottom w:val="nil"/>
              <w:right w:val="nil"/>
            </w:tcBorders>
            <w:shd w:val="clear" w:color="auto" w:fill="auto"/>
            <w:vAlign w:val="center"/>
          </w:tcPr>
          <w:p w14:paraId="63CD4FE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44.44</w:t>
            </w:r>
          </w:p>
        </w:tc>
        <w:tc>
          <w:tcPr>
            <w:tcW w:w="611" w:type="dxa"/>
            <w:tcBorders>
              <w:top w:val="nil"/>
              <w:left w:val="nil"/>
              <w:bottom w:val="nil"/>
              <w:right w:val="nil"/>
            </w:tcBorders>
            <w:shd w:val="clear" w:color="auto" w:fill="auto"/>
            <w:vAlign w:val="center"/>
          </w:tcPr>
          <w:p w14:paraId="66AC8908">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133</w:t>
            </w:r>
          </w:p>
        </w:tc>
        <w:tc>
          <w:tcPr>
            <w:tcW w:w="823" w:type="dxa"/>
            <w:tcBorders>
              <w:top w:val="nil"/>
              <w:left w:val="nil"/>
              <w:bottom w:val="nil"/>
              <w:right w:val="nil"/>
            </w:tcBorders>
            <w:shd w:val="clear" w:color="auto" w:fill="auto"/>
            <w:vAlign w:val="center"/>
          </w:tcPr>
          <w:p w14:paraId="62DE0F28">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13.85</w:t>
            </w:r>
          </w:p>
        </w:tc>
        <w:tc>
          <w:tcPr>
            <w:tcW w:w="513" w:type="dxa"/>
            <w:tcBorders>
              <w:top w:val="nil"/>
              <w:left w:val="nil"/>
              <w:bottom w:val="nil"/>
              <w:right w:val="nil"/>
            </w:tcBorders>
            <w:shd w:val="clear" w:color="auto" w:fill="auto"/>
            <w:vAlign w:val="center"/>
          </w:tcPr>
          <w:p w14:paraId="3376FA8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10</w:t>
            </w:r>
          </w:p>
        </w:tc>
        <w:tc>
          <w:tcPr>
            <w:tcW w:w="832" w:type="dxa"/>
            <w:tcBorders>
              <w:top w:val="nil"/>
              <w:left w:val="nil"/>
              <w:bottom w:val="nil"/>
              <w:right w:val="nil"/>
            </w:tcBorders>
            <w:shd w:val="clear" w:color="auto" w:fill="auto"/>
            <w:vAlign w:val="center"/>
          </w:tcPr>
          <w:p w14:paraId="5D4FA1BE">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15.15</w:t>
            </w:r>
          </w:p>
        </w:tc>
        <w:tc>
          <w:tcPr>
            <w:tcW w:w="593" w:type="dxa"/>
            <w:tcBorders>
              <w:top w:val="nil"/>
              <w:left w:val="nil"/>
              <w:bottom w:val="nil"/>
              <w:right w:val="nil"/>
            </w:tcBorders>
            <w:shd w:val="clear" w:color="auto" w:fill="auto"/>
            <w:vAlign w:val="center"/>
          </w:tcPr>
          <w:p w14:paraId="7C14B7B4">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157</w:t>
            </w:r>
          </w:p>
        </w:tc>
        <w:tc>
          <w:tcPr>
            <w:tcW w:w="823" w:type="dxa"/>
            <w:tcBorders>
              <w:top w:val="nil"/>
              <w:left w:val="nil"/>
              <w:bottom w:val="nil"/>
              <w:right w:val="nil"/>
            </w:tcBorders>
            <w:shd w:val="clear" w:color="auto" w:fill="auto"/>
            <w:vAlign w:val="center"/>
          </w:tcPr>
          <w:p w14:paraId="1B5DA11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19.08</w:t>
            </w:r>
          </w:p>
        </w:tc>
        <w:tc>
          <w:tcPr>
            <w:tcW w:w="531" w:type="dxa"/>
            <w:tcBorders>
              <w:top w:val="nil"/>
              <w:left w:val="nil"/>
              <w:bottom w:val="nil"/>
              <w:right w:val="nil"/>
            </w:tcBorders>
            <w:shd w:val="clear" w:color="auto" w:fill="auto"/>
            <w:vAlign w:val="center"/>
          </w:tcPr>
          <w:p w14:paraId="44DAFA9E">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5</w:t>
            </w:r>
          </w:p>
        </w:tc>
        <w:tc>
          <w:tcPr>
            <w:tcW w:w="805" w:type="dxa"/>
            <w:tcBorders>
              <w:top w:val="nil"/>
              <w:left w:val="nil"/>
              <w:bottom w:val="nil"/>
              <w:right w:val="nil"/>
            </w:tcBorders>
            <w:shd w:val="clear" w:color="auto" w:fill="auto"/>
            <w:vAlign w:val="center"/>
          </w:tcPr>
          <w:p w14:paraId="55804B26">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8.33</w:t>
            </w:r>
          </w:p>
        </w:tc>
        <w:tc>
          <w:tcPr>
            <w:tcW w:w="531" w:type="dxa"/>
            <w:tcBorders>
              <w:top w:val="nil"/>
              <w:left w:val="nil"/>
              <w:bottom w:val="nil"/>
              <w:right w:val="nil"/>
            </w:tcBorders>
            <w:shd w:val="clear" w:color="auto" w:fill="auto"/>
            <w:vAlign w:val="center"/>
          </w:tcPr>
          <w:p w14:paraId="56617854">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29</w:t>
            </w:r>
          </w:p>
        </w:tc>
        <w:tc>
          <w:tcPr>
            <w:tcW w:w="859" w:type="dxa"/>
            <w:tcBorders>
              <w:top w:val="nil"/>
              <w:left w:val="nil"/>
              <w:bottom w:val="nil"/>
              <w:right w:val="nil"/>
            </w:tcBorders>
            <w:shd w:val="clear" w:color="auto" w:fill="auto"/>
            <w:vAlign w:val="center"/>
          </w:tcPr>
          <w:p w14:paraId="5321869E">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13.74</w:t>
            </w:r>
          </w:p>
        </w:tc>
        <w:tc>
          <w:tcPr>
            <w:tcW w:w="487" w:type="dxa"/>
            <w:tcBorders>
              <w:top w:val="nil"/>
              <w:left w:val="nil"/>
              <w:bottom w:val="nil"/>
              <w:right w:val="nil"/>
            </w:tcBorders>
            <w:shd w:val="clear" w:color="auto" w:fill="auto"/>
            <w:vAlign w:val="center"/>
          </w:tcPr>
          <w:p w14:paraId="405D6890">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17</w:t>
            </w:r>
          </w:p>
        </w:tc>
        <w:tc>
          <w:tcPr>
            <w:tcW w:w="823" w:type="dxa"/>
            <w:tcBorders>
              <w:top w:val="nil"/>
              <w:left w:val="nil"/>
              <w:bottom w:val="nil"/>
              <w:right w:val="nil"/>
            </w:tcBorders>
            <w:shd w:val="clear" w:color="auto" w:fill="auto"/>
            <w:vAlign w:val="center"/>
          </w:tcPr>
          <w:p w14:paraId="4E6559DE">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24.29</w:t>
            </w:r>
          </w:p>
        </w:tc>
        <w:tc>
          <w:tcPr>
            <w:tcW w:w="725" w:type="dxa"/>
            <w:tcBorders>
              <w:top w:val="nil"/>
              <w:left w:val="nil"/>
              <w:bottom w:val="nil"/>
              <w:right w:val="nil"/>
            </w:tcBorders>
            <w:shd w:val="clear" w:color="auto" w:fill="auto"/>
            <w:noWrap/>
            <w:vAlign w:val="center"/>
          </w:tcPr>
          <w:p w14:paraId="47A0F90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1288</w:t>
            </w:r>
          </w:p>
        </w:tc>
        <w:tc>
          <w:tcPr>
            <w:tcW w:w="725" w:type="dxa"/>
            <w:tcBorders>
              <w:top w:val="nil"/>
              <w:left w:val="nil"/>
              <w:bottom w:val="nil"/>
              <w:right w:val="nil"/>
            </w:tcBorders>
            <w:shd w:val="clear" w:color="auto" w:fill="auto"/>
            <w:noWrap/>
            <w:vAlign w:val="center"/>
          </w:tcPr>
          <w:p w14:paraId="4F7541A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0"/>
                <w:sz w:val="20"/>
                <w:szCs w:val="20"/>
              </w:rPr>
            </w:pPr>
            <w:r>
              <w:rPr>
                <w:rFonts w:hint="default" w:ascii="Times New Roman" w:hAnsi="Times New Roman" w:eastAsia="宋体" w:cs="Times New Roman"/>
                <w:i w:val="0"/>
                <w:iCs w:val="0"/>
                <w:color w:val="000000"/>
                <w:kern w:val="0"/>
                <w:sz w:val="20"/>
                <w:szCs w:val="20"/>
                <w:lang w:val="en-US" w:eastAsia="zh-CN" w:bidi="ar"/>
              </w:rPr>
              <w:t xml:space="preserve">23.73 </w:t>
            </w:r>
          </w:p>
        </w:tc>
      </w:tr>
      <w:tr w14:paraId="0A807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1843" w:type="dxa"/>
            <w:tcBorders>
              <w:top w:val="nil"/>
              <w:left w:val="nil"/>
              <w:bottom w:val="nil"/>
              <w:right w:val="nil"/>
            </w:tcBorders>
            <w:shd w:val="clear" w:color="auto" w:fill="auto"/>
            <w:vAlign w:val="center"/>
          </w:tcPr>
          <w:p w14:paraId="79D03F8B">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iCs/>
                <w:color w:val="000000"/>
                <w:kern w:val="2"/>
                <w:sz w:val="20"/>
                <w:szCs w:val="20"/>
              </w:rPr>
            </w:pPr>
            <w:r>
              <w:rPr>
                <w:rFonts w:hint="default" w:ascii="Times New Roman" w:hAnsi="Times New Roman" w:eastAsia="宋体" w:cs="Times New Roman"/>
                <w:i/>
                <w:iCs/>
                <w:color w:val="000000"/>
                <w:kern w:val="0"/>
                <w:sz w:val="20"/>
                <w:szCs w:val="20"/>
                <w:lang w:val="en-US" w:eastAsia="zh-CN" w:bidi="ar"/>
              </w:rPr>
              <w:t>80-100%</w:t>
            </w:r>
          </w:p>
        </w:tc>
        <w:tc>
          <w:tcPr>
            <w:tcW w:w="695" w:type="dxa"/>
            <w:tcBorders>
              <w:top w:val="nil"/>
              <w:left w:val="nil"/>
              <w:bottom w:val="nil"/>
              <w:right w:val="nil"/>
            </w:tcBorders>
            <w:shd w:val="clear" w:color="auto" w:fill="auto"/>
            <w:vAlign w:val="center"/>
          </w:tcPr>
          <w:p w14:paraId="3B9A5FF9">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473</w:t>
            </w:r>
          </w:p>
        </w:tc>
        <w:tc>
          <w:tcPr>
            <w:tcW w:w="794" w:type="dxa"/>
            <w:tcBorders>
              <w:top w:val="nil"/>
              <w:left w:val="nil"/>
              <w:bottom w:val="nil"/>
              <w:right w:val="nil"/>
            </w:tcBorders>
            <w:shd w:val="clear" w:color="auto" w:fill="auto"/>
            <w:vAlign w:val="center"/>
          </w:tcPr>
          <w:p w14:paraId="02E775ED">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16.95</w:t>
            </w:r>
          </w:p>
        </w:tc>
        <w:tc>
          <w:tcPr>
            <w:tcW w:w="555" w:type="dxa"/>
            <w:tcBorders>
              <w:top w:val="nil"/>
              <w:left w:val="nil"/>
              <w:bottom w:val="nil"/>
              <w:right w:val="nil"/>
            </w:tcBorders>
            <w:shd w:val="clear" w:color="auto" w:fill="auto"/>
            <w:vAlign w:val="center"/>
          </w:tcPr>
          <w:p w14:paraId="56E2DE1B">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66</w:t>
            </w:r>
          </w:p>
        </w:tc>
        <w:tc>
          <w:tcPr>
            <w:tcW w:w="867" w:type="dxa"/>
            <w:tcBorders>
              <w:top w:val="nil"/>
              <w:left w:val="nil"/>
              <w:bottom w:val="nil"/>
              <w:right w:val="nil"/>
            </w:tcBorders>
            <w:shd w:val="clear" w:color="auto" w:fill="auto"/>
            <w:vAlign w:val="center"/>
          </w:tcPr>
          <w:p w14:paraId="0B9F6845">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15.03</w:t>
            </w:r>
          </w:p>
        </w:tc>
        <w:tc>
          <w:tcPr>
            <w:tcW w:w="522" w:type="dxa"/>
            <w:tcBorders>
              <w:top w:val="nil"/>
              <w:left w:val="nil"/>
              <w:bottom w:val="nil"/>
              <w:right w:val="nil"/>
            </w:tcBorders>
            <w:shd w:val="clear" w:color="auto" w:fill="auto"/>
            <w:vAlign w:val="center"/>
          </w:tcPr>
          <w:p w14:paraId="6F10817E">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58" w:type="dxa"/>
            <w:tcBorders>
              <w:top w:val="nil"/>
              <w:left w:val="nil"/>
              <w:bottom w:val="nil"/>
              <w:right w:val="nil"/>
            </w:tcBorders>
            <w:shd w:val="clear" w:color="auto" w:fill="auto"/>
            <w:vAlign w:val="center"/>
          </w:tcPr>
          <w:p w14:paraId="23C12CAD">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0.00</w:t>
            </w:r>
          </w:p>
        </w:tc>
        <w:tc>
          <w:tcPr>
            <w:tcW w:w="611" w:type="dxa"/>
            <w:tcBorders>
              <w:top w:val="nil"/>
              <w:left w:val="nil"/>
              <w:bottom w:val="nil"/>
              <w:right w:val="nil"/>
            </w:tcBorders>
            <w:shd w:val="clear" w:color="auto" w:fill="auto"/>
            <w:vAlign w:val="center"/>
          </w:tcPr>
          <w:p w14:paraId="447F84EF">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54</w:t>
            </w:r>
          </w:p>
        </w:tc>
        <w:tc>
          <w:tcPr>
            <w:tcW w:w="823" w:type="dxa"/>
            <w:tcBorders>
              <w:top w:val="nil"/>
              <w:left w:val="nil"/>
              <w:bottom w:val="nil"/>
              <w:right w:val="nil"/>
            </w:tcBorders>
            <w:shd w:val="clear" w:color="auto" w:fill="auto"/>
            <w:vAlign w:val="center"/>
          </w:tcPr>
          <w:p w14:paraId="00207E9E">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5.63</w:t>
            </w:r>
          </w:p>
        </w:tc>
        <w:tc>
          <w:tcPr>
            <w:tcW w:w="513" w:type="dxa"/>
            <w:tcBorders>
              <w:top w:val="nil"/>
              <w:left w:val="nil"/>
              <w:bottom w:val="nil"/>
              <w:right w:val="nil"/>
            </w:tcBorders>
            <w:shd w:val="clear" w:color="auto" w:fill="auto"/>
            <w:vAlign w:val="center"/>
          </w:tcPr>
          <w:p w14:paraId="47F94BA0">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6</w:t>
            </w:r>
          </w:p>
        </w:tc>
        <w:tc>
          <w:tcPr>
            <w:tcW w:w="832" w:type="dxa"/>
            <w:tcBorders>
              <w:top w:val="nil"/>
              <w:left w:val="nil"/>
              <w:bottom w:val="nil"/>
              <w:right w:val="nil"/>
            </w:tcBorders>
            <w:shd w:val="clear" w:color="auto" w:fill="auto"/>
            <w:vAlign w:val="center"/>
          </w:tcPr>
          <w:p w14:paraId="00C397E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9.09</w:t>
            </w:r>
          </w:p>
        </w:tc>
        <w:tc>
          <w:tcPr>
            <w:tcW w:w="593" w:type="dxa"/>
            <w:tcBorders>
              <w:top w:val="nil"/>
              <w:left w:val="nil"/>
              <w:bottom w:val="nil"/>
              <w:right w:val="nil"/>
            </w:tcBorders>
            <w:shd w:val="clear" w:color="auto" w:fill="auto"/>
            <w:vAlign w:val="center"/>
          </w:tcPr>
          <w:p w14:paraId="03FC2D5F">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52</w:t>
            </w:r>
          </w:p>
        </w:tc>
        <w:tc>
          <w:tcPr>
            <w:tcW w:w="823" w:type="dxa"/>
            <w:tcBorders>
              <w:top w:val="nil"/>
              <w:left w:val="nil"/>
              <w:bottom w:val="nil"/>
              <w:right w:val="nil"/>
            </w:tcBorders>
            <w:shd w:val="clear" w:color="auto" w:fill="auto"/>
            <w:vAlign w:val="center"/>
          </w:tcPr>
          <w:p w14:paraId="0F819640">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6.32</w:t>
            </w:r>
          </w:p>
        </w:tc>
        <w:tc>
          <w:tcPr>
            <w:tcW w:w="531" w:type="dxa"/>
            <w:tcBorders>
              <w:top w:val="nil"/>
              <w:left w:val="nil"/>
              <w:bottom w:val="nil"/>
              <w:right w:val="nil"/>
            </w:tcBorders>
            <w:shd w:val="clear" w:color="auto" w:fill="auto"/>
            <w:vAlign w:val="center"/>
          </w:tcPr>
          <w:p w14:paraId="6DA74805">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6</w:t>
            </w:r>
          </w:p>
        </w:tc>
        <w:tc>
          <w:tcPr>
            <w:tcW w:w="805" w:type="dxa"/>
            <w:tcBorders>
              <w:top w:val="nil"/>
              <w:left w:val="nil"/>
              <w:bottom w:val="nil"/>
              <w:right w:val="nil"/>
            </w:tcBorders>
            <w:shd w:val="clear" w:color="auto" w:fill="auto"/>
            <w:vAlign w:val="center"/>
          </w:tcPr>
          <w:p w14:paraId="47E969FC">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10.00</w:t>
            </w:r>
          </w:p>
        </w:tc>
        <w:tc>
          <w:tcPr>
            <w:tcW w:w="531" w:type="dxa"/>
            <w:tcBorders>
              <w:top w:val="nil"/>
              <w:left w:val="nil"/>
              <w:bottom w:val="nil"/>
              <w:right w:val="nil"/>
            </w:tcBorders>
            <w:shd w:val="clear" w:color="auto" w:fill="auto"/>
            <w:vAlign w:val="center"/>
          </w:tcPr>
          <w:p w14:paraId="0B8D5C8F">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5</w:t>
            </w:r>
          </w:p>
        </w:tc>
        <w:tc>
          <w:tcPr>
            <w:tcW w:w="859" w:type="dxa"/>
            <w:tcBorders>
              <w:top w:val="nil"/>
              <w:left w:val="nil"/>
              <w:bottom w:val="nil"/>
              <w:right w:val="nil"/>
            </w:tcBorders>
            <w:shd w:val="clear" w:color="auto" w:fill="auto"/>
            <w:vAlign w:val="center"/>
          </w:tcPr>
          <w:p w14:paraId="64ADB09C">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2.37</w:t>
            </w:r>
          </w:p>
        </w:tc>
        <w:tc>
          <w:tcPr>
            <w:tcW w:w="487" w:type="dxa"/>
            <w:tcBorders>
              <w:top w:val="nil"/>
              <w:left w:val="nil"/>
              <w:bottom w:val="nil"/>
              <w:right w:val="nil"/>
            </w:tcBorders>
            <w:shd w:val="clear" w:color="auto" w:fill="auto"/>
            <w:vAlign w:val="center"/>
          </w:tcPr>
          <w:p w14:paraId="7DABB25D">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7</w:t>
            </w:r>
          </w:p>
        </w:tc>
        <w:tc>
          <w:tcPr>
            <w:tcW w:w="823" w:type="dxa"/>
            <w:tcBorders>
              <w:top w:val="nil"/>
              <w:left w:val="nil"/>
              <w:bottom w:val="nil"/>
              <w:right w:val="nil"/>
            </w:tcBorders>
            <w:shd w:val="clear" w:color="auto" w:fill="auto"/>
            <w:vAlign w:val="center"/>
          </w:tcPr>
          <w:p w14:paraId="181DE22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10.00</w:t>
            </w:r>
          </w:p>
        </w:tc>
        <w:tc>
          <w:tcPr>
            <w:tcW w:w="725" w:type="dxa"/>
            <w:tcBorders>
              <w:top w:val="nil"/>
              <w:left w:val="nil"/>
              <w:bottom w:val="nil"/>
              <w:right w:val="nil"/>
            </w:tcBorders>
            <w:shd w:val="clear" w:color="auto" w:fill="auto"/>
            <w:noWrap/>
            <w:vAlign w:val="center"/>
          </w:tcPr>
          <w:p w14:paraId="674AEAE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669</w:t>
            </w:r>
          </w:p>
        </w:tc>
        <w:tc>
          <w:tcPr>
            <w:tcW w:w="725" w:type="dxa"/>
            <w:tcBorders>
              <w:top w:val="nil"/>
              <w:left w:val="nil"/>
              <w:bottom w:val="nil"/>
              <w:right w:val="nil"/>
            </w:tcBorders>
            <w:shd w:val="clear" w:color="auto" w:fill="auto"/>
            <w:noWrap/>
            <w:vAlign w:val="center"/>
          </w:tcPr>
          <w:p w14:paraId="45E50F8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0"/>
                <w:sz w:val="20"/>
                <w:szCs w:val="20"/>
              </w:rPr>
            </w:pPr>
            <w:r>
              <w:rPr>
                <w:rFonts w:hint="default" w:ascii="Times New Roman" w:hAnsi="Times New Roman" w:eastAsia="宋体" w:cs="Times New Roman"/>
                <w:i w:val="0"/>
                <w:iCs w:val="0"/>
                <w:color w:val="000000"/>
                <w:kern w:val="0"/>
                <w:sz w:val="20"/>
                <w:szCs w:val="20"/>
                <w:lang w:val="en-US" w:eastAsia="zh-CN" w:bidi="ar"/>
              </w:rPr>
              <w:t xml:space="preserve">12.32 </w:t>
            </w:r>
          </w:p>
        </w:tc>
      </w:tr>
      <w:tr w14:paraId="1B85C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1843" w:type="dxa"/>
            <w:tcBorders>
              <w:top w:val="nil"/>
              <w:left w:val="nil"/>
              <w:bottom w:val="single" w:color="auto" w:sz="4" w:space="0"/>
              <w:right w:val="nil"/>
            </w:tcBorders>
            <w:shd w:val="clear" w:color="auto" w:fill="auto"/>
            <w:vAlign w:val="center"/>
          </w:tcPr>
          <w:p w14:paraId="624686DB">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iCs/>
                <w:color w:val="000000"/>
                <w:kern w:val="2"/>
                <w:sz w:val="20"/>
                <w:szCs w:val="20"/>
              </w:rPr>
            </w:pPr>
            <w:r>
              <w:rPr>
                <w:rFonts w:hint="default" w:ascii="Times New Roman" w:hAnsi="Times New Roman" w:eastAsia="宋体" w:cs="Times New Roman"/>
                <w:i/>
                <w:iCs/>
                <w:color w:val="000000"/>
                <w:kern w:val="0"/>
                <w:sz w:val="20"/>
                <w:szCs w:val="20"/>
                <w:lang w:val="en-US" w:eastAsia="zh-CN" w:bidi="ar"/>
              </w:rPr>
              <w:t>Total</w:t>
            </w:r>
          </w:p>
        </w:tc>
        <w:tc>
          <w:tcPr>
            <w:tcW w:w="695" w:type="dxa"/>
            <w:tcBorders>
              <w:top w:val="nil"/>
              <w:left w:val="nil"/>
              <w:bottom w:val="single" w:color="auto" w:sz="4" w:space="0"/>
              <w:right w:val="nil"/>
            </w:tcBorders>
            <w:shd w:val="clear" w:color="auto" w:fill="auto"/>
            <w:vAlign w:val="center"/>
          </w:tcPr>
          <w:p w14:paraId="4D0A9B7E">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2790</w:t>
            </w:r>
          </w:p>
        </w:tc>
        <w:tc>
          <w:tcPr>
            <w:tcW w:w="794" w:type="dxa"/>
            <w:tcBorders>
              <w:top w:val="nil"/>
              <w:left w:val="nil"/>
              <w:bottom w:val="single" w:color="auto" w:sz="4" w:space="0"/>
              <w:right w:val="nil"/>
            </w:tcBorders>
            <w:shd w:val="clear" w:color="auto" w:fill="auto"/>
            <w:vAlign w:val="center"/>
          </w:tcPr>
          <w:p w14:paraId="4720749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100.00</w:t>
            </w:r>
          </w:p>
        </w:tc>
        <w:tc>
          <w:tcPr>
            <w:tcW w:w="555" w:type="dxa"/>
            <w:tcBorders>
              <w:top w:val="nil"/>
              <w:left w:val="nil"/>
              <w:bottom w:val="single" w:color="auto" w:sz="4" w:space="0"/>
              <w:right w:val="nil"/>
            </w:tcBorders>
            <w:shd w:val="clear" w:color="auto" w:fill="auto"/>
            <w:vAlign w:val="center"/>
          </w:tcPr>
          <w:p w14:paraId="7A188CF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439</w:t>
            </w:r>
          </w:p>
        </w:tc>
        <w:tc>
          <w:tcPr>
            <w:tcW w:w="867" w:type="dxa"/>
            <w:tcBorders>
              <w:top w:val="nil"/>
              <w:left w:val="nil"/>
              <w:bottom w:val="single" w:color="auto" w:sz="4" w:space="0"/>
              <w:right w:val="nil"/>
            </w:tcBorders>
            <w:shd w:val="clear" w:color="auto" w:fill="auto"/>
            <w:vAlign w:val="center"/>
          </w:tcPr>
          <w:p w14:paraId="10771F3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100.00</w:t>
            </w:r>
          </w:p>
        </w:tc>
        <w:tc>
          <w:tcPr>
            <w:tcW w:w="522" w:type="dxa"/>
            <w:tcBorders>
              <w:top w:val="nil"/>
              <w:left w:val="nil"/>
              <w:bottom w:val="single" w:color="auto" w:sz="4" w:space="0"/>
              <w:right w:val="nil"/>
            </w:tcBorders>
            <w:shd w:val="clear" w:color="auto" w:fill="auto"/>
            <w:vAlign w:val="center"/>
          </w:tcPr>
          <w:p w14:paraId="0EAB5628">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9</w:t>
            </w:r>
          </w:p>
        </w:tc>
        <w:tc>
          <w:tcPr>
            <w:tcW w:w="858" w:type="dxa"/>
            <w:tcBorders>
              <w:top w:val="nil"/>
              <w:left w:val="nil"/>
              <w:bottom w:val="single" w:color="auto" w:sz="4" w:space="0"/>
              <w:right w:val="nil"/>
            </w:tcBorders>
            <w:shd w:val="clear" w:color="auto" w:fill="auto"/>
            <w:vAlign w:val="center"/>
          </w:tcPr>
          <w:p w14:paraId="2B098FB4">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100.00</w:t>
            </w:r>
          </w:p>
        </w:tc>
        <w:tc>
          <w:tcPr>
            <w:tcW w:w="611" w:type="dxa"/>
            <w:tcBorders>
              <w:top w:val="nil"/>
              <w:left w:val="nil"/>
              <w:bottom w:val="single" w:color="auto" w:sz="4" w:space="0"/>
              <w:right w:val="nil"/>
            </w:tcBorders>
            <w:shd w:val="clear" w:color="auto" w:fill="auto"/>
            <w:vAlign w:val="center"/>
          </w:tcPr>
          <w:p w14:paraId="66D7E290">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960</w:t>
            </w:r>
          </w:p>
        </w:tc>
        <w:tc>
          <w:tcPr>
            <w:tcW w:w="823" w:type="dxa"/>
            <w:tcBorders>
              <w:top w:val="nil"/>
              <w:left w:val="nil"/>
              <w:bottom w:val="single" w:color="auto" w:sz="4" w:space="0"/>
              <w:right w:val="nil"/>
            </w:tcBorders>
            <w:shd w:val="clear" w:color="auto" w:fill="auto"/>
            <w:vAlign w:val="center"/>
          </w:tcPr>
          <w:p w14:paraId="7521070E">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100.00</w:t>
            </w:r>
          </w:p>
        </w:tc>
        <w:tc>
          <w:tcPr>
            <w:tcW w:w="513" w:type="dxa"/>
            <w:tcBorders>
              <w:top w:val="nil"/>
              <w:left w:val="nil"/>
              <w:bottom w:val="single" w:color="auto" w:sz="4" w:space="0"/>
              <w:right w:val="nil"/>
            </w:tcBorders>
            <w:shd w:val="clear" w:color="auto" w:fill="auto"/>
            <w:vAlign w:val="center"/>
          </w:tcPr>
          <w:p w14:paraId="28D0E068">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66</w:t>
            </w:r>
          </w:p>
        </w:tc>
        <w:tc>
          <w:tcPr>
            <w:tcW w:w="832" w:type="dxa"/>
            <w:tcBorders>
              <w:top w:val="nil"/>
              <w:left w:val="nil"/>
              <w:bottom w:val="single" w:color="auto" w:sz="4" w:space="0"/>
              <w:right w:val="nil"/>
            </w:tcBorders>
            <w:shd w:val="clear" w:color="auto" w:fill="auto"/>
            <w:vAlign w:val="center"/>
          </w:tcPr>
          <w:p w14:paraId="73F1F22B">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100.00</w:t>
            </w:r>
          </w:p>
        </w:tc>
        <w:tc>
          <w:tcPr>
            <w:tcW w:w="593" w:type="dxa"/>
            <w:tcBorders>
              <w:top w:val="nil"/>
              <w:left w:val="nil"/>
              <w:bottom w:val="single" w:color="auto" w:sz="4" w:space="0"/>
              <w:right w:val="nil"/>
            </w:tcBorders>
            <w:shd w:val="clear" w:color="auto" w:fill="auto"/>
            <w:vAlign w:val="center"/>
          </w:tcPr>
          <w:p w14:paraId="0662D0D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823</w:t>
            </w:r>
          </w:p>
        </w:tc>
        <w:tc>
          <w:tcPr>
            <w:tcW w:w="823" w:type="dxa"/>
            <w:tcBorders>
              <w:top w:val="nil"/>
              <w:left w:val="nil"/>
              <w:bottom w:val="single" w:color="auto" w:sz="4" w:space="0"/>
              <w:right w:val="nil"/>
            </w:tcBorders>
            <w:shd w:val="clear" w:color="auto" w:fill="auto"/>
            <w:vAlign w:val="center"/>
          </w:tcPr>
          <w:p w14:paraId="125321BF">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100.00</w:t>
            </w:r>
          </w:p>
        </w:tc>
        <w:tc>
          <w:tcPr>
            <w:tcW w:w="531" w:type="dxa"/>
            <w:tcBorders>
              <w:top w:val="nil"/>
              <w:left w:val="nil"/>
              <w:bottom w:val="single" w:color="auto" w:sz="4" w:space="0"/>
              <w:right w:val="nil"/>
            </w:tcBorders>
            <w:shd w:val="clear" w:color="auto" w:fill="auto"/>
            <w:vAlign w:val="center"/>
          </w:tcPr>
          <w:p w14:paraId="245B4247">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60</w:t>
            </w:r>
          </w:p>
        </w:tc>
        <w:tc>
          <w:tcPr>
            <w:tcW w:w="805" w:type="dxa"/>
            <w:tcBorders>
              <w:top w:val="nil"/>
              <w:left w:val="nil"/>
              <w:bottom w:val="single" w:color="auto" w:sz="4" w:space="0"/>
              <w:right w:val="nil"/>
            </w:tcBorders>
            <w:shd w:val="clear" w:color="auto" w:fill="auto"/>
            <w:vAlign w:val="center"/>
          </w:tcPr>
          <w:p w14:paraId="6FEC378F">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100.00</w:t>
            </w:r>
          </w:p>
        </w:tc>
        <w:tc>
          <w:tcPr>
            <w:tcW w:w="531" w:type="dxa"/>
            <w:tcBorders>
              <w:top w:val="nil"/>
              <w:left w:val="nil"/>
              <w:bottom w:val="single" w:color="auto" w:sz="4" w:space="0"/>
              <w:right w:val="nil"/>
            </w:tcBorders>
            <w:shd w:val="clear" w:color="auto" w:fill="auto"/>
            <w:vAlign w:val="center"/>
          </w:tcPr>
          <w:p w14:paraId="3BBBD78E">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211</w:t>
            </w:r>
          </w:p>
        </w:tc>
        <w:tc>
          <w:tcPr>
            <w:tcW w:w="859" w:type="dxa"/>
            <w:tcBorders>
              <w:top w:val="nil"/>
              <w:left w:val="nil"/>
              <w:bottom w:val="single" w:color="auto" w:sz="4" w:space="0"/>
              <w:right w:val="nil"/>
            </w:tcBorders>
            <w:shd w:val="clear" w:color="auto" w:fill="auto"/>
            <w:vAlign w:val="center"/>
          </w:tcPr>
          <w:p w14:paraId="559B4DBD">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100.00</w:t>
            </w:r>
          </w:p>
        </w:tc>
        <w:tc>
          <w:tcPr>
            <w:tcW w:w="487" w:type="dxa"/>
            <w:tcBorders>
              <w:top w:val="nil"/>
              <w:left w:val="nil"/>
              <w:bottom w:val="single" w:color="auto" w:sz="4" w:space="0"/>
              <w:right w:val="nil"/>
            </w:tcBorders>
            <w:shd w:val="clear" w:color="auto" w:fill="auto"/>
            <w:vAlign w:val="center"/>
          </w:tcPr>
          <w:p w14:paraId="2551881B">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70</w:t>
            </w:r>
          </w:p>
        </w:tc>
        <w:tc>
          <w:tcPr>
            <w:tcW w:w="823" w:type="dxa"/>
            <w:tcBorders>
              <w:top w:val="nil"/>
              <w:left w:val="nil"/>
              <w:bottom w:val="single" w:color="auto" w:sz="4" w:space="0"/>
              <w:right w:val="nil"/>
            </w:tcBorders>
            <w:shd w:val="clear" w:color="auto" w:fill="auto"/>
            <w:vAlign w:val="center"/>
          </w:tcPr>
          <w:p w14:paraId="3D65B80E">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100.00</w:t>
            </w:r>
          </w:p>
        </w:tc>
        <w:tc>
          <w:tcPr>
            <w:tcW w:w="725" w:type="dxa"/>
            <w:tcBorders>
              <w:top w:val="nil"/>
              <w:left w:val="nil"/>
              <w:bottom w:val="single" w:color="auto" w:sz="4" w:space="0"/>
              <w:right w:val="nil"/>
            </w:tcBorders>
            <w:shd w:val="clear" w:color="auto" w:fill="auto"/>
            <w:noWrap/>
            <w:vAlign w:val="center"/>
          </w:tcPr>
          <w:p w14:paraId="6C4513C9">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5428</w:t>
            </w:r>
          </w:p>
        </w:tc>
        <w:tc>
          <w:tcPr>
            <w:tcW w:w="725" w:type="dxa"/>
            <w:tcBorders>
              <w:top w:val="nil"/>
              <w:left w:val="nil"/>
              <w:bottom w:val="single" w:color="auto" w:sz="4" w:space="0"/>
              <w:right w:val="nil"/>
            </w:tcBorders>
            <w:shd w:val="clear" w:color="auto" w:fill="auto"/>
            <w:noWrap/>
            <w:vAlign w:val="center"/>
          </w:tcPr>
          <w:p w14:paraId="48D942EC">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i w:val="0"/>
                <w:iCs w:val="0"/>
                <w:color w:val="000000"/>
                <w:kern w:val="0"/>
                <w:sz w:val="20"/>
                <w:szCs w:val="20"/>
              </w:rPr>
            </w:pPr>
          </w:p>
        </w:tc>
      </w:tr>
      <w:tr w14:paraId="0BDB1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2" w:hRule="atLeast"/>
          <w:jc w:val="center"/>
        </w:trPr>
        <w:tc>
          <w:tcPr>
            <w:tcW w:w="1843" w:type="dxa"/>
            <w:tcBorders>
              <w:top w:val="single" w:color="auto" w:sz="4" w:space="0"/>
              <w:left w:val="nil"/>
              <w:bottom w:val="single" w:color="auto" w:sz="4" w:space="0"/>
              <w:right w:val="nil"/>
            </w:tcBorders>
            <w:shd w:val="clear" w:color="auto" w:fill="auto"/>
            <w:vAlign w:val="center"/>
          </w:tcPr>
          <w:p w14:paraId="5A02038B">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b/>
                <w:bCs/>
                <w:i w:val="0"/>
                <w:iCs w:val="0"/>
                <w:color w:val="000000"/>
                <w:kern w:val="2"/>
                <w:sz w:val="20"/>
                <w:szCs w:val="20"/>
              </w:rPr>
            </w:pPr>
            <w:r>
              <w:rPr>
                <w:rFonts w:hint="default" w:ascii="Times New Roman" w:hAnsi="Times New Roman" w:eastAsia="宋体" w:cs="Times New Roman"/>
                <w:b/>
                <w:bCs/>
                <w:i w:val="0"/>
                <w:iCs w:val="0"/>
                <w:color w:val="000000"/>
                <w:kern w:val="0"/>
                <w:sz w:val="20"/>
                <w:szCs w:val="20"/>
                <w:lang w:val="en-US" w:eastAsia="zh-CN" w:bidi="ar"/>
              </w:rPr>
              <w:t>Ferromanganese</w:t>
            </w:r>
          </w:p>
        </w:tc>
        <w:tc>
          <w:tcPr>
            <w:tcW w:w="695" w:type="dxa"/>
            <w:tcBorders>
              <w:top w:val="single" w:color="auto" w:sz="4" w:space="0"/>
              <w:left w:val="nil"/>
              <w:bottom w:val="single" w:color="auto" w:sz="4" w:space="0"/>
              <w:right w:val="nil"/>
            </w:tcBorders>
            <w:shd w:val="clear" w:color="auto" w:fill="auto"/>
            <w:vAlign w:val="center"/>
          </w:tcPr>
          <w:p w14:paraId="6B052B84">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2495</w:t>
            </w:r>
          </w:p>
        </w:tc>
        <w:tc>
          <w:tcPr>
            <w:tcW w:w="794" w:type="dxa"/>
            <w:tcBorders>
              <w:top w:val="single" w:color="auto" w:sz="4" w:space="0"/>
              <w:left w:val="nil"/>
              <w:bottom w:val="single" w:color="auto" w:sz="4" w:space="0"/>
              <w:right w:val="nil"/>
            </w:tcBorders>
            <w:shd w:val="clear" w:color="auto" w:fill="auto"/>
            <w:vAlign w:val="center"/>
          </w:tcPr>
          <w:p w14:paraId="43267AE5">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89.43</w:t>
            </w:r>
          </w:p>
        </w:tc>
        <w:tc>
          <w:tcPr>
            <w:tcW w:w="555" w:type="dxa"/>
            <w:tcBorders>
              <w:top w:val="single" w:color="auto" w:sz="4" w:space="0"/>
              <w:left w:val="nil"/>
              <w:bottom w:val="single" w:color="auto" w:sz="4" w:space="0"/>
              <w:right w:val="nil"/>
            </w:tcBorders>
            <w:shd w:val="clear" w:color="auto" w:fill="auto"/>
            <w:vAlign w:val="center"/>
          </w:tcPr>
          <w:p w14:paraId="7F1030F0">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400</w:t>
            </w:r>
          </w:p>
        </w:tc>
        <w:tc>
          <w:tcPr>
            <w:tcW w:w="867" w:type="dxa"/>
            <w:tcBorders>
              <w:top w:val="single" w:color="auto" w:sz="4" w:space="0"/>
              <w:left w:val="nil"/>
              <w:bottom w:val="single" w:color="auto" w:sz="4" w:space="0"/>
              <w:right w:val="nil"/>
            </w:tcBorders>
            <w:shd w:val="clear" w:color="auto" w:fill="auto"/>
            <w:vAlign w:val="center"/>
          </w:tcPr>
          <w:p w14:paraId="3B4733B4">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91.12</w:t>
            </w:r>
          </w:p>
        </w:tc>
        <w:tc>
          <w:tcPr>
            <w:tcW w:w="522" w:type="dxa"/>
            <w:tcBorders>
              <w:top w:val="single" w:color="auto" w:sz="4" w:space="0"/>
              <w:left w:val="nil"/>
              <w:bottom w:val="single" w:color="auto" w:sz="4" w:space="0"/>
              <w:right w:val="nil"/>
            </w:tcBorders>
            <w:shd w:val="clear" w:color="auto" w:fill="auto"/>
            <w:vAlign w:val="center"/>
          </w:tcPr>
          <w:p w14:paraId="5553A4CB">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9</w:t>
            </w:r>
          </w:p>
        </w:tc>
        <w:tc>
          <w:tcPr>
            <w:tcW w:w="858" w:type="dxa"/>
            <w:tcBorders>
              <w:top w:val="single" w:color="auto" w:sz="4" w:space="0"/>
              <w:left w:val="nil"/>
              <w:bottom w:val="single" w:color="auto" w:sz="4" w:space="0"/>
              <w:right w:val="nil"/>
            </w:tcBorders>
            <w:shd w:val="clear" w:color="auto" w:fill="auto"/>
            <w:vAlign w:val="center"/>
          </w:tcPr>
          <w:p w14:paraId="1019D047">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100.00</w:t>
            </w:r>
          </w:p>
        </w:tc>
        <w:tc>
          <w:tcPr>
            <w:tcW w:w="611" w:type="dxa"/>
            <w:tcBorders>
              <w:top w:val="single" w:color="auto" w:sz="4" w:space="0"/>
              <w:left w:val="nil"/>
              <w:bottom w:val="single" w:color="auto" w:sz="4" w:space="0"/>
              <w:right w:val="nil"/>
            </w:tcBorders>
            <w:shd w:val="clear" w:color="auto" w:fill="auto"/>
            <w:vAlign w:val="center"/>
          </w:tcPr>
          <w:p w14:paraId="3A05363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920</w:t>
            </w:r>
          </w:p>
        </w:tc>
        <w:tc>
          <w:tcPr>
            <w:tcW w:w="823" w:type="dxa"/>
            <w:tcBorders>
              <w:top w:val="single" w:color="auto" w:sz="4" w:space="0"/>
              <w:left w:val="nil"/>
              <w:bottom w:val="single" w:color="auto" w:sz="4" w:space="0"/>
              <w:right w:val="nil"/>
            </w:tcBorders>
            <w:shd w:val="clear" w:color="auto" w:fill="auto"/>
            <w:vAlign w:val="center"/>
          </w:tcPr>
          <w:p w14:paraId="662A967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95.83</w:t>
            </w:r>
          </w:p>
        </w:tc>
        <w:tc>
          <w:tcPr>
            <w:tcW w:w="513" w:type="dxa"/>
            <w:tcBorders>
              <w:top w:val="single" w:color="auto" w:sz="4" w:space="0"/>
              <w:left w:val="nil"/>
              <w:bottom w:val="single" w:color="auto" w:sz="4" w:space="0"/>
              <w:right w:val="nil"/>
            </w:tcBorders>
            <w:shd w:val="clear" w:color="auto" w:fill="auto"/>
            <w:vAlign w:val="center"/>
          </w:tcPr>
          <w:p w14:paraId="0DF157E0">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64</w:t>
            </w:r>
          </w:p>
        </w:tc>
        <w:tc>
          <w:tcPr>
            <w:tcW w:w="832" w:type="dxa"/>
            <w:tcBorders>
              <w:top w:val="single" w:color="auto" w:sz="4" w:space="0"/>
              <w:left w:val="nil"/>
              <w:bottom w:val="single" w:color="auto" w:sz="4" w:space="0"/>
              <w:right w:val="nil"/>
            </w:tcBorders>
            <w:shd w:val="clear" w:color="auto" w:fill="auto"/>
            <w:vAlign w:val="center"/>
          </w:tcPr>
          <w:p w14:paraId="1DF9DE6E">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96.97</w:t>
            </w:r>
          </w:p>
        </w:tc>
        <w:tc>
          <w:tcPr>
            <w:tcW w:w="593" w:type="dxa"/>
            <w:tcBorders>
              <w:top w:val="single" w:color="auto" w:sz="4" w:space="0"/>
              <w:left w:val="nil"/>
              <w:bottom w:val="single" w:color="auto" w:sz="4" w:space="0"/>
              <w:right w:val="nil"/>
            </w:tcBorders>
            <w:shd w:val="clear" w:color="auto" w:fill="auto"/>
            <w:vAlign w:val="center"/>
          </w:tcPr>
          <w:p w14:paraId="01F3EE5D">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804</w:t>
            </w:r>
          </w:p>
        </w:tc>
        <w:tc>
          <w:tcPr>
            <w:tcW w:w="823" w:type="dxa"/>
            <w:tcBorders>
              <w:top w:val="single" w:color="auto" w:sz="4" w:space="0"/>
              <w:left w:val="nil"/>
              <w:bottom w:val="single" w:color="auto" w:sz="4" w:space="0"/>
              <w:right w:val="nil"/>
            </w:tcBorders>
            <w:shd w:val="clear" w:color="auto" w:fill="auto"/>
            <w:vAlign w:val="center"/>
          </w:tcPr>
          <w:p w14:paraId="64BC33E0">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97.69</w:t>
            </w:r>
          </w:p>
        </w:tc>
        <w:tc>
          <w:tcPr>
            <w:tcW w:w="531" w:type="dxa"/>
            <w:tcBorders>
              <w:top w:val="single" w:color="auto" w:sz="4" w:space="0"/>
              <w:left w:val="nil"/>
              <w:bottom w:val="single" w:color="auto" w:sz="4" w:space="0"/>
              <w:right w:val="nil"/>
            </w:tcBorders>
            <w:shd w:val="clear" w:color="auto" w:fill="auto"/>
            <w:vAlign w:val="center"/>
          </w:tcPr>
          <w:p w14:paraId="53BC6DDD">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58</w:t>
            </w:r>
          </w:p>
        </w:tc>
        <w:tc>
          <w:tcPr>
            <w:tcW w:w="805" w:type="dxa"/>
            <w:tcBorders>
              <w:top w:val="single" w:color="auto" w:sz="4" w:space="0"/>
              <w:left w:val="nil"/>
              <w:bottom w:val="single" w:color="auto" w:sz="4" w:space="0"/>
              <w:right w:val="nil"/>
            </w:tcBorders>
            <w:shd w:val="clear" w:color="auto" w:fill="auto"/>
            <w:vAlign w:val="center"/>
          </w:tcPr>
          <w:p w14:paraId="7AA71809">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96.67</w:t>
            </w:r>
          </w:p>
        </w:tc>
        <w:tc>
          <w:tcPr>
            <w:tcW w:w="531" w:type="dxa"/>
            <w:tcBorders>
              <w:top w:val="single" w:color="auto" w:sz="4" w:space="0"/>
              <w:left w:val="nil"/>
              <w:bottom w:val="single" w:color="auto" w:sz="4" w:space="0"/>
              <w:right w:val="nil"/>
            </w:tcBorders>
            <w:shd w:val="clear" w:color="auto" w:fill="auto"/>
            <w:vAlign w:val="center"/>
          </w:tcPr>
          <w:p w14:paraId="799D35E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211</w:t>
            </w:r>
          </w:p>
        </w:tc>
        <w:tc>
          <w:tcPr>
            <w:tcW w:w="859" w:type="dxa"/>
            <w:tcBorders>
              <w:top w:val="single" w:color="auto" w:sz="4" w:space="0"/>
              <w:left w:val="nil"/>
              <w:bottom w:val="single" w:color="auto" w:sz="4" w:space="0"/>
              <w:right w:val="nil"/>
            </w:tcBorders>
            <w:shd w:val="clear" w:color="auto" w:fill="auto"/>
            <w:vAlign w:val="center"/>
          </w:tcPr>
          <w:p w14:paraId="0B9647EC">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100.00</w:t>
            </w:r>
          </w:p>
        </w:tc>
        <w:tc>
          <w:tcPr>
            <w:tcW w:w="487" w:type="dxa"/>
            <w:tcBorders>
              <w:top w:val="single" w:color="auto" w:sz="4" w:space="0"/>
              <w:left w:val="nil"/>
              <w:bottom w:val="single" w:color="auto" w:sz="4" w:space="0"/>
              <w:right w:val="nil"/>
            </w:tcBorders>
            <w:shd w:val="clear" w:color="auto" w:fill="auto"/>
            <w:vAlign w:val="center"/>
          </w:tcPr>
          <w:p w14:paraId="4A7DC9CB">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70</w:t>
            </w:r>
          </w:p>
        </w:tc>
        <w:tc>
          <w:tcPr>
            <w:tcW w:w="823" w:type="dxa"/>
            <w:tcBorders>
              <w:top w:val="single" w:color="auto" w:sz="4" w:space="0"/>
              <w:left w:val="nil"/>
              <w:bottom w:val="single" w:color="auto" w:sz="4" w:space="0"/>
              <w:right w:val="nil"/>
            </w:tcBorders>
            <w:shd w:val="clear" w:color="auto" w:fill="auto"/>
            <w:vAlign w:val="center"/>
          </w:tcPr>
          <w:p w14:paraId="16BA8346">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100.00</w:t>
            </w:r>
          </w:p>
        </w:tc>
        <w:tc>
          <w:tcPr>
            <w:tcW w:w="725" w:type="dxa"/>
            <w:tcBorders>
              <w:top w:val="single" w:color="auto" w:sz="4" w:space="0"/>
              <w:left w:val="nil"/>
              <w:bottom w:val="single" w:color="auto" w:sz="4" w:space="0"/>
              <w:right w:val="nil"/>
            </w:tcBorders>
            <w:shd w:val="clear" w:color="auto" w:fill="auto"/>
            <w:noWrap/>
            <w:vAlign w:val="center"/>
          </w:tcPr>
          <w:p w14:paraId="14FF70F8">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5031</w:t>
            </w:r>
          </w:p>
        </w:tc>
        <w:tc>
          <w:tcPr>
            <w:tcW w:w="725" w:type="dxa"/>
            <w:tcBorders>
              <w:top w:val="single" w:color="auto" w:sz="4" w:space="0"/>
              <w:left w:val="nil"/>
              <w:bottom w:val="single" w:color="auto" w:sz="4" w:space="0"/>
              <w:right w:val="nil"/>
            </w:tcBorders>
            <w:shd w:val="clear" w:color="auto" w:fill="auto"/>
            <w:noWrap/>
            <w:vAlign w:val="center"/>
          </w:tcPr>
          <w:p w14:paraId="75316EEF">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0"/>
                <w:sz w:val="20"/>
                <w:szCs w:val="20"/>
              </w:rPr>
            </w:pPr>
            <w:r>
              <w:rPr>
                <w:rFonts w:hint="default" w:ascii="Times New Roman" w:hAnsi="Times New Roman" w:eastAsia="宋体" w:cs="Times New Roman"/>
                <w:i w:val="0"/>
                <w:iCs w:val="0"/>
                <w:color w:val="000000"/>
                <w:kern w:val="0"/>
                <w:sz w:val="20"/>
                <w:szCs w:val="20"/>
                <w:lang w:val="en-US" w:eastAsia="zh-CN" w:bidi="ar"/>
              </w:rPr>
              <w:t xml:space="preserve">92.69 </w:t>
            </w:r>
          </w:p>
        </w:tc>
      </w:tr>
      <w:tr w14:paraId="12F09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1843" w:type="dxa"/>
            <w:tcBorders>
              <w:top w:val="single" w:color="auto" w:sz="4" w:space="0"/>
              <w:left w:val="nil"/>
              <w:bottom w:val="single" w:color="auto" w:sz="4" w:space="0"/>
              <w:right w:val="nil"/>
            </w:tcBorders>
            <w:shd w:val="clear" w:color="auto" w:fill="auto"/>
            <w:vAlign w:val="center"/>
          </w:tcPr>
          <w:p w14:paraId="188A3EB9">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b/>
                <w:bCs/>
                <w:i w:val="0"/>
                <w:iCs w:val="0"/>
                <w:color w:val="000000"/>
                <w:kern w:val="2"/>
                <w:sz w:val="20"/>
                <w:szCs w:val="20"/>
              </w:rPr>
            </w:pPr>
            <w:r>
              <w:rPr>
                <w:rFonts w:hint="default" w:ascii="Times New Roman" w:hAnsi="Times New Roman" w:eastAsia="宋体" w:cs="Times New Roman"/>
                <w:b/>
                <w:bCs/>
                <w:i w:val="0"/>
                <w:iCs w:val="0"/>
                <w:color w:val="000000"/>
                <w:kern w:val="0"/>
                <w:sz w:val="20"/>
                <w:szCs w:val="20"/>
                <w:lang w:val="en-US" w:eastAsia="zh-CN" w:bidi="ar"/>
              </w:rPr>
              <w:t>Decalcification</w:t>
            </w:r>
          </w:p>
        </w:tc>
        <w:tc>
          <w:tcPr>
            <w:tcW w:w="695" w:type="dxa"/>
            <w:tcBorders>
              <w:top w:val="single" w:color="auto" w:sz="4" w:space="0"/>
              <w:left w:val="nil"/>
              <w:bottom w:val="single" w:color="auto" w:sz="4" w:space="0"/>
              <w:right w:val="nil"/>
            </w:tcBorders>
            <w:shd w:val="clear" w:color="auto" w:fill="auto"/>
            <w:vAlign w:val="center"/>
          </w:tcPr>
          <w:p w14:paraId="085A7B6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1803</w:t>
            </w:r>
          </w:p>
        </w:tc>
        <w:tc>
          <w:tcPr>
            <w:tcW w:w="794" w:type="dxa"/>
            <w:tcBorders>
              <w:top w:val="single" w:color="auto" w:sz="4" w:space="0"/>
              <w:left w:val="nil"/>
              <w:bottom w:val="single" w:color="auto" w:sz="4" w:space="0"/>
              <w:right w:val="nil"/>
            </w:tcBorders>
            <w:shd w:val="clear" w:color="auto" w:fill="auto"/>
            <w:vAlign w:val="center"/>
          </w:tcPr>
          <w:p w14:paraId="100D76D6">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64.62</w:t>
            </w:r>
          </w:p>
        </w:tc>
        <w:tc>
          <w:tcPr>
            <w:tcW w:w="555" w:type="dxa"/>
            <w:tcBorders>
              <w:top w:val="single" w:color="auto" w:sz="4" w:space="0"/>
              <w:left w:val="nil"/>
              <w:bottom w:val="single" w:color="auto" w:sz="4" w:space="0"/>
              <w:right w:val="nil"/>
            </w:tcBorders>
            <w:shd w:val="clear" w:color="auto" w:fill="auto"/>
            <w:vAlign w:val="center"/>
          </w:tcPr>
          <w:p w14:paraId="6CDFA53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209</w:t>
            </w:r>
          </w:p>
        </w:tc>
        <w:tc>
          <w:tcPr>
            <w:tcW w:w="867" w:type="dxa"/>
            <w:tcBorders>
              <w:top w:val="single" w:color="auto" w:sz="4" w:space="0"/>
              <w:left w:val="nil"/>
              <w:bottom w:val="single" w:color="auto" w:sz="4" w:space="0"/>
              <w:right w:val="nil"/>
            </w:tcBorders>
            <w:shd w:val="clear" w:color="auto" w:fill="auto"/>
            <w:vAlign w:val="center"/>
          </w:tcPr>
          <w:p w14:paraId="78A99B8F">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47.61</w:t>
            </w:r>
          </w:p>
        </w:tc>
        <w:tc>
          <w:tcPr>
            <w:tcW w:w="522" w:type="dxa"/>
            <w:tcBorders>
              <w:top w:val="single" w:color="auto" w:sz="4" w:space="0"/>
              <w:left w:val="nil"/>
              <w:bottom w:val="single" w:color="auto" w:sz="4" w:space="0"/>
              <w:right w:val="nil"/>
            </w:tcBorders>
            <w:shd w:val="clear" w:color="auto" w:fill="auto"/>
            <w:vAlign w:val="center"/>
          </w:tcPr>
          <w:p w14:paraId="4DC607E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4</w:t>
            </w:r>
          </w:p>
        </w:tc>
        <w:tc>
          <w:tcPr>
            <w:tcW w:w="858" w:type="dxa"/>
            <w:tcBorders>
              <w:top w:val="single" w:color="auto" w:sz="4" w:space="0"/>
              <w:left w:val="nil"/>
              <w:bottom w:val="single" w:color="auto" w:sz="4" w:space="0"/>
              <w:right w:val="nil"/>
            </w:tcBorders>
            <w:shd w:val="clear" w:color="auto" w:fill="auto"/>
            <w:vAlign w:val="center"/>
          </w:tcPr>
          <w:p w14:paraId="354E3F5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44.44</w:t>
            </w:r>
          </w:p>
        </w:tc>
        <w:tc>
          <w:tcPr>
            <w:tcW w:w="611" w:type="dxa"/>
            <w:tcBorders>
              <w:top w:val="single" w:color="auto" w:sz="4" w:space="0"/>
              <w:left w:val="nil"/>
              <w:bottom w:val="single" w:color="auto" w:sz="4" w:space="0"/>
              <w:right w:val="nil"/>
            </w:tcBorders>
            <w:shd w:val="clear" w:color="auto" w:fill="auto"/>
            <w:vAlign w:val="center"/>
          </w:tcPr>
          <w:p w14:paraId="5C97E329">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927</w:t>
            </w:r>
          </w:p>
        </w:tc>
        <w:tc>
          <w:tcPr>
            <w:tcW w:w="823" w:type="dxa"/>
            <w:tcBorders>
              <w:top w:val="single" w:color="auto" w:sz="4" w:space="0"/>
              <w:left w:val="nil"/>
              <w:bottom w:val="single" w:color="auto" w:sz="4" w:space="0"/>
              <w:right w:val="nil"/>
            </w:tcBorders>
            <w:shd w:val="clear" w:color="auto" w:fill="auto"/>
            <w:vAlign w:val="center"/>
          </w:tcPr>
          <w:p w14:paraId="1923CA45">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96.56</w:t>
            </w:r>
          </w:p>
        </w:tc>
        <w:tc>
          <w:tcPr>
            <w:tcW w:w="513" w:type="dxa"/>
            <w:tcBorders>
              <w:top w:val="single" w:color="auto" w:sz="4" w:space="0"/>
              <w:left w:val="nil"/>
              <w:bottom w:val="single" w:color="auto" w:sz="4" w:space="0"/>
              <w:right w:val="nil"/>
            </w:tcBorders>
            <w:shd w:val="clear" w:color="auto" w:fill="auto"/>
            <w:vAlign w:val="center"/>
          </w:tcPr>
          <w:p w14:paraId="3089B874">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66</w:t>
            </w:r>
          </w:p>
        </w:tc>
        <w:tc>
          <w:tcPr>
            <w:tcW w:w="832" w:type="dxa"/>
            <w:tcBorders>
              <w:top w:val="single" w:color="auto" w:sz="4" w:space="0"/>
              <w:left w:val="nil"/>
              <w:bottom w:val="single" w:color="auto" w:sz="4" w:space="0"/>
              <w:right w:val="nil"/>
            </w:tcBorders>
            <w:shd w:val="clear" w:color="auto" w:fill="auto"/>
            <w:vAlign w:val="center"/>
          </w:tcPr>
          <w:p w14:paraId="6862AE40">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100.00</w:t>
            </w:r>
          </w:p>
        </w:tc>
        <w:tc>
          <w:tcPr>
            <w:tcW w:w="593" w:type="dxa"/>
            <w:tcBorders>
              <w:top w:val="single" w:color="auto" w:sz="4" w:space="0"/>
              <w:left w:val="nil"/>
              <w:bottom w:val="single" w:color="auto" w:sz="4" w:space="0"/>
              <w:right w:val="nil"/>
            </w:tcBorders>
            <w:shd w:val="clear" w:color="auto" w:fill="auto"/>
            <w:vAlign w:val="center"/>
          </w:tcPr>
          <w:p w14:paraId="4844B413">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821</w:t>
            </w:r>
          </w:p>
        </w:tc>
        <w:tc>
          <w:tcPr>
            <w:tcW w:w="823" w:type="dxa"/>
            <w:tcBorders>
              <w:top w:val="single" w:color="auto" w:sz="4" w:space="0"/>
              <w:left w:val="nil"/>
              <w:bottom w:val="single" w:color="auto" w:sz="4" w:space="0"/>
              <w:right w:val="nil"/>
            </w:tcBorders>
            <w:shd w:val="clear" w:color="auto" w:fill="auto"/>
            <w:vAlign w:val="center"/>
          </w:tcPr>
          <w:p w14:paraId="151FCDED">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99.76</w:t>
            </w:r>
          </w:p>
        </w:tc>
        <w:tc>
          <w:tcPr>
            <w:tcW w:w="531" w:type="dxa"/>
            <w:tcBorders>
              <w:top w:val="single" w:color="auto" w:sz="4" w:space="0"/>
              <w:left w:val="nil"/>
              <w:bottom w:val="single" w:color="auto" w:sz="4" w:space="0"/>
              <w:right w:val="nil"/>
            </w:tcBorders>
            <w:shd w:val="clear" w:color="auto" w:fill="auto"/>
            <w:vAlign w:val="center"/>
          </w:tcPr>
          <w:p w14:paraId="47E1E1D4">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60</w:t>
            </w:r>
          </w:p>
        </w:tc>
        <w:tc>
          <w:tcPr>
            <w:tcW w:w="805" w:type="dxa"/>
            <w:tcBorders>
              <w:top w:val="single" w:color="auto" w:sz="4" w:space="0"/>
              <w:left w:val="nil"/>
              <w:bottom w:val="single" w:color="auto" w:sz="4" w:space="0"/>
              <w:right w:val="nil"/>
            </w:tcBorders>
            <w:shd w:val="clear" w:color="auto" w:fill="auto"/>
            <w:vAlign w:val="center"/>
          </w:tcPr>
          <w:p w14:paraId="64B03109">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100.00</w:t>
            </w:r>
          </w:p>
        </w:tc>
        <w:tc>
          <w:tcPr>
            <w:tcW w:w="531" w:type="dxa"/>
            <w:tcBorders>
              <w:top w:val="single" w:color="auto" w:sz="4" w:space="0"/>
              <w:left w:val="nil"/>
              <w:bottom w:val="single" w:color="auto" w:sz="4" w:space="0"/>
              <w:right w:val="nil"/>
            </w:tcBorders>
            <w:shd w:val="clear" w:color="auto" w:fill="auto"/>
            <w:vAlign w:val="center"/>
          </w:tcPr>
          <w:p w14:paraId="11092239">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211</w:t>
            </w:r>
          </w:p>
        </w:tc>
        <w:tc>
          <w:tcPr>
            <w:tcW w:w="859" w:type="dxa"/>
            <w:tcBorders>
              <w:top w:val="single" w:color="auto" w:sz="4" w:space="0"/>
              <w:left w:val="nil"/>
              <w:bottom w:val="single" w:color="auto" w:sz="4" w:space="0"/>
              <w:right w:val="nil"/>
            </w:tcBorders>
            <w:shd w:val="clear" w:color="auto" w:fill="auto"/>
            <w:vAlign w:val="center"/>
          </w:tcPr>
          <w:p w14:paraId="4B9413F0">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100.00</w:t>
            </w:r>
          </w:p>
        </w:tc>
        <w:tc>
          <w:tcPr>
            <w:tcW w:w="487" w:type="dxa"/>
            <w:tcBorders>
              <w:top w:val="single" w:color="auto" w:sz="4" w:space="0"/>
              <w:left w:val="nil"/>
              <w:bottom w:val="single" w:color="auto" w:sz="4" w:space="0"/>
              <w:right w:val="nil"/>
            </w:tcBorders>
            <w:shd w:val="clear" w:color="auto" w:fill="auto"/>
            <w:vAlign w:val="center"/>
          </w:tcPr>
          <w:p w14:paraId="0EB66498">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70</w:t>
            </w:r>
          </w:p>
        </w:tc>
        <w:tc>
          <w:tcPr>
            <w:tcW w:w="823" w:type="dxa"/>
            <w:tcBorders>
              <w:top w:val="single" w:color="auto" w:sz="4" w:space="0"/>
              <w:left w:val="nil"/>
              <w:bottom w:val="single" w:color="auto" w:sz="4" w:space="0"/>
              <w:right w:val="nil"/>
            </w:tcBorders>
            <w:shd w:val="clear" w:color="auto" w:fill="auto"/>
            <w:vAlign w:val="center"/>
          </w:tcPr>
          <w:p w14:paraId="2DC2624D">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100.00</w:t>
            </w:r>
          </w:p>
        </w:tc>
        <w:tc>
          <w:tcPr>
            <w:tcW w:w="725" w:type="dxa"/>
            <w:tcBorders>
              <w:top w:val="single" w:color="auto" w:sz="4" w:space="0"/>
              <w:left w:val="nil"/>
              <w:bottom w:val="single" w:color="auto" w:sz="4" w:space="0"/>
              <w:right w:val="nil"/>
            </w:tcBorders>
            <w:shd w:val="clear" w:color="auto" w:fill="auto"/>
            <w:noWrap/>
            <w:vAlign w:val="center"/>
          </w:tcPr>
          <w:p w14:paraId="157109E0">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4171</w:t>
            </w:r>
          </w:p>
        </w:tc>
        <w:tc>
          <w:tcPr>
            <w:tcW w:w="725" w:type="dxa"/>
            <w:tcBorders>
              <w:top w:val="single" w:color="auto" w:sz="4" w:space="0"/>
              <w:left w:val="nil"/>
              <w:bottom w:val="single" w:color="auto" w:sz="4" w:space="0"/>
              <w:right w:val="nil"/>
            </w:tcBorders>
            <w:shd w:val="clear" w:color="auto" w:fill="auto"/>
            <w:noWrap/>
            <w:vAlign w:val="center"/>
          </w:tcPr>
          <w:p w14:paraId="3B1C714D">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0"/>
                <w:sz w:val="20"/>
                <w:szCs w:val="20"/>
              </w:rPr>
            </w:pPr>
            <w:r>
              <w:rPr>
                <w:rFonts w:hint="default" w:ascii="Times New Roman" w:hAnsi="Times New Roman" w:eastAsia="宋体" w:cs="Times New Roman"/>
                <w:i w:val="0"/>
                <w:iCs w:val="0"/>
                <w:color w:val="000000"/>
                <w:kern w:val="0"/>
                <w:sz w:val="20"/>
                <w:szCs w:val="20"/>
                <w:lang w:val="en-US" w:eastAsia="zh-CN" w:bidi="ar"/>
              </w:rPr>
              <w:t xml:space="preserve">76.84 </w:t>
            </w:r>
          </w:p>
        </w:tc>
      </w:tr>
      <w:tr w14:paraId="6FF3B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1843" w:type="dxa"/>
            <w:tcBorders>
              <w:top w:val="single" w:color="auto" w:sz="4" w:space="0"/>
              <w:left w:val="nil"/>
              <w:bottom w:val="single" w:color="auto" w:sz="4" w:space="0"/>
              <w:right w:val="nil"/>
            </w:tcBorders>
            <w:shd w:val="clear" w:color="auto" w:fill="auto"/>
            <w:vAlign w:val="center"/>
          </w:tcPr>
          <w:p w14:paraId="6029967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b/>
                <w:bCs/>
                <w:i w:val="0"/>
                <w:iCs w:val="0"/>
                <w:color w:val="000000"/>
                <w:kern w:val="2"/>
                <w:sz w:val="20"/>
                <w:szCs w:val="20"/>
              </w:rPr>
            </w:pPr>
            <w:r>
              <w:rPr>
                <w:rFonts w:hint="default" w:ascii="Times New Roman" w:hAnsi="Times New Roman" w:eastAsia="宋体" w:cs="Times New Roman"/>
                <w:b/>
                <w:bCs/>
                <w:i w:val="0"/>
                <w:iCs w:val="0"/>
                <w:color w:val="000000"/>
                <w:kern w:val="0"/>
                <w:sz w:val="20"/>
                <w:szCs w:val="20"/>
                <w:lang w:val="en-US" w:eastAsia="zh-CN" w:bidi="ar"/>
              </w:rPr>
              <w:t>Root-Etching</w:t>
            </w:r>
          </w:p>
        </w:tc>
        <w:tc>
          <w:tcPr>
            <w:tcW w:w="695" w:type="dxa"/>
            <w:tcBorders>
              <w:top w:val="single" w:color="auto" w:sz="4" w:space="0"/>
              <w:left w:val="nil"/>
              <w:bottom w:val="single" w:color="auto" w:sz="4" w:space="0"/>
              <w:right w:val="nil"/>
            </w:tcBorders>
            <w:shd w:val="clear" w:color="auto" w:fill="auto"/>
            <w:vAlign w:val="center"/>
          </w:tcPr>
          <w:p w14:paraId="254A6CF9">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16</w:t>
            </w:r>
          </w:p>
        </w:tc>
        <w:tc>
          <w:tcPr>
            <w:tcW w:w="794" w:type="dxa"/>
            <w:tcBorders>
              <w:top w:val="single" w:color="auto" w:sz="4" w:space="0"/>
              <w:left w:val="nil"/>
              <w:bottom w:val="single" w:color="auto" w:sz="4" w:space="0"/>
              <w:right w:val="nil"/>
            </w:tcBorders>
            <w:shd w:val="clear" w:color="auto" w:fill="auto"/>
            <w:vAlign w:val="center"/>
          </w:tcPr>
          <w:p w14:paraId="752EB9E3">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0.57</w:t>
            </w:r>
          </w:p>
        </w:tc>
        <w:tc>
          <w:tcPr>
            <w:tcW w:w="555" w:type="dxa"/>
            <w:tcBorders>
              <w:top w:val="single" w:color="auto" w:sz="4" w:space="0"/>
              <w:left w:val="nil"/>
              <w:bottom w:val="single" w:color="auto" w:sz="4" w:space="0"/>
              <w:right w:val="nil"/>
            </w:tcBorders>
            <w:shd w:val="clear" w:color="auto" w:fill="auto"/>
            <w:vAlign w:val="center"/>
          </w:tcPr>
          <w:p w14:paraId="050F9155">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7</w:t>
            </w:r>
          </w:p>
        </w:tc>
        <w:tc>
          <w:tcPr>
            <w:tcW w:w="867" w:type="dxa"/>
            <w:tcBorders>
              <w:top w:val="single" w:color="auto" w:sz="4" w:space="0"/>
              <w:left w:val="nil"/>
              <w:bottom w:val="single" w:color="auto" w:sz="4" w:space="0"/>
              <w:right w:val="nil"/>
            </w:tcBorders>
            <w:shd w:val="clear" w:color="auto" w:fill="auto"/>
            <w:vAlign w:val="center"/>
          </w:tcPr>
          <w:p w14:paraId="753AB524">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1.59</w:t>
            </w:r>
          </w:p>
        </w:tc>
        <w:tc>
          <w:tcPr>
            <w:tcW w:w="522" w:type="dxa"/>
            <w:tcBorders>
              <w:top w:val="single" w:color="auto" w:sz="4" w:space="0"/>
              <w:left w:val="nil"/>
              <w:bottom w:val="single" w:color="auto" w:sz="4" w:space="0"/>
              <w:right w:val="nil"/>
            </w:tcBorders>
            <w:shd w:val="clear" w:color="auto" w:fill="auto"/>
            <w:vAlign w:val="center"/>
          </w:tcPr>
          <w:p w14:paraId="04797384">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58" w:type="dxa"/>
            <w:tcBorders>
              <w:top w:val="single" w:color="auto" w:sz="4" w:space="0"/>
              <w:left w:val="nil"/>
              <w:bottom w:val="single" w:color="auto" w:sz="4" w:space="0"/>
              <w:right w:val="nil"/>
            </w:tcBorders>
            <w:shd w:val="clear" w:color="auto" w:fill="auto"/>
            <w:vAlign w:val="center"/>
          </w:tcPr>
          <w:p w14:paraId="6F4E44C3">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0.00</w:t>
            </w:r>
          </w:p>
        </w:tc>
        <w:tc>
          <w:tcPr>
            <w:tcW w:w="611" w:type="dxa"/>
            <w:tcBorders>
              <w:top w:val="single" w:color="auto" w:sz="4" w:space="0"/>
              <w:left w:val="nil"/>
              <w:bottom w:val="single" w:color="auto" w:sz="4" w:space="0"/>
              <w:right w:val="nil"/>
            </w:tcBorders>
            <w:shd w:val="clear" w:color="auto" w:fill="auto"/>
            <w:vAlign w:val="center"/>
          </w:tcPr>
          <w:p w14:paraId="03669BA7">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3</w:t>
            </w:r>
          </w:p>
        </w:tc>
        <w:tc>
          <w:tcPr>
            <w:tcW w:w="823" w:type="dxa"/>
            <w:tcBorders>
              <w:top w:val="single" w:color="auto" w:sz="4" w:space="0"/>
              <w:left w:val="nil"/>
              <w:bottom w:val="single" w:color="auto" w:sz="4" w:space="0"/>
              <w:right w:val="nil"/>
            </w:tcBorders>
            <w:shd w:val="clear" w:color="auto" w:fill="auto"/>
            <w:vAlign w:val="center"/>
          </w:tcPr>
          <w:p w14:paraId="4421C47F">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0.31</w:t>
            </w:r>
          </w:p>
        </w:tc>
        <w:tc>
          <w:tcPr>
            <w:tcW w:w="513" w:type="dxa"/>
            <w:tcBorders>
              <w:top w:val="single" w:color="auto" w:sz="4" w:space="0"/>
              <w:left w:val="nil"/>
              <w:bottom w:val="single" w:color="auto" w:sz="4" w:space="0"/>
              <w:right w:val="nil"/>
            </w:tcBorders>
            <w:shd w:val="clear" w:color="auto" w:fill="auto"/>
            <w:vAlign w:val="center"/>
          </w:tcPr>
          <w:p w14:paraId="0E0E92EE">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32" w:type="dxa"/>
            <w:tcBorders>
              <w:top w:val="single" w:color="auto" w:sz="4" w:space="0"/>
              <w:left w:val="nil"/>
              <w:bottom w:val="single" w:color="auto" w:sz="4" w:space="0"/>
              <w:right w:val="nil"/>
            </w:tcBorders>
            <w:shd w:val="clear" w:color="auto" w:fill="auto"/>
            <w:vAlign w:val="center"/>
          </w:tcPr>
          <w:p w14:paraId="74AA2BB7">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0.00</w:t>
            </w:r>
          </w:p>
        </w:tc>
        <w:tc>
          <w:tcPr>
            <w:tcW w:w="593" w:type="dxa"/>
            <w:tcBorders>
              <w:top w:val="single" w:color="auto" w:sz="4" w:space="0"/>
              <w:left w:val="nil"/>
              <w:bottom w:val="single" w:color="auto" w:sz="4" w:space="0"/>
              <w:right w:val="nil"/>
            </w:tcBorders>
            <w:shd w:val="clear" w:color="auto" w:fill="auto"/>
            <w:vAlign w:val="center"/>
          </w:tcPr>
          <w:p w14:paraId="6D8487A0">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23" w:type="dxa"/>
            <w:tcBorders>
              <w:top w:val="single" w:color="auto" w:sz="4" w:space="0"/>
              <w:left w:val="nil"/>
              <w:bottom w:val="single" w:color="auto" w:sz="4" w:space="0"/>
              <w:right w:val="nil"/>
            </w:tcBorders>
            <w:shd w:val="clear" w:color="auto" w:fill="auto"/>
            <w:vAlign w:val="center"/>
          </w:tcPr>
          <w:p w14:paraId="77AF9DEF">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0.00</w:t>
            </w:r>
          </w:p>
        </w:tc>
        <w:tc>
          <w:tcPr>
            <w:tcW w:w="531" w:type="dxa"/>
            <w:tcBorders>
              <w:top w:val="single" w:color="auto" w:sz="4" w:space="0"/>
              <w:left w:val="nil"/>
              <w:bottom w:val="single" w:color="auto" w:sz="4" w:space="0"/>
              <w:right w:val="nil"/>
            </w:tcBorders>
            <w:shd w:val="clear" w:color="auto" w:fill="auto"/>
            <w:vAlign w:val="center"/>
          </w:tcPr>
          <w:p w14:paraId="1F6FD6A3">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05" w:type="dxa"/>
            <w:tcBorders>
              <w:top w:val="single" w:color="auto" w:sz="4" w:space="0"/>
              <w:left w:val="nil"/>
              <w:bottom w:val="single" w:color="auto" w:sz="4" w:space="0"/>
              <w:right w:val="nil"/>
            </w:tcBorders>
            <w:shd w:val="clear" w:color="auto" w:fill="auto"/>
            <w:vAlign w:val="center"/>
          </w:tcPr>
          <w:p w14:paraId="5F3F34B8">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0.00</w:t>
            </w:r>
          </w:p>
        </w:tc>
        <w:tc>
          <w:tcPr>
            <w:tcW w:w="531" w:type="dxa"/>
            <w:tcBorders>
              <w:top w:val="single" w:color="auto" w:sz="4" w:space="0"/>
              <w:left w:val="nil"/>
              <w:bottom w:val="single" w:color="auto" w:sz="4" w:space="0"/>
              <w:right w:val="nil"/>
            </w:tcBorders>
            <w:shd w:val="clear" w:color="auto" w:fill="auto"/>
            <w:vAlign w:val="center"/>
          </w:tcPr>
          <w:p w14:paraId="45AA09B5">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59" w:type="dxa"/>
            <w:tcBorders>
              <w:top w:val="single" w:color="auto" w:sz="4" w:space="0"/>
              <w:left w:val="nil"/>
              <w:bottom w:val="single" w:color="auto" w:sz="4" w:space="0"/>
              <w:right w:val="nil"/>
            </w:tcBorders>
            <w:shd w:val="clear" w:color="auto" w:fill="auto"/>
            <w:vAlign w:val="center"/>
          </w:tcPr>
          <w:p w14:paraId="47276F25">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0.00</w:t>
            </w:r>
          </w:p>
        </w:tc>
        <w:tc>
          <w:tcPr>
            <w:tcW w:w="487" w:type="dxa"/>
            <w:tcBorders>
              <w:top w:val="single" w:color="auto" w:sz="4" w:space="0"/>
              <w:left w:val="nil"/>
              <w:bottom w:val="single" w:color="auto" w:sz="4" w:space="0"/>
              <w:right w:val="nil"/>
            </w:tcBorders>
            <w:shd w:val="clear" w:color="auto" w:fill="auto"/>
            <w:vAlign w:val="center"/>
          </w:tcPr>
          <w:p w14:paraId="498F164C">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23" w:type="dxa"/>
            <w:tcBorders>
              <w:top w:val="single" w:color="auto" w:sz="4" w:space="0"/>
              <w:left w:val="nil"/>
              <w:bottom w:val="single" w:color="auto" w:sz="4" w:space="0"/>
              <w:right w:val="nil"/>
            </w:tcBorders>
            <w:shd w:val="clear" w:color="auto" w:fill="auto"/>
            <w:vAlign w:val="center"/>
          </w:tcPr>
          <w:p w14:paraId="28D17756">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0.00</w:t>
            </w:r>
          </w:p>
        </w:tc>
        <w:tc>
          <w:tcPr>
            <w:tcW w:w="725" w:type="dxa"/>
            <w:tcBorders>
              <w:top w:val="single" w:color="auto" w:sz="4" w:space="0"/>
              <w:left w:val="nil"/>
              <w:bottom w:val="single" w:color="auto" w:sz="4" w:space="0"/>
              <w:right w:val="nil"/>
            </w:tcBorders>
            <w:shd w:val="clear" w:color="auto" w:fill="auto"/>
            <w:noWrap/>
            <w:vAlign w:val="center"/>
          </w:tcPr>
          <w:p w14:paraId="5E0E0624">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26</w:t>
            </w:r>
          </w:p>
        </w:tc>
        <w:tc>
          <w:tcPr>
            <w:tcW w:w="725" w:type="dxa"/>
            <w:tcBorders>
              <w:top w:val="single" w:color="auto" w:sz="4" w:space="0"/>
              <w:left w:val="nil"/>
              <w:bottom w:val="single" w:color="auto" w:sz="4" w:space="0"/>
              <w:right w:val="nil"/>
            </w:tcBorders>
            <w:shd w:val="clear" w:color="auto" w:fill="auto"/>
            <w:noWrap/>
            <w:vAlign w:val="center"/>
          </w:tcPr>
          <w:p w14:paraId="17EB8DC7">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0"/>
                <w:sz w:val="20"/>
                <w:szCs w:val="20"/>
              </w:rPr>
            </w:pPr>
            <w:r>
              <w:rPr>
                <w:rFonts w:hint="default" w:ascii="Times New Roman" w:hAnsi="Times New Roman" w:eastAsia="宋体" w:cs="Times New Roman"/>
                <w:i w:val="0"/>
                <w:iCs w:val="0"/>
                <w:color w:val="000000"/>
                <w:kern w:val="0"/>
                <w:sz w:val="20"/>
                <w:szCs w:val="20"/>
                <w:lang w:val="en-US" w:eastAsia="zh-CN" w:bidi="ar"/>
              </w:rPr>
              <w:t xml:space="preserve">0.48 </w:t>
            </w:r>
          </w:p>
        </w:tc>
      </w:tr>
      <w:tr w14:paraId="102A3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1843" w:type="dxa"/>
            <w:tcBorders>
              <w:top w:val="single" w:color="auto" w:sz="4" w:space="0"/>
              <w:left w:val="nil"/>
              <w:bottom w:val="single" w:color="auto" w:sz="4" w:space="0"/>
              <w:right w:val="nil"/>
            </w:tcBorders>
            <w:shd w:val="clear" w:color="auto" w:fill="auto"/>
            <w:vAlign w:val="center"/>
          </w:tcPr>
          <w:p w14:paraId="2B96595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b/>
                <w:bCs/>
                <w:i w:val="0"/>
                <w:iCs w:val="0"/>
                <w:color w:val="000000"/>
                <w:kern w:val="2"/>
                <w:sz w:val="20"/>
                <w:szCs w:val="20"/>
              </w:rPr>
            </w:pPr>
            <w:r>
              <w:rPr>
                <w:rFonts w:hint="default" w:ascii="Times New Roman" w:hAnsi="Times New Roman" w:eastAsia="宋体" w:cs="Times New Roman"/>
                <w:b/>
                <w:bCs/>
                <w:i w:val="0"/>
                <w:iCs w:val="0"/>
                <w:color w:val="000000"/>
                <w:kern w:val="0"/>
                <w:sz w:val="20"/>
                <w:szCs w:val="20"/>
                <w:lang w:val="en-US" w:eastAsia="zh-CN" w:bidi="ar"/>
              </w:rPr>
              <w:t>Trampling</w:t>
            </w:r>
          </w:p>
        </w:tc>
        <w:tc>
          <w:tcPr>
            <w:tcW w:w="695" w:type="dxa"/>
            <w:tcBorders>
              <w:top w:val="single" w:color="auto" w:sz="4" w:space="0"/>
              <w:left w:val="nil"/>
              <w:bottom w:val="single" w:color="auto" w:sz="4" w:space="0"/>
              <w:right w:val="nil"/>
            </w:tcBorders>
            <w:shd w:val="clear" w:color="auto" w:fill="auto"/>
            <w:vAlign w:val="center"/>
          </w:tcPr>
          <w:p w14:paraId="4F25B13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1424</w:t>
            </w:r>
          </w:p>
        </w:tc>
        <w:tc>
          <w:tcPr>
            <w:tcW w:w="794" w:type="dxa"/>
            <w:tcBorders>
              <w:top w:val="single" w:color="auto" w:sz="4" w:space="0"/>
              <w:left w:val="nil"/>
              <w:bottom w:val="single" w:color="auto" w:sz="4" w:space="0"/>
              <w:right w:val="nil"/>
            </w:tcBorders>
            <w:shd w:val="clear" w:color="auto" w:fill="auto"/>
            <w:vAlign w:val="center"/>
          </w:tcPr>
          <w:p w14:paraId="0A5138D7">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51.04</w:t>
            </w:r>
          </w:p>
        </w:tc>
        <w:tc>
          <w:tcPr>
            <w:tcW w:w="555" w:type="dxa"/>
            <w:tcBorders>
              <w:top w:val="single" w:color="auto" w:sz="4" w:space="0"/>
              <w:left w:val="nil"/>
              <w:bottom w:val="single" w:color="auto" w:sz="4" w:space="0"/>
              <w:right w:val="nil"/>
            </w:tcBorders>
            <w:shd w:val="clear" w:color="auto" w:fill="auto"/>
            <w:vAlign w:val="center"/>
          </w:tcPr>
          <w:p w14:paraId="6C9767FC">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277</w:t>
            </w:r>
          </w:p>
        </w:tc>
        <w:tc>
          <w:tcPr>
            <w:tcW w:w="867" w:type="dxa"/>
            <w:tcBorders>
              <w:top w:val="single" w:color="auto" w:sz="4" w:space="0"/>
              <w:left w:val="nil"/>
              <w:bottom w:val="single" w:color="auto" w:sz="4" w:space="0"/>
              <w:right w:val="nil"/>
            </w:tcBorders>
            <w:shd w:val="clear" w:color="auto" w:fill="auto"/>
            <w:vAlign w:val="center"/>
          </w:tcPr>
          <w:p w14:paraId="55EAA214">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63.10</w:t>
            </w:r>
          </w:p>
        </w:tc>
        <w:tc>
          <w:tcPr>
            <w:tcW w:w="522" w:type="dxa"/>
            <w:tcBorders>
              <w:top w:val="single" w:color="auto" w:sz="4" w:space="0"/>
              <w:left w:val="nil"/>
              <w:bottom w:val="single" w:color="auto" w:sz="4" w:space="0"/>
              <w:right w:val="nil"/>
            </w:tcBorders>
            <w:shd w:val="clear" w:color="auto" w:fill="auto"/>
            <w:vAlign w:val="center"/>
          </w:tcPr>
          <w:p w14:paraId="7D719637">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7</w:t>
            </w:r>
          </w:p>
        </w:tc>
        <w:tc>
          <w:tcPr>
            <w:tcW w:w="858" w:type="dxa"/>
            <w:tcBorders>
              <w:top w:val="single" w:color="auto" w:sz="4" w:space="0"/>
              <w:left w:val="nil"/>
              <w:bottom w:val="single" w:color="auto" w:sz="4" w:space="0"/>
              <w:right w:val="nil"/>
            </w:tcBorders>
            <w:shd w:val="clear" w:color="auto" w:fill="auto"/>
            <w:vAlign w:val="center"/>
          </w:tcPr>
          <w:p w14:paraId="601AD408">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77.78</w:t>
            </w:r>
          </w:p>
        </w:tc>
        <w:tc>
          <w:tcPr>
            <w:tcW w:w="611" w:type="dxa"/>
            <w:tcBorders>
              <w:top w:val="single" w:color="auto" w:sz="4" w:space="0"/>
              <w:left w:val="nil"/>
              <w:bottom w:val="single" w:color="auto" w:sz="4" w:space="0"/>
              <w:right w:val="nil"/>
            </w:tcBorders>
            <w:shd w:val="clear" w:color="auto" w:fill="auto"/>
            <w:vAlign w:val="center"/>
          </w:tcPr>
          <w:p w14:paraId="598C4B0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259</w:t>
            </w:r>
          </w:p>
        </w:tc>
        <w:tc>
          <w:tcPr>
            <w:tcW w:w="823" w:type="dxa"/>
            <w:tcBorders>
              <w:top w:val="single" w:color="auto" w:sz="4" w:space="0"/>
              <w:left w:val="nil"/>
              <w:bottom w:val="single" w:color="auto" w:sz="4" w:space="0"/>
              <w:right w:val="nil"/>
            </w:tcBorders>
            <w:shd w:val="clear" w:color="auto" w:fill="auto"/>
            <w:vAlign w:val="center"/>
          </w:tcPr>
          <w:p w14:paraId="008B1243">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26.98</w:t>
            </w:r>
          </w:p>
        </w:tc>
        <w:tc>
          <w:tcPr>
            <w:tcW w:w="513" w:type="dxa"/>
            <w:tcBorders>
              <w:top w:val="single" w:color="auto" w:sz="4" w:space="0"/>
              <w:left w:val="nil"/>
              <w:bottom w:val="single" w:color="auto" w:sz="4" w:space="0"/>
              <w:right w:val="nil"/>
            </w:tcBorders>
            <w:shd w:val="clear" w:color="auto" w:fill="auto"/>
            <w:vAlign w:val="center"/>
          </w:tcPr>
          <w:p w14:paraId="69E05930">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20</w:t>
            </w:r>
          </w:p>
        </w:tc>
        <w:tc>
          <w:tcPr>
            <w:tcW w:w="832" w:type="dxa"/>
            <w:tcBorders>
              <w:top w:val="single" w:color="auto" w:sz="4" w:space="0"/>
              <w:left w:val="nil"/>
              <w:bottom w:val="single" w:color="auto" w:sz="4" w:space="0"/>
              <w:right w:val="nil"/>
            </w:tcBorders>
            <w:shd w:val="clear" w:color="auto" w:fill="auto"/>
            <w:vAlign w:val="center"/>
          </w:tcPr>
          <w:p w14:paraId="27F9CD20">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30.30</w:t>
            </w:r>
          </w:p>
        </w:tc>
        <w:tc>
          <w:tcPr>
            <w:tcW w:w="593" w:type="dxa"/>
            <w:tcBorders>
              <w:top w:val="single" w:color="auto" w:sz="4" w:space="0"/>
              <w:left w:val="nil"/>
              <w:bottom w:val="single" w:color="auto" w:sz="4" w:space="0"/>
              <w:right w:val="nil"/>
            </w:tcBorders>
            <w:shd w:val="clear" w:color="auto" w:fill="auto"/>
            <w:vAlign w:val="center"/>
          </w:tcPr>
          <w:p w14:paraId="1684DB38">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345</w:t>
            </w:r>
          </w:p>
        </w:tc>
        <w:tc>
          <w:tcPr>
            <w:tcW w:w="823" w:type="dxa"/>
            <w:tcBorders>
              <w:top w:val="single" w:color="auto" w:sz="4" w:space="0"/>
              <w:left w:val="nil"/>
              <w:bottom w:val="single" w:color="auto" w:sz="4" w:space="0"/>
              <w:right w:val="nil"/>
            </w:tcBorders>
            <w:shd w:val="clear" w:color="auto" w:fill="auto"/>
            <w:vAlign w:val="center"/>
          </w:tcPr>
          <w:p w14:paraId="36416AB7">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41.92</w:t>
            </w:r>
          </w:p>
        </w:tc>
        <w:tc>
          <w:tcPr>
            <w:tcW w:w="531" w:type="dxa"/>
            <w:tcBorders>
              <w:top w:val="single" w:color="auto" w:sz="4" w:space="0"/>
              <w:left w:val="nil"/>
              <w:bottom w:val="single" w:color="auto" w:sz="4" w:space="0"/>
              <w:right w:val="nil"/>
            </w:tcBorders>
            <w:shd w:val="clear" w:color="auto" w:fill="auto"/>
            <w:vAlign w:val="center"/>
          </w:tcPr>
          <w:p w14:paraId="026EC6E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15</w:t>
            </w:r>
          </w:p>
        </w:tc>
        <w:tc>
          <w:tcPr>
            <w:tcW w:w="805" w:type="dxa"/>
            <w:tcBorders>
              <w:top w:val="single" w:color="auto" w:sz="4" w:space="0"/>
              <w:left w:val="nil"/>
              <w:bottom w:val="single" w:color="auto" w:sz="4" w:space="0"/>
              <w:right w:val="nil"/>
            </w:tcBorders>
            <w:shd w:val="clear" w:color="auto" w:fill="auto"/>
            <w:vAlign w:val="center"/>
          </w:tcPr>
          <w:p w14:paraId="0A2E156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25.00</w:t>
            </w:r>
          </w:p>
        </w:tc>
        <w:tc>
          <w:tcPr>
            <w:tcW w:w="531" w:type="dxa"/>
            <w:tcBorders>
              <w:top w:val="single" w:color="auto" w:sz="4" w:space="0"/>
              <w:left w:val="nil"/>
              <w:bottom w:val="single" w:color="auto" w:sz="4" w:space="0"/>
              <w:right w:val="nil"/>
            </w:tcBorders>
            <w:shd w:val="clear" w:color="auto" w:fill="auto"/>
            <w:vAlign w:val="center"/>
          </w:tcPr>
          <w:p w14:paraId="6A40663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71</w:t>
            </w:r>
          </w:p>
        </w:tc>
        <w:tc>
          <w:tcPr>
            <w:tcW w:w="859" w:type="dxa"/>
            <w:tcBorders>
              <w:top w:val="single" w:color="auto" w:sz="4" w:space="0"/>
              <w:left w:val="nil"/>
              <w:bottom w:val="single" w:color="auto" w:sz="4" w:space="0"/>
              <w:right w:val="nil"/>
            </w:tcBorders>
            <w:shd w:val="clear" w:color="auto" w:fill="auto"/>
            <w:vAlign w:val="center"/>
          </w:tcPr>
          <w:p w14:paraId="582C1EA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33.65</w:t>
            </w:r>
          </w:p>
        </w:tc>
        <w:tc>
          <w:tcPr>
            <w:tcW w:w="487" w:type="dxa"/>
            <w:tcBorders>
              <w:top w:val="single" w:color="auto" w:sz="4" w:space="0"/>
              <w:left w:val="nil"/>
              <w:bottom w:val="single" w:color="auto" w:sz="4" w:space="0"/>
              <w:right w:val="nil"/>
            </w:tcBorders>
            <w:shd w:val="clear" w:color="auto" w:fill="auto"/>
            <w:vAlign w:val="center"/>
          </w:tcPr>
          <w:p w14:paraId="18E81CF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37</w:t>
            </w:r>
          </w:p>
        </w:tc>
        <w:tc>
          <w:tcPr>
            <w:tcW w:w="823" w:type="dxa"/>
            <w:tcBorders>
              <w:top w:val="single" w:color="auto" w:sz="4" w:space="0"/>
              <w:left w:val="nil"/>
              <w:bottom w:val="single" w:color="auto" w:sz="4" w:space="0"/>
              <w:right w:val="nil"/>
            </w:tcBorders>
            <w:shd w:val="clear" w:color="auto" w:fill="auto"/>
            <w:vAlign w:val="center"/>
          </w:tcPr>
          <w:p w14:paraId="20D36657">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411.11</w:t>
            </w:r>
          </w:p>
        </w:tc>
        <w:tc>
          <w:tcPr>
            <w:tcW w:w="725" w:type="dxa"/>
            <w:tcBorders>
              <w:top w:val="single" w:color="auto" w:sz="4" w:space="0"/>
              <w:left w:val="nil"/>
              <w:bottom w:val="single" w:color="auto" w:sz="4" w:space="0"/>
              <w:right w:val="nil"/>
            </w:tcBorders>
            <w:shd w:val="clear" w:color="auto" w:fill="auto"/>
            <w:noWrap/>
            <w:vAlign w:val="center"/>
          </w:tcPr>
          <w:p w14:paraId="091E21B5">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2455</w:t>
            </w:r>
          </w:p>
        </w:tc>
        <w:tc>
          <w:tcPr>
            <w:tcW w:w="725" w:type="dxa"/>
            <w:tcBorders>
              <w:top w:val="single" w:color="auto" w:sz="4" w:space="0"/>
              <w:left w:val="nil"/>
              <w:bottom w:val="single" w:color="auto" w:sz="4" w:space="0"/>
              <w:right w:val="nil"/>
            </w:tcBorders>
            <w:shd w:val="clear" w:color="auto" w:fill="auto"/>
            <w:noWrap/>
            <w:vAlign w:val="center"/>
          </w:tcPr>
          <w:p w14:paraId="1E9EBEE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0"/>
                <w:sz w:val="20"/>
                <w:szCs w:val="20"/>
              </w:rPr>
            </w:pPr>
            <w:r>
              <w:rPr>
                <w:rFonts w:hint="default" w:ascii="Times New Roman" w:hAnsi="Times New Roman" w:eastAsia="宋体" w:cs="Times New Roman"/>
                <w:i w:val="0"/>
                <w:iCs w:val="0"/>
                <w:color w:val="000000"/>
                <w:kern w:val="0"/>
                <w:sz w:val="20"/>
                <w:szCs w:val="20"/>
                <w:lang w:val="en-US" w:eastAsia="zh-CN" w:bidi="ar"/>
              </w:rPr>
              <w:t xml:space="preserve">45.23 </w:t>
            </w:r>
          </w:p>
        </w:tc>
      </w:tr>
      <w:tr w14:paraId="037CD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15815" w:type="dxa"/>
            <w:gridSpan w:val="21"/>
            <w:tcBorders>
              <w:top w:val="single" w:color="auto" w:sz="4" w:space="0"/>
              <w:left w:val="nil"/>
              <w:bottom w:val="single" w:color="auto" w:sz="4" w:space="0"/>
              <w:right w:val="nil"/>
            </w:tcBorders>
            <w:shd w:val="clear" w:color="auto" w:fill="auto"/>
            <w:vAlign w:val="center"/>
          </w:tcPr>
          <w:p w14:paraId="608110EA">
            <w:pPr>
              <w:keepNext w:val="0"/>
              <w:keepLines w:val="0"/>
              <w:widowControl w:val="0"/>
              <w:suppressLineNumbers w:val="0"/>
              <w:spacing w:before="0" w:beforeAutospacing="0" w:after="0" w:afterAutospacing="0"/>
              <w:ind w:left="0" w:right="0" w:firstLine="0"/>
              <w:jc w:val="both"/>
              <w:rPr>
                <w:rFonts w:hint="default" w:ascii="Times New Roman" w:hAnsi="Times New Roman" w:eastAsia="宋体" w:cs="Times New Roman"/>
                <w:i w:val="0"/>
                <w:iCs w:val="0"/>
                <w:color w:val="000000"/>
                <w:kern w:val="0"/>
                <w:sz w:val="20"/>
                <w:szCs w:val="20"/>
              </w:rPr>
            </w:pPr>
            <w:r>
              <w:rPr>
                <w:rFonts w:hint="default" w:ascii="Times New Roman" w:hAnsi="Times New Roman" w:eastAsia="宋体" w:cs="Times New Roman"/>
                <w:b/>
                <w:bCs/>
                <w:i w:val="0"/>
                <w:iCs w:val="0"/>
                <w:color w:val="000000"/>
                <w:kern w:val="0"/>
                <w:sz w:val="20"/>
                <w:szCs w:val="20"/>
                <w:lang w:val="en-US" w:eastAsia="zh-CN" w:bidi="ar"/>
              </w:rPr>
              <w:t>Carnivore</w:t>
            </w:r>
          </w:p>
        </w:tc>
      </w:tr>
      <w:tr w14:paraId="78D41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1843" w:type="dxa"/>
            <w:tcBorders>
              <w:top w:val="single" w:color="auto" w:sz="4" w:space="0"/>
              <w:left w:val="nil"/>
              <w:bottom w:val="nil"/>
              <w:right w:val="nil"/>
            </w:tcBorders>
            <w:shd w:val="clear" w:color="auto" w:fill="auto"/>
            <w:vAlign w:val="center"/>
          </w:tcPr>
          <w:p w14:paraId="6080D405">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iCs/>
                <w:color w:val="000000"/>
                <w:kern w:val="2"/>
                <w:sz w:val="20"/>
                <w:szCs w:val="20"/>
              </w:rPr>
            </w:pPr>
            <w:r>
              <w:rPr>
                <w:rFonts w:hint="default" w:ascii="Times New Roman" w:hAnsi="Times New Roman" w:eastAsia="宋体" w:cs="Times New Roman"/>
                <w:i/>
                <w:iCs/>
                <w:color w:val="000000"/>
                <w:kern w:val="0"/>
                <w:sz w:val="20"/>
                <w:szCs w:val="20"/>
                <w:lang w:val="en-US" w:eastAsia="zh-CN" w:bidi="ar"/>
              </w:rPr>
              <w:t>Pit</w:t>
            </w:r>
          </w:p>
        </w:tc>
        <w:tc>
          <w:tcPr>
            <w:tcW w:w="695" w:type="dxa"/>
            <w:tcBorders>
              <w:top w:val="single" w:color="auto" w:sz="4" w:space="0"/>
              <w:left w:val="nil"/>
              <w:bottom w:val="nil"/>
              <w:right w:val="nil"/>
            </w:tcBorders>
            <w:shd w:val="clear" w:color="auto" w:fill="auto"/>
            <w:vAlign w:val="center"/>
          </w:tcPr>
          <w:p w14:paraId="59B5A93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6</w:t>
            </w:r>
          </w:p>
        </w:tc>
        <w:tc>
          <w:tcPr>
            <w:tcW w:w="794" w:type="dxa"/>
            <w:tcBorders>
              <w:top w:val="single" w:color="auto" w:sz="4" w:space="0"/>
              <w:left w:val="nil"/>
              <w:bottom w:val="nil"/>
              <w:right w:val="nil"/>
            </w:tcBorders>
            <w:shd w:val="clear" w:color="auto" w:fill="auto"/>
            <w:vAlign w:val="center"/>
          </w:tcPr>
          <w:p w14:paraId="0968B7E3">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0.22 </w:t>
            </w:r>
          </w:p>
        </w:tc>
        <w:tc>
          <w:tcPr>
            <w:tcW w:w="555" w:type="dxa"/>
            <w:tcBorders>
              <w:top w:val="single" w:color="auto" w:sz="4" w:space="0"/>
              <w:left w:val="nil"/>
              <w:bottom w:val="nil"/>
              <w:right w:val="nil"/>
            </w:tcBorders>
            <w:shd w:val="clear" w:color="auto" w:fill="auto"/>
            <w:vAlign w:val="center"/>
          </w:tcPr>
          <w:p w14:paraId="1A234D1E">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3</w:t>
            </w:r>
          </w:p>
        </w:tc>
        <w:tc>
          <w:tcPr>
            <w:tcW w:w="867" w:type="dxa"/>
            <w:tcBorders>
              <w:top w:val="single" w:color="auto" w:sz="4" w:space="0"/>
              <w:left w:val="nil"/>
              <w:bottom w:val="nil"/>
              <w:right w:val="nil"/>
            </w:tcBorders>
            <w:shd w:val="clear" w:color="auto" w:fill="auto"/>
            <w:vAlign w:val="center"/>
          </w:tcPr>
          <w:p w14:paraId="05B12FCD">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0.68 </w:t>
            </w:r>
          </w:p>
        </w:tc>
        <w:tc>
          <w:tcPr>
            <w:tcW w:w="522" w:type="dxa"/>
            <w:tcBorders>
              <w:top w:val="single" w:color="auto" w:sz="4" w:space="0"/>
              <w:left w:val="nil"/>
              <w:bottom w:val="nil"/>
              <w:right w:val="nil"/>
            </w:tcBorders>
            <w:shd w:val="clear" w:color="auto" w:fill="auto"/>
            <w:vAlign w:val="center"/>
          </w:tcPr>
          <w:p w14:paraId="6E37211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58" w:type="dxa"/>
            <w:tcBorders>
              <w:top w:val="single" w:color="auto" w:sz="4" w:space="0"/>
              <w:left w:val="nil"/>
              <w:bottom w:val="nil"/>
              <w:right w:val="nil"/>
            </w:tcBorders>
            <w:shd w:val="clear" w:color="auto" w:fill="auto"/>
            <w:vAlign w:val="center"/>
          </w:tcPr>
          <w:p w14:paraId="0930C206">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611" w:type="dxa"/>
            <w:tcBorders>
              <w:top w:val="single" w:color="auto" w:sz="4" w:space="0"/>
              <w:left w:val="nil"/>
              <w:bottom w:val="nil"/>
              <w:right w:val="nil"/>
            </w:tcBorders>
            <w:shd w:val="clear" w:color="auto" w:fill="auto"/>
            <w:vAlign w:val="center"/>
          </w:tcPr>
          <w:p w14:paraId="799D5CF0">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w:t>
            </w:r>
          </w:p>
        </w:tc>
        <w:tc>
          <w:tcPr>
            <w:tcW w:w="823" w:type="dxa"/>
            <w:tcBorders>
              <w:top w:val="single" w:color="auto" w:sz="4" w:space="0"/>
              <w:left w:val="nil"/>
              <w:bottom w:val="nil"/>
              <w:right w:val="nil"/>
            </w:tcBorders>
            <w:shd w:val="clear" w:color="auto" w:fill="auto"/>
            <w:vAlign w:val="center"/>
          </w:tcPr>
          <w:p w14:paraId="175E0B0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0.10 </w:t>
            </w:r>
          </w:p>
        </w:tc>
        <w:tc>
          <w:tcPr>
            <w:tcW w:w="513" w:type="dxa"/>
            <w:tcBorders>
              <w:top w:val="single" w:color="auto" w:sz="4" w:space="0"/>
              <w:left w:val="nil"/>
              <w:bottom w:val="nil"/>
              <w:right w:val="nil"/>
            </w:tcBorders>
            <w:shd w:val="clear" w:color="auto" w:fill="auto"/>
            <w:vAlign w:val="center"/>
          </w:tcPr>
          <w:p w14:paraId="115C58AE">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32" w:type="dxa"/>
            <w:tcBorders>
              <w:top w:val="single" w:color="auto" w:sz="4" w:space="0"/>
              <w:left w:val="nil"/>
              <w:bottom w:val="nil"/>
              <w:right w:val="nil"/>
            </w:tcBorders>
            <w:shd w:val="clear" w:color="auto" w:fill="auto"/>
            <w:vAlign w:val="center"/>
          </w:tcPr>
          <w:p w14:paraId="54B2D0D7">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593" w:type="dxa"/>
            <w:tcBorders>
              <w:top w:val="single" w:color="auto" w:sz="4" w:space="0"/>
              <w:left w:val="nil"/>
              <w:bottom w:val="nil"/>
              <w:right w:val="nil"/>
            </w:tcBorders>
            <w:shd w:val="clear" w:color="auto" w:fill="auto"/>
            <w:vAlign w:val="center"/>
          </w:tcPr>
          <w:p w14:paraId="7B72C5F9">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w:t>
            </w:r>
          </w:p>
        </w:tc>
        <w:tc>
          <w:tcPr>
            <w:tcW w:w="823" w:type="dxa"/>
            <w:tcBorders>
              <w:top w:val="single" w:color="auto" w:sz="4" w:space="0"/>
              <w:left w:val="nil"/>
              <w:bottom w:val="nil"/>
              <w:right w:val="nil"/>
            </w:tcBorders>
            <w:shd w:val="clear" w:color="auto" w:fill="auto"/>
            <w:vAlign w:val="center"/>
          </w:tcPr>
          <w:p w14:paraId="1F37B7A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0.24 </w:t>
            </w:r>
          </w:p>
        </w:tc>
        <w:tc>
          <w:tcPr>
            <w:tcW w:w="531" w:type="dxa"/>
            <w:tcBorders>
              <w:top w:val="single" w:color="auto" w:sz="4" w:space="0"/>
              <w:left w:val="nil"/>
              <w:bottom w:val="nil"/>
              <w:right w:val="nil"/>
            </w:tcBorders>
            <w:shd w:val="clear" w:color="auto" w:fill="auto"/>
            <w:vAlign w:val="center"/>
          </w:tcPr>
          <w:p w14:paraId="6AA08646">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05" w:type="dxa"/>
            <w:tcBorders>
              <w:top w:val="single" w:color="auto" w:sz="4" w:space="0"/>
              <w:left w:val="nil"/>
              <w:bottom w:val="nil"/>
              <w:right w:val="nil"/>
            </w:tcBorders>
            <w:shd w:val="clear" w:color="auto" w:fill="auto"/>
            <w:vAlign w:val="center"/>
          </w:tcPr>
          <w:p w14:paraId="13DF778D">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531" w:type="dxa"/>
            <w:tcBorders>
              <w:top w:val="single" w:color="auto" w:sz="4" w:space="0"/>
              <w:left w:val="nil"/>
              <w:bottom w:val="nil"/>
              <w:right w:val="nil"/>
            </w:tcBorders>
            <w:shd w:val="clear" w:color="auto" w:fill="auto"/>
            <w:vAlign w:val="center"/>
          </w:tcPr>
          <w:p w14:paraId="0B130F05">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59" w:type="dxa"/>
            <w:tcBorders>
              <w:top w:val="single" w:color="auto" w:sz="4" w:space="0"/>
              <w:left w:val="nil"/>
              <w:bottom w:val="nil"/>
              <w:right w:val="nil"/>
            </w:tcBorders>
            <w:shd w:val="clear" w:color="auto" w:fill="auto"/>
            <w:vAlign w:val="center"/>
          </w:tcPr>
          <w:p w14:paraId="364907D8">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487" w:type="dxa"/>
            <w:tcBorders>
              <w:top w:val="single" w:color="auto" w:sz="4" w:space="0"/>
              <w:left w:val="nil"/>
              <w:bottom w:val="nil"/>
              <w:right w:val="nil"/>
            </w:tcBorders>
            <w:shd w:val="clear" w:color="auto" w:fill="auto"/>
            <w:vAlign w:val="center"/>
          </w:tcPr>
          <w:p w14:paraId="466A9AC8">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23" w:type="dxa"/>
            <w:tcBorders>
              <w:top w:val="single" w:color="auto" w:sz="4" w:space="0"/>
              <w:left w:val="nil"/>
              <w:bottom w:val="nil"/>
              <w:right w:val="nil"/>
            </w:tcBorders>
            <w:shd w:val="clear" w:color="auto" w:fill="auto"/>
            <w:vAlign w:val="center"/>
          </w:tcPr>
          <w:p w14:paraId="26D9002B">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725" w:type="dxa"/>
            <w:tcBorders>
              <w:top w:val="single" w:color="auto" w:sz="4" w:space="0"/>
              <w:left w:val="nil"/>
              <w:bottom w:val="nil"/>
              <w:right w:val="nil"/>
            </w:tcBorders>
            <w:shd w:val="clear" w:color="auto" w:fill="auto"/>
            <w:noWrap/>
            <w:vAlign w:val="center"/>
          </w:tcPr>
          <w:p w14:paraId="3F84226D">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12</w:t>
            </w:r>
          </w:p>
        </w:tc>
        <w:tc>
          <w:tcPr>
            <w:tcW w:w="725" w:type="dxa"/>
            <w:tcBorders>
              <w:top w:val="single" w:color="auto" w:sz="4" w:space="0"/>
              <w:left w:val="nil"/>
              <w:bottom w:val="nil"/>
              <w:right w:val="nil"/>
            </w:tcBorders>
            <w:shd w:val="clear" w:color="auto" w:fill="auto"/>
            <w:noWrap/>
            <w:vAlign w:val="center"/>
          </w:tcPr>
          <w:p w14:paraId="1B17BAF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0"/>
                <w:sz w:val="20"/>
                <w:szCs w:val="20"/>
              </w:rPr>
            </w:pPr>
            <w:r>
              <w:rPr>
                <w:rFonts w:hint="default" w:ascii="Times New Roman" w:hAnsi="Times New Roman" w:eastAsia="宋体" w:cs="Times New Roman"/>
                <w:i w:val="0"/>
                <w:iCs w:val="0"/>
                <w:color w:val="000000"/>
                <w:kern w:val="0"/>
                <w:sz w:val="20"/>
                <w:szCs w:val="20"/>
                <w:lang w:val="en-US" w:eastAsia="zh-CN" w:bidi="ar"/>
              </w:rPr>
              <w:t xml:space="preserve">0.22 </w:t>
            </w:r>
          </w:p>
        </w:tc>
      </w:tr>
      <w:tr w14:paraId="33600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1843" w:type="dxa"/>
            <w:tcBorders>
              <w:top w:val="nil"/>
              <w:left w:val="nil"/>
              <w:bottom w:val="nil"/>
              <w:right w:val="nil"/>
            </w:tcBorders>
            <w:shd w:val="clear" w:color="auto" w:fill="auto"/>
            <w:vAlign w:val="center"/>
          </w:tcPr>
          <w:p w14:paraId="5D3EEFA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iCs/>
                <w:color w:val="000000"/>
                <w:kern w:val="2"/>
                <w:sz w:val="20"/>
                <w:szCs w:val="20"/>
              </w:rPr>
            </w:pPr>
            <w:r>
              <w:rPr>
                <w:rFonts w:hint="default" w:ascii="Times New Roman" w:hAnsi="Times New Roman" w:eastAsia="宋体" w:cs="Times New Roman"/>
                <w:i/>
                <w:iCs/>
                <w:color w:val="000000"/>
                <w:kern w:val="0"/>
                <w:sz w:val="20"/>
                <w:szCs w:val="20"/>
                <w:lang w:val="en-US" w:eastAsia="zh-CN" w:bidi="ar"/>
              </w:rPr>
              <w:t>Puncture</w:t>
            </w:r>
          </w:p>
        </w:tc>
        <w:tc>
          <w:tcPr>
            <w:tcW w:w="695" w:type="dxa"/>
            <w:tcBorders>
              <w:top w:val="nil"/>
              <w:left w:val="nil"/>
              <w:bottom w:val="nil"/>
              <w:right w:val="nil"/>
            </w:tcBorders>
            <w:shd w:val="clear" w:color="auto" w:fill="auto"/>
            <w:vAlign w:val="center"/>
          </w:tcPr>
          <w:p w14:paraId="2DCD54D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w:t>
            </w:r>
          </w:p>
        </w:tc>
        <w:tc>
          <w:tcPr>
            <w:tcW w:w="794" w:type="dxa"/>
            <w:tcBorders>
              <w:top w:val="nil"/>
              <w:left w:val="nil"/>
              <w:bottom w:val="nil"/>
              <w:right w:val="nil"/>
            </w:tcBorders>
            <w:shd w:val="clear" w:color="auto" w:fill="auto"/>
            <w:vAlign w:val="center"/>
          </w:tcPr>
          <w:p w14:paraId="6A0EFB15">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0.07 </w:t>
            </w:r>
          </w:p>
        </w:tc>
        <w:tc>
          <w:tcPr>
            <w:tcW w:w="555" w:type="dxa"/>
            <w:tcBorders>
              <w:top w:val="nil"/>
              <w:left w:val="nil"/>
              <w:bottom w:val="nil"/>
              <w:right w:val="nil"/>
            </w:tcBorders>
            <w:shd w:val="clear" w:color="auto" w:fill="auto"/>
            <w:vAlign w:val="center"/>
          </w:tcPr>
          <w:p w14:paraId="28E23466">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67" w:type="dxa"/>
            <w:tcBorders>
              <w:top w:val="nil"/>
              <w:left w:val="nil"/>
              <w:bottom w:val="nil"/>
              <w:right w:val="nil"/>
            </w:tcBorders>
            <w:shd w:val="clear" w:color="auto" w:fill="auto"/>
            <w:vAlign w:val="center"/>
          </w:tcPr>
          <w:p w14:paraId="5D056FC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522" w:type="dxa"/>
            <w:tcBorders>
              <w:top w:val="nil"/>
              <w:left w:val="nil"/>
              <w:bottom w:val="nil"/>
              <w:right w:val="nil"/>
            </w:tcBorders>
            <w:shd w:val="clear" w:color="auto" w:fill="auto"/>
            <w:vAlign w:val="center"/>
          </w:tcPr>
          <w:p w14:paraId="2CA0FDA4">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58" w:type="dxa"/>
            <w:tcBorders>
              <w:top w:val="nil"/>
              <w:left w:val="nil"/>
              <w:bottom w:val="nil"/>
              <w:right w:val="nil"/>
            </w:tcBorders>
            <w:shd w:val="clear" w:color="auto" w:fill="auto"/>
            <w:vAlign w:val="center"/>
          </w:tcPr>
          <w:p w14:paraId="2D071226">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611" w:type="dxa"/>
            <w:tcBorders>
              <w:top w:val="nil"/>
              <w:left w:val="nil"/>
              <w:bottom w:val="nil"/>
              <w:right w:val="nil"/>
            </w:tcBorders>
            <w:shd w:val="clear" w:color="auto" w:fill="auto"/>
            <w:vAlign w:val="center"/>
          </w:tcPr>
          <w:p w14:paraId="1FF73BA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23" w:type="dxa"/>
            <w:tcBorders>
              <w:top w:val="nil"/>
              <w:left w:val="nil"/>
              <w:bottom w:val="nil"/>
              <w:right w:val="nil"/>
            </w:tcBorders>
            <w:shd w:val="clear" w:color="auto" w:fill="auto"/>
            <w:vAlign w:val="center"/>
          </w:tcPr>
          <w:p w14:paraId="2938DDD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513" w:type="dxa"/>
            <w:tcBorders>
              <w:top w:val="nil"/>
              <w:left w:val="nil"/>
              <w:bottom w:val="nil"/>
              <w:right w:val="nil"/>
            </w:tcBorders>
            <w:shd w:val="clear" w:color="auto" w:fill="auto"/>
            <w:vAlign w:val="center"/>
          </w:tcPr>
          <w:p w14:paraId="1DB42C93">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32" w:type="dxa"/>
            <w:tcBorders>
              <w:top w:val="nil"/>
              <w:left w:val="nil"/>
              <w:bottom w:val="nil"/>
              <w:right w:val="nil"/>
            </w:tcBorders>
            <w:shd w:val="clear" w:color="auto" w:fill="auto"/>
            <w:vAlign w:val="center"/>
          </w:tcPr>
          <w:p w14:paraId="0181C76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593" w:type="dxa"/>
            <w:tcBorders>
              <w:top w:val="nil"/>
              <w:left w:val="nil"/>
              <w:bottom w:val="nil"/>
              <w:right w:val="nil"/>
            </w:tcBorders>
            <w:shd w:val="clear" w:color="auto" w:fill="auto"/>
            <w:vAlign w:val="center"/>
          </w:tcPr>
          <w:p w14:paraId="5F0BDF55">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23" w:type="dxa"/>
            <w:tcBorders>
              <w:top w:val="nil"/>
              <w:left w:val="nil"/>
              <w:bottom w:val="nil"/>
              <w:right w:val="nil"/>
            </w:tcBorders>
            <w:shd w:val="clear" w:color="auto" w:fill="auto"/>
            <w:vAlign w:val="center"/>
          </w:tcPr>
          <w:p w14:paraId="20753EEE">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531" w:type="dxa"/>
            <w:tcBorders>
              <w:top w:val="nil"/>
              <w:left w:val="nil"/>
              <w:bottom w:val="nil"/>
              <w:right w:val="nil"/>
            </w:tcBorders>
            <w:shd w:val="clear" w:color="auto" w:fill="auto"/>
            <w:vAlign w:val="center"/>
          </w:tcPr>
          <w:p w14:paraId="36B7B12E">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05" w:type="dxa"/>
            <w:tcBorders>
              <w:top w:val="nil"/>
              <w:left w:val="nil"/>
              <w:bottom w:val="nil"/>
              <w:right w:val="nil"/>
            </w:tcBorders>
            <w:shd w:val="clear" w:color="auto" w:fill="auto"/>
            <w:vAlign w:val="center"/>
          </w:tcPr>
          <w:p w14:paraId="772A2A87">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531" w:type="dxa"/>
            <w:tcBorders>
              <w:top w:val="nil"/>
              <w:left w:val="nil"/>
              <w:bottom w:val="nil"/>
              <w:right w:val="nil"/>
            </w:tcBorders>
            <w:shd w:val="clear" w:color="auto" w:fill="auto"/>
            <w:vAlign w:val="center"/>
          </w:tcPr>
          <w:p w14:paraId="3A380099">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59" w:type="dxa"/>
            <w:tcBorders>
              <w:top w:val="nil"/>
              <w:left w:val="nil"/>
              <w:bottom w:val="nil"/>
              <w:right w:val="nil"/>
            </w:tcBorders>
            <w:shd w:val="clear" w:color="auto" w:fill="auto"/>
            <w:vAlign w:val="center"/>
          </w:tcPr>
          <w:p w14:paraId="4E91474E">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487" w:type="dxa"/>
            <w:tcBorders>
              <w:top w:val="nil"/>
              <w:left w:val="nil"/>
              <w:bottom w:val="nil"/>
              <w:right w:val="nil"/>
            </w:tcBorders>
            <w:shd w:val="clear" w:color="auto" w:fill="auto"/>
            <w:vAlign w:val="center"/>
          </w:tcPr>
          <w:p w14:paraId="5EFC8DD7">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23" w:type="dxa"/>
            <w:tcBorders>
              <w:top w:val="nil"/>
              <w:left w:val="nil"/>
              <w:bottom w:val="nil"/>
              <w:right w:val="nil"/>
            </w:tcBorders>
            <w:shd w:val="clear" w:color="auto" w:fill="auto"/>
            <w:vAlign w:val="center"/>
          </w:tcPr>
          <w:p w14:paraId="2C92B8AE">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725" w:type="dxa"/>
            <w:tcBorders>
              <w:top w:val="nil"/>
              <w:left w:val="nil"/>
              <w:bottom w:val="nil"/>
              <w:right w:val="nil"/>
            </w:tcBorders>
            <w:shd w:val="clear" w:color="auto" w:fill="auto"/>
            <w:noWrap/>
            <w:vAlign w:val="center"/>
          </w:tcPr>
          <w:p w14:paraId="0FB073B3">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w:t>
            </w:r>
          </w:p>
        </w:tc>
        <w:tc>
          <w:tcPr>
            <w:tcW w:w="725" w:type="dxa"/>
            <w:tcBorders>
              <w:top w:val="nil"/>
              <w:left w:val="nil"/>
              <w:bottom w:val="nil"/>
              <w:right w:val="nil"/>
            </w:tcBorders>
            <w:shd w:val="clear" w:color="auto" w:fill="auto"/>
            <w:noWrap/>
            <w:vAlign w:val="center"/>
          </w:tcPr>
          <w:p w14:paraId="65AC4F7D">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0"/>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0.04 </w:t>
            </w:r>
          </w:p>
        </w:tc>
      </w:tr>
      <w:tr w14:paraId="2AE5B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1843" w:type="dxa"/>
            <w:tcBorders>
              <w:top w:val="nil"/>
              <w:left w:val="nil"/>
              <w:bottom w:val="nil"/>
              <w:right w:val="nil"/>
            </w:tcBorders>
            <w:shd w:val="clear" w:color="auto" w:fill="auto"/>
            <w:vAlign w:val="center"/>
          </w:tcPr>
          <w:p w14:paraId="7E266654">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iCs/>
                <w:color w:val="000000"/>
                <w:kern w:val="2"/>
                <w:sz w:val="20"/>
                <w:szCs w:val="20"/>
              </w:rPr>
            </w:pPr>
            <w:r>
              <w:rPr>
                <w:rFonts w:hint="default" w:ascii="Times New Roman" w:hAnsi="Times New Roman" w:eastAsia="宋体" w:cs="Times New Roman"/>
                <w:i/>
                <w:iCs/>
                <w:color w:val="000000"/>
                <w:kern w:val="0"/>
                <w:sz w:val="20"/>
                <w:szCs w:val="20"/>
                <w:lang w:val="en-US" w:eastAsia="zh-CN" w:bidi="ar"/>
              </w:rPr>
              <w:t>Furrow</w:t>
            </w:r>
          </w:p>
        </w:tc>
        <w:tc>
          <w:tcPr>
            <w:tcW w:w="695" w:type="dxa"/>
            <w:tcBorders>
              <w:top w:val="nil"/>
              <w:left w:val="nil"/>
              <w:bottom w:val="nil"/>
              <w:right w:val="nil"/>
            </w:tcBorders>
            <w:shd w:val="clear" w:color="auto" w:fill="auto"/>
            <w:vAlign w:val="center"/>
          </w:tcPr>
          <w:p w14:paraId="27339A9C">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10</w:t>
            </w:r>
          </w:p>
        </w:tc>
        <w:tc>
          <w:tcPr>
            <w:tcW w:w="794" w:type="dxa"/>
            <w:tcBorders>
              <w:top w:val="nil"/>
              <w:left w:val="nil"/>
              <w:bottom w:val="nil"/>
              <w:right w:val="nil"/>
            </w:tcBorders>
            <w:shd w:val="clear" w:color="auto" w:fill="auto"/>
            <w:vAlign w:val="center"/>
          </w:tcPr>
          <w:p w14:paraId="16594167">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0.36 </w:t>
            </w:r>
          </w:p>
        </w:tc>
        <w:tc>
          <w:tcPr>
            <w:tcW w:w="555" w:type="dxa"/>
            <w:tcBorders>
              <w:top w:val="nil"/>
              <w:left w:val="nil"/>
              <w:bottom w:val="nil"/>
              <w:right w:val="nil"/>
            </w:tcBorders>
            <w:shd w:val="clear" w:color="auto" w:fill="auto"/>
            <w:vAlign w:val="center"/>
          </w:tcPr>
          <w:p w14:paraId="59414D04">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3</w:t>
            </w:r>
          </w:p>
        </w:tc>
        <w:tc>
          <w:tcPr>
            <w:tcW w:w="867" w:type="dxa"/>
            <w:tcBorders>
              <w:top w:val="nil"/>
              <w:left w:val="nil"/>
              <w:bottom w:val="nil"/>
              <w:right w:val="nil"/>
            </w:tcBorders>
            <w:shd w:val="clear" w:color="auto" w:fill="auto"/>
            <w:vAlign w:val="center"/>
          </w:tcPr>
          <w:p w14:paraId="64801C30">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0.68 </w:t>
            </w:r>
          </w:p>
        </w:tc>
        <w:tc>
          <w:tcPr>
            <w:tcW w:w="522" w:type="dxa"/>
            <w:tcBorders>
              <w:top w:val="nil"/>
              <w:left w:val="nil"/>
              <w:bottom w:val="nil"/>
              <w:right w:val="nil"/>
            </w:tcBorders>
            <w:shd w:val="clear" w:color="auto" w:fill="auto"/>
            <w:vAlign w:val="center"/>
          </w:tcPr>
          <w:p w14:paraId="4BECBBF3">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58" w:type="dxa"/>
            <w:tcBorders>
              <w:top w:val="nil"/>
              <w:left w:val="nil"/>
              <w:bottom w:val="nil"/>
              <w:right w:val="nil"/>
            </w:tcBorders>
            <w:shd w:val="clear" w:color="auto" w:fill="auto"/>
            <w:vAlign w:val="center"/>
          </w:tcPr>
          <w:p w14:paraId="1B0B7734">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611" w:type="dxa"/>
            <w:tcBorders>
              <w:top w:val="nil"/>
              <w:left w:val="nil"/>
              <w:bottom w:val="nil"/>
              <w:right w:val="nil"/>
            </w:tcBorders>
            <w:shd w:val="clear" w:color="auto" w:fill="auto"/>
            <w:vAlign w:val="center"/>
          </w:tcPr>
          <w:p w14:paraId="40F44827">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3</w:t>
            </w:r>
          </w:p>
        </w:tc>
        <w:tc>
          <w:tcPr>
            <w:tcW w:w="823" w:type="dxa"/>
            <w:tcBorders>
              <w:top w:val="nil"/>
              <w:left w:val="nil"/>
              <w:bottom w:val="nil"/>
              <w:right w:val="nil"/>
            </w:tcBorders>
            <w:shd w:val="clear" w:color="auto" w:fill="auto"/>
            <w:vAlign w:val="center"/>
          </w:tcPr>
          <w:p w14:paraId="73B50E7D">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0.31 </w:t>
            </w:r>
          </w:p>
        </w:tc>
        <w:tc>
          <w:tcPr>
            <w:tcW w:w="513" w:type="dxa"/>
            <w:tcBorders>
              <w:top w:val="nil"/>
              <w:left w:val="nil"/>
              <w:bottom w:val="nil"/>
              <w:right w:val="nil"/>
            </w:tcBorders>
            <w:shd w:val="clear" w:color="auto" w:fill="auto"/>
            <w:vAlign w:val="center"/>
          </w:tcPr>
          <w:p w14:paraId="07B16BC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32" w:type="dxa"/>
            <w:tcBorders>
              <w:top w:val="nil"/>
              <w:left w:val="nil"/>
              <w:bottom w:val="nil"/>
              <w:right w:val="nil"/>
            </w:tcBorders>
            <w:shd w:val="clear" w:color="auto" w:fill="auto"/>
            <w:vAlign w:val="center"/>
          </w:tcPr>
          <w:p w14:paraId="585BED69">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593" w:type="dxa"/>
            <w:tcBorders>
              <w:top w:val="nil"/>
              <w:left w:val="nil"/>
              <w:bottom w:val="nil"/>
              <w:right w:val="nil"/>
            </w:tcBorders>
            <w:shd w:val="clear" w:color="auto" w:fill="auto"/>
            <w:vAlign w:val="center"/>
          </w:tcPr>
          <w:p w14:paraId="63B0802D">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w:t>
            </w:r>
          </w:p>
        </w:tc>
        <w:tc>
          <w:tcPr>
            <w:tcW w:w="823" w:type="dxa"/>
            <w:tcBorders>
              <w:top w:val="nil"/>
              <w:left w:val="nil"/>
              <w:bottom w:val="nil"/>
              <w:right w:val="nil"/>
            </w:tcBorders>
            <w:shd w:val="clear" w:color="auto" w:fill="auto"/>
            <w:vAlign w:val="center"/>
          </w:tcPr>
          <w:p w14:paraId="7F03C17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0.12 </w:t>
            </w:r>
          </w:p>
        </w:tc>
        <w:tc>
          <w:tcPr>
            <w:tcW w:w="531" w:type="dxa"/>
            <w:tcBorders>
              <w:top w:val="nil"/>
              <w:left w:val="nil"/>
              <w:bottom w:val="nil"/>
              <w:right w:val="nil"/>
            </w:tcBorders>
            <w:shd w:val="clear" w:color="auto" w:fill="auto"/>
            <w:vAlign w:val="center"/>
          </w:tcPr>
          <w:p w14:paraId="707C53F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05" w:type="dxa"/>
            <w:tcBorders>
              <w:top w:val="nil"/>
              <w:left w:val="nil"/>
              <w:bottom w:val="nil"/>
              <w:right w:val="nil"/>
            </w:tcBorders>
            <w:shd w:val="clear" w:color="auto" w:fill="auto"/>
            <w:vAlign w:val="center"/>
          </w:tcPr>
          <w:p w14:paraId="1EBA527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531" w:type="dxa"/>
            <w:tcBorders>
              <w:top w:val="nil"/>
              <w:left w:val="nil"/>
              <w:bottom w:val="nil"/>
              <w:right w:val="nil"/>
            </w:tcBorders>
            <w:shd w:val="clear" w:color="auto" w:fill="auto"/>
            <w:vAlign w:val="center"/>
          </w:tcPr>
          <w:p w14:paraId="3095B5BE">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59" w:type="dxa"/>
            <w:tcBorders>
              <w:top w:val="nil"/>
              <w:left w:val="nil"/>
              <w:bottom w:val="nil"/>
              <w:right w:val="nil"/>
            </w:tcBorders>
            <w:shd w:val="clear" w:color="auto" w:fill="auto"/>
            <w:vAlign w:val="center"/>
          </w:tcPr>
          <w:p w14:paraId="66CB9FA0">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487" w:type="dxa"/>
            <w:tcBorders>
              <w:top w:val="nil"/>
              <w:left w:val="nil"/>
              <w:bottom w:val="nil"/>
              <w:right w:val="nil"/>
            </w:tcBorders>
            <w:shd w:val="clear" w:color="auto" w:fill="auto"/>
            <w:vAlign w:val="center"/>
          </w:tcPr>
          <w:p w14:paraId="16AC7600">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23" w:type="dxa"/>
            <w:tcBorders>
              <w:top w:val="nil"/>
              <w:left w:val="nil"/>
              <w:bottom w:val="nil"/>
              <w:right w:val="nil"/>
            </w:tcBorders>
            <w:shd w:val="clear" w:color="auto" w:fill="auto"/>
            <w:vAlign w:val="center"/>
          </w:tcPr>
          <w:p w14:paraId="05A29F27">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725" w:type="dxa"/>
            <w:tcBorders>
              <w:top w:val="nil"/>
              <w:left w:val="nil"/>
              <w:bottom w:val="nil"/>
              <w:right w:val="nil"/>
            </w:tcBorders>
            <w:shd w:val="clear" w:color="auto" w:fill="auto"/>
            <w:noWrap/>
            <w:vAlign w:val="center"/>
          </w:tcPr>
          <w:p w14:paraId="600FC3E3">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17</w:t>
            </w:r>
          </w:p>
        </w:tc>
        <w:tc>
          <w:tcPr>
            <w:tcW w:w="725" w:type="dxa"/>
            <w:tcBorders>
              <w:top w:val="nil"/>
              <w:left w:val="nil"/>
              <w:bottom w:val="nil"/>
              <w:right w:val="nil"/>
            </w:tcBorders>
            <w:shd w:val="clear" w:color="auto" w:fill="auto"/>
            <w:noWrap/>
            <w:vAlign w:val="center"/>
          </w:tcPr>
          <w:p w14:paraId="3895AC5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0"/>
                <w:sz w:val="20"/>
                <w:szCs w:val="20"/>
              </w:rPr>
            </w:pPr>
            <w:r>
              <w:rPr>
                <w:rFonts w:hint="default" w:ascii="Times New Roman" w:hAnsi="Times New Roman" w:eastAsia="宋体" w:cs="Times New Roman"/>
                <w:i w:val="0"/>
                <w:iCs w:val="0"/>
                <w:color w:val="000000"/>
                <w:kern w:val="0"/>
                <w:sz w:val="20"/>
                <w:szCs w:val="20"/>
                <w:lang w:val="en-US" w:eastAsia="zh-CN" w:bidi="ar"/>
              </w:rPr>
              <w:t xml:space="preserve">0.31 </w:t>
            </w:r>
          </w:p>
        </w:tc>
      </w:tr>
      <w:tr w14:paraId="0D061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1843" w:type="dxa"/>
            <w:tcBorders>
              <w:top w:val="nil"/>
              <w:left w:val="nil"/>
              <w:bottom w:val="nil"/>
              <w:right w:val="nil"/>
            </w:tcBorders>
            <w:shd w:val="clear" w:color="auto" w:fill="auto"/>
            <w:vAlign w:val="center"/>
          </w:tcPr>
          <w:p w14:paraId="3D4EACF4">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iCs/>
                <w:color w:val="000000"/>
                <w:kern w:val="2"/>
                <w:sz w:val="20"/>
                <w:szCs w:val="20"/>
              </w:rPr>
            </w:pPr>
            <w:r>
              <w:rPr>
                <w:rFonts w:hint="default" w:ascii="Times New Roman" w:hAnsi="Times New Roman" w:eastAsia="宋体" w:cs="Times New Roman"/>
                <w:i/>
                <w:iCs/>
                <w:color w:val="000000"/>
                <w:kern w:val="0"/>
                <w:sz w:val="20"/>
                <w:szCs w:val="20"/>
                <w:lang w:val="en-US" w:eastAsia="zh-CN" w:bidi="ar"/>
              </w:rPr>
              <w:t>Gnawing</w:t>
            </w:r>
          </w:p>
        </w:tc>
        <w:tc>
          <w:tcPr>
            <w:tcW w:w="695" w:type="dxa"/>
            <w:tcBorders>
              <w:top w:val="nil"/>
              <w:left w:val="nil"/>
              <w:bottom w:val="nil"/>
              <w:right w:val="nil"/>
            </w:tcBorders>
            <w:shd w:val="clear" w:color="auto" w:fill="auto"/>
            <w:vAlign w:val="center"/>
          </w:tcPr>
          <w:p w14:paraId="58DA29ED">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w:t>
            </w:r>
          </w:p>
        </w:tc>
        <w:tc>
          <w:tcPr>
            <w:tcW w:w="794" w:type="dxa"/>
            <w:tcBorders>
              <w:top w:val="nil"/>
              <w:left w:val="nil"/>
              <w:bottom w:val="nil"/>
              <w:right w:val="nil"/>
            </w:tcBorders>
            <w:shd w:val="clear" w:color="auto" w:fill="auto"/>
            <w:vAlign w:val="center"/>
          </w:tcPr>
          <w:p w14:paraId="5C38F1E5">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0.04 </w:t>
            </w:r>
          </w:p>
        </w:tc>
        <w:tc>
          <w:tcPr>
            <w:tcW w:w="555" w:type="dxa"/>
            <w:tcBorders>
              <w:top w:val="nil"/>
              <w:left w:val="nil"/>
              <w:bottom w:val="nil"/>
              <w:right w:val="nil"/>
            </w:tcBorders>
            <w:shd w:val="clear" w:color="auto" w:fill="auto"/>
            <w:vAlign w:val="center"/>
          </w:tcPr>
          <w:p w14:paraId="3A28621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w:t>
            </w:r>
          </w:p>
        </w:tc>
        <w:tc>
          <w:tcPr>
            <w:tcW w:w="867" w:type="dxa"/>
            <w:tcBorders>
              <w:top w:val="nil"/>
              <w:left w:val="nil"/>
              <w:bottom w:val="nil"/>
              <w:right w:val="nil"/>
            </w:tcBorders>
            <w:shd w:val="clear" w:color="auto" w:fill="auto"/>
            <w:vAlign w:val="center"/>
          </w:tcPr>
          <w:p w14:paraId="2A0117F8">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0.23 </w:t>
            </w:r>
          </w:p>
        </w:tc>
        <w:tc>
          <w:tcPr>
            <w:tcW w:w="522" w:type="dxa"/>
            <w:tcBorders>
              <w:top w:val="nil"/>
              <w:left w:val="nil"/>
              <w:bottom w:val="nil"/>
              <w:right w:val="nil"/>
            </w:tcBorders>
            <w:shd w:val="clear" w:color="auto" w:fill="auto"/>
            <w:vAlign w:val="center"/>
          </w:tcPr>
          <w:p w14:paraId="3EF87C27">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58" w:type="dxa"/>
            <w:tcBorders>
              <w:top w:val="nil"/>
              <w:left w:val="nil"/>
              <w:bottom w:val="nil"/>
              <w:right w:val="nil"/>
            </w:tcBorders>
            <w:shd w:val="clear" w:color="auto" w:fill="auto"/>
            <w:vAlign w:val="center"/>
          </w:tcPr>
          <w:p w14:paraId="24754736">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611" w:type="dxa"/>
            <w:tcBorders>
              <w:top w:val="nil"/>
              <w:left w:val="nil"/>
              <w:bottom w:val="nil"/>
              <w:right w:val="nil"/>
            </w:tcBorders>
            <w:shd w:val="clear" w:color="auto" w:fill="auto"/>
            <w:vAlign w:val="center"/>
          </w:tcPr>
          <w:p w14:paraId="4D239A19">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23" w:type="dxa"/>
            <w:tcBorders>
              <w:top w:val="nil"/>
              <w:left w:val="nil"/>
              <w:bottom w:val="nil"/>
              <w:right w:val="nil"/>
            </w:tcBorders>
            <w:shd w:val="clear" w:color="auto" w:fill="auto"/>
            <w:vAlign w:val="center"/>
          </w:tcPr>
          <w:p w14:paraId="3D9CDFCC">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513" w:type="dxa"/>
            <w:tcBorders>
              <w:top w:val="nil"/>
              <w:left w:val="nil"/>
              <w:bottom w:val="nil"/>
              <w:right w:val="nil"/>
            </w:tcBorders>
            <w:shd w:val="clear" w:color="auto" w:fill="auto"/>
            <w:vAlign w:val="center"/>
          </w:tcPr>
          <w:p w14:paraId="3A77F4E3">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32" w:type="dxa"/>
            <w:tcBorders>
              <w:top w:val="nil"/>
              <w:left w:val="nil"/>
              <w:bottom w:val="nil"/>
              <w:right w:val="nil"/>
            </w:tcBorders>
            <w:shd w:val="clear" w:color="auto" w:fill="auto"/>
            <w:vAlign w:val="center"/>
          </w:tcPr>
          <w:p w14:paraId="53CA2193">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593" w:type="dxa"/>
            <w:tcBorders>
              <w:top w:val="nil"/>
              <w:left w:val="nil"/>
              <w:bottom w:val="nil"/>
              <w:right w:val="nil"/>
            </w:tcBorders>
            <w:shd w:val="clear" w:color="auto" w:fill="auto"/>
            <w:vAlign w:val="center"/>
          </w:tcPr>
          <w:p w14:paraId="3B37832D">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23" w:type="dxa"/>
            <w:tcBorders>
              <w:top w:val="nil"/>
              <w:left w:val="nil"/>
              <w:bottom w:val="nil"/>
              <w:right w:val="nil"/>
            </w:tcBorders>
            <w:shd w:val="clear" w:color="auto" w:fill="auto"/>
            <w:vAlign w:val="center"/>
          </w:tcPr>
          <w:p w14:paraId="33786860">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531" w:type="dxa"/>
            <w:tcBorders>
              <w:top w:val="nil"/>
              <w:left w:val="nil"/>
              <w:bottom w:val="nil"/>
              <w:right w:val="nil"/>
            </w:tcBorders>
            <w:shd w:val="clear" w:color="auto" w:fill="auto"/>
            <w:vAlign w:val="center"/>
          </w:tcPr>
          <w:p w14:paraId="3A02D8F5">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05" w:type="dxa"/>
            <w:tcBorders>
              <w:top w:val="nil"/>
              <w:left w:val="nil"/>
              <w:bottom w:val="nil"/>
              <w:right w:val="nil"/>
            </w:tcBorders>
            <w:shd w:val="clear" w:color="auto" w:fill="auto"/>
            <w:vAlign w:val="center"/>
          </w:tcPr>
          <w:p w14:paraId="6AA0AB26">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531" w:type="dxa"/>
            <w:tcBorders>
              <w:top w:val="nil"/>
              <w:left w:val="nil"/>
              <w:bottom w:val="nil"/>
              <w:right w:val="nil"/>
            </w:tcBorders>
            <w:shd w:val="clear" w:color="auto" w:fill="auto"/>
            <w:vAlign w:val="center"/>
          </w:tcPr>
          <w:p w14:paraId="449F11B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59" w:type="dxa"/>
            <w:tcBorders>
              <w:top w:val="nil"/>
              <w:left w:val="nil"/>
              <w:bottom w:val="nil"/>
              <w:right w:val="nil"/>
            </w:tcBorders>
            <w:shd w:val="clear" w:color="auto" w:fill="auto"/>
            <w:vAlign w:val="center"/>
          </w:tcPr>
          <w:p w14:paraId="65A6585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487" w:type="dxa"/>
            <w:tcBorders>
              <w:top w:val="nil"/>
              <w:left w:val="nil"/>
              <w:bottom w:val="nil"/>
              <w:right w:val="nil"/>
            </w:tcBorders>
            <w:shd w:val="clear" w:color="auto" w:fill="auto"/>
            <w:vAlign w:val="center"/>
          </w:tcPr>
          <w:p w14:paraId="270E19F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23" w:type="dxa"/>
            <w:tcBorders>
              <w:top w:val="nil"/>
              <w:left w:val="nil"/>
              <w:bottom w:val="nil"/>
              <w:right w:val="nil"/>
            </w:tcBorders>
            <w:shd w:val="clear" w:color="auto" w:fill="auto"/>
            <w:vAlign w:val="center"/>
          </w:tcPr>
          <w:p w14:paraId="643A4F6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725" w:type="dxa"/>
            <w:tcBorders>
              <w:top w:val="nil"/>
              <w:left w:val="nil"/>
              <w:bottom w:val="nil"/>
              <w:right w:val="nil"/>
            </w:tcBorders>
            <w:shd w:val="clear" w:color="auto" w:fill="auto"/>
            <w:noWrap/>
            <w:vAlign w:val="center"/>
          </w:tcPr>
          <w:p w14:paraId="2D2AA8A9">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w:t>
            </w:r>
          </w:p>
        </w:tc>
        <w:tc>
          <w:tcPr>
            <w:tcW w:w="725" w:type="dxa"/>
            <w:tcBorders>
              <w:top w:val="nil"/>
              <w:left w:val="nil"/>
              <w:bottom w:val="nil"/>
              <w:right w:val="nil"/>
            </w:tcBorders>
            <w:shd w:val="clear" w:color="auto" w:fill="auto"/>
            <w:noWrap/>
            <w:vAlign w:val="center"/>
          </w:tcPr>
          <w:p w14:paraId="4C973928">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0"/>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0.04 </w:t>
            </w:r>
          </w:p>
        </w:tc>
      </w:tr>
      <w:tr w14:paraId="51FDE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1843" w:type="dxa"/>
            <w:tcBorders>
              <w:top w:val="nil"/>
              <w:left w:val="nil"/>
              <w:bottom w:val="nil"/>
              <w:right w:val="nil"/>
            </w:tcBorders>
            <w:shd w:val="clear" w:color="auto" w:fill="auto"/>
            <w:vAlign w:val="center"/>
          </w:tcPr>
          <w:p w14:paraId="06814D25">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iCs/>
                <w:color w:val="000000"/>
                <w:kern w:val="2"/>
                <w:sz w:val="20"/>
                <w:szCs w:val="20"/>
              </w:rPr>
            </w:pPr>
            <w:r>
              <w:rPr>
                <w:rFonts w:hint="default" w:ascii="Times New Roman" w:hAnsi="Times New Roman" w:eastAsia="宋体" w:cs="Times New Roman"/>
                <w:i/>
                <w:iCs/>
                <w:color w:val="000000"/>
                <w:kern w:val="0"/>
                <w:sz w:val="20"/>
                <w:szCs w:val="20"/>
                <w:lang w:val="en-US" w:eastAsia="zh-CN" w:bidi="ar"/>
              </w:rPr>
              <w:t>Digestion</w:t>
            </w:r>
          </w:p>
        </w:tc>
        <w:tc>
          <w:tcPr>
            <w:tcW w:w="695" w:type="dxa"/>
            <w:tcBorders>
              <w:top w:val="nil"/>
              <w:left w:val="nil"/>
              <w:bottom w:val="nil"/>
              <w:right w:val="nil"/>
            </w:tcBorders>
            <w:shd w:val="clear" w:color="auto" w:fill="auto"/>
            <w:vAlign w:val="center"/>
          </w:tcPr>
          <w:p w14:paraId="7C954875">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794" w:type="dxa"/>
            <w:tcBorders>
              <w:top w:val="nil"/>
              <w:left w:val="nil"/>
              <w:bottom w:val="nil"/>
              <w:right w:val="nil"/>
            </w:tcBorders>
            <w:shd w:val="clear" w:color="auto" w:fill="auto"/>
            <w:vAlign w:val="center"/>
          </w:tcPr>
          <w:p w14:paraId="31DA67F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555" w:type="dxa"/>
            <w:tcBorders>
              <w:top w:val="nil"/>
              <w:left w:val="nil"/>
              <w:bottom w:val="nil"/>
              <w:right w:val="nil"/>
            </w:tcBorders>
            <w:shd w:val="clear" w:color="auto" w:fill="auto"/>
            <w:vAlign w:val="center"/>
          </w:tcPr>
          <w:p w14:paraId="16189E38">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67" w:type="dxa"/>
            <w:tcBorders>
              <w:top w:val="nil"/>
              <w:left w:val="nil"/>
              <w:bottom w:val="nil"/>
              <w:right w:val="nil"/>
            </w:tcBorders>
            <w:shd w:val="clear" w:color="auto" w:fill="auto"/>
            <w:vAlign w:val="center"/>
          </w:tcPr>
          <w:p w14:paraId="300894D4">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522" w:type="dxa"/>
            <w:tcBorders>
              <w:top w:val="nil"/>
              <w:left w:val="nil"/>
              <w:bottom w:val="nil"/>
              <w:right w:val="nil"/>
            </w:tcBorders>
            <w:shd w:val="clear" w:color="auto" w:fill="auto"/>
            <w:vAlign w:val="center"/>
          </w:tcPr>
          <w:p w14:paraId="41650AE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w:t>
            </w:r>
          </w:p>
        </w:tc>
        <w:tc>
          <w:tcPr>
            <w:tcW w:w="858" w:type="dxa"/>
            <w:tcBorders>
              <w:top w:val="nil"/>
              <w:left w:val="nil"/>
              <w:bottom w:val="nil"/>
              <w:right w:val="nil"/>
            </w:tcBorders>
            <w:shd w:val="clear" w:color="auto" w:fill="auto"/>
            <w:vAlign w:val="center"/>
          </w:tcPr>
          <w:p w14:paraId="3948B620">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11.11 </w:t>
            </w:r>
          </w:p>
        </w:tc>
        <w:tc>
          <w:tcPr>
            <w:tcW w:w="611" w:type="dxa"/>
            <w:tcBorders>
              <w:top w:val="nil"/>
              <w:left w:val="nil"/>
              <w:bottom w:val="nil"/>
              <w:right w:val="nil"/>
            </w:tcBorders>
            <w:shd w:val="clear" w:color="auto" w:fill="auto"/>
            <w:vAlign w:val="center"/>
          </w:tcPr>
          <w:p w14:paraId="7134467B">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23" w:type="dxa"/>
            <w:tcBorders>
              <w:top w:val="nil"/>
              <w:left w:val="nil"/>
              <w:bottom w:val="nil"/>
              <w:right w:val="nil"/>
            </w:tcBorders>
            <w:shd w:val="clear" w:color="auto" w:fill="auto"/>
            <w:vAlign w:val="center"/>
          </w:tcPr>
          <w:p w14:paraId="6B14D8EB">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513" w:type="dxa"/>
            <w:tcBorders>
              <w:top w:val="nil"/>
              <w:left w:val="nil"/>
              <w:bottom w:val="nil"/>
              <w:right w:val="nil"/>
            </w:tcBorders>
            <w:shd w:val="clear" w:color="auto" w:fill="auto"/>
            <w:vAlign w:val="center"/>
          </w:tcPr>
          <w:p w14:paraId="4B99B794">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32" w:type="dxa"/>
            <w:tcBorders>
              <w:top w:val="nil"/>
              <w:left w:val="nil"/>
              <w:bottom w:val="nil"/>
              <w:right w:val="nil"/>
            </w:tcBorders>
            <w:shd w:val="clear" w:color="auto" w:fill="auto"/>
            <w:vAlign w:val="center"/>
          </w:tcPr>
          <w:p w14:paraId="742BC04F">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593" w:type="dxa"/>
            <w:tcBorders>
              <w:top w:val="nil"/>
              <w:left w:val="nil"/>
              <w:bottom w:val="nil"/>
              <w:right w:val="nil"/>
            </w:tcBorders>
            <w:shd w:val="clear" w:color="auto" w:fill="auto"/>
            <w:vAlign w:val="center"/>
          </w:tcPr>
          <w:p w14:paraId="41B0AE93">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23" w:type="dxa"/>
            <w:tcBorders>
              <w:top w:val="nil"/>
              <w:left w:val="nil"/>
              <w:bottom w:val="nil"/>
              <w:right w:val="nil"/>
            </w:tcBorders>
            <w:shd w:val="clear" w:color="auto" w:fill="auto"/>
            <w:vAlign w:val="center"/>
          </w:tcPr>
          <w:p w14:paraId="4463898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531" w:type="dxa"/>
            <w:tcBorders>
              <w:top w:val="nil"/>
              <w:left w:val="nil"/>
              <w:bottom w:val="nil"/>
              <w:right w:val="nil"/>
            </w:tcBorders>
            <w:shd w:val="clear" w:color="auto" w:fill="auto"/>
            <w:vAlign w:val="center"/>
          </w:tcPr>
          <w:p w14:paraId="61DBC46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05" w:type="dxa"/>
            <w:tcBorders>
              <w:top w:val="nil"/>
              <w:left w:val="nil"/>
              <w:bottom w:val="nil"/>
              <w:right w:val="nil"/>
            </w:tcBorders>
            <w:shd w:val="clear" w:color="auto" w:fill="auto"/>
            <w:vAlign w:val="center"/>
          </w:tcPr>
          <w:p w14:paraId="6892D400">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531" w:type="dxa"/>
            <w:tcBorders>
              <w:top w:val="nil"/>
              <w:left w:val="nil"/>
              <w:bottom w:val="nil"/>
              <w:right w:val="nil"/>
            </w:tcBorders>
            <w:shd w:val="clear" w:color="auto" w:fill="auto"/>
            <w:vAlign w:val="center"/>
          </w:tcPr>
          <w:p w14:paraId="5F7750D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59" w:type="dxa"/>
            <w:tcBorders>
              <w:top w:val="nil"/>
              <w:left w:val="nil"/>
              <w:bottom w:val="nil"/>
              <w:right w:val="nil"/>
            </w:tcBorders>
            <w:shd w:val="clear" w:color="auto" w:fill="auto"/>
            <w:vAlign w:val="center"/>
          </w:tcPr>
          <w:p w14:paraId="0A07BD13">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487" w:type="dxa"/>
            <w:tcBorders>
              <w:top w:val="nil"/>
              <w:left w:val="nil"/>
              <w:bottom w:val="nil"/>
              <w:right w:val="nil"/>
            </w:tcBorders>
            <w:shd w:val="clear" w:color="auto" w:fill="auto"/>
            <w:vAlign w:val="center"/>
          </w:tcPr>
          <w:p w14:paraId="7F861DF7">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23" w:type="dxa"/>
            <w:tcBorders>
              <w:top w:val="nil"/>
              <w:left w:val="nil"/>
              <w:bottom w:val="nil"/>
              <w:right w:val="nil"/>
            </w:tcBorders>
            <w:shd w:val="clear" w:color="auto" w:fill="auto"/>
            <w:vAlign w:val="center"/>
          </w:tcPr>
          <w:p w14:paraId="3733507E">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725" w:type="dxa"/>
            <w:tcBorders>
              <w:top w:val="nil"/>
              <w:left w:val="nil"/>
              <w:bottom w:val="nil"/>
              <w:right w:val="nil"/>
            </w:tcBorders>
            <w:shd w:val="clear" w:color="auto" w:fill="auto"/>
            <w:noWrap/>
            <w:vAlign w:val="center"/>
          </w:tcPr>
          <w:p w14:paraId="2B958007">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w:t>
            </w:r>
          </w:p>
        </w:tc>
        <w:tc>
          <w:tcPr>
            <w:tcW w:w="725" w:type="dxa"/>
            <w:tcBorders>
              <w:top w:val="nil"/>
              <w:left w:val="nil"/>
              <w:bottom w:val="nil"/>
              <w:right w:val="nil"/>
            </w:tcBorders>
            <w:shd w:val="clear" w:color="auto" w:fill="auto"/>
            <w:noWrap/>
            <w:vAlign w:val="center"/>
          </w:tcPr>
          <w:p w14:paraId="4D7DCF2F">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0"/>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0.02 </w:t>
            </w:r>
          </w:p>
        </w:tc>
      </w:tr>
      <w:tr w14:paraId="46123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1843" w:type="dxa"/>
            <w:tcBorders>
              <w:top w:val="nil"/>
              <w:left w:val="nil"/>
              <w:bottom w:val="single" w:color="auto" w:sz="4" w:space="0"/>
              <w:right w:val="nil"/>
            </w:tcBorders>
            <w:shd w:val="clear" w:color="auto" w:fill="auto"/>
            <w:vAlign w:val="center"/>
          </w:tcPr>
          <w:p w14:paraId="359D6FE9">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iCs/>
                <w:color w:val="000000"/>
                <w:kern w:val="2"/>
                <w:sz w:val="20"/>
                <w:szCs w:val="20"/>
              </w:rPr>
            </w:pPr>
            <w:r>
              <w:rPr>
                <w:rFonts w:hint="default" w:ascii="Times New Roman" w:hAnsi="Times New Roman" w:eastAsia="宋体" w:cs="Times New Roman"/>
                <w:i/>
                <w:iCs/>
                <w:color w:val="000000"/>
                <w:kern w:val="0"/>
                <w:sz w:val="20"/>
                <w:szCs w:val="20"/>
                <w:lang w:val="en-US" w:eastAsia="zh-CN" w:bidi="ar"/>
              </w:rPr>
              <w:t>Total</w:t>
            </w:r>
          </w:p>
        </w:tc>
        <w:tc>
          <w:tcPr>
            <w:tcW w:w="695" w:type="dxa"/>
            <w:tcBorders>
              <w:top w:val="nil"/>
              <w:left w:val="nil"/>
              <w:bottom w:val="single" w:color="auto" w:sz="4" w:space="0"/>
              <w:right w:val="nil"/>
            </w:tcBorders>
            <w:shd w:val="clear" w:color="auto" w:fill="auto"/>
            <w:vAlign w:val="center"/>
          </w:tcPr>
          <w:p w14:paraId="3563BE58">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19</w:t>
            </w:r>
          </w:p>
        </w:tc>
        <w:tc>
          <w:tcPr>
            <w:tcW w:w="794" w:type="dxa"/>
            <w:tcBorders>
              <w:top w:val="nil"/>
              <w:left w:val="nil"/>
              <w:bottom w:val="single" w:color="auto" w:sz="4" w:space="0"/>
              <w:right w:val="nil"/>
            </w:tcBorders>
            <w:shd w:val="clear" w:color="auto" w:fill="auto"/>
            <w:vAlign w:val="center"/>
          </w:tcPr>
          <w:p w14:paraId="27CB3D18">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0.68 </w:t>
            </w:r>
          </w:p>
        </w:tc>
        <w:tc>
          <w:tcPr>
            <w:tcW w:w="555" w:type="dxa"/>
            <w:tcBorders>
              <w:top w:val="nil"/>
              <w:left w:val="nil"/>
              <w:bottom w:val="single" w:color="auto" w:sz="4" w:space="0"/>
              <w:right w:val="nil"/>
            </w:tcBorders>
            <w:shd w:val="clear" w:color="auto" w:fill="auto"/>
            <w:vAlign w:val="center"/>
          </w:tcPr>
          <w:p w14:paraId="729A965B">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7</w:t>
            </w:r>
          </w:p>
        </w:tc>
        <w:tc>
          <w:tcPr>
            <w:tcW w:w="867" w:type="dxa"/>
            <w:tcBorders>
              <w:top w:val="nil"/>
              <w:left w:val="nil"/>
              <w:bottom w:val="single" w:color="auto" w:sz="4" w:space="0"/>
              <w:right w:val="nil"/>
            </w:tcBorders>
            <w:shd w:val="clear" w:color="auto" w:fill="auto"/>
            <w:vAlign w:val="center"/>
          </w:tcPr>
          <w:p w14:paraId="1D8CAA35">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1.59 </w:t>
            </w:r>
          </w:p>
        </w:tc>
        <w:tc>
          <w:tcPr>
            <w:tcW w:w="522" w:type="dxa"/>
            <w:tcBorders>
              <w:top w:val="nil"/>
              <w:left w:val="nil"/>
              <w:bottom w:val="single" w:color="auto" w:sz="4" w:space="0"/>
              <w:right w:val="nil"/>
            </w:tcBorders>
            <w:shd w:val="clear" w:color="auto" w:fill="auto"/>
            <w:vAlign w:val="center"/>
          </w:tcPr>
          <w:p w14:paraId="65D5FB5F">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w:t>
            </w:r>
          </w:p>
        </w:tc>
        <w:tc>
          <w:tcPr>
            <w:tcW w:w="858" w:type="dxa"/>
            <w:tcBorders>
              <w:top w:val="nil"/>
              <w:left w:val="nil"/>
              <w:bottom w:val="single" w:color="auto" w:sz="4" w:space="0"/>
              <w:right w:val="nil"/>
            </w:tcBorders>
            <w:shd w:val="clear" w:color="auto" w:fill="auto"/>
            <w:vAlign w:val="center"/>
          </w:tcPr>
          <w:p w14:paraId="3F21CE75">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11.11 </w:t>
            </w:r>
          </w:p>
        </w:tc>
        <w:tc>
          <w:tcPr>
            <w:tcW w:w="611" w:type="dxa"/>
            <w:tcBorders>
              <w:top w:val="nil"/>
              <w:left w:val="nil"/>
              <w:bottom w:val="single" w:color="auto" w:sz="4" w:space="0"/>
              <w:right w:val="nil"/>
            </w:tcBorders>
            <w:shd w:val="clear" w:color="auto" w:fill="auto"/>
            <w:vAlign w:val="center"/>
          </w:tcPr>
          <w:p w14:paraId="13AA4D75">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4</w:t>
            </w:r>
          </w:p>
        </w:tc>
        <w:tc>
          <w:tcPr>
            <w:tcW w:w="823" w:type="dxa"/>
            <w:tcBorders>
              <w:top w:val="nil"/>
              <w:left w:val="nil"/>
              <w:bottom w:val="single" w:color="auto" w:sz="4" w:space="0"/>
              <w:right w:val="nil"/>
            </w:tcBorders>
            <w:shd w:val="clear" w:color="auto" w:fill="auto"/>
            <w:vAlign w:val="center"/>
          </w:tcPr>
          <w:p w14:paraId="66BEE0A7">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0.42 </w:t>
            </w:r>
          </w:p>
        </w:tc>
        <w:tc>
          <w:tcPr>
            <w:tcW w:w="513" w:type="dxa"/>
            <w:tcBorders>
              <w:top w:val="nil"/>
              <w:left w:val="nil"/>
              <w:bottom w:val="single" w:color="auto" w:sz="4" w:space="0"/>
              <w:right w:val="nil"/>
            </w:tcBorders>
            <w:shd w:val="clear" w:color="auto" w:fill="auto"/>
            <w:vAlign w:val="center"/>
          </w:tcPr>
          <w:p w14:paraId="3F5154FF">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32" w:type="dxa"/>
            <w:tcBorders>
              <w:top w:val="nil"/>
              <w:left w:val="nil"/>
              <w:bottom w:val="single" w:color="auto" w:sz="4" w:space="0"/>
              <w:right w:val="nil"/>
            </w:tcBorders>
            <w:shd w:val="clear" w:color="auto" w:fill="auto"/>
            <w:vAlign w:val="center"/>
          </w:tcPr>
          <w:p w14:paraId="434DABF4">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593" w:type="dxa"/>
            <w:tcBorders>
              <w:top w:val="nil"/>
              <w:left w:val="nil"/>
              <w:bottom w:val="single" w:color="auto" w:sz="4" w:space="0"/>
              <w:right w:val="nil"/>
            </w:tcBorders>
            <w:shd w:val="clear" w:color="auto" w:fill="auto"/>
            <w:vAlign w:val="center"/>
          </w:tcPr>
          <w:p w14:paraId="3466FD7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3</w:t>
            </w:r>
          </w:p>
        </w:tc>
        <w:tc>
          <w:tcPr>
            <w:tcW w:w="823" w:type="dxa"/>
            <w:tcBorders>
              <w:top w:val="nil"/>
              <w:left w:val="nil"/>
              <w:bottom w:val="single" w:color="auto" w:sz="4" w:space="0"/>
              <w:right w:val="nil"/>
            </w:tcBorders>
            <w:shd w:val="clear" w:color="auto" w:fill="auto"/>
            <w:vAlign w:val="center"/>
          </w:tcPr>
          <w:p w14:paraId="43A45398">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0.36 </w:t>
            </w:r>
          </w:p>
        </w:tc>
        <w:tc>
          <w:tcPr>
            <w:tcW w:w="531" w:type="dxa"/>
            <w:tcBorders>
              <w:top w:val="nil"/>
              <w:left w:val="nil"/>
              <w:bottom w:val="single" w:color="auto" w:sz="4" w:space="0"/>
              <w:right w:val="nil"/>
            </w:tcBorders>
            <w:shd w:val="clear" w:color="auto" w:fill="auto"/>
            <w:vAlign w:val="center"/>
          </w:tcPr>
          <w:p w14:paraId="0E8B034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05" w:type="dxa"/>
            <w:tcBorders>
              <w:top w:val="nil"/>
              <w:left w:val="nil"/>
              <w:bottom w:val="single" w:color="auto" w:sz="4" w:space="0"/>
              <w:right w:val="nil"/>
            </w:tcBorders>
            <w:shd w:val="clear" w:color="auto" w:fill="auto"/>
            <w:vAlign w:val="center"/>
          </w:tcPr>
          <w:p w14:paraId="0E3DBE4F">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531" w:type="dxa"/>
            <w:tcBorders>
              <w:top w:val="nil"/>
              <w:left w:val="nil"/>
              <w:bottom w:val="single" w:color="auto" w:sz="4" w:space="0"/>
              <w:right w:val="nil"/>
            </w:tcBorders>
            <w:shd w:val="clear" w:color="auto" w:fill="auto"/>
            <w:vAlign w:val="center"/>
          </w:tcPr>
          <w:p w14:paraId="295BDBE9">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59" w:type="dxa"/>
            <w:tcBorders>
              <w:top w:val="nil"/>
              <w:left w:val="nil"/>
              <w:bottom w:val="single" w:color="auto" w:sz="4" w:space="0"/>
              <w:right w:val="nil"/>
            </w:tcBorders>
            <w:shd w:val="clear" w:color="auto" w:fill="auto"/>
            <w:vAlign w:val="center"/>
          </w:tcPr>
          <w:p w14:paraId="593F6216">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487" w:type="dxa"/>
            <w:tcBorders>
              <w:top w:val="nil"/>
              <w:left w:val="nil"/>
              <w:bottom w:val="single" w:color="auto" w:sz="4" w:space="0"/>
              <w:right w:val="nil"/>
            </w:tcBorders>
            <w:shd w:val="clear" w:color="auto" w:fill="auto"/>
            <w:vAlign w:val="center"/>
          </w:tcPr>
          <w:p w14:paraId="7EF95273">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23" w:type="dxa"/>
            <w:tcBorders>
              <w:top w:val="nil"/>
              <w:left w:val="nil"/>
              <w:bottom w:val="single" w:color="auto" w:sz="4" w:space="0"/>
              <w:right w:val="nil"/>
            </w:tcBorders>
            <w:shd w:val="clear" w:color="auto" w:fill="auto"/>
            <w:vAlign w:val="center"/>
          </w:tcPr>
          <w:p w14:paraId="17E8F286">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725" w:type="dxa"/>
            <w:tcBorders>
              <w:top w:val="nil"/>
              <w:left w:val="nil"/>
              <w:bottom w:val="single" w:color="auto" w:sz="4" w:space="0"/>
              <w:right w:val="nil"/>
            </w:tcBorders>
            <w:shd w:val="clear" w:color="auto" w:fill="auto"/>
            <w:noWrap/>
            <w:vAlign w:val="center"/>
          </w:tcPr>
          <w:p w14:paraId="2CCE445D">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34</w:t>
            </w:r>
          </w:p>
        </w:tc>
        <w:tc>
          <w:tcPr>
            <w:tcW w:w="725" w:type="dxa"/>
            <w:tcBorders>
              <w:top w:val="nil"/>
              <w:left w:val="nil"/>
              <w:bottom w:val="single" w:color="auto" w:sz="4" w:space="0"/>
              <w:right w:val="nil"/>
            </w:tcBorders>
            <w:shd w:val="clear" w:color="auto" w:fill="auto"/>
            <w:noWrap/>
            <w:vAlign w:val="center"/>
          </w:tcPr>
          <w:p w14:paraId="1C5AF583">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0"/>
                <w:sz w:val="20"/>
                <w:szCs w:val="20"/>
              </w:rPr>
            </w:pPr>
            <w:r>
              <w:rPr>
                <w:rFonts w:hint="default" w:ascii="Times New Roman" w:hAnsi="Times New Roman" w:eastAsia="宋体" w:cs="Times New Roman"/>
                <w:i w:val="0"/>
                <w:iCs w:val="0"/>
                <w:color w:val="000000"/>
                <w:kern w:val="0"/>
                <w:sz w:val="20"/>
                <w:szCs w:val="20"/>
                <w:lang w:val="en-US" w:eastAsia="zh-CN" w:bidi="ar"/>
              </w:rPr>
              <w:t xml:space="preserve">0.63 </w:t>
            </w:r>
          </w:p>
        </w:tc>
      </w:tr>
      <w:tr w14:paraId="0FE86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1843" w:type="dxa"/>
            <w:tcBorders>
              <w:top w:val="single" w:color="auto" w:sz="4" w:space="0"/>
              <w:left w:val="nil"/>
              <w:bottom w:val="single" w:color="auto" w:sz="4" w:space="0"/>
              <w:right w:val="nil"/>
            </w:tcBorders>
            <w:shd w:val="clear" w:color="auto" w:fill="auto"/>
            <w:vAlign w:val="center"/>
          </w:tcPr>
          <w:p w14:paraId="652E279B">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b/>
                <w:bCs/>
                <w:i w:val="0"/>
                <w:iCs w:val="0"/>
                <w:color w:val="000000"/>
                <w:kern w:val="2"/>
                <w:sz w:val="20"/>
                <w:szCs w:val="20"/>
              </w:rPr>
            </w:pPr>
            <w:r>
              <w:rPr>
                <w:rFonts w:hint="default" w:ascii="Times New Roman" w:hAnsi="Times New Roman" w:eastAsia="宋体" w:cs="Times New Roman"/>
                <w:b/>
                <w:bCs/>
                <w:i w:val="0"/>
                <w:iCs w:val="0"/>
                <w:color w:val="000000"/>
                <w:kern w:val="0"/>
                <w:sz w:val="20"/>
                <w:szCs w:val="20"/>
                <w:lang w:val="en-US" w:eastAsia="zh-CN" w:bidi="ar"/>
              </w:rPr>
              <w:t>Rodent Gnawing</w:t>
            </w:r>
          </w:p>
        </w:tc>
        <w:tc>
          <w:tcPr>
            <w:tcW w:w="695" w:type="dxa"/>
            <w:tcBorders>
              <w:top w:val="single" w:color="auto" w:sz="4" w:space="0"/>
              <w:left w:val="nil"/>
              <w:bottom w:val="single" w:color="auto" w:sz="4" w:space="0"/>
              <w:right w:val="nil"/>
            </w:tcBorders>
            <w:shd w:val="clear" w:color="auto" w:fill="auto"/>
            <w:vAlign w:val="center"/>
          </w:tcPr>
          <w:p w14:paraId="4A33FDF3">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17</w:t>
            </w:r>
          </w:p>
        </w:tc>
        <w:tc>
          <w:tcPr>
            <w:tcW w:w="794" w:type="dxa"/>
            <w:tcBorders>
              <w:top w:val="single" w:color="auto" w:sz="4" w:space="0"/>
              <w:left w:val="nil"/>
              <w:bottom w:val="single" w:color="auto" w:sz="4" w:space="0"/>
              <w:right w:val="nil"/>
            </w:tcBorders>
            <w:shd w:val="clear" w:color="auto" w:fill="auto"/>
            <w:vAlign w:val="center"/>
          </w:tcPr>
          <w:p w14:paraId="40D6E8D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0.61 </w:t>
            </w:r>
          </w:p>
        </w:tc>
        <w:tc>
          <w:tcPr>
            <w:tcW w:w="555" w:type="dxa"/>
            <w:tcBorders>
              <w:top w:val="single" w:color="auto" w:sz="4" w:space="0"/>
              <w:left w:val="nil"/>
              <w:bottom w:val="single" w:color="auto" w:sz="4" w:space="0"/>
              <w:right w:val="nil"/>
            </w:tcBorders>
            <w:shd w:val="clear" w:color="auto" w:fill="auto"/>
            <w:vAlign w:val="center"/>
          </w:tcPr>
          <w:p w14:paraId="6AA0AA98">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4</w:t>
            </w:r>
          </w:p>
        </w:tc>
        <w:tc>
          <w:tcPr>
            <w:tcW w:w="867" w:type="dxa"/>
            <w:tcBorders>
              <w:top w:val="single" w:color="auto" w:sz="4" w:space="0"/>
              <w:left w:val="nil"/>
              <w:bottom w:val="single" w:color="auto" w:sz="4" w:space="0"/>
              <w:right w:val="nil"/>
            </w:tcBorders>
            <w:shd w:val="clear" w:color="auto" w:fill="auto"/>
            <w:vAlign w:val="center"/>
          </w:tcPr>
          <w:p w14:paraId="0CD1F036">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0.91 </w:t>
            </w:r>
          </w:p>
        </w:tc>
        <w:tc>
          <w:tcPr>
            <w:tcW w:w="522" w:type="dxa"/>
            <w:tcBorders>
              <w:top w:val="single" w:color="auto" w:sz="4" w:space="0"/>
              <w:left w:val="nil"/>
              <w:bottom w:val="single" w:color="auto" w:sz="4" w:space="0"/>
              <w:right w:val="nil"/>
            </w:tcBorders>
            <w:shd w:val="clear" w:color="auto" w:fill="auto"/>
            <w:vAlign w:val="center"/>
          </w:tcPr>
          <w:p w14:paraId="62FFA135">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w:t>
            </w:r>
          </w:p>
        </w:tc>
        <w:tc>
          <w:tcPr>
            <w:tcW w:w="858" w:type="dxa"/>
            <w:tcBorders>
              <w:top w:val="single" w:color="auto" w:sz="4" w:space="0"/>
              <w:left w:val="nil"/>
              <w:bottom w:val="single" w:color="auto" w:sz="4" w:space="0"/>
              <w:right w:val="nil"/>
            </w:tcBorders>
            <w:shd w:val="clear" w:color="auto" w:fill="auto"/>
            <w:vAlign w:val="center"/>
          </w:tcPr>
          <w:p w14:paraId="5D8ACAF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22.22 </w:t>
            </w:r>
          </w:p>
        </w:tc>
        <w:tc>
          <w:tcPr>
            <w:tcW w:w="611" w:type="dxa"/>
            <w:tcBorders>
              <w:top w:val="single" w:color="auto" w:sz="4" w:space="0"/>
              <w:left w:val="nil"/>
              <w:bottom w:val="single" w:color="auto" w:sz="4" w:space="0"/>
              <w:right w:val="nil"/>
            </w:tcBorders>
            <w:shd w:val="clear" w:color="auto" w:fill="auto"/>
            <w:vAlign w:val="center"/>
          </w:tcPr>
          <w:p w14:paraId="2F52196F">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7</w:t>
            </w:r>
          </w:p>
        </w:tc>
        <w:tc>
          <w:tcPr>
            <w:tcW w:w="823" w:type="dxa"/>
            <w:tcBorders>
              <w:top w:val="single" w:color="auto" w:sz="4" w:space="0"/>
              <w:left w:val="nil"/>
              <w:bottom w:val="single" w:color="auto" w:sz="4" w:space="0"/>
              <w:right w:val="nil"/>
            </w:tcBorders>
            <w:shd w:val="clear" w:color="auto" w:fill="auto"/>
            <w:vAlign w:val="center"/>
          </w:tcPr>
          <w:p w14:paraId="6EF33DB9">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0.73 </w:t>
            </w:r>
          </w:p>
        </w:tc>
        <w:tc>
          <w:tcPr>
            <w:tcW w:w="513" w:type="dxa"/>
            <w:tcBorders>
              <w:top w:val="single" w:color="auto" w:sz="4" w:space="0"/>
              <w:left w:val="nil"/>
              <w:bottom w:val="single" w:color="auto" w:sz="4" w:space="0"/>
              <w:right w:val="nil"/>
            </w:tcBorders>
            <w:shd w:val="clear" w:color="auto" w:fill="auto"/>
            <w:vAlign w:val="center"/>
          </w:tcPr>
          <w:p w14:paraId="1DB76AF5">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w:t>
            </w:r>
          </w:p>
        </w:tc>
        <w:tc>
          <w:tcPr>
            <w:tcW w:w="832" w:type="dxa"/>
            <w:tcBorders>
              <w:top w:val="single" w:color="auto" w:sz="4" w:space="0"/>
              <w:left w:val="nil"/>
              <w:bottom w:val="single" w:color="auto" w:sz="4" w:space="0"/>
              <w:right w:val="nil"/>
            </w:tcBorders>
            <w:shd w:val="clear" w:color="auto" w:fill="auto"/>
            <w:vAlign w:val="center"/>
          </w:tcPr>
          <w:p w14:paraId="2C46A790">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1.52 </w:t>
            </w:r>
          </w:p>
        </w:tc>
        <w:tc>
          <w:tcPr>
            <w:tcW w:w="593" w:type="dxa"/>
            <w:tcBorders>
              <w:top w:val="single" w:color="auto" w:sz="4" w:space="0"/>
              <w:left w:val="nil"/>
              <w:bottom w:val="single" w:color="auto" w:sz="4" w:space="0"/>
              <w:right w:val="nil"/>
            </w:tcBorders>
            <w:shd w:val="clear" w:color="auto" w:fill="auto"/>
            <w:vAlign w:val="center"/>
          </w:tcPr>
          <w:p w14:paraId="2A35AD5D">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4</w:t>
            </w:r>
          </w:p>
        </w:tc>
        <w:tc>
          <w:tcPr>
            <w:tcW w:w="823" w:type="dxa"/>
            <w:tcBorders>
              <w:top w:val="single" w:color="auto" w:sz="4" w:space="0"/>
              <w:left w:val="nil"/>
              <w:bottom w:val="single" w:color="auto" w:sz="4" w:space="0"/>
              <w:right w:val="nil"/>
            </w:tcBorders>
            <w:shd w:val="clear" w:color="auto" w:fill="auto"/>
            <w:vAlign w:val="center"/>
          </w:tcPr>
          <w:p w14:paraId="6886B744">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0.49 </w:t>
            </w:r>
          </w:p>
        </w:tc>
        <w:tc>
          <w:tcPr>
            <w:tcW w:w="531" w:type="dxa"/>
            <w:tcBorders>
              <w:top w:val="single" w:color="auto" w:sz="4" w:space="0"/>
              <w:left w:val="nil"/>
              <w:bottom w:val="single" w:color="auto" w:sz="4" w:space="0"/>
              <w:right w:val="nil"/>
            </w:tcBorders>
            <w:shd w:val="clear" w:color="auto" w:fill="auto"/>
            <w:vAlign w:val="center"/>
          </w:tcPr>
          <w:p w14:paraId="04B01609">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05" w:type="dxa"/>
            <w:tcBorders>
              <w:top w:val="single" w:color="auto" w:sz="4" w:space="0"/>
              <w:left w:val="nil"/>
              <w:bottom w:val="single" w:color="auto" w:sz="4" w:space="0"/>
              <w:right w:val="nil"/>
            </w:tcBorders>
            <w:shd w:val="clear" w:color="auto" w:fill="auto"/>
            <w:vAlign w:val="center"/>
          </w:tcPr>
          <w:p w14:paraId="10CE1ED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531" w:type="dxa"/>
            <w:tcBorders>
              <w:top w:val="single" w:color="auto" w:sz="4" w:space="0"/>
              <w:left w:val="nil"/>
              <w:bottom w:val="single" w:color="auto" w:sz="4" w:space="0"/>
              <w:right w:val="nil"/>
            </w:tcBorders>
            <w:shd w:val="clear" w:color="auto" w:fill="auto"/>
            <w:vAlign w:val="center"/>
          </w:tcPr>
          <w:p w14:paraId="0544CDBB">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59" w:type="dxa"/>
            <w:tcBorders>
              <w:top w:val="single" w:color="auto" w:sz="4" w:space="0"/>
              <w:left w:val="nil"/>
              <w:bottom w:val="single" w:color="auto" w:sz="4" w:space="0"/>
              <w:right w:val="nil"/>
            </w:tcBorders>
            <w:shd w:val="clear" w:color="auto" w:fill="auto"/>
            <w:vAlign w:val="center"/>
          </w:tcPr>
          <w:p w14:paraId="478D7123">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487" w:type="dxa"/>
            <w:tcBorders>
              <w:top w:val="single" w:color="auto" w:sz="4" w:space="0"/>
              <w:left w:val="nil"/>
              <w:bottom w:val="single" w:color="auto" w:sz="4" w:space="0"/>
              <w:right w:val="nil"/>
            </w:tcBorders>
            <w:shd w:val="clear" w:color="auto" w:fill="auto"/>
            <w:vAlign w:val="center"/>
          </w:tcPr>
          <w:p w14:paraId="7FD7E087">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w:t>
            </w:r>
          </w:p>
        </w:tc>
        <w:tc>
          <w:tcPr>
            <w:tcW w:w="823" w:type="dxa"/>
            <w:tcBorders>
              <w:top w:val="single" w:color="auto" w:sz="4" w:space="0"/>
              <w:left w:val="nil"/>
              <w:bottom w:val="single" w:color="auto" w:sz="4" w:space="0"/>
              <w:right w:val="nil"/>
            </w:tcBorders>
            <w:shd w:val="clear" w:color="auto" w:fill="auto"/>
            <w:vAlign w:val="center"/>
          </w:tcPr>
          <w:p w14:paraId="3C7DDAB6">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2.86 </w:t>
            </w:r>
          </w:p>
        </w:tc>
        <w:tc>
          <w:tcPr>
            <w:tcW w:w="725" w:type="dxa"/>
            <w:tcBorders>
              <w:top w:val="single" w:color="auto" w:sz="4" w:space="0"/>
              <w:left w:val="nil"/>
              <w:bottom w:val="single" w:color="auto" w:sz="4" w:space="0"/>
              <w:right w:val="nil"/>
            </w:tcBorders>
            <w:shd w:val="clear" w:color="auto" w:fill="auto"/>
            <w:noWrap/>
            <w:vAlign w:val="center"/>
          </w:tcPr>
          <w:p w14:paraId="6F4C4D3B">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37</w:t>
            </w:r>
          </w:p>
        </w:tc>
        <w:tc>
          <w:tcPr>
            <w:tcW w:w="725" w:type="dxa"/>
            <w:tcBorders>
              <w:top w:val="single" w:color="auto" w:sz="4" w:space="0"/>
              <w:left w:val="nil"/>
              <w:bottom w:val="single" w:color="auto" w:sz="4" w:space="0"/>
              <w:right w:val="nil"/>
            </w:tcBorders>
            <w:shd w:val="clear" w:color="auto" w:fill="auto"/>
            <w:noWrap/>
            <w:vAlign w:val="center"/>
          </w:tcPr>
          <w:p w14:paraId="4E35294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0"/>
                <w:sz w:val="20"/>
                <w:szCs w:val="20"/>
              </w:rPr>
            </w:pPr>
            <w:r>
              <w:rPr>
                <w:rFonts w:hint="default" w:ascii="Times New Roman" w:hAnsi="Times New Roman" w:eastAsia="宋体" w:cs="Times New Roman"/>
                <w:i w:val="0"/>
                <w:iCs w:val="0"/>
                <w:color w:val="000000"/>
                <w:kern w:val="0"/>
                <w:sz w:val="20"/>
                <w:szCs w:val="20"/>
                <w:lang w:val="en-US" w:eastAsia="zh-CN" w:bidi="ar"/>
              </w:rPr>
              <w:t xml:space="preserve">0.68 </w:t>
            </w:r>
          </w:p>
        </w:tc>
      </w:tr>
      <w:tr w14:paraId="3EE8E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815" w:type="dxa"/>
            <w:gridSpan w:val="21"/>
            <w:tcBorders>
              <w:top w:val="single" w:color="auto" w:sz="4" w:space="0"/>
              <w:left w:val="nil"/>
              <w:bottom w:val="single" w:color="auto" w:sz="4" w:space="0"/>
              <w:right w:val="nil"/>
            </w:tcBorders>
            <w:shd w:val="clear" w:color="auto" w:fill="auto"/>
            <w:vAlign w:val="center"/>
          </w:tcPr>
          <w:p w14:paraId="64C38FEE">
            <w:pPr>
              <w:keepNext w:val="0"/>
              <w:keepLines w:val="0"/>
              <w:widowControl w:val="0"/>
              <w:suppressLineNumbers w:val="0"/>
              <w:spacing w:before="0" w:beforeAutospacing="0" w:after="0" w:afterAutospacing="0"/>
              <w:ind w:left="0" w:right="0" w:firstLine="0"/>
              <w:jc w:val="both"/>
              <w:rPr>
                <w:rFonts w:hint="default" w:ascii="Times New Roman" w:hAnsi="Times New Roman" w:eastAsia="宋体" w:cs="Times New Roman"/>
                <w:i w:val="0"/>
                <w:iCs w:val="0"/>
                <w:color w:val="000000"/>
                <w:kern w:val="0"/>
                <w:sz w:val="20"/>
                <w:szCs w:val="20"/>
              </w:rPr>
            </w:pPr>
            <w:r>
              <w:rPr>
                <w:rFonts w:hint="default" w:ascii="Times New Roman" w:hAnsi="Times New Roman" w:eastAsia="宋体" w:cs="Times New Roman"/>
                <w:b/>
                <w:bCs/>
                <w:i w:val="0"/>
                <w:iCs w:val="0"/>
                <w:color w:val="000000"/>
                <w:kern w:val="0"/>
                <w:sz w:val="20"/>
                <w:szCs w:val="20"/>
                <w:lang w:val="en-US" w:eastAsia="zh-CN" w:bidi="ar"/>
              </w:rPr>
              <w:t>Cutmark</w:t>
            </w:r>
          </w:p>
        </w:tc>
      </w:tr>
      <w:tr w14:paraId="6E2B2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1843" w:type="dxa"/>
            <w:tcBorders>
              <w:top w:val="single" w:color="auto" w:sz="4" w:space="0"/>
              <w:left w:val="nil"/>
              <w:bottom w:val="nil"/>
              <w:right w:val="nil"/>
            </w:tcBorders>
            <w:shd w:val="clear" w:color="auto" w:fill="auto"/>
            <w:vAlign w:val="center"/>
          </w:tcPr>
          <w:p w14:paraId="5FF2A157">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iCs/>
                <w:color w:val="000000"/>
                <w:kern w:val="2"/>
                <w:sz w:val="20"/>
                <w:szCs w:val="20"/>
              </w:rPr>
            </w:pPr>
            <w:r>
              <w:rPr>
                <w:rFonts w:hint="default" w:ascii="Times New Roman" w:hAnsi="Times New Roman" w:eastAsia="宋体" w:cs="Times New Roman"/>
                <w:i/>
                <w:iCs/>
                <w:color w:val="000000"/>
                <w:kern w:val="0"/>
                <w:sz w:val="20"/>
                <w:szCs w:val="20"/>
                <w:lang w:val="en-US" w:eastAsia="zh-CN" w:bidi="ar"/>
              </w:rPr>
              <w:t>Oblique</w:t>
            </w:r>
          </w:p>
        </w:tc>
        <w:tc>
          <w:tcPr>
            <w:tcW w:w="695" w:type="dxa"/>
            <w:tcBorders>
              <w:top w:val="single" w:color="auto" w:sz="4" w:space="0"/>
              <w:left w:val="nil"/>
              <w:bottom w:val="nil"/>
              <w:right w:val="nil"/>
            </w:tcBorders>
            <w:shd w:val="clear" w:color="auto" w:fill="auto"/>
            <w:vAlign w:val="center"/>
          </w:tcPr>
          <w:p w14:paraId="65BDC51B">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31</w:t>
            </w:r>
          </w:p>
        </w:tc>
        <w:tc>
          <w:tcPr>
            <w:tcW w:w="794" w:type="dxa"/>
            <w:tcBorders>
              <w:top w:val="single" w:color="auto" w:sz="4" w:space="0"/>
              <w:left w:val="nil"/>
              <w:bottom w:val="nil"/>
              <w:right w:val="nil"/>
            </w:tcBorders>
            <w:shd w:val="clear" w:color="auto" w:fill="auto"/>
            <w:vAlign w:val="center"/>
          </w:tcPr>
          <w:p w14:paraId="4E9BBF20">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1.11 </w:t>
            </w:r>
          </w:p>
        </w:tc>
        <w:tc>
          <w:tcPr>
            <w:tcW w:w="555" w:type="dxa"/>
            <w:tcBorders>
              <w:top w:val="single" w:color="auto" w:sz="4" w:space="0"/>
              <w:left w:val="nil"/>
              <w:bottom w:val="nil"/>
              <w:right w:val="nil"/>
            </w:tcBorders>
            <w:shd w:val="clear" w:color="auto" w:fill="auto"/>
            <w:vAlign w:val="center"/>
          </w:tcPr>
          <w:p w14:paraId="686B8797">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9</w:t>
            </w:r>
          </w:p>
        </w:tc>
        <w:tc>
          <w:tcPr>
            <w:tcW w:w="867" w:type="dxa"/>
            <w:tcBorders>
              <w:top w:val="single" w:color="auto" w:sz="4" w:space="0"/>
              <w:left w:val="nil"/>
              <w:bottom w:val="nil"/>
              <w:right w:val="nil"/>
            </w:tcBorders>
            <w:shd w:val="clear" w:color="auto" w:fill="auto"/>
            <w:vAlign w:val="center"/>
          </w:tcPr>
          <w:p w14:paraId="5751F51C">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2.05 </w:t>
            </w:r>
          </w:p>
        </w:tc>
        <w:tc>
          <w:tcPr>
            <w:tcW w:w="522" w:type="dxa"/>
            <w:tcBorders>
              <w:top w:val="single" w:color="auto" w:sz="4" w:space="0"/>
              <w:left w:val="nil"/>
              <w:bottom w:val="nil"/>
              <w:right w:val="nil"/>
            </w:tcBorders>
            <w:shd w:val="clear" w:color="auto" w:fill="auto"/>
            <w:vAlign w:val="center"/>
          </w:tcPr>
          <w:p w14:paraId="0FBD1AD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58" w:type="dxa"/>
            <w:tcBorders>
              <w:top w:val="single" w:color="auto" w:sz="4" w:space="0"/>
              <w:left w:val="nil"/>
              <w:bottom w:val="nil"/>
              <w:right w:val="nil"/>
            </w:tcBorders>
            <w:shd w:val="clear" w:color="auto" w:fill="auto"/>
            <w:vAlign w:val="center"/>
          </w:tcPr>
          <w:p w14:paraId="40E74E4C">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611" w:type="dxa"/>
            <w:tcBorders>
              <w:top w:val="single" w:color="auto" w:sz="4" w:space="0"/>
              <w:left w:val="nil"/>
              <w:bottom w:val="nil"/>
              <w:right w:val="nil"/>
            </w:tcBorders>
            <w:shd w:val="clear" w:color="auto" w:fill="auto"/>
            <w:vAlign w:val="center"/>
          </w:tcPr>
          <w:p w14:paraId="77B98835">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3</w:t>
            </w:r>
          </w:p>
        </w:tc>
        <w:tc>
          <w:tcPr>
            <w:tcW w:w="823" w:type="dxa"/>
            <w:tcBorders>
              <w:top w:val="single" w:color="auto" w:sz="4" w:space="0"/>
              <w:left w:val="nil"/>
              <w:bottom w:val="nil"/>
              <w:right w:val="nil"/>
            </w:tcBorders>
            <w:shd w:val="clear" w:color="auto" w:fill="auto"/>
            <w:vAlign w:val="center"/>
          </w:tcPr>
          <w:p w14:paraId="0D4946E6">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0.31 </w:t>
            </w:r>
          </w:p>
        </w:tc>
        <w:tc>
          <w:tcPr>
            <w:tcW w:w="513" w:type="dxa"/>
            <w:tcBorders>
              <w:top w:val="single" w:color="auto" w:sz="4" w:space="0"/>
              <w:left w:val="nil"/>
              <w:bottom w:val="nil"/>
              <w:right w:val="nil"/>
            </w:tcBorders>
            <w:shd w:val="clear" w:color="auto" w:fill="auto"/>
            <w:vAlign w:val="center"/>
          </w:tcPr>
          <w:p w14:paraId="75F5F917">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w:t>
            </w:r>
          </w:p>
        </w:tc>
        <w:tc>
          <w:tcPr>
            <w:tcW w:w="832" w:type="dxa"/>
            <w:tcBorders>
              <w:top w:val="single" w:color="auto" w:sz="4" w:space="0"/>
              <w:left w:val="nil"/>
              <w:bottom w:val="nil"/>
              <w:right w:val="nil"/>
            </w:tcBorders>
            <w:shd w:val="clear" w:color="auto" w:fill="auto"/>
            <w:vAlign w:val="center"/>
          </w:tcPr>
          <w:p w14:paraId="6CC61E13">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1.52 </w:t>
            </w:r>
          </w:p>
        </w:tc>
        <w:tc>
          <w:tcPr>
            <w:tcW w:w="593" w:type="dxa"/>
            <w:tcBorders>
              <w:top w:val="single" w:color="auto" w:sz="4" w:space="0"/>
              <w:left w:val="nil"/>
              <w:bottom w:val="nil"/>
              <w:right w:val="nil"/>
            </w:tcBorders>
            <w:shd w:val="clear" w:color="auto" w:fill="auto"/>
            <w:vAlign w:val="center"/>
          </w:tcPr>
          <w:p w14:paraId="69B3A8A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23" w:type="dxa"/>
            <w:tcBorders>
              <w:top w:val="single" w:color="auto" w:sz="4" w:space="0"/>
              <w:left w:val="nil"/>
              <w:bottom w:val="nil"/>
              <w:right w:val="nil"/>
            </w:tcBorders>
            <w:shd w:val="clear" w:color="auto" w:fill="auto"/>
            <w:vAlign w:val="center"/>
          </w:tcPr>
          <w:p w14:paraId="6385AEB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531" w:type="dxa"/>
            <w:tcBorders>
              <w:top w:val="single" w:color="auto" w:sz="4" w:space="0"/>
              <w:left w:val="nil"/>
              <w:bottom w:val="nil"/>
              <w:right w:val="nil"/>
            </w:tcBorders>
            <w:shd w:val="clear" w:color="auto" w:fill="auto"/>
            <w:vAlign w:val="center"/>
          </w:tcPr>
          <w:p w14:paraId="65419695">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w:t>
            </w:r>
          </w:p>
        </w:tc>
        <w:tc>
          <w:tcPr>
            <w:tcW w:w="805" w:type="dxa"/>
            <w:tcBorders>
              <w:top w:val="single" w:color="auto" w:sz="4" w:space="0"/>
              <w:left w:val="nil"/>
              <w:bottom w:val="nil"/>
              <w:right w:val="nil"/>
            </w:tcBorders>
            <w:shd w:val="clear" w:color="auto" w:fill="auto"/>
            <w:vAlign w:val="center"/>
          </w:tcPr>
          <w:p w14:paraId="0F1217D3">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11.11 </w:t>
            </w:r>
          </w:p>
        </w:tc>
        <w:tc>
          <w:tcPr>
            <w:tcW w:w="531" w:type="dxa"/>
            <w:tcBorders>
              <w:top w:val="single" w:color="auto" w:sz="4" w:space="0"/>
              <w:left w:val="nil"/>
              <w:bottom w:val="nil"/>
              <w:right w:val="nil"/>
            </w:tcBorders>
            <w:shd w:val="clear" w:color="auto" w:fill="auto"/>
            <w:vAlign w:val="center"/>
          </w:tcPr>
          <w:p w14:paraId="7B9FCD6E">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59" w:type="dxa"/>
            <w:tcBorders>
              <w:top w:val="single" w:color="auto" w:sz="4" w:space="0"/>
              <w:left w:val="nil"/>
              <w:bottom w:val="nil"/>
              <w:right w:val="nil"/>
            </w:tcBorders>
            <w:shd w:val="clear" w:color="auto" w:fill="auto"/>
            <w:vAlign w:val="center"/>
          </w:tcPr>
          <w:p w14:paraId="532F505E">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487" w:type="dxa"/>
            <w:tcBorders>
              <w:top w:val="single" w:color="auto" w:sz="4" w:space="0"/>
              <w:left w:val="nil"/>
              <w:bottom w:val="nil"/>
              <w:right w:val="nil"/>
            </w:tcBorders>
            <w:shd w:val="clear" w:color="auto" w:fill="auto"/>
            <w:vAlign w:val="center"/>
          </w:tcPr>
          <w:p w14:paraId="0A27AEBD">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w:t>
            </w:r>
          </w:p>
        </w:tc>
        <w:tc>
          <w:tcPr>
            <w:tcW w:w="823" w:type="dxa"/>
            <w:tcBorders>
              <w:top w:val="single" w:color="auto" w:sz="4" w:space="0"/>
              <w:left w:val="nil"/>
              <w:bottom w:val="nil"/>
              <w:right w:val="nil"/>
            </w:tcBorders>
            <w:shd w:val="clear" w:color="auto" w:fill="auto"/>
            <w:vAlign w:val="center"/>
          </w:tcPr>
          <w:p w14:paraId="5C37B5CF">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2.86 </w:t>
            </w:r>
          </w:p>
        </w:tc>
        <w:tc>
          <w:tcPr>
            <w:tcW w:w="725" w:type="dxa"/>
            <w:tcBorders>
              <w:top w:val="single" w:color="auto" w:sz="4" w:space="0"/>
              <w:left w:val="nil"/>
              <w:bottom w:val="nil"/>
              <w:right w:val="nil"/>
            </w:tcBorders>
            <w:shd w:val="clear" w:color="auto" w:fill="auto"/>
            <w:noWrap/>
            <w:vAlign w:val="center"/>
          </w:tcPr>
          <w:p w14:paraId="0495A78C">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47</w:t>
            </w:r>
          </w:p>
        </w:tc>
        <w:tc>
          <w:tcPr>
            <w:tcW w:w="725" w:type="dxa"/>
            <w:tcBorders>
              <w:top w:val="single" w:color="auto" w:sz="4" w:space="0"/>
              <w:left w:val="nil"/>
              <w:bottom w:val="nil"/>
              <w:right w:val="nil"/>
            </w:tcBorders>
            <w:shd w:val="clear" w:color="auto" w:fill="auto"/>
            <w:noWrap/>
            <w:vAlign w:val="center"/>
          </w:tcPr>
          <w:p w14:paraId="5D2A6CBB">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0"/>
                <w:sz w:val="20"/>
                <w:szCs w:val="20"/>
              </w:rPr>
            </w:pPr>
            <w:r>
              <w:rPr>
                <w:rFonts w:hint="default" w:ascii="Times New Roman" w:hAnsi="Times New Roman" w:eastAsia="宋体" w:cs="Times New Roman"/>
                <w:i w:val="0"/>
                <w:iCs w:val="0"/>
                <w:color w:val="000000"/>
                <w:kern w:val="0"/>
                <w:sz w:val="20"/>
                <w:szCs w:val="20"/>
                <w:lang w:val="en-US" w:eastAsia="zh-CN" w:bidi="ar"/>
              </w:rPr>
              <w:t xml:space="preserve">0.87 </w:t>
            </w:r>
          </w:p>
        </w:tc>
      </w:tr>
      <w:tr w14:paraId="237EC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1843" w:type="dxa"/>
            <w:tcBorders>
              <w:top w:val="nil"/>
              <w:left w:val="nil"/>
              <w:bottom w:val="nil"/>
              <w:right w:val="nil"/>
            </w:tcBorders>
            <w:shd w:val="clear" w:color="auto" w:fill="auto"/>
            <w:vAlign w:val="center"/>
          </w:tcPr>
          <w:p w14:paraId="4597D5D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iCs/>
                <w:color w:val="000000"/>
                <w:kern w:val="2"/>
                <w:sz w:val="20"/>
                <w:szCs w:val="20"/>
              </w:rPr>
            </w:pPr>
            <w:r>
              <w:rPr>
                <w:rFonts w:hint="default" w:ascii="Times New Roman" w:hAnsi="Times New Roman" w:eastAsia="宋体" w:cs="Times New Roman"/>
                <w:i/>
                <w:iCs/>
                <w:color w:val="000000"/>
                <w:kern w:val="0"/>
                <w:sz w:val="20"/>
                <w:szCs w:val="20"/>
                <w:lang w:val="en-US" w:eastAsia="zh-CN" w:bidi="ar"/>
              </w:rPr>
              <w:t>Transverse</w:t>
            </w:r>
          </w:p>
        </w:tc>
        <w:tc>
          <w:tcPr>
            <w:tcW w:w="695" w:type="dxa"/>
            <w:tcBorders>
              <w:top w:val="nil"/>
              <w:left w:val="nil"/>
              <w:bottom w:val="nil"/>
              <w:right w:val="nil"/>
            </w:tcBorders>
            <w:shd w:val="clear" w:color="auto" w:fill="auto"/>
            <w:vAlign w:val="center"/>
          </w:tcPr>
          <w:p w14:paraId="56E72C0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6</w:t>
            </w:r>
          </w:p>
        </w:tc>
        <w:tc>
          <w:tcPr>
            <w:tcW w:w="794" w:type="dxa"/>
            <w:tcBorders>
              <w:top w:val="nil"/>
              <w:left w:val="nil"/>
              <w:bottom w:val="nil"/>
              <w:right w:val="nil"/>
            </w:tcBorders>
            <w:shd w:val="clear" w:color="auto" w:fill="auto"/>
            <w:vAlign w:val="center"/>
          </w:tcPr>
          <w:p w14:paraId="21FB6753">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0.22 </w:t>
            </w:r>
          </w:p>
        </w:tc>
        <w:tc>
          <w:tcPr>
            <w:tcW w:w="555" w:type="dxa"/>
            <w:tcBorders>
              <w:top w:val="nil"/>
              <w:left w:val="nil"/>
              <w:bottom w:val="nil"/>
              <w:right w:val="nil"/>
            </w:tcBorders>
            <w:shd w:val="clear" w:color="auto" w:fill="auto"/>
            <w:vAlign w:val="center"/>
          </w:tcPr>
          <w:p w14:paraId="621F330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4</w:t>
            </w:r>
          </w:p>
        </w:tc>
        <w:tc>
          <w:tcPr>
            <w:tcW w:w="867" w:type="dxa"/>
            <w:tcBorders>
              <w:top w:val="nil"/>
              <w:left w:val="nil"/>
              <w:bottom w:val="nil"/>
              <w:right w:val="nil"/>
            </w:tcBorders>
            <w:shd w:val="clear" w:color="auto" w:fill="auto"/>
            <w:vAlign w:val="center"/>
          </w:tcPr>
          <w:p w14:paraId="49EE2B5F">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0.91 </w:t>
            </w:r>
          </w:p>
        </w:tc>
        <w:tc>
          <w:tcPr>
            <w:tcW w:w="522" w:type="dxa"/>
            <w:tcBorders>
              <w:top w:val="nil"/>
              <w:left w:val="nil"/>
              <w:bottom w:val="nil"/>
              <w:right w:val="nil"/>
            </w:tcBorders>
            <w:shd w:val="clear" w:color="auto" w:fill="auto"/>
            <w:vAlign w:val="center"/>
          </w:tcPr>
          <w:p w14:paraId="0DD29187">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58" w:type="dxa"/>
            <w:tcBorders>
              <w:top w:val="nil"/>
              <w:left w:val="nil"/>
              <w:bottom w:val="nil"/>
              <w:right w:val="nil"/>
            </w:tcBorders>
            <w:shd w:val="clear" w:color="auto" w:fill="auto"/>
            <w:vAlign w:val="center"/>
          </w:tcPr>
          <w:p w14:paraId="1C73FC98">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611" w:type="dxa"/>
            <w:tcBorders>
              <w:top w:val="nil"/>
              <w:left w:val="nil"/>
              <w:bottom w:val="nil"/>
              <w:right w:val="nil"/>
            </w:tcBorders>
            <w:shd w:val="clear" w:color="auto" w:fill="auto"/>
            <w:vAlign w:val="center"/>
          </w:tcPr>
          <w:p w14:paraId="01CC98CF">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w:t>
            </w:r>
          </w:p>
        </w:tc>
        <w:tc>
          <w:tcPr>
            <w:tcW w:w="823" w:type="dxa"/>
            <w:tcBorders>
              <w:top w:val="nil"/>
              <w:left w:val="nil"/>
              <w:bottom w:val="nil"/>
              <w:right w:val="nil"/>
            </w:tcBorders>
            <w:shd w:val="clear" w:color="auto" w:fill="auto"/>
            <w:vAlign w:val="center"/>
          </w:tcPr>
          <w:p w14:paraId="4DE5B580">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0.10 </w:t>
            </w:r>
          </w:p>
        </w:tc>
        <w:tc>
          <w:tcPr>
            <w:tcW w:w="513" w:type="dxa"/>
            <w:tcBorders>
              <w:top w:val="nil"/>
              <w:left w:val="nil"/>
              <w:bottom w:val="nil"/>
              <w:right w:val="nil"/>
            </w:tcBorders>
            <w:shd w:val="clear" w:color="auto" w:fill="auto"/>
            <w:vAlign w:val="center"/>
          </w:tcPr>
          <w:p w14:paraId="2FA59104">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32" w:type="dxa"/>
            <w:tcBorders>
              <w:top w:val="nil"/>
              <w:left w:val="nil"/>
              <w:bottom w:val="nil"/>
              <w:right w:val="nil"/>
            </w:tcBorders>
            <w:shd w:val="clear" w:color="auto" w:fill="auto"/>
            <w:vAlign w:val="center"/>
          </w:tcPr>
          <w:p w14:paraId="460791E8">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593" w:type="dxa"/>
            <w:tcBorders>
              <w:top w:val="nil"/>
              <w:left w:val="nil"/>
              <w:bottom w:val="nil"/>
              <w:right w:val="nil"/>
            </w:tcBorders>
            <w:shd w:val="clear" w:color="auto" w:fill="auto"/>
            <w:vAlign w:val="center"/>
          </w:tcPr>
          <w:p w14:paraId="120C18FE">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w:t>
            </w:r>
          </w:p>
        </w:tc>
        <w:tc>
          <w:tcPr>
            <w:tcW w:w="823" w:type="dxa"/>
            <w:tcBorders>
              <w:top w:val="nil"/>
              <w:left w:val="nil"/>
              <w:bottom w:val="nil"/>
              <w:right w:val="nil"/>
            </w:tcBorders>
            <w:shd w:val="clear" w:color="auto" w:fill="auto"/>
            <w:vAlign w:val="center"/>
          </w:tcPr>
          <w:p w14:paraId="683DE63D">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0.12 </w:t>
            </w:r>
          </w:p>
        </w:tc>
        <w:tc>
          <w:tcPr>
            <w:tcW w:w="531" w:type="dxa"/>
            <w:tcBorders>
              <w:top w:val="nil"/>
              <w:left w:val="nil"/>
              <w:bottom w:val="nil"/>
              <w:right w:val="nil"/>
            </w:tcBorders>
            <w:shd w:val="clear" w:color="auto" w:fill="auto"/>
            <w:vAlign w:val="center"/>
          </w:tcPr>
          <w:p w14:paraId="6D4FE06E">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w:t>
            </w:r>
          </w:p>
        </w:tc>
        <w:tc>
          <w:tcPr>
            <w:tcW w:w="805" w:type="dxa"/>
            <w:tcBorders>
              <w:top w:val="nil"/>
              <w:left w:val="nil"/>
              <w:bottom w:val="nil"/>
              <w:right w:val="nil"/>
            </w:tcBorders>
            <w:shd w:val="clear" w:color="auto" w:fill="auto"/>
            <w:vAlign w:val="center"/>
          </w:tcPr>
          <w:p w14:paraId="2609A6EC">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11.11 </w:t>
            </w:r>
          </w:p>
        </w:tc>
        <w:tc>
          <w:tcPr>
            <w:tcW w:w="531" w:type="dxa"/>
            <w:tcBorders>
              <w:top w:val="nil"/>
              <w:left w:val="nil"/>
              <w:bottom w:val="nil"/>
              <w:right w:val="nil"/>
            </w:tcBorders>
            <w:shd w:val="clear" w:color="auto" w:fill="auto"/>
            <w:vAlign w:val="center"/>
          </w:tcPr>
          <w:p w14:paraId="78A82D5C">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59" w:type="dxa"/>
            <w:tcBorders>
              <w:top w:val="nil"/>
              <w:left w:val="nil"/>
              <w:bottom w:val="nil"/>
              <w:right w:val="nil"/>
            </w:tcBorders>
            <w:shd w:val="clear" w:color="auto" w:fill="auto"/>
            <w:vAlign w:val="center"/>
          </w:tcPr>
          <w:p w14:paraId="1F0F8BD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487" w:type="dxa"/>
            <w:tcBorders>
              <w:top w:val="nil"/>
              <w:left w:val="nil"/>
              <w:bottom w:val="nil"/>
              <w:right w:val="nil"/>
            </w:tcBorders>
            <w:shd w:val="clear" w:color="auto" w:fill="auto"/>
            <w:vAlign w:val="center"/>
          </w:tcPr>
          <w:p w14:paraId="6AA76386">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23" w:type="dxa"/>
            <w:tcBorders>
              <w:top w:val="nil"/>
              <w:left w:val="nil"/>
              <w:bottom w:val="nil"/>
              <w:right w:val="nil"/>
            </w:tcBorders>
            <w:shd w:val="clear" w:color="auto" w:fill="auto"/>
            <w:vAlign w:val="center"/>
          </w:tcPr>
          <w:p w14:paraId="1AE08694">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725" w:type="dxa"/>
            <w:tcBorders>
              <w:top w:val="nil"/>
              <w:left w:val="nil"/>
              <w:bottom w:val="nil"/>
              <w:right w:val="nil"/>
            </w:tcBorders>
            <w:shd w:val="clear" w:color="auto" w:fill="auto"/>
            <w:noWrap/>
            <w:vAlign w:val="center"/>
          </w:tcPr>
          <w:p w14:paraId="2A4D2490">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13</w:t>
            </w:r>
          </w:p>
        </w:tc>
        <w:tc>
          <w:tcPr>
            <w:tcW w:w="725" w:type="dxa"/>
            <w:tcBorders>
              <w:top w:val="nil"/>
              <w:left w:val="nil"/>
              <w:bottom w:val="nil"/>
              <w:right w:val="nil"/>
            </w:tcBorders>
            <w:shd w:val="clear" w:color="auto" w:fill="auto"/>
            <w:noWrap/>
            <w:vAlign w:val="center"/>
          </w:tcPr>
          <w:p w14:paraId="1D12BD2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0"/>
                <w:sz w:val="20"/>
                <w:szCs w:val="20"/>
              </w:rPr>
            </w:pPr>
            <w:r>
              <w:rPr>
                <w:rFonts w:hint="default" w:ascii="Times New Roman" w:hAnsi="Times New Roman" w:eastAsia="宋体" w:cs="Times New Roman"/>
                <w:i w:val="0"/>
                <w:iCs w:val="0"/>
                <w:color w:val="000000"/>
                <w:kern w:val="0"/>
                <w:sz w:val="20"/>
                <w:szCs w:val="20"/>
                <w:lang w:val="en-US" w:eastAsia="zh-CN" w:bidi="ar"/>
              </w:rPr>
              <w:t xml:space="preserve">0.24 </w:t>
            </w:r>
          </w:p>
        </w:tc>
      </w:tr>
      <w:tr w14:paraId="0BD4A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43" w:type="dxa"/>
            <w:tcBorders>
              <w:top w:val="nil"/>
              <w:left w:val="nil"/>
              <w:bottom w:val="nil"/>
              <w:right w:val="nil"/>
            </w:tcBorders>
            <w:shd w:val="clear" w:color="auto" w:fill="auto"/>
            <w:vAlign w:val="center"/>
          </w:tcPr>
          <w:p w14:paraId="0AB5097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iCs/>
                <w:color w:val="000000"/>
                <w:kern w:val="2"/>
                <w:sz w:val="20"/>
                <w:szCs w:val="20"/>
              </w:rPr>
            </w:pPr>
            <w:r>
              <w:rPr>
                <w:rFonts w:hint="default" w:ascii="Times New Roman" w:hAnsi="Times New Roman" w:eastAsia="宋体" w:cs="Times New Roman"/>
                <w:i/>
                <w:iCs/>
                <w:color w:val="000000"/>
                <w:kern w:val="0"/>
                <w:sz w:val="20"/>
                <w:szCs w:val="20"/>
                <w:lang w:val="en-US" w:eastAsia="zh-CN" w:bidi="ar"/>
              </w:rPr>
              <w:t>Parallel</w:t>
            </w:r>
          </w:p>
        </w:tc>
        <w:tc>
          <w:tcPr>
            <w:tcW w:w="695" w:type="dxa"/>
            <w:tcBorders>
              <w:top w:val="nil"/>
              <w:left w:val="nil"/>
              <w:bottom w:val="nil"/>
              <w:right w:val="nil"/>
            </w:tcBorders>
            <w:shd w:val="clear" w:color="auto" w:fill="auto"/>
            <w:vAlign w:val="center"/>
          </w:tcPr>
          <w:p w14:paraId="19EDFC2C">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w:t>
            </w:r>
          </w:p>
        </w:tc>
        <w:tc>
          <w:tcPr>
            <w:tcW w:w="794" w:type="dxa"/>
            <w:tcBorders>
              <w:top w:val="nil"/>
              <w:left w:val="nil"/>
              <w:bottom w:val="nil"/>
              <w:right w:val="nil"/>
            </w:tcBorders>
            <w:shd w:val="clear" w:color="auto" w:fill="auto"/>
            <w:vAlign w:val="center"/>
          </w:tcPr>
          <w:p w14:paraId="4206EDC7">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0.07 </w:t>
            </w:r>
          </w:p>
        </w:tc>
        <w:tc>
          <w:tcPr>
            <w:tcW w:w="555" w:type="dxa"/>
            <w:tcBorders>
              <w:top w:val="nil"/>
              <w:left w:val="nil"/>
              <w:bottom w:val="nil"/>
              <w:right w:val="nil"/>
            </w:tcBorders>
            <w:shd w:val="clear" w:color="auto" w:fill="auto"/>
            <w:vAlign w:val="center"/>
          </w:tcPr>
          <w:p w14:paraId="552C6E78">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67" w:type="dxa"/>
            <w:tcBorders>
              <w:top w:val="nil"/>
              <w:left w:val="nil"/>
              <w:bottom w:val="nil"/>
              <w:right w:val="nil"/>
            </w:tcBorders>
            <w:shd w:val="clear" w:color="auto" w:fill="auto"/>
            <w:vAlign w:val="center"/>
          </w:tcPr>
          <w:p w14:paraId="7786D39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522" w:type="dxa"/>
            <w:tcBorders>
              <w:top w:val="nil"/>
              <w:left w:val="nil"/>
              <w:bottom w:val="nil"/>
              <w:right w:val="nil"/>
            </w:tcBorders>
            <w:shd w:val="clear" w:color="auto" w:fill="auto"/>
            <w:vAlign w:val="center"/>
          </w:tcPr>
          <w:p w14:paraId="0455F604">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58" w:type="dxa"/>
            <w:tcBorders>
              <w:top w:val="nil"/>
              <w:left w:val="nil"/>
              <w:bottom w:val="nil"/>
              <w:right w:val="nil"/>
            </w:tcBorders>
            <w:shd w:val="clear" w:color="auto" w:fill="auto"/>
            <w:vAlign w:val="center"/>
          </w:tcPr>
          <w:p w14:paraId="5E82ED14">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611" w:type="dxa"/>
            <w:tcBorders>
              <w:top w:val="nil"/>
              <w:left w:val="nil"/>
              <w:bottom w:val="nil"/>
              <w:right w:val="nil"/>
            </w:tcBorders>
            <w:shd w:val="clear" w:color="auto" w:fill="auto"/>
            <w:vAlign w:val="center"/>
          </w:tcPr>
          <w:p w14:paraId="00563F1C">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23" w:type="dxa"/>
            <w:tcBorders>
              <w:top w:val="nil"/>
              <w:left w:val="nil"/>
              <w:bottom w:val="nil"/>
              <w:right w:val="nil"/>
            </w:tcBorders>
            <w:shd w:val="clear" w:color="auto" w:fill="auto"/>
            <w:vAlign w:val="center"/>
          </w:tcPr>
          <w:p w14:paraId="59EB57E0">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513" w:type="dxa"/>
            <w:tcBorders>
              <w:top w:val="nil"/>
              <w:left w:val="nil"/>
              <w:bottom w:val="nil"/>
              <w:right w:val="nil"/>
            </w:tcBorders>
            <w:shd w:val="clear" w:color="auto" w:fill="auto"/>
            <w:vAlign w:val="center"/>
          </w:tcPr>
          <w:p w14:paraId="7C3F78D3">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32" w:type="dxa"/>
            <w:tcBorders>
              <w:top w:val="nil"/>
              <w:left w:val="nil"/>
              <w:bottom w:val="nil"/>
              <w:right w:val="nil"/>
            </w:tcBorders>
            <w:shd w:val="clear" w:color="auto" w:fill="auto"/>
            <w:vAlign w:val="center"/>
          </w:tcPr>
          <w:p w14:paraId="05812DBF">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593" w:type="dxa"/>
            <w:tcBorders>
              <w:top w:val="nil"/>
              <w:left w:val="nil"/>
              <w:bottom w:val="nil"/>
              <w:right w:val="nil"/>
            </w:tcBorders>
            <w:shd w:val="clear" w:color="auto" w:fill="auto"/>
            <w:vAlign w:val="center"/>
          </w:tcPr>
          <w:p w14:paraId="091C1E95">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23" w:type="dxa"/>
            <w:tcBorders>
              <w:top w:val="nil"/>
              <w:left w:val="nil"/>
              <w:bottom w:val="nil"/>
              <w:right w:val="nil"/>
            </w:tcBorders>
            <w:shd w:val="clear" w:color="auto" w:fill="auto"/>
            <w:vAlign w:val="center"/>
          </w:tcPr>
          <w:p w14:paraId="4D276BD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531" w:type="dxa"/>
            <w:tcBorders>
              <w:top w:val="nil"/>
              <w:left w:val="nil"/>
              <w:bottom w:val="nil"/>
              <w:right w:val="nil"/>
            </w:tcBorders>
            <w:shd w:val="clear" w:color="auto" w:fill="auto"/>
            <w:vAlign w:val="center"/>
          </w:tcPr>
          <w:p w14:paraId="1E69D3A5">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w:t>
            </w:r>
          </w:p>
        </w:tc>
        <w:tc>
          <w:tcPr>
            <w:tcW w:w="805" w:type="dxa"/>
            <w:tcBorders>
              <w:top w:val="nil"/>
              <w:left w:val="nil"/>
              <w:bottom w:val="nil"/>
              <w:right w:val="nil"/>
            </w:tcBorders>
            <w:shd w:val="clear" w:color="auto" w:fill="auto"/>
            <w:vAlign w:val="center"/>
          </w:tcPr>
          <w:p w14:paraId="11B79F0C">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11.11 </w:t>
            </w:r>
          </w:p>
        </w:tc>
        <w:tc>
          <w:tcPr>
            <w:tcW w:w="531" w:type="dxa"/>
            <w:tcBorders>
              <w:top w:val="nil"/>
              <w:left w:val="nil"/>
              <w:bottom w:val="nil"/>
              <w:right w:val="nil"/>
            </w:tcBorders>
            <w:shd w:val="clear" w:color="auto" w:fill="auto"/>
            <w:vAlign w:val="center"/>
          </w:tcPr>
          <w:p w14:paraId="094777B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59" w:type="dxa"/>
            <w:tcBorders>
              <w:top w:val="nil"/>
              <w:left w:val="nil"/>
              <w:bottom w:val="nil"/>
              <w:right w:val="nil"/>
            </w:tcBorders>
            <w:shd w:val="clear" w:color="auto" w:fill="auto"/>
            <w:vAlign w:val="center"/>
          </w:tcPr>
          <w:p w14:paraId="1AB3270C">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487" w:type="dxa"/>
            <w:tcBorders>
              <w:top w:val="nil"/>
              <w:left w:val="nil"/>
              <w:bottom w:val="nil"/>
              <w:right w:val="nil"/>
            </w:tcBorders>
            <w:shd w:val="clear" w:color="auto" w:fill="auto"/>
            <w:vAlign w:val="center"/>
          </w:tcPr>
          <w:p w14:paraId="0A23296D">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23" w:type="dxa"/>
            <w:tcBorders>
              <w:top w:val="nil"/>
              <w:left w:val="nil"/>
              <w:bottom w:val="nil"/>
              <w:right w:val="nil"/>
            </w:tcBorders>
            <w:shd w:val="clear" w:color="auto" w:fill="auto"/>
            <w:vAlign w:val="center"/>
          </w:tcPr>
          <w:p w14:paraId="16A69F1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725" w:type="dxa"/>
            <w:tcBorders>
              <w:top w:val="nil"/>
              <w:left w:val="nil"/>
              <w:bottom w:val="nil"/>
              <w:right w:val="nil"/>
            </w:tcBorders>
            <w:shd w:val="clear" w:color="auto" w:fill="auto"/>
            <w:noWrap/>
            <w:vAlign w:val="center"/>
          </w:tcPr>
          <w:p w14:paraId="0F29053E">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3</w:t>
            </w:r>
          </w:p>
        </w:tc>
        <w:tc>
          <w:tcPr>
            <w:tcW w:w="725" w:type="dxa"/>
            <w:tcBorders>
              <w:top w:val="nil"/>
              <w:left w:val="nil"/>
              <w:bottom w:val="nil"/>
              <w:right w:val="nil"/>
            </w:tcBorders>
            <w:shd w:val="clear" w:color="auto" w:fill="auto"/>
            <w:noWrap/>
            <w:vAlign w:val="center"/>
          </w:tcPr>
          <w:p w14:paraId="2745CD9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0"/>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0.06 </w:t>
            </w:r>
          </w:p>
        </w:tc>
      </w:tr>
      <w:tr w14:paraId="0B148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1843" w:type="dxa"/>
            <w:tcBorders>
              <w:top w:val="nil"/>
              <w:left w:val="nil"/>
              <w:bottom w:val="single" w:color="auto" w:sz="4" w:space="0"/>
              <w:right w:val="nil"/>
            </w:tcBorders>
            <w:shd w:val="clear" w:color="auto" w:fill="auto"/>
            <w:vAlign w:val="center"/>
          </w:tcPr>
          <w:p w14:paraId="612F8658">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iCs/>
                <w:color w:val="000000"/>
                <w:kern w:val="2"/>
                <w:sz w:val="20"/>
                <w:szCs w:val="20"/>
              </w:rPr>
            </w:pPr>
            <w:r>
              <w:rPr>
                <w:rFonts w:hint="default" w:ascii="Times New Roman" w:hAnsi="Times New Roman" w:eastAsia="宋体" w:cs="Times New Roman"/>
                <w:i/>
                <w:iCs/>
                <w:color w:val="000000"/>
                <w:kern w:val="0"/>
                <w:sz w:val="20"/>
                <w:szCs w:val="20"/>
                <w:lang w:val="en-US" w:eastAsia="zh-CN" w:bidi="ar"/>
              </w:rPr>
              <w:t>Total</w:t>
            </w:r>
          </w:p>
        </w:tc>
        <w:tc>
          <w:tcPr>
            <w:tcW w:w="695" w:type="dxa"/>
            <w:tcBorders>
              <w:top w:val="nil"/>
              <w:left w:val="nil"/>
              <w:bottom w:val="single" w:color="auto" w:sz="4" w:space="0"/>
              <w:right w:val="nil"/>
            </w:tcBorders>
            <w:shd w:val="clear" w:color="auto" w:fill="auto"/>
            <w:vAlign w:val="center"/>
          </w:tcPr>
          <w:p w14:paraId="3D2C6F4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39</w:t>
            </w:r>
          </w:p>
        </w:tc>
        <w:tc>
          <w:tcPr>
            <w:tcW w:w="794" w:type="dxa"/>
            <w:tcBorders>
              <w:top w:val="nil"/>
              <w:left w:val="nil"/>
              <w:bottom w:val="single" w:color="auto" w:sz="4" w:space="0"/>
              <w:right w:val="nil"/>
            </w:tcBorders>
            <w:shd w:val="clear" w:color="auto" w:fill="auto"/>
            <w:vAlign w:val="center"/>
          </w:tcPr>
          <w:p w14:paraId="221156A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1.40 </w:t>
            </w:r>
          </w:p>
        </w:tc>
        <w:tc>
          <w:tcPr>
            <w:tcW w:w="555" w:type="dxa"/>
            <w:tcBorders>
              <w:top w:val="nil"/>
              <w:left w:val="nil"/>
              <w:bottom w:val="single" w:color="auto" w:sz="4" w:space="0"/>
              <w:right w:val="nil"/>
            </w:tcBorders>
            <w:shd w:val="clear" w:color="auto" w:fill="auto"/>
            <w:vAlign w:val="center"/>
          </w:tcPr>
          <w:p w14:paraId="1AACA5D6">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13</w:t>
            </w:r>
          </w:p>
        </w:tc>
        <w:tc>
          <w:tcPr>
            <w:tcW w:w="867" w:type="dxa"/>
            <w:tcBorders>
              <w:top w:val="nil"/>
              <w:left w:val="nil"/>
              <w:bottom w:val="single" w:color="auto" w:sz="4" w:space="0"/>
              <w:right w:val="nil"/>
            </w:tcBorders>
            <w:shd w:val="clear" w:color="auto" w:fill="auto"/>
            <w:vAlign w:val="center"/>
          </w:tcPr>
          <w:p w14:paraId="187AAF5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2.96 </w:t>
            </w:r>
          </w:p>
        </w:tc>
        <w:tc>
          <w:tcPr>
            <w:tcW w:w="522" w:type="dxa"/>
            <w:tcBorders>
              <w:top w:val="nil"/>
              <w:left w:val="nil"/>
              <w:bottom w:val="single" w:color="auto" w:sz="4" w:space="0"/>
              <w:right w:val="nil"/>
            </w:tcBorders>
            <w:shd w:val="clear" w:color="auto" w:fill="auto"/>
            <w:vAlign w:val="center"/>
          </w:tcPr>
          <w:p w14:paraId="16922355">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58" w:type="dxa"/>
            <w:tcBorders>
              <w:top w:val="nil"/>
              <w:left w:val="nil"/>
              <w:bottom w:val="single" w:color="auto" w:sz="4" w:space="0"/>
              <w:right w:val="nil"/>
            </w:tcBorders>
            <w:shd w:val="clear" w:color="auto" w:fill="auto"/>
            <w:vAlign w:val="center"/>
          </w:tcPr>
          <w:p w14:paraId="788387BF">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611" w:type="dxa"/>
            <w:tcBorders>
              <w:top w:val="nil"/>
              <w:left w:val="nil"/>
              <w:bottom w:val="single" w:color="auto" w:sz="4" w:space="0"/>
              <w:right w:val="nil"/>
            </w:tcBorders>
            <w:shd w:val="clear" w:color="auto" w:fill="auto"/>
            <w:vAlign w:val="center"/>
          </w:tcPr>
          <w:p w14:paraId="4CFCC789">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4</w:t>
            </w:r>
          </w:p>
        </w:tc>
        <w:tc>
          <w:tcPr>
            <w:tcW w:w="823" w:type="dxa"/>
            <w:tcBorders>
              <w:top w:val="nil"/>
              <w:left w:val="nil"/>
              <w:bottom w:val="single" w:color="auto" w:sz="4" w:space="0"/>
              <w:right w:val="nil"/>
            </w:tcBorders>
            <w:shd w:val="clear" w:color="auto" w:fill="auto"/>
            <w:vAlign w:val="center"/>
          </w:tcPr>
          <w:p w14:paraId="5E1618E6">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0.42 </w:t>
            </w:r>
          </w:p>
        </w:tc>
        <w:tc>
          <w:tcPr>
            <w:tcW w:w="513" w:type="dxa"/>
            <w:tcBorders>
              <w:top w:val="nil"/>
              <w:left w:val="nil"/>
              <w:bottom w:val="single" w:color="auto" w:sz="4" w:space="0"/>
              <w:right w:val="nil"/>
            </w:tcBorders>
            <w:shd w:val="clear" w:color="auto" w:fill="auto"/>
            <w:vAlign w:val="center"/>
          </w:tcPr>
          <w:p w14:paraId="00B0BAC8">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w:t>
            </w:r>
          </w:p>
        </w:tc>
        <w:tc>
          <w:tcPr>
            <w:tcW w:w="832" w:type="dxa"/>
            <w:tcBorders>
              <w:top w:val="nil"/>
              <w:left w:val="nil"/>
              <w:bottom w:val="single" w:color="auto" w:sz="4" w:space="0"/>
              <w:right w:val="nil"/>
            </w:tcBorders>
            <w:shd w:val="clear" w:color="auto" w:fill="auto"/>
            <w:vAlign w:val="center"/>
          </w:tcPr>
          <w:p w14:paraId="63E3918E">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1.52 </w:t>
            </w:r>
          </w:p>
        </w:tc>
        <w:tc>
          <w:tcPr>
            <w:tcW w:w="593" w:type="dxa"/>
            <w:tcBorders>
              <w:top w:val="nil"/>
              <w:left w:val="nil"/>
              <w:bottom w:val="single" w:color="auto" w:sz="4" w:space="0"/>
              <w:right w:val="nil"/>
            </w:tcBorders>
            <w:shd w:val="clear" w:color="auto" w:fill="auto"/>
            <w:vAlign w:val="center"/>
          </w:tcPr>
          <w:p w14:paraId="08E4A74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w:t>
            </w:r>
          </w:p>
        </w:tc>
        <w:tc>
          <w:tcPr>
            <w:tcW w:w="823" w:type="dxa"/>
            <w:tcBorders>
              <w:top w:val="nil"/>
              <w:left w:val="nil"/>
              <w:bottom w:val="single" w:color="auto" w:sz="4" w:space="0"/>
              <w:right w:val="nil"/>
            </w:tcBorders>
            <w:shd w:val="clear" w:color="auto" w:fill="auto"/>
            <w:vAlign w:val="center"/>
          </w:tcPr>
          <w:p w14:paraId="55C1FCF4">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0.12 </w:t>
            </w:r>
          </w:p>
        </w:tc>
        <w:tc>
          <w:tcPr>
            <w:tcW w:w="531" w:type="dxa"/>
            <w:tcBorders>
              <w:top w:val="nil"/>
              <w:left w:val="nil"/>
              <w:bottom w:val="single" w:color="auto" w:sz="4" w:space="0"/>
              <w:right w:val="nil"/>
            </w:tcBorders>
            <w:shd w:val="clear" w:color="auto" w:fill="auto"/>
            <w:vAlign w:val="center"/>
          </w:tcPr>
          <w:p w14:paraId="6A1D1E5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3</w:t>
            </w:r>
          </w:p>
        </w:tc>
        <w:tc>
          <w:tcPr>
            <w:tcW w:w="805" w:type="dxa"/>
            <w:tcBorders>
              <w:top w:val="nil"/>
              <w:left w:val="nil"/>
              <w:bottom w:val="single" w:color="auto" w:sz="4" w:space="0"/>
              <w:right w:val="nil"/>
            </w:tcBorders>
            <w:shd w:val="clear" w:color="auto" w:fill="auto"/>
            <w:vAlign w:val="center"/>
          </w:tcPr>
          <w:p w14:paraId="6CBE5A16">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33.33 </w:t>
            </w:r>
          </w:p>
        </w:tc>
        <w:tc>
          <w:tcPr>
            <w:tcW w:w="531" w:type="dxa"/>
            <w:tcBorders>
              <w:top w:val="nil"/>
              <w:left w:val="nil"/>
              <w:bottom w:val="single" w:color="auto" w:sz="4" w:space="0"/>
              <w:right w:val="nil"/>
            </w:tcBorders>
            <w:shd w:val="clear" w:color="auto" w:fill="auto"/>
            <w:vAlign w:val="center"/>
          </w:tcPr>
          <w:p w14:paraId="3E4A4775">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59" w:type="dxa"/>
            <w:tcBorders>
              <w:top w:val="nil"/>
              <w:left w:val="nil"/>
              <w:bottom w:val="single" w:color="auto" w:sz="4" w:space="0"/>
              <w:right w:val="nil"/>
            </w:tcBorders>
            <w:shd w:val="clear" w:color="auto" w:fill="auto"/>
            <w:vAlign w:val="center"/>
          </w:tcPr>
          <w:p w14:paraId="78EA798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487" w:type="dxa"/>
            <w:tcBorders>
              <w:top w:val="nil"/>
              <w:left w:val="nil"/>
              <w:bottom w:val="single" w:color="auto" w:sz="4" w:space="0"/>
              <w:right w:val="nil"/>
            </w:tcBorders>
            <w:shd w:val="clear" w:color="auto" w:fill="auto"/>
            <w:vAlign w:val="center"/>
          </w:tcPr>
          <w:p w14:paraId="1CEDED63">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w:t>
            </w:r>
          </w:p>
        </w:tc>
        <w:tc>
          <w:tcPr>
            <w:tcW w:w="823" w:type="dxa"/>
            <w:tcBorders>
              <w:top w:val="nil"/>
              <w:left w:val="nil"/>
              <w:bottom w:val="single" w:color="auto" w:sz="4" w:space="0"/>
              <w:right w:val="nil"/>
            </w:tcBorders>
            <w:shd w:val="clear" w:color="auto" w:fill="auto"/>
            <w:vAlign w:val="center"/>
          </w:tcPr>
          <w:p w14:paraId="714BBDCD">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2.86 </w:t>
            </w:r>
          </w:p>
        </w:tc>
        <w:tc>
          <w:tcPr>
            <w:tcW w:w="725" w:type="dxa"/>
            <w:tcBorders>
              <w:top w:val="nil"/>
              <w:left w:val="nil"/>
              <w:bottom w:val="single" w:color="auto" w:sz="4" w:space="0"/>
              <w:right w:val="nil"/>
            </w:tcBorders>
            <w:shd w:val="clear" w:color="auto" w:fill="auto"/>
            <w:noWrap/>
            <w:vAlign w:val="center"/>
          </w:tcPr>
          <w:p w14:paraId="645F94DF">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63</w:t>
            </w:r>
          </w:p>
        </w:tc>
        <w:tc>
          <w:tcPr>
            <w:tcW w:w="725" w:type="dxa"/>
            <w:tcBorders>
              <w:top w:val="nil"/>
              <w:left w:val="nil"/>
              <w:bottom w:val="single" w:color="auto" w:sz="4" w:space="0"/>
              <w:right w:val="nil"/>
            </w:tcBorders>
            <w:shd w:val="clear" w:color="auto" w:fill="auto"/>
            <w:noWrap/>
            <w:vAlign w:val="center"/>
          </w:tcPr>
          <w:p w14:paraId="7DEEFF3B">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0"/>
                <w:sz w:val="20"/>
                <w:szCs w:val="20"/>
              </w:rPr>
            </w:pPr>
            <w:r>
              <w:rPr>
                <w:rFonts w:hint="default" w:ascii="Times New Roman" w:hAnsi="Times New Roman" w:eastAsia="宋体" w:cs="Times New Roman"/>
                <w:i w:val="0"/>
                <w:iCs w:val="0"/>
                <w:color w:val="000000"/>
                <w:kern w:val="0"/>
                <w:sz w:val="20"/>
                <w:szCs w:val="20"/>
                <w:lang w:val="en-US" w:eastAsia="zh-CN" w:bidi="ar"/>
              </w:rPr>
              <w:t xml:space="preserve">1.16 </w:t>
            </w:r>
          </w:p>
        </w:tc>
      </w:tr>
      <w:tr w14:paraId="61346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815" w:type="dxa"/>
            <w:gridSpan w:val="21"/>
            <w:tcBorders>
              <w:top w:val="single" w:color="auto" w:sz="4" w:space="0"/>
              <w:left w:val="nil"/>
              <w:bottom w:val="single" w:color="auto" w:sz="4" w:space="0"/>
              <w:right w:val="nil"/>
            </w:tcBorders>
            <w:shd w:val="clear" w:color="auto" w:fill="auto"/>
            <w:vAlign w:val="center"/>
          </w:tcPr>
          <w:p w14:paraId="4334E7F1">
            <w:pPr>
              <w:keepNext w:val="0"/>
              <w:keepLines w:val="0"/>
              <w:widowControl w:val="0"/>
              <w:suppressLineNumbers w:val="0"/>
              <w:spacing w:before="0" w:beforeAutospacing="0" w:after="0" w:afterAutospacing="0"/>
              <w:ind w:left="0" w:right="0" w:firstLine="0"/>
              <w:jc w:val="both"/>
              <w:rPr>
                <w:rFonts w:hint="default" w:ascii="Times New Roman" w:hAnsi="Times New Roman" w:eastAsia="宋体" w:cs="Times New Roman"/>
                <w:i w:val="0"/>
                <w:iCs w:val="0"/>
                <w:color w:val="000000"/>
                <w:kern w:val="0"/>
                <w:sz w:val="20"/>
                <w:szCs w:val="20"/>
              </w:rPr>
            </w:pPr>
            <w:r>
              <w:rPr>
                <w:rFonts w:hint="default" w:ascii="Times New Roman" w:hAnsi="Times New Roman" w:eastAsia="宋体" w:cs="Times New Roman"/>
                <w:b/>
                <w:bCs/>
                <w:i w:val="0"/>
                <w:iCs w:val="0"/>
                <w:color w:val="000000"/>
                <w:kern w:val="0"/>
                <w:sz w:val="20"/>
                <w:szCs w:val="20"/>
                <w:lang w:val="en-US" w:eastAsia="zh-CN" w:bidi="ar"/>
              </w:rPr>
              <w:t>Percussion</w:t>
            </w:r>
          </w:p>
        </w:tc>
      </w:tr>
      <w:tr w14:paraId="2D409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1843" w:type="dxa"/>
            <w:tcBorders>
              <w:top w:val="single" w:color="auto" w:sz="4" w:space="0"/>
              <w:left w:val="nil"/>
              <w:bottom w:val="nil"/>
              <w:right w:val="nil"/>
            </w:tcBorders>
            <w:shd w:val="clear" w:color="auto" w:fill="auto"/>
            <w:vAlign w:val="center"/>
          </w:tcPr>
          <w:p w14:paraId="7F8B1E9F">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iCs/>
                <w:color w:val="000000"/>
                <w:kern w:val="2"/>
                <w:sz w:val="20"/>
                <w:szCs w:val="20"/>
              </w:rPr>
            </w:pPr>
            <w:r>
              <w:rPr>
                <w:rFonts w:hint="default" w:ascii="Times New Roman" w:hAnsi="Times New Roman" w:eastAsia="宋体" w:cs="Times New Roman"/>
                <w:i/>
                <w:iCs/>
                <w:color w:val="000000"/>
                <w:kern w:val="0"/>
                <w:sz w:val="20"/>
                <w:szCs w:val="20"/>
                <w:lang w:val="en-US" w:eastAsia="zh-CN" w:bidi="ar"/>
              </w:rPr>
              <w:t>Scar</w:t>
            </w:r>
          </w:p>
        </w:tc>
        <w:tc>
          <w:tcPr>
            <w:tcW w:w="695" w:type="dxa"/>
            <w:tcBorders>
              <w:top w:val="single" w:color="auto" w:sz="4" w:space="0"/>
              <w:left w:val="nil"/>
              <w:bottom w:val="nil"/>
              <w:right w:val="nil"/>
            </w:tcBorders>
            <w:shd w:val="clear" w:color="auto" w:fill="auto"/>
            <w:vAlign w:val="center"/>
          </w:tcPr>
          <w:p w14:paraId="63FE4D06">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170</w:t>
            </w:r>
          </w:p>
        </w:tc>
        <w:tc>
          <w:tcPr>
            <w:tcW w:w="794" w:type="dxa"/>
            <w:tcBorders>
              <w:top w:val="single" w:color="auto" w:sz="4" w:space="0"/>
              <w:left w:val="nil"/>
              <w:bottom w:val="nil"/>
              <w:right w:val="nil"/>
            </w:tcBorders>
            <w:shd w:val="clear" w:color="auto" w:fill="auto"/>
            <w:vAlign w:val="center"/>
          </w:tcPr>
          <w:p w14:paraId="4441C387">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6.09 </w:t>
            </w:r>
          </w:p>
        </w:tc>
        <w:tc>
          <w:tcPr>
            <w:tcW w:w="555" w:type="dxa"/>
            <w:tcBorders>
              <w:top w:val="single" w:color="auto" w:sz="4" w:space="0"/>
              <w:left w:val="nil"/>
              <w:bottom w:val="nil"/>
              <w:right w:val="nil"/>
            </w:tcBorders>
            <w:shd w:val="clear" w:color="auto" w:fill="auto"/>
            <w:vAlign w:val="center"/>
          </w:tcPr>
          <w:p w14:paraId="4035B1E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54</w:t>
            </w:r>
          </w:p>
        </w:tc>
        <w:tc>
          <w:tcPr>
            <w:tcW w:w="867" w:type="dxa"/>
            <w:tcBorders>
              <w:top w:val="single" w:color="auto" w:sz="4" w:space="0"/>
              <w:left w:val="nil"/>
              <w:bottom w:val="nil"/>
              <w:right w:val="nil"/>
            </w:tcBorders>
            <w:shd w:val="clear" w:color="auto" w:fill="auto"/>
            <w:vAlign w:val="center"/>
          </w:tcPr>
          <w:p w14:paraId="2376276D">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12.30 </w:t>
            </w:r>
          </w:p>
        </w:tc>
        <w:tc>
          <w:tcPr>
            <w:tcW w:w="522" w:type="dxa"/>
            <w:tcBorders>
              <w:top w:val="single" w:color="auto" w:sz="4" w:space="0"/>
              <w:left w:val="nil"/>
              <w:bottom w:val="nil"/>
              <w:right w:val="nil"/>
            </w:tcBorders>
            <w:shd w:val="clear" w:color="auto" w:fill="auto"/>
            <w:vAlign w:val="center"/>
          </w:tcPr>
          <w:p w14:paraId="48F2C946">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w:t>
            </w:r>
          </w:p>
        </w:tc>
        <w:tc>
          <w:tcPr>
            <w:tcW w:w="858" w:type="dxa"/>
            <w:tcBorders>
              <w:top w:val="single" w:color="auto" w:sz="4" w:space="0"/>
              <w:left w:val="nil"/>
              <w:bottom w:val="nil"/>
              <w:right w:val="nil"/>
            </w:tcBorders>
            <w:shd w:val="clear" w:color="auto" w:fill="auto"/>
            <w:vAlign w:val="center"/>
          </w:tcPr>
          <w:p w14:paraId="5AD59957">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22.22 </w:t>
            </w:r>
          </w:p>
        </w:tc>
        <w:tc>
          <w:tcPr>
            <w:tcW w:w="611" w:type="dxa"/>
            <w:tcBorders>
              <w:top w:val="single" w:color="auto" w:sz="4" w:space="0"/>
              <w:left w:val="nil"/>
              <w:bottom w:val="nil"/>
              <w:right w:val="nil"/>
            </w:tcBorders>
            <w:shd w:val="clear" w:color="auto" w:fill="auto"/>
            <w:vAlign w:val="center"/>
          </w:tcPr>
          <w:p w14:paraId="7DBB83E9">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13</w:t>
            </w:r>
          </w:p>
        </w:tc>
        <w:tc>
          <w:tcPr>
            <w:tcW w:w="823" w:type="dxa"/>
            <w:tcBorders>
              <w:top w:val="single" w:color="auto" w:sz="4" w:space="0"/>
              <w:left w:val="nil"/>
              <w:bottom w:val="nil"/>
              <w:right w:val="nil"/>
            </w:tcBorders>
            <w:shd w:val="clear" w:color="auto" w:fill="auto"/>
            <w:vAlign w:val="center"/>
          </w:tcPr>
          <w:p w14:paraId="7022B49D">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1.35 </w:t>
            </w:r>
          </w:p>
        </w:tc>
        <w:tc>
          <w:tcPr>
            <w:tcW w:w="513" w:type="dxa"/>
            <w:tcBorders>
              <w:top w:val="single" w:color="auto" w:sz="4" w:space="0"/>
              <w:left w:val="nil"/>
              <w:bottom w:val="nil"/>
              <w:right w:val="nil"/>
            </w:tcBorders>
            <w:shd w:val="clear" w:color="auto" w:fill="auto"/>
            <w:vAlign w:val="center"/>
          </w:tcPr>
          <w:p w14:paraId="21C6FC1F">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3</w:t>
            </w:r>
          </w:p>
        </w:tc>
        <w:tc>
          <w:tcPr>
            <w:tcW w:w="832" w:type="dxa"/>
            <w:tcBorders>
              <w:top w:val="single" w:color="auto" w:sz="4" w:space="0"/>
              <w:left w:val="nil"/>
              <w:bottom w:val="nil"/>
              <w:right w:val="nil"/>
            </w:tcBorders>
            <w:shd w:val="clear" w:color="auto" w:fill="auto"/>
            <w:vAlign w:val="center"/>
          </w:tcPr>
          <w:p w14:paraId="5DFE4725">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4.55 </w:t>
            </w:r>
          </w:p>
        </w:tc>
        <w:tc>
          <w:tcPr>
            <w:tcW w:w="593" w:type="dxa"/>
            <w:tcBorders>
              <w:top w:val="single" w:color="auto" w:sz="4" w:space="0"/>
              <w:left w:val="nil"/>
              <w:bottom w:val="nil"/>
              <w:right w:val="nil"/>
            </w:tcBorders>
            <w:shd w:val="clear" w:color="auto" w:fill="auto"/>
            <w:vAlign w:val="center"/>
          </w:tcPr>
          <w:p w14:paraId="7F2B4956">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8</w:t>
            </w:r>
          </w:p>
        </w:tc>
        <w:tc>
          <w:tcPr>
            <w:tcW w:w="823" w:type="dxa"/>
            <w:tcBorders>
              <w:top w:val="single" w:color="auto" w:sz="4" w:space="0"/>
              <w:left w:val="nil"/>
              <w:bottom w:val="nil"/>
              <w:right w:val="nil"/>
            </w:tcBorders>
            <w:shd w:val="clear" w:color="auto" w:fill="auto"/>
            <w:vAlign w:val="center"/>
          </w:tcPr>
          <w:p w14:paraId="596E0D74">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0.97 </w:t>
            </w:r>
          </w:p>
        </w:tc>
        <w:tc>
          <w:tcPr>
            <w:tcW w:w="531" w:type="dxa"/>
            <w:tcBorders>
              <w:top w:val="single" w:color="auto" w:sz="4" w:space="0"/>
              <w:left w:val="nil"/>
              <w:bottom w:val="nil"/>
              <w:right w:val="nil"/>
            </w:tcBorders>
            <w:shd w:val="clear" w:color="auto" w:fill="auto"/>
            <w:vAlign w:val="center"/>
          </w:tcPr>
          <w:p w14:paraId="39698559">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4</w:t>
            </w:r>
          </w:p>
        </w:tc>
        <w:tc>
          <w:tcPr>
            <w:tcW w:w="805" w:type="dxa"/>
            <w:tcBorders>
              <w:top w:val="single" w:color="auto" w:sz="4" w:space="0"/>
              <w:left w:val="nil"/>
              <w:bottom w:val="nil"/>
              <w:right w:val="nil"/>
            </w:tcBorders>
            <w:shd w:val="clear" w:color="auto" w:fill="auto"/>
            <w:vAlign w:val="center"/>
          </w:tcPr>
          <w:p w14:paraId="380A63D6">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44.44 </w:t>
            </w:r>
          </w:p>
        </w:tc>
        <w:tc>
          <w:tcPr>
            <w:tcW w:w="531" w:type="dxa"/>
            <w:tcBorders>
              <w:top w:val="single" w:color="auto" w:sz="4" w:space="0"/>
              <w:left w:val="nil"/>
              <w:bottom w:val="nil"/>
              <w:right w:val="nil"/>
            </w:tcBorders>
            <w:shd w:val="clear" w:color="auto" w:fill="auto"/>
            <w:vAlign w:val="center"/>
          </w:tcPr>
          <w:p w14:paraId="6D408B3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w:t>
            </w:r>
          </w:p>
        </w:tc>
        <w:tc>
          <w:tcPr>
            <w:tcW w:w="859" w:type="dxa"/>
            <w:tcBorders>
              <w:top w:val="single" w:color="auto" w:sz="4" w:space="0"/>
              <w:left w:val="nil"/>
              <w:bottom w:val="nil"/>
              <w:right w:val="nil"/>
            </w:tcBorders>
            <w:shd w:val="clear" w:color="auto" w:fill="auto"/>
            <w:vAlign w:val="center"/>
          </w:tcPr>
          <w:p w14:paraId="7163982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0.47 </w:t>
            </w:r>
          </w:p>
        </w:tc>
        <w:tc>
          <w:tcPr>
            <w:tcW w:w="487" w:type="dxa"/>
            <w:tcBorders>
              <w:top w:val="single" w:color="auto" w:sz="4" w:space="0"/>
              <w:left w:val="nil"/>
              <w:bottom w:val="nil"/>
              <w:right w:val="nil"/>
            </w:tcBorders>
            <w:shd w:val="clear" w:color="auto" w:fill="auto"/>
            <w:vAlign w:val="center"/>
          </w:tcPr>
          <w:p w14:paraId="53EF70E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4</w:t>
            </w:r>
          </w:p>
        </w:tc>
        <w:tc>
          <w:tcPr>
            <w:tcW w:w="823" w:type="dxa"/>
            <w:tcBorders>
              <w:top w:val="single" w:color="auto" w:sz="4" w:space="0"/>
              <w:left w:val="nil"/>
              <w:bottom w:val="nil"/>
              <w:right w:val="nil"/>
            </w:tcBorders>
            <w:shd w:val="clear" w:color="auto" w:fill="auto"/>
            <w:vAlign w:val="center"/>
          </w:tcPr>
          <w:p w14:paraId="680521D3">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5.71 </w:t>
            </w:r>
          </w:p>
        </w:tc>
        <w:tc>
          <w:tcPr>
            <w:tcW w:w="725" w:type="dxa"/>
            <w:tcBorders>
              <w:top w:val="single" w:color="auto" w:sz="4" w:space="0"/>
              <w:left w:val="nil"/>
              <w:bottom w:val="nil"/>
              <w:right w:val="nil"/>
            </w:tcBorders>
            <w:shd w:val="clear" w:color="auto" w:fill="auto"/>
            <w:noWrap/>
            <w:vAlign w:val="center"/>
          </w:tcPr>
          <w:p w14:paraId="65D1649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259</w:t>
            </w:r>
          </w:p>
        </w:tc>
        <w:tc>
          <w:tcPr>
            <w:tcW w:w="725" w:type="dxa"/>
            <w:tcBorders>
              <w:top w:val="single" w:color="auto" w:sz="4" w:space="0"/>
              <w:left w:val="nil"/>
              <w:bottom w:val="nil"/>
              <w:right w:val="nil"/>
            </w:tcBorders>
            <w:shd w:val="clear" w:color="auto" w:fill="auto"/>
            <w:noWrap/>
            <w:vAlign w:val="center"/>
          </w:tcPr>
          <w:p w14:paraId="74C2464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0"/>
                <w:sz w:val="20"/>
                <w:szCs w:val="20"/>
              </w:rPr>
            </w:pPr>
            <w:r>
              <w:rPr>
                <w:rFonts w:hint="default" w:ascii="Times New Roman" w:hAnsi="Times New Roman" w:eastAsia="宋体" w:cs="Times New Roman"/>
                <w:i w:val="0"/>
                <w:iCs w:val="0"/>
                <w:color w:val="000000"/>
                <w:kern w:val="0"/>
                <w:sz w:val="20"/>
                <w:szCs w:val="20"/>
                <w:lang w:val="en-US" w:eastAsia="zh-CN" w:bidi="ar"/>
              </w:rPr>
              <w:t xml:space="preserve">4.77 </w:t>
            </w:r>
          </w:p>
        </w:tc>
      </w:tr>
      <w:tr w14:paraId="02DDA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1843" w:type="dxa"/>
            <w:tcBorders>
              <w:top w:val="nil"/>
              <w:left w:val="nil"/>
              <w:bottom w:val="nil"/>
              <w:right w:val="nil"/>
            </w:tcBorders>
            <w:shd w:val="clear" w:color="auto" w:fill="auto"/>
            <w:vAlign w:val="center"/>
          </w:tcPr>
          <w:p w14:paraId="24413777">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iCs/>
                <w:color w:val="000000"/>
                <w:kern w:val="2"/>
                <w:sz w:val="20"/>
                <w:szCs w:val="20"/>
              </w:rPr>
            </w:pPr>
            <w:r>
              <w:rPr>
                <w:rFonts w:hint="default" w:ascii="Times New Roman" w:hAnsi="Times New Roman" w:eastAsia="宋体" w:cs="Times New Roman"/>
                <w:i/>
                <w:iCs/>
                <w:color w:val="000000"/>
                <w:kern w:val="0"/>
                <w:sz w:val="20"/>
                <w:szCs w:val="20"/>
                <w:lang w:val="en-US" w:eastAsia="zh-CN" w:bidi="ar"/>
              </w:rPr>
              <w:t>Notch</w:t>
            </w:r>
          </w:p>
        </w:tc>
        <w:tc>
          <w:tcPr>
            <w:tcW w:w="695" w:type="dxa"/>
            <w:tcBorders>
              <w:top w:val="nil"/>
              <w:left w:val="nil"/>
              <w:bottom w:val="nil"/>
              <w:right w:val="nil"/>
            </w:tcBorders>
            <w:shd w:val="clear" w:color="auto" w:fill="auto"/>
            <w:vAlign w:val="center"/>
          </w:tcPr>
          <w:p w14:paraId="2C18DC3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80</w:t>
            </w:r>
          </w:p>
        </w:tc>
        <w:tc>
          <w:tcPr>
            <w:tcW w:w="794" w:type="dxa"/>
            <w:tcBorders>
              <w:top w:val="nil"/>
              <w:left w:val="nil"/>
              <w:bottom w:val="nil"/>
              <w:right w:val="nil"/>
            </w:tcBorders>
            <w:shd w:val="clear" w:color="auto" w:fill="auto"/>
            <w:vAlign w:val="center"/>
          </w:tcPr>
          <w:p w14:paraId="309CD98D">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2.87 </w:t>
            </w:r>
          </w:p>
        </w:tc>
        <w:tc>
          <w:tcPr>
            <w:tcW w:w="555" w:type="dxa"/>
            <w:tcBorders>
              <w:top w:val="nil"/>
              <w:left w:val="nil"/>
              <w:bottom w:val="nil"/>
              <w:right w:val="nil"/>
            </w:tcBorders>
            <w:shd w:val="clear" w:color="auto" w:fill="auto"/>
            <w:vAlign w:val="center"/>
          </w:tcPr>
          <w:p w14:paraId="12437D47">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18</w:t>
            </w:r>
          </w:p>
        </w:tc>
        <w:tc>
          <w:tcPr>
            <w:tcW w:w="867" w:type="dxa"/>
            <w:tcBorders>
              <w:top w:val="nil"/>
              <w:left w:val="nil"/>
              <w:bottom w:val="nil"/>
              <w:right w:val="nil"/>
            </w:tcBorders>
            <w:shd w:val="clear" w:color="auto" w:fill="auto"/>
            <w:vAlign w:val="center"/>
          </w:tcPr>
          <w:p w14:paraId="728CCB0E">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4.10 </w:t>
            </w:r>
          </w:p>
        </w:tc>
        <w:tc>
          <w:tcPr>
            <w:tcW w:w="522" w:type="dxa"/>
            <w:tcBorders>
              <w:top w:val="nil"/>
              <w:left w:val="nil"/>
              <w:bottom w:val="nil"/>
              <w:right w:val="nil"/>
            </w:tcBorders>
            <w:shd w:val="clear" w:color="auto" w:fill="auto"/>
            <w:vAlign w:val="center"/>
          </w:tcPr>
          <w:p w14:paraId="53B06A9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58" w:type="dxa"/>
            <w:tcBorders>
              <w:top w:val="nil"/>
              <w:left w:val="nil"/>
              <w:bottom w:val="nil"/>
              <w:right w:val="nil"/>
            </w:tcBorders>
            <w:shd w:val="clear" w:color="auto" w:fill="auto"/>
            <w:vAlign w:val="center"/>
          </w:tcPr>
          <w:p w14:paraId="20864C39">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611" w:type="dxa"/>
            <w:tcBorders>
              <w:top w:val="nil"/>
              <w:left w:val="nil"/>
              <w:bottom w:val="nil"/>
              <w:right w:val="nil"/>
            </w:tcBorders>
            <w:shd w:val="clear" w:color="auto" w:fill="auto"/>
            <w:vAlign w:val="center"/>
          </w:tcPr>
          <w:p w14:paraId="683BD79F">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5</w:t>
            </w:r>
          </w:p>
        </w:tc>
        <w:tc>
          <w:tcPr>
            <w:tcW w:w="823" w:type="dxa"/>
            <w:tcBorders>
              <w:top w:val="nil"/>
              <w:left w:val="nil"/>
              <w:bottom w:val="nil"/>
              <w:right w:val="nil"/>
            </w:tcBorders>
            <w:shd w:val="clear" w:color="auto" w:fill="auto"/>
            <w:vAlign w:val="center"/>
          </w:tcPr>
          <w:p w14:paraId="5A0451B6">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0.52 </w:t>
            </w:r>
          </w:p>
        </w:tc>
        <w:tc>
          <w:tcPr>
            <w:tcW w:w="513" w:type="dxa"/>
            <w:tcBorders>
              <w:top w:val="nil"/>
              <w:left w:val="nil"/>
              <w:bottom w:val="nil"/>
              <w:right w:val="nil"/>
            </w:tcBorders>
            <w:shd w:val="clear" w:color="auto" w:fill="auto"/>
            <w:vAlign w:val="center"/>
          </w:tcPr>
          <w:p w14:paraId="3077548B">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32" w:type="dxa"/>
            <w:tcBorders>
              <w:top w:val="nil"/>
              <w:left w:val="nil"/>
              <w:bottom w:val="nil"/>
              <w:right w:val="nil"/>
            </w:tcBorders>
            <w:shd w:val="clear" w:color="auto" w:fill="auto"/>
            <w:vAlign w:val="center"/>
          </w:tcPr>
          <w:p w14:paraId="4E9AC6DB">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593" w:type="dxa"/>
            <w:tcBorders>
              <w:top w:val="nil"/>
              <w:left w:val="nil"/>
              <w:bottom w:val="nil"/>
              <w:right w:val="nil"/>
            </w:tcBorders>
            <w:shd w:val="clear" w:color="auto" w:fill="auto"/>
            <w:vAlign w:val="center"/>
          </w:tcPr>
          <w:p w14:paraId="3432379C">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3</w:t>
            </w:r>
          </w:p>
        </w:tc>
        <w:tc>
          <w:tcPr>
            <w:tcW w:w="823" w:type="dxa"/>
            <w:tcBorders>
              <w:top w:val="nil"/>
              <w:left w:val="nil"/>
              <w:bottom w:val="nil"/>
              <w:right w:val="nil"/>
            </w:tcBorders>
            <w:shd w:val="clear" w:color="auto" w:fill="auto"/>
            <w:vAlign w:val="center"/>
          </w:tcPr>
          <w:p w14:paraId="6E3782A8">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0.36 </w:t>
            </w:r>
          </w:p>
        </w:tc>
        <w:tc>
          <w:tcPr>
            <w:tcW w:w="531" w:type="dxa"/>
            <w:tcBorders>
              <w:top w:val="nil"/>
              <w:left w:val="nil"/>
              <w:bottom w:val="nil"/>
              <w:right w:val="nil"/>
            </w:tcBorders>
            <w:shd w:val="clear" w:color="auto" w:fill="auto"/>
            <w:vAlign w:val="center"/>
          </w:tcPr>
          <w:p w14:paraId="4BC4286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05" w:type="dxa"/>
            <w:tcBorders>
              <w:top w:val="nil"/>
              <w:left w:val="nil"/>
              <w:bottom w:val="nil"/>
              <w:right w:val="nil"/>
            </w:tcBorders>
            <w:shd w:val="clear" w:color="auto" w:fill="auto"/>
            <w:vAlign w:val="center"/>
          </w:tcPr>
          <w:p w14:paraId="51F327F7">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531" w:type="dxa"/>
            <w:tcBorders>
              <w:top w:val="nil"/>
              <w:left w:val="nil"/>
              <w:bottom w:val="nil"/>
              <w:right w:val="nil"/>
            </w:tcBorders>
            <w:shd w:val="clear" w:color="auto" w:fill="auto"/>
            <w:vAlign w:val="center"/>
          </w:tcPr>
          <w:p w14:paraId="2CAA78AC">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0</w:t>
            </w:r>
          </w:p>
        </w:tc>
        <w:tc>
          <w:tcPr>
            <w:tcW w:w="859" w:type="dxa"/>
            <w:tcBorders>
              <w:top w:val="nil"/>
              <w:left w:val="nil"/>
              <w:bottom w:val="nil"/>
              <w:right w:val="nil"/>
            </w:tcBorders>
            <w:shd w:val="clear" w:color="auto" w:fill="auto"/>
            <w:vAlign w:val="center"/>
          </w:tcPr>
          <w:p w14:paraId="1642F10B">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0.00 </w:t>
            </w:r>
          </w:p>
        </w:tc>
        <w:tc>
          <w:tcPr>
            <w:tcW w:w="487" w:type="dxa"/>
            <w:tcBorders>
              <w:top w:val="nil"/>
              <w:left w:val="nil"/>
              <w:bottom w:val="nil"/>
              <w:right w:val="nil"/>
            </w:tcBorders>
            <w:shd w:val="clear" w:color="auto" w:fill="auto"/>
            <w:vAlign w:val="center"/>
          </w:tcPr>
          <w:p w14:paraId="629E2106">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w:t>
            </w:r>
          </w:p>
        </w:tc>
        <w:tc>
          <w:tcPr>
            <w:tcW w:w="823" w:type="dxa"/>
            <w:tcBorders>
              <w:top w:val="nil"/>
              <w:left w:val="nil"/>
              <w:bottom w:val="nil"/>
              <w:right w:val="nil"/>
            </w:tcBorders>
            <w:shd w:val="clear" w:color="auto" w:fill="auto"/>
            <w:vAlign w:val="center"/>
          </w:tcPr>
          <w:p w14:paraId="197756D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1.43 </w:t>
            </w:r>
          </w:p>
        </w:tc>
        <w:tc>
          <w:tcPr>
            <w:tcW w:w="725" w:type="dxa"/>
            <w:tcBorders>
              <w:top w:val="nil"/>
              <w:left w:val="nil"/>
              <w:bottom w:val="nil"/>
              <w:right w:val="nil"/>
            </w:tcBorders>
            <w:shd w:val="clear" w:color="auto" w:fill="auto"/>
            <w:noWrap/>
            <w:vAlign w:val="center"/>
          </w:tcPr>
          <w:p w14:paraId="3DF49A28">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107</w:t>
            </w:r>
          </w:p>
        </w:tc>
        <w:tc>
          <w:tcPr>
            <w:tcW w:w="725" w:type="dxa"/>
            <w:tcBorders>
              <w:top w:val="nil"/>
              <w:left w:val="nil"/>
              <w:bottom w:val="nil"/>
              <w:right w:val="nil"/>
            </w:tcBorders>
            <w:shd w:val="clear" w:color="auto" w:fill="auto"/>
            <w:noWrap/>
            <w:vAlign w:val="center"/>
          </w:tcPr>
          <w:p w14:paraId="45B6CF70">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0"/>
                <w:sz w:val="20"/>
                <w:szCs w:val="20"/>
              </w:rPr>
            </w:pPr>
            <w:r>
              <w:rPr>
                <w:rFonts w:hint="default" w:ascii="Times New Roman" w:hAnsi="Times New Roman" w:eastAsia="宋体" w:cs="Times New Roman"/>
                <w:i w:val="0"/>
                <w:iCs w:val="0"/>
                <w:color w:val="000000"/>
                <w:kern w:val="0"/>
                <w:sz w:val="20"/>
                <w:szCs w:val="20"/>
                <w:lang w:val="en-US" w:eastAsia="zh-CN" w:bidi="ar"/>
              </w:rPr>
              <w:t xml:space="preserve">1.97 </w:t>
            </w:r>
          </w:p>
        </w:tc>
      </w:tr>
      <w:tr w14:paraId="59805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1843" w:type="dxa"/>
            <w:tcBorders>
              <w:top w:val="nil"/>
              <w:left w:val="nil"/>
              <w:bottom w:val="single" w:color="auto" w:sz="4" w:space="0"/>
              <w:right w:val="nil"/>
            </w:tcBorders>
            <w:shd w:val="clear" w:color="auto" w:fill="auto"/>
            <w:vAlign w:val="center"/>
          </w:tcPr>
          <w:p w14:paraId="54797C3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iCs/>
                <w:color w:val="000000"/>
                <w:kern w:val="2"/>
                <w:sz w:val="20"/>
                <w:szCs w:val="20"/>
              </w:rPr>
            </w:pPr>
            <w:r>
              <w:rPr>
                <w:rFonts w:hint="default" w:ascii="Times New Roman" w:hAnsi="Times New Roman" w:eastAsia="宋体" w:cs="Times New Roman"/>
                <w:i/>
                <w:iCs/>
                <w:color w:val="000000"/>
                <w:kern w:val="0"/>
                <w:sz w:val="20"/>
                <w:szCs w:val="20"/>
                <w:lang w:val="en-US" w:eastAsia="zh-CN" w:bidi="ar"/>
              </w:rPr>
              <w:t>Total</w:t>
            </w:r>
          </w:p>
        </w:tc>
        <w:tc>
          <w:tcPr>
            <w:tcW w:w="695" w:type="dxa"/>
            <w:tcBorders>
              <w:top w:val="nil"/>
              <w:left w:val="nil"/>
              <w:bottom w:val="single" w:color="auto" w:sz="4" w:space="0"/>
              <w:right w:val="nil"/>
            </w:tcBorders>
            <w:shd w:val="clear" w:color="auto" w:fill="auto"/>
            <w:vAlign w:val="center"/>
          </w:tcPr>
          <w:p w14:paraId="316DEFB0">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250</w:t>
            </w:r>
          </w:p>
        </w:tc>
        <w:tc>
          <w:tcPr>
            <w:tcW w:w="794" w:type="dxa"/>
            <w:tcBorders>
              <w:top w:val="nil"/>
              <w:left w:val="nil"/>
              <w:bottom w:val="single" w:color="auto" w:sz="4" w:space="0"/>
              <w:right w:val="nil"/>
            </w:tcBorders>
            <w:shd w:val="clear" w:color="auto" w:fill="auto"/>
            <w:vAlign w:val="center"/>
          </w:tcPr>
          <w:p w14:paraId="66EBC79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8.96 </w:t>
            </w:r>
          </w:p>
        </w:tc>
        <w:tc>
          <w:tcPr>
            <w:tcW w:w="555" w:type="dxa"/>
            <w:tcBorders>
              <w:top w:val="nil"/>
              <w:left w:val="nil"/>
              <w:bottom w:val="single" w:color="auto" w:sz="4" w:space="0"/>
              <w:right w:val="nil"/>
            </w:tcBorders>
            <w:shd w:val="clear" w:color="auto" w:fill="auto"/>
            <w:vAlign w:val="center"/>
          </w:tcPr>
          <w:p w14:paraId="37255C49">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72</w:t>
            </w:r>
          </w:p>
        </w:tc>
        <w:tc>
          <w:tcPr>
            <w:tcW w:w="867" w:type="dxa"/>
            <w:tcBorders>
              <w:top w:val="nil"/>
              <w:left w:val="nil"/>
              <w:bottom w:val="single" w:color="auto" w:sz="4" w:space="0"/>
              <w:right w:val="nil"/>
            </w:tcBorders>
            <w:shd w:val="clear" w:color="auto" w:fill="auto"/>
            <w:vAlign w:val="center"/>
          </w:tcPr>
          <w:p w14:paraId="387AB67C">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16.40 </w:t>
            </w:r>
          </w:p>
        </w:tc>
        <w:tc>
          <w:tcPr>
            <w:tcW w:w="522" w:type="dxa"/>
            <w:tcBorders>
              <w:top w:val="nil"/>
              <w:left w:val="nil"/>
              <w:bottom w:val="single" w:color="auto" w:sz="4" w:space="0"/>
              <w:right w:val="nil"/>
            </w:tcBorders>
            <w:shd w:val="clear" w:color="auto" w:fill="auto"/>
            <w:vAlign w:val="center"/>
          </w:tcPr>
          <w:p w14:paraId="6F639238">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2</w:t>
            </w:r>
          </w:p>
        </w:tc>
        <w:tc>
          <w:tcPr>
            <w:tcW w:w="858" w:type="dxa"/>
            <w:tcBorders>
              <w:top w:val="nil"/>
              <w:left w:val="nil"/>
              <w:bottom w:val="single" w:color="auto" w:sz="4" w:space="0"/>
              <w:right w:val="nil"/>
            </w:tcBorders>
            <w:shd w:val="clear" w:color="auto" w:fill="auto"/>
            <w:vAlign w:val="center"/>
          </w:tcPr>
          <w:p w14:paraId="6BECFE22">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22.22 </w:t>
            </w:r>
          </w:p>
        </w:tc>
        <w:tc>
          <w:tcPr>
            <w:tcW w:w="611" w:type="dxa"/>
            <w:tcBorders>
              <w:top w:val="nil"/>
              <w:left w:val="nil"/>
              <w:bottom w:val="single" w:color="auto" w:sz="4" w:space="0"/>
              <w:right w:val="nil"/>
            </w:tcBorders>
            <w:shd w:val="clear" w:color="auto" w:fill="auto"/>
            <w:vAlign w:val="center"/>
          </w:tcPr>
          <w:p w14:paraId="4C6AB0AA">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18</w:t>
            </w:r>
          </w:p>
        </w:tc>
        <w:tc>
          <w:tcPr>
            <w:tcW w:w="823" w:type="dxa"/>
            <w:tcBorders>
              <w:top w:val="nil"/>
              <w:left w:val="nil"/>
              <w:bottom w:val="single" w:color="auto" w:sz="4" w:space="0"/>
              <w:right w:val="nil"/>
            </w:tcBorders>
            <w:shd w:val="clear" w:color="auto" w:fill="auto"/>
            <w:vAlign w:val="center"/>
          </w:tcPr>
          <w:p w14:paraId="2CBFFFF5">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1.88 </w:t>
            </w:r>
          </w:p>
        </w:tc>
        <w:tc>
          <w:tcPr>
            <w:tcW w:w="513" w:type="dxa"/>
            <w:tcBorders>
              <w:top w:val="nil"/>
              <w:left w:val="nil"/>
              <w:bottom w:val="single" w:color="auto" w:sz="4" w:space="0"/>
              <w:right w:val="nil"/>
            </w:tcBorders>
            <w:shd w:val="clear" w:color="auto" w:fill="auto"/>
            <w:vAlign w:val="center"/>
          </w:tcPr>
          <w:p w14:paraId="3D385156">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3</w:t>
            </w:r>
          </w:p>
        </w:tc>
        <w:tc>
          <w:tcPr>
            <w:tcW w:w="832" w:type="dxa"/>
            <w:tcBorders>
              <w:top w:val="nil"/>
              <w:left w:val="nil"/>
              <w:bottom w:val="single" w:color="auto" w:sz="4" w:space="0"/>
              <w:right w:val="nil"/>
            </w:tcBorders>
            <w:shd w:val="clear" w:color="auto" w:fill="auto"/>
            <w:vAlign w:val="center"/>
          </w:tcPr>
          <w:p w14:paraId="180D1595">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4.55 </w:t>
            </w:r>
          </w:p>
        </w:tc>
        <w:tc>
          <w:tcPr>
            <w:tcW w:w="593" w:type="dxa"/>
            <w:tcBorders>
              <w:top w:val="nil"/>
              <w:left w:val="nil"/>
              <w:bottom w:val="single" w:color="auto" w:sz="4" w:space="0"/>
              <w:right w:val="nil"/>
            </w:tcBorders>
            <w:shd w:val="clear" w:color="auto" w:fill="auto"/>
            <w:vAlign w:val="center"/>
          </w:tcPr>
          <w:p w14:paraId="0F783DD7">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11</w:t>
            </w:r>
          </w:p>
        </w:tc>
        <w:tc>
          <w:tcPr>
            <w:tcW w:w="823" w:type="dxa"/>
            <w:tcBorders>
              <w:top w:val="nil"/>
              <w:left w:val="nil"/>
              <w:bottom w:val="single" w:color="auto" w:sz="4" w:space="0"/>
              <w:right w:val="nil"/>
            </w:tcBorders>
            <w:shd w:val="clear" w:color="auto" w:fill="auto"/>
            <w:vAlign w:val="center"/>
          </w:tcPr>
          <w:p w14:paraId="1FF237F8">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1.34 </w:t>
            </w:r>
          </w:p>
        </w:tc>
        <w:tc>
          <w:tcPr>
            <w:tcW w:w="531" w:type="dxa"/>
            <w:tcBorders>
              <w:top w:val="nil"/>
              <w:left w:val="nil"/>
              <w:bottom w:val="single" w:color="auto" w:sz="4" w:space="0"/>
              <w:right w:val="nil"/>
            </w:tcBorders>
            <w:shd w:val="clear" w:color="auto" w:fill="auto"/>
            <w:vAlign w:val="center"/>
          </w:tcPr>
          <w:p w14:paraId="559FC308">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4</w:t>
            </w:r>
          </w:p>
        </w:tc>
        <w:tc>
          <w:tcPr>
            <w:tcW w:w="805" w:type="dxa"/>
            <w:tcBorders>
              <w:top w:val="nil"/>
              <w:left w:val="nil"/>
              <w:bottom w:val="single" w:color="auto" w:sz="4" w:space="0"/>
              <w:right w:val="nil"/>
            </w:tcBorders>
            <w:shd w:val="clear" w:color="auto" w:fill="auto"/>
            <w:vAlign w:val="center"/>
          </w:tcPr>
          <w:p w14:paraId="6DDF30D3">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44.44 </w:t>
            </w:r>
          </w:p>
        </w:tc>
        <w:tc>
          <w:tcPr>
            <w:tcW w:w="531" w:type="dxa"/>
            <w:tcBorders>
              <w:top w:val="nil"/>
              <w:left w:val="nil"/>
              <w:bottom w:val="single" w:color="auto" w:sz="4" w:space="0"/>
              <w:right w:val="nil"/>
            </w:tcBorders>
            <w:shd w:val="clear" w:color="auto" w:fill="auto"/>
            <w:vAlign w:val="center"/>
          </w:tcPr>
          <w:p w14:paraId="29EB04C5">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1</w:t>
            </w:r>
          </w:p>
        </w:tc>
        <w:tc>
          <w:tcPr>
            <w:tcW w:w="859" w:type="dxa"/>
            <w:tcBorders>
              <w:top w:val="nil"/>
              <w:left w:val="nil"/>
              <w:bottom w:val="single" w:color="auto" w:sz="4" w:space="0"/>
              <w:right w:val="nil"/>
            </w:tcBorders>
            <w:shd w:val="clear" w:color="auto" w:fill="auto"/>
            <w:vAlign w:val="center"/>
          </w:tcPr>
          <w:p w14:paraId="24A9492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0.47 </w:t>
            </w:r>
          </w:p>
        </w:tc>
        <w:tc>
          <w:tcPr>
            <w:tcW w:w="487" w:type="dxa"/>
            <w:tcBorders>
              <w:top w:val="nil"/>
              <w:left w:val="nil"/>
              <w:bottom w:val="single" w:color="auto" w:sz="4" w:space="0"/>
              <w:right w:val="nil"/>
            </w:tcBorders>
            <w:shd w:val="clear" w:color="auto" w:fill="auto"/>
            <w:vAlign w:val="center"/>
          </w:tcPr>
          <w:p w14:paraId="3C50BC71">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5</w:t>
            </w:r>
          </w:p>
        </w:tc>
        <w:tc>
          <w:tcPr>
            <w:tcW w:w="823" w:type="dxa"/>
            <w:tcBorders>
              <w:top w:val="nil"/>
              <w:left w:val="nil"/>
              <w:bottom w:val="single" w:color="auto" w:sz="4" w:space="0"/>
              <w:right w:val="nil"/>
            </w:tcBorders>
            <w:shd w:val="clear" w:color="auto" w:fill="auto"/>
            <w:vAlign w:val="center"/>
          </w:tcPr>
          <w:p w14:paraId="191FD843">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 xml:space="preserve">7.14 </w:t>
            </w:r>
          </w:p>
        </w:tc>
        <w:tc>
          <w:tcPr>
            <w:tcW w:w="725" w:type="dxa"/>
            <w:tcBorders>
              <w:top w:val="nil"/>
              <w:left w:val="nil"/>
              <w:bottom w:val="single" w:color="auto" w:sz="4" w:space="0"/>
              <w:right w:val="nil"/>
            </w:tcBorders>
            <w:shd w:val="clear" w:color="auto" w:fill="auto"/>
            <w:vAlign w:val="center"/>
          </w:tcPr>
          <w:p w14:paraId="062C0DD0">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2"/>
                <w:sz w:val="20"/>
                <w:szCs w:val="20"/>
              </w:rPr>
            </w:pPr>
            <w:r>
              <w:rPr>
                <w:rFonts w:hint="default" w:ascii="Times New Roman" w:hAnsi="Times New Roman" w:eastAsia="宋体" w:cs="Times New Roman"/>
                <w:i w:val="0"/>
                <w:iCs w:val="0"/>
                <w:color w:val="000000"/>
                <w:kern w:val="0"/>
                <w:sz w:val="20"/>
                <w:szCs w:val="20"/>
                <w:lang w:val="en-US" w:eastAsia="zh-CN" w:bidi="ar"/>
              </w:rPr>
              <w:t>366</w:t>
            </w:r>
          </w:p>
        </w:tc>
        <w:tc>
          <w:tcPr>
            <w:tcW w:w="725" w:type="dxa"/>
            <w:tcBorders>
              <w:top w:val="nil"/>
              <w:left w:val="nil"/>
              <w:bottom w:val="single" w:color="auto" w:sz="4" w:space="0"/>
              <w:right w:val="nil"/>
            </w:tcBorders>
            <w:shd w:val="clear" w:color="auto" w:fill="auto"/>
            <w:vAlign w:val="center"/>
          </w:tcPr>
          <w:p w14:paraId="38BE2248">
            <w:pPr>
              <w:keepNext w:val="0"/>
              <w:keepLines w:val="0"/>
              <w:widowControl/>
              <w:suppressLineNumbers w:val="0"/>
              <w:snapToGrid w:val="0"/>
              <w:spacing w:before="0" w:beforeAutospacing="0" w:after="0" w:afterAutospacing="0"/>
              <w:ind w:left="0" w:leftChars="0" w:right="0" w:rightChars="0" w:firstLine="0" w:firstLineChars="0"/>
              <w:jc w:val="both"/>
              <w:textAlignment w:val="center"/>
              <w:rPr>
                <w:rFonts w:hint="default" w:ascii="Times New Roman" w:hAnsi="Times New Roman" w:eastAsia="宋体" w:cs="Times New Roman"/>
                <w:i w:val="0"/>
                <w:iCs w:val="0"/>
                <w:color w:val="000000"/>
                <w:kern w:val="0"/>
                <w:sz w:val="20"/>
                <w:szCs w:val="20"/>
              </w:rPr>
            </w:pPr>
            <w:r>
              <w:rPr>
                <w:rFonts w:hint="default" w:ascii="Times New Roman" w:hAnsi="Times New Roman" w:eastAsia="宋体" w:cs="Times New Roman"/>
                <w:i w:val="0"/>
                <w:iCs w:val="0"/>
                <w:color w:val="000000"/>
                <w:kern w:val="0"/>
                <w:sz w:val="20"/>
                <w:szCs w:val="20"/>
                <w:lang w:val="en-US" w:eastAsia="zh-CN" w:bidi="ar"/>
              </w:rPr>
              <w:t xml:space="preserve">6.74 </w:t>
            </w:r>
          </w:p>
        </w:tc>
      </w:tr>
    </w:tbl>
    <w:p w14:paraId="426E398C">
      <w:pPr>
        <w:ind w:firstLine="0"/>
        <w:jc w:val="both"/>
        <w:rPr>
          <w:rFonts w:asciiTheme="majorBidi" w:hAnsiTheme="majorBidi" w:cstheme="majorBidi"/>
        </w:rPr>
      </w:pPr>
    </w:p>
    <w:sectPr>
      <w:pgSz w:w="16838" w:h="11906" w:orient="landscape"/>
      <w:pgMar w:top="1418" w:right="1554" w:bottom="1418" w:left="1440" w:header="851" w:footer="992" w:gutter="0"/>
      <w:lnNumType w:countBy="0" w:restart="continuous"/>
      <w:cols w:space="425"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cript"/>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TIX-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Math">
    <w:panose1 w:val="02040503050406030204"/>
    <w:charset w:val="00"/>
    <w:family w:val="roman"/>
    <w:pitch w:val="default"/>
    <w:sig w:usb0="E00006FF" w:usb1="420024FF" w:usb2="02000000" w:usb3="00000000" w:csb0="2000019F" w:csb1="00000000"/>
  </w:font>
  <w:font w:name="AdvOT863180fb+fb">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CCDB1">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3370"/>
                          </w:sdtPr>
                          <w:sdtContent>
                            <w:p w14:paraId="0ECBBAEE">
                              <w:pPr>
                                <w:pStyle w:val="14"/>
                              </w:pPr>
                              <w:r>
                                <w:fldChar w:fldCharType="begin"/>
                              </w:r>
                              <w:r>
                                <w:instrText xml:space="preserve"> PAGE   \* MERGEFORMAT </w:instrText>
                              </w:r>
                              <w:r>
                                <w:fldChar w:fldCharType="separate"/>
                              </w:r>
                              <w:r>
                                <w:t>95</w:t>
                              </w:r>
                              <w:r>
                                <w:fldChar w:fldCharType="end"/>
                              </w:r>
                            </w:p>
                          </w:sdtContent>
                        </w:sdt>
                        <w:p w14:paraId="38CEEBE4"/>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sdt>
                    <w:sdtPr>
                      <w:id w:val="147453370"/>
                    </w:sdtPr>
                    <w:sdtContent>
                      <w:p w14:paraId="0ECBBAEE">
                        <w:pPr>
                          <w:pStyle w:val="14"/>
                        </w:pPr>
                        <w:r>
                          <w:fldChar w:fldCharType="begin"/>
                        </w:r>
                        <w:r>
                          <w:instrText xml:space="preserve"> PAGE   \* MERGEFORMAT </w:instrText>
                        </w:r>
                        <w:r>
                          <w:fldChar w:fldCharType="separate"/>
                        </w:r>
                        <w:r>
                          <w:t>95</w:t>
                        </w:r>
                        <w:r>
                          <w:fldChar w:fldCharType="end"/>
                        </w:r>
                      </w:p>
                    </w:sdtContent>
                  </w:sdt>
                  <w:p w14:paraId="38CEEBE4"/>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66CC2A"/>
    <w:multiLevelType w:val="singleLevel"/>
    <w:tmpl w:val="C466CC2A"/>
    <w:lvl w:ilvl="0" w:tentative="0">
      <w:start w:val="1"/>
      <w:numFmt w:val="decimal"/>
      <w:suff w:val="space"/>
      <w:lvlText w:val="(%1)"/>
      <w:lvlJc w:val="left"/>
    </w:lvl>
  </w:abstractNum>
  <w:abstractNum w:abstractNumId="1">
    <w:nsid w:val="03EF0C04"/>
    <w:multiLevelType w:val="multilevel"/>
    <w:tmpl w:val="03EF0C04"/>
    <w:lvl w:ilvl="0" w:tentative="0">
      <w:start w:val="1"/>
      <w:numFmt w:val="decimal"/>
      <w:lvlText w:val="%1)"/>
      <w:lvlJc w:val="left"/>
      <w:pPr>
        <w:ind w:left="600" w:hanging="360"/>
      </w:pPr>
      <w:rPr>
        <w:rFonts w:hint="default"/>
      </w:rPr>
    </w:lvl>
    <w:lvl w:ilvl="1" w:tentative="0">
      <w:start w:val="1"/>
      <w:numFmt w:val="lowerLetter"/>
      <w:lvlText w:val="%2."/>
      <w:lvlJc w:val="left"/>
      <w:pPr>
        <w:ind w:left="1320" w:hanging="360"/>
      </w:pPr>
    </w:lvl>
    <w:lvl w:ilvl="2" w:tentative="0">
      <w:start w:val="1"/>
      <w:numFmt w:val="lowerRoman"/>
      <w:lvlText w:val="%3."/>
      <w:lvlJc w:val="right"/>
      <w:pPr>
        <w:ind w:left="2040" w:hanging="180"/>
      </w:pPr>
    </w:lvl>
    <w:lvl w:ilvl="3" w:tentative="0">
      <w:start w:val="1"/>
      <w:numFmt w:val="decimal"/>
      <w:lvlText w:val="%4."/>
      <w:lvlJc w:val="left"/>
      <w:pPr>
        <w:ind w:left="2760" w:hanging="360"/>
      </w:pPr>
    </w:lvl>
    <w:lvl w:ilvl="4" w:tentative="0">
      <w:start w:val="1"/>
      <w:numFmt w:val="lowerLetter"/>
      <w:lvlText w:val="%5."/>
      <w:lvlJc w:val="left"/>
      <w:pPr>
        <w:ind w:left="3480" w:hanging="360"/>
      </w:pPr>
    </w:lvl>
    <w:lvl w:ilvl="5" w:tentative="0">
      <w:start w:val="1"/>
      <w:numFmt w:val="lowerRoman"/>
      <w:lvlText w:val="%6."/>
      <w:lvlJc w:val="right"/>
      <w:pPr>
        <w:ind w:left="4200" w:hanging="180"/>
      </w:pPr>
    </w:lvl>
    <w:lvl w:ilvl="6" w:tentative="0">
      <w:start w:val="1"/>
      <w:numFmt w:val="decimal"/>
      <w:lvlText w:val="%7."/>
      <w:lvlJc w:val="left"/>
      <w:pPr>
        <w:ind w:left="4920" w:hanging="360"/>
      </w:pPr>
    </w:lvl>
    <w:lvl w:ilvl="7" w:tentative="0">
      <w:start w:val="1"/>
      <w:numFmt w:val="lowerLetter"/>
      <w:lvlText w:val="%8."/>
      <w:lvlJc w:val="left"/>
      <w:pPr>
        <w:ind w:left="5640" w:hanging="360"/>
      </w:pPr>
    </w:lvl>
    <w:lvl w:ilvl="8" w:tentative="0">
      <w:start w:val="1"/>
      <w:numFmt w:val="lowerRoman"/>
      <w:lvlText w:val="%9."/>
      <w:lvlJc w:val="right"/>
      <w:pPr>
        <w:ind w:left="6360" w:hanging="180"/>
      </w:pPr>
    </w:lvl>
  </w:abstractNum>
  <w:abstractNum w:abstractNumId="2">
    <w:nsid w:val="132D47FD"/>
    <w:multiLevelType w:val="singleLevel"/>
    <w:tmpl w:val="132D47FD"/>
    <w:lvl w:ilvl="0" w:tentative="0">
      <w:start w:val="1"/>
      <w:numFmt w:val="decimal"/>
      <w:suff w:val="space"/>
      <w:lvlText w:val="%1."/>
      <w:lvlJc w:val="left"/>
    </w:lvl>
  </w:abstractNum>
  <w:abstractNum w:abstractNumId="3">
    <w:nsid w:val="2D525F08"/>
    <w:multiLevelType w:val="multilevel"/>
    <w:tmpl w:val="2D525F0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40135A2A"/>
    <w:multiLevelType w:val="multilevel"/>
    <w:tmpl w:val="40135A2A"/>
    <w:lvl w:ilvl="0" w:tentative="0">
      <w:start w:val="1"/>
      <w:numFmt w:val="decimal"/>
      <w:lvlText w:val="%1)"/>
      <w:lvlJc w:val="left"/>
      <w:pPr>
        <w:ind w:left="840" w:hanging="360"/>
      </w:pPr>
      <w:rPr>
        <w:rFonts w:hint="default"/>
      </w:rPr>
    </w:lvl>
    <w:lvl w:ilvl="1" w:tentative="0">
      <w:start w:val="1"/>
      <w:numFmt w:val="lowerLetter"/>
      <w:lvlText w:val="%2."/>
      <w:lvlJc w:val="left"/>
      <w:pPr>
        <w:ind w:left="1560" w:hanging="360"/>
      </w:pPr>
    </w:lvl>
    <w:lvl w:ilvl="2" w:tentative="0">
      <w:start w:val="1"/>
      <w:numFmt w:val="lowerRoman"/>
      <w:lvlText w:val="%3."/>
      <w:lvlJc w:val="right"/>
      <w:pPr>
        <w:ind w:left="2280" w:hanging="180"/>
      </w:pPr>
    </w:lvl>
    <w:lvl w:ilvl="3" w:tentative="0">
      <w:start w:val="1"/>
      <w:numFmt w:val="decimal"/>
      <w:lvlText w:val="%4."/>
      <w:lvlJc w:val="left"/>
      <w:pPr>
        <w:ind w:left="3000" w:hanging="360"/>
      </w:pPr>
    </w:lvl>
    <w:lvl w:ilvl="4" w:tentative="0">
      <w:start w:val="1"/>
      <w:numFmt w:val="lowerLetter"/>
      <w:lvlText w:val="%5."/>
      <w:lvlJc w:val="left"/>
      <w:pPr>
        <w:ind w:left="3720" w:hanging="360"/>
      </w:pPr>
    </w:lvl>
    <w:lvl w:ilvl="5" w:tentative="0">
      <w:start w:val="1"/>
      <w:numFmt w:val="lowerRoman"/>
      <w:lvlText w:val="%6."/>
      <w:lvlJc w:val="right"/>
      <w:pPr>
        <w:ind w:left="4440" w:hanging="180"/>
      </w:pPr>
    </w:lvl>
    <w:lvl w:ilvl="6" w:tentative="0">
      <w:start w:val="1"/>
      <w:numFmt w:val="decimal"/>
      <w:lvlText w:val="%7."/>
      <w:lvlJc w:val="left"/>
      <w:pPr>
        <w:ind w:left="5160" w:hanging="360"/>
      </w:pPr>
    </w:lvl>
    <w:lvl w:ilvl="7" w:tentative="0">
      <w:start w:val="1"/>
      <w:numFmt w:val="lowerLetter"/>
      <w:lvlText w:val="%8."/>
      <w:lvlJc w:val="left"/>
      <w:pPr>
        <w:ind w:left="5880" w:hanging="360"/>
      </w:pPr>
    </w:lvl>
    <w:lvl w:ilvl="8" w:tentative="0">
      <w:start w:val="1"/>
      <w:numFmt w:val="lowerRoman"/>
      <w:lvlText w:val="%9."/>
      <w:lvlJc w:val="right"/>
      <w:pPr>
        <w:ind w:left="6600" w:hanging="180"/>
      </w:pPr>
    </w:lvl>
  </w:abstractNum>
  <w:abstractNum w:abstractNumId="5">
    <w:nsid w:val="5499C4E4"/>
    <w:multiLevelType w:val="singleLevel"/>
    <w:tmpl w:val="5499C4E4"/>
    <w:lvl w:ilvl="0" w:tentative="0">
      <w:start w:val="1"/>
      <w:numFmt w:val="decimal"/>
      <w:suff w:val="space"/>
      <w:lvlText w:val="(%1)"/>
      <w:lvlJc w:val="left"/>
    </w:lvl>
  </w:abstractNum>
  <w:abstractNum w:abstractNumId="6">
    <w:nsid w:val="74DEB55D"/>
    <w:multiLevelType w:val="singleLevel"/>
    <w:tmpl w:val="74DEB55D"/>
    <w:lvl w:ilvl="0" w:tentative="0">
      <w:start w:val="1"/>
      <w:numFmt w:val="decimal"/>
      <w:suff w:val="space"/>
      <w:lvlText w:val="(%1)"/>
      <w:lvlJc w:val="left"/>
    </w:lvl>
  </w:abstractNum>
  <w:abstractNum w:abstractNumId="7">
    <w:nsid w:val="7F20D619"/>
    <w:multiLevelType w:val="singleLevel"/>
    <w:tmpl w:val="7F20D619"/>
    <w:lvl w:ilvl="0" w:tentative="0">
      <w:start w:val="1"/>
      <w:numFmt w:val="decimal"/>
      <w:suff w:val="space"/>
      <w:lvlText w:val="(%1)"/>
      <w:lvlJc w:val="left"/>
    </w:lvl>
  </w:abstractNum>
  <w:num w:numId="1">
    <w:abstractNumId w:val="3"/>
  </w:num>
  <w:num w:numId="2">
    <w:abstractNumId w:val="4"/>
  </w:num>
  <w:num w:numId="3">
    <w:abstractNumId w:val="5"/>
  </w:num>
  <w:num w:numId="4">
    <w:abstractNumId w:val="7"/>
  </w:num>
  <w:num w:numId="5">
    <w:abstractNumId w:val="6"/>
  </w:num>
  <w:num w:numId="6">
    <w:abstractNumId w:val="0"/>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bordersDoNotSurroundHeader w:val="0"/>
  <w:bordersDoNotSurroundFooter w:val="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nforcement="0"/>
  <w:defaultTabStop w:val="420"/>
  <w:hyphenationZone w:val="425"/>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a5pdstv1zf2xyex55gvx9zgrre2s000r2sp&quot;&gt;Luminescence reference library-Converted-Saved&lt;record-ids&gt;&lt;item&gt;8153&lt;/item&gt;&lt;item&gt;8413&lt;/item&gt;&lt;item&gt;8771&lt;/item&gt;&lt;item&gt;9512&lt;/item&gt;&lt;item&gt;9792&lt;/item&gt;&lt;item&gt;12459&lt;/item&gt;&lt;item&gt;12482&lt;/item&gt;&lt;item&gt;12605&lt;/item&gt;&lt;item&gt;12623&lt;/item&gt;&lt;item&gt;13023&lt;/item&gt;&lt;item&gt;13025&lt;/item&gt;&lt;item&gt;13061&lt;/item&gt;&lt;item&gt;13064&lt;/item&gt;&lt;/record-ids&gt;&lt;/item&gt;&lt;/Libraries&gt;"/>
  </w:docVars>
  <w:rsids>
    <w:rsidRoot w:val="00172A27"/>
    <w:rsid w:val="00002E0A"/>
    <w:rsid w:val="00013E50"/>
    <w:rsid w:val="00021FF5"/>
    <w:rsid w:val="00023ECF"/>
    <w:rsid w:val="00024267"/>
    <w:rsid w:val="000247DF"/>
    <w:rsid w:val="00035E86"/>
    <w:rsid w:val="00037644"/>
    <w:rsid w:val="000379F7"/>
    <w:rsid w:val="00043C88"/>
    <w:rsid w:val="00057825"/>
    <w:rsid w:val="000639ED"/>
    <w:rsid w:val="00065D08"/>
    <w:rsid w:val="00072AE1"/>
    <w:rsid w:val="000754C9"/>
    <w:rsid w:val="000763F7"/>
    <w:rsid w:val="00083558"/>
    <w:rsid w:val="00087F69"/>
    <w:rsid w:val="000A3C2A"/>
    <w:rsid w:val="000B62D6"/>
    <w:rsid w:val="000C3642"/>
    <w:rsid w:val="000C41B9"/>
    <w:rsid w:val="000C4F35"/>
    <w:rsid w:val="000D30C1"/>
    <w:rsid w:val="000E2812"/>
    <w:rsid w:val="000E7B2B"/>
    <w:rsid w:val="000F22C3"/>
    <w:rsid w:val="00111C1F"/>
    <w:rsid w:val="001161DA"/>
    <w:rsid w:val="00116247"/>
    <w:rsid w:val="00117B21"/>
    <w:rsid w:val="00123EAD"/>
    <w:rsid w:val="00124335"/>
    <w:rsid w:val="00134E9D"/>
    <w:rsid w:val="00146735"/>
    <w:rsid w:val="00147EA8"/>
    <w:rsid w:val="0015737E"/>
    <w:rsid w:val="00167D3B"/>
    <w:rsid w:val="00172FFE"/>
    <w:rsid w:val="00174AAF"/>
    <w:rsid w:val="001757F0"/>
    <w:rsid w:val="001826F0"/>
    <w:rsid w:val="00187116"/>
    <w:rsid w:val="001955E7"/>
    <w:rsid w:val="001A5005"/>
    <w:rsid w:val="001A6697"/>
    <w:rsid w:val="001B1F31"/>
    <w:rsid w:val="001B3541"/>
    <w:rsid w:val="001B6498"/>
    <w:rsid w:val="001B769A"/>
    <w:rsid w:val="001C2ABB"/>
    <w:rsid w:val="001C4554"/>
    <w:rsid w:val="001C6FCB"/>
    <w:rsid w:val="001F01BE"/>
    <w:rsid w:val="001F0C29"/>
    <w:rsid w:val="001F666E"/>
    <w:rsid w:val="00222CCB"/>
    <w:rsid w:val="00233D09"/>
    <w:rsid w:val="002357F3"/>
    <w:rsid w:val="002377DD"/>
    <w:rsid w:val="002430A5"/>
    <w:rsid w:val="00243175"/>
    <w:rsid w:val="002536E7"/>
    <w:rsid w:val="00254D46"/>
    <w:rsid w:val="00261D7A"/>
    <w:rsid w:val="00270D39"/>
    <w:rsid w:val="002749E7"/>
    <w:rsid w:val="002759AB"/>
    <w:rsid w:val="00283976"/>
    <w:rsid w:val="002847BD"/>
    <w:rsid w:val="002908C6"/>
    <w:rsid w:val="00291441"/>
    <w:rsid w:val="002B6B11"/>
    <w:rsid w:val="002C22CA"/>
    <w:rsid w:val="002D0E99"/>
    <w:rsid w:val="002E243A"/>
    <w:rsid w:val="002E4674"/>
    <w:rsid w:val="002E4982"/>
    <w:rsid w:val="002E75D6"/>
    <w:rsid w:val="002F1956"/>
    <w:rsid w:val="002F538B"/>
    <w:rsid w:val="002F63E1"/>
    <w:rsid w:val="003001B5"/>
    <w:rsid w:val="00303FA2"/>
    <w:rsid w:val="00304584"/>
    <w:rsid w:val="003131E7"/>
    <w:rsid w:val="00322FD2"/>
    <w:rsid w:val="003305CC"/>
    <w:rsid w:val="0033312E"/>
    <w:rsid w:val="00333F2B"/>
    <w:rsid w:val="00342F1B"/>
    <w:rsid w:val="0034376D"/>
    <w:rsid w:val="00344FA4"/>
    <w:rsid w:val="003535BD"/>
    <w:rsid w:val="0036001A"/>
    <w:rsid w:val="00362F32"/>
    <w:rsid w:val="00370AAE"/>
    <w:rsid w:val="003800A9"/>
    <w:rsid w:val="0038287E"/>
    <w:rsid w:val="003857CE"/>
    <w:rsid w:val="00387564"/>
    <w:rsid w:val="0038770A"/>
    <w:rsid w:val="00387BBD"/>
    <w:rsid w:val="003904A4"/>
    <w:rsid w:val="00396DDE"/>
    <w:rsid w:val="003A712E"/>
    <w:rsid w:val="003B0BCE"/>
    <w:rsid w:val="003B0D1A"/>
    <w:rsid w:val="003B4DD6"/>
    <w:rsid w:val="003C0A9C"/>
    <w:rsid w:val="003D4BC4"/>
    <w:rsid w:val="003D4EEE"/>
    <w:rsid w:val="003D561D"/>
    <w:rsid w:val="003E1328"/>
    <w:rsid w:val="003E5028"/>
    <w:rsid w:val="00401495"/>
    <w:rsid w:val="00426639"/>
    <w:rsid w:val="0043700D"/>
    <w:rsid w:val="004419F4"/>
    <w:rsid w:val="00444306"/>
    <w:rsid w:val="0044763D"/>
    <w:rsid w:val="0045434D"/>
    <w:rsid w:val="00461AA7"/>
    <w:rsid w:val="0046308E"/>
    <w:rsid w:val="004653E6"/>
    <w:rsid w:val="00465BCC"/>
    <w:rsid w:val="00485553"/>
    <w:rsid w:val="004855FE"/>
    <w:rsid w:val="004859E4"/>
    <w:rsid w:val="004A0973"/>
    <w:rsid w:val="004A5D4F"/>
    <w:rsid w:val="004B5964"/>
    <w:rsid w:val="004B72AF"/>
    <w:rsid w:val="004C1DD9"/>
    <w:rsid w:val="004C2B61"/>
    <w:rsid w:val="004D14EB"/>
    <w:rsid w:val="004E0B6D"/>
    <w:rsid w:val="004E5853"/>
    <w:rsid w:val="004F13DA"/>
    <w:rsid w:val="004F2409"/>
    <w:rsid w:val="004F4D59"/>
    <w:rsid w:val="005016B3"/>
    <w:rsid w:val="00501AF7"/>
    <w:rsid w:val="00503E63"/>
    <w:rsid w:val="00512D35"/>
    <w:rsid w:val="00515832"/>
    <w:rsid w:val="00516185"/>
    <w:rsid w:val="00525E86"/>
    <w:rsid w:val="00535EF5"/>
    <w:rsid w:val="00536BE9"/>
    <w:rsid w:val="00537C4E"/>
    <w:rsid w:val="00540E8E"/>
    <w:rsid w:val="00544C54"/>
    <w:rsid w:val="00563DE5"/>
    <w:rsid w:val="00565DDC"/>
    <w:rsid w:val="00570EA5"/>
    <w:rsid w:val="00576362"/>
    <w:rsid w:val="00576D72"/>
    <w:rsid w:val="00585CA2"/>
    <w:rsid w:val="005864A3"/>
    <w:rsid w:val="005949ED"/>
    <w:rsid w:val="005A05E4"/>
    <w:rsid w:val="005A589F"/>
    <w:rsid w:val="005A5A56"/>
    <w:rsid w:val="005B153A"/>
    <w:rsid w:val="005C0613"/>
    <w:rsid w:val="005C5463"/>
    <w:rsid w:val="005C72CE"/>
    <w:rsid w:val="005E3EF5"/>
    <w:rsid w:val="005F2331"/>
    <w:rsid w:val="005F2CE7"/>
    <w:rsid w:val="006010F7"/>
    <w:rsid w:val="00605659"/>
    <w:rsid w:val="00624472"/>
    <w:rsid w:val="00625144"/>
    <w:rsid w:val="006258E8"/>
    <w:rsid w:val="006320A9"/>
    <w:rsid w:val="00632AA8"/>
    <w:rsid w:val="006400F5"/>
    <w:rsid w:val="00645B47"/>
    <w:rsid w:val="00645F61"/>
    <w:rsid w:val="0065181A"/>
    <w:rsid w:val="00651828"/>
    <w:rsid w:val="00655B2D"/>
    <w:rsid w:val="006569ED"/>
    <w:rsid w:val="006648EE"/>
    <w:rsid w:val="006649E1"/>
    <w:rsid w:val="00665410"/>
    <w:rsid w:val="00667A4E"/>
    <w:rsid w:val="00671FF5"/>
    <w:rsid w:val="00674D2F"/>
    <w:rsid w:val="00677D08"/>
    <w:rsid w:val="00677F94"/>
    <w:rsid w:val="00692672"/>
    <w:rsid w:val="006A3F91"/>
    <w:rsid w:val="006C015E"/>
    <w:rsid w:val="006C1286"/>
    <w:rsid w:val="006C38BE"/>
    <w:rsid w:val="006D083F"/>
    <w:rsid w:val="006D14E2"/>
    <w:rsid w:val="006D5CF2"/>
    <w:rsid w:val="006D7978"/>
    <w:rsid w:val="006E2A5C"/>
    <w:rsid w:val="006F5212"/>
    <w:rsid w:val="007106CB"/>
    <w:rsid w:val="00712F69"/>
    <w:rsid w:val="007146C0"/>
    <w:rsid w:val="0071588C"/>
    <w:rsid w:val="007211B2"/>
    <w:rsid w:val="00723964"/>
    <w:rsid w:val="00726F9B"/>
    <w:rsid w:val="00730E19"/>
    <w:rsid w:val="007330E7"/>
    <w:rsid w:val="007340F2"/>
    <w:rsid w:val="00735D13"/>
    <w:rsid w:val="007360CC"/>
    <w:rsid w:val="00736A32"/>
    <w:rsid w:val="00737720"/>
    <w:rsid w:val="00737FD3"/>
    <w:rsid w:val="0074666E"/>
    <w:rsid w:val="007503C0"/>
    <w:rsid w:val="00762DAD"/>
    <w:rsid w:val="00766F86"/>
    <w:rsid w:val="00776571"/>
    <w:rsid w:val="0078312C"/>
    <w:rsid w:val="00785423"/>
    <w:rsid w:val="007B0270"/>
    <w:rsid w:val="007B5FAD"/>
    <w:rsid w:val="007C3BFA"/>
    <w:rsid w:val="007C3D3A"/>
    <w:rsid w:val="007C5811"/>
    <w:rsid w:val="007F7521"/>
    <w:rsid w:val="0080093F"/>
    <w:rsid w:val="008029A4"/>
    <w:rsid w:val="00804D27"/>
    <w:rsid w:val="00805061"/>
    <w:rsid w:val="00806922"/>
    <w:rsid w:val="008178FC"/>
    <w:rsid w:val="00823BDE"/>
    <w:rsid w:val="00826132"/>
    <w:rsid w:val="00833C0F"/>
    <w:rsid w:val="00835AA9"/>
    <w:rsid w:val="00836035"/>
    <w:rsid w:val="0083608C"/>
    <w:rsid w:val="00842044"/>
    <w:rsid w:val="0084381E"/>
    <w:rsid w:val="00855CD4"/>
    <w:rsid w:val="0087610C"/>
    <w:rsid w:val="00876373"/>
    <w:rsid w:val="008837CF"/>
    <w:rsid w:val="008953B7"/>
    <w:rsid w:val="008B18FD"/>
    <w:rsid w:val="008B66F6"/>
    <w:rsid w:val="008B680C"/>
    <w:rsid w:val="008C3550"/>
    <w:rsid w:val="008E2989"/>
    <w:rsid w:val="008E319A"/>
    <w:rsid w:val="008F2D12"/>
    <w:rsid w:val="008F41E9"/>
    <w:rsid w:val="008F710A"/>
    <w:rsid w:val="009040EE"/>
    <w:rsid w:val="00915F83"/>
    <w:rsid w:val="00922307"/>
    <w:rsid w:val="009228EF"/>
    <w:rsid w:val="00927F46"/>
    <w:rsid w:val="0093252F"/>
    <w:rsid w:val="00933C24"/>
    <w:rsid w:val="00947F0E"/>
    <w:rsid w:val="009615C9"/>
    <w:rsid w:val="009744C1"/>
    <w:rsid w:val="00981392"/>
    <w:rsid w:val="009B50DD"/>
    <w:rsid w:val="009E2C5D"/>
    <w:rsid w:val="009E5267"/>
    <w:rsid w:val="009E6D32"/>
    <w:rsid w:val="009F6EDF"/>
    <w:rsid w:val="00A14D9A"/>
    <w:rsid w:val="00A30CA1"/>
    <w:rsid w:val="00A52671"/>
    <w:rsid w:val="00A60E14"/>
    <w:rsid w:val="00A60F14"/>
    <w:rsid w:val="00A71A65"/>
    <w:rsid w:val="00A722D1"/>
    <w:rsid w:val="00A7581D"/>
    <w:rsid w:val="00A8251C"/>
    <w:rsid w:val="00A84ABD"/>
    <w:rsid w:val="00A87F98"/>
    <w:rsid w:val="00A906BD"/>
    <w:rsid w:val="00A92421"/>
    <w:rsid w:val="00A94D7D"/>
    <w:rsid w:val="00AA45FB"/>
    <w:rsid w:val="00AC55BB"/>
    <w:rsid w:val="00AD058F"/>
    <w:rsid w:val="00AE028C"/>
    <w:rsid w:val="00AE2E78"/>
    <w:rsid w:val="00AF4DF2"/>
    <w:rsid w:val="00B017BA"/>
    <w:rsid w:val="00B01DCC"/>
    <w:rsid w:val="00B25F04"/>
    <w:rsid w:val="00B42224"/>
    <w:rsid w:val="00B55BDC"/>
    <w:rsid w:val="00B60338"/>
    <w:rsid w:val="00B61EAB"/>
    <w:rsid w:val="00B70094"/>
    <w:rsid w:val="00B7235A"/>
    <w:rsid w:val="00B752B8"/>
    <w:rsid w:val="00B76B32"/>
    <w:rsid w:val="00B76F51"/>
    <w:rsid w:val="00B80706"/>
    <w:rsid w:val="00B85B56"/>
    <w:rsid w:val="00BA2F33"/>
    <w:rsid w:val="00BA42F1"/>
    <w:rsid w:val="00BB21E9"/>
    <w:rsid w:val="00BB458C"/>
    <w:rsid w:val="00BB48C5"/>
    <w:rsid w:val="00BB587D"/>
    <w:rsid w:val="00BC0075"/>
    <w:rsid w:val="00BC117B"/>
    <w:rsid w:val="00BD1BE2"/>
    <w:rsid w:val="00BE0D33"/>
    <w:rsid w:val="00BF3695"/>
    <w:rsid w:val="00BF3904"/>
    <w:rsid w:val="00BF4D25"/>
    <w:rsid w:val="00BF5D40"/>
    <w:rsid w:val="00C01AA8"/>
    <w:rsid w:val="00C05878"/>
    <w:rsid w:val="00C07307"/>
    <w:rsid w:val="00C11868"/>
    <w:rsid w:val="00C11BFE"/>
    <w:rsid w:val="00C25293"/>
    <w:rsid w:val="00C276DC"/>
    <w:rsid w:val="00C323EE"/>
    <w:rsid w:val="00C41B09"/>
    <w:rsid w:val="00C42309"/>
    <w:rsid w:val="00C5011A"/>
    <w:rsid w:val="00C5024F"/>
    <w:rsid w:val="00C50388"/>
    <w:rsid w:val="00C57E06"/>
    <w:rsid w:val="00C72361"/>
    <w:rsid w:val="00C72FAE"/>
    <w:rsid w:val="00C77D44"/>
    <w:rsid w:val="00C82EEF"/>
    <w:rsid w:val="00C855B5"/>
    <w:rsid w:val="00C8658E"/>
    <w:rsid w:val="00C87E74"/>
    <w:rsid w:val="00C966E7"/>
    <w:rsid w:val="00C97529"/>
    <w:rsid w:val="00CA1A5C"/>
    <w:rsid w:val="00CB57CF"/>
    <w:rsid w:val="00CB5821"/>
    <w:rsid w:val="00CC11C0"/>
    <w:rsid w:val="00CC2170"/>
    <w:rsid w:val="00CD2A9C"/>
    <w:rsid w:val="00CD2C42"/>
    <w:rsid w:val="00CD6CEB"/>
    <w:rsid w:val="00CE017D"/>
    <w:rsid w:val="00CE0FA7"/>
    <w:rsid w:val="00CE1E32"/>
    <w:rsid w:val="00CE3193"/>
    <w:rsid w:val="00CE4CAF"/>
    <w:rsid w:val="00CE586B"/>
    <w:rsid w:val="00CE7B01"/>
    <w:rsid w:val="00CF0339"/>
    <w:rsid w:val="00CF5332"/>
    <w:rsid w:val="00D04ECC"/>
    <w:rsid w:val="00D135AD"/>
    <w:rsid w:val="00D20626"/>
    <w:rsid w:val="00D2484C"/>
    <w:rsid w:val="00D316EF"/>
    <w:rsid w:val="00D3408C"/>
    <w:rsid w:val="00D34D6D"/>
    <w:rsid w:val="00D41D57"/>
    <w:rsid w:val="00D42C16"/>
    <w:rsid w:val="00D43499"/>
    <w:rsid w:val="00D5027F"/>
    <w:rsid w:val="00D714C8"/>
    <w:rsid w:val="00D76403"/>
    <w:rsid w:val="00D823D3"/>
    <w:rsid w:val="00D84D31"/>
    <w:rsid w:val="00D9000C"/>
    <w:rsid w:val="00D93B04"/>
    <w:rsid w:val="00D94B7F"/>
    <w:rsid w:val="00D961FB"/>
    <w:rsid w:val="00D97AAB"/>
    <w:rsid w:val="00DB7815"/>
    <w:rsid w:val="00DC2340"/>
    <w:rsid w:val="00DD689B"/>
    <w:rsid w:val="00DF24D8"/>
    <w:rsid w:val="00E02224"/>
    <w:rsid w:val="00E030B3"/>
    <w:rsid w:val="00E059AA"/>
    <w:rsid w:val="00E10B92"/>
    <w:rsid w:val="00E20338"/>
    <w:rsid w:val="00E22E8A"/>
    <w:rsid w:val="00E24217"/>
    <w:rsid w:val="00E27031"/>
    <w:rsid w:val="00E27B4E"/>
    <w:rsid w:val="00E37671"/>
    <w:rsid w:val="00E47C79"/>
    <w:rsid w:val="00E55555"/>
    <w:rsid w:val="00E57FD3"/>
    <w:rsid w:val="00E6178C"/>
    <w:rsid w:val="00E7232B"/>
    <w:rsid w:val="00E86A0F"/>
    <w:rsid w:val="00E917C3"/>
    <w:rsid w:val="00E964D0"/>
    <w:rsid w:val="00E97311"/>
    <w:rsid w:val="00EA0274"/>
    <w:rsid w:val="00EA1CEF"/>
    <w:rsid w:val="00EB7144"/>
    <w:rsid w:val="00EC29AD"/>
    <w:rsid w:val="00EC2A04"/>
    <w:rsid w:val="00EC675B"/>
    <w:rsid w:val="00ED7073"/>
    <w:rsid w:val="00EE193D"/>
    <w:rsid w:val="00EE4DC8"/>
    <w:rsid w:val="00EE5431"/>
    <w:rsid w:val="00EF0442"/>
    <w:rsid w:val="00EF1738"/>
    <w:rsid w:val="00F005E4"/>
    <w:rsid w:val="00F0441D"/>
    <w:rsid w:val="00F0619D"/>
    <w:rsid w:val="00F21DC3"/>
    <w:rsid w:val="00F224F4"/>
    <w:rsid w:val="00F25235"/>
    <w:rsid w:val="00F42100"/>
    <w:rsid w:val="00F4365A"/>
    <w:rsid w:val="00F5210B"/>
    <w:rsid w:val="00F527B2"/>
    <w:rsid w:val="00F55969"/>
    <w:rsid w:val="00F5743F"/>
    <w:rsid w:val="00F57550"/>
    <w:rsid w:val="00F600A4"/>
    <w:rsid w:val="00F6242D"/>
    <w:rsid w:val="00F70B86"/>
    <w:rsid w:val="00F713CC"/>
    <w:rsid w:val="00F739CC"/>
    <w:rsid w:val="00F82F04"/>
    <w:rsid w:val="00F91D15"/>
    <w:rsid w:val="00FA3B81"/>
    <w:rsid w:val="00FA5FD3"/>
    <w:rsid w:val="00FC45BE"/>
    <w:rsid w:val="00FD0C9D"/>
    <w:rsid w:val="00FD1492"/>
    <w:rsid w:val="00FD1B80"/>
    <w:rsid w:val="00FD7439"/>
    <w:rsid w:val="00FF0D69"/>
    <w:rsid w:val="00FF30D7"/>
    <w:rsid w:val="00FF72A4"/>
    <w:rsid w:val="00FF73DF"/>
    <w:rsid w:val="02096B12"/>
    <w:rsid w:val="02303DD4"/>
    <w:rsid w:val="02BC0A53"/>
    <w:rsid w:val="031273D2"/>
    <w:rsid w:val="03604B36"/>
    <w:rsid w:val="03C9092D"/>
    <w:rsid w:val="0462205C"/>
    <w:rsid w:val="0495576E"/>
    <w:rsid w:val="05486F4D"/>
    <w:rsid w:val="059A26C0"/>
    <w:rsid w:val="05E150AF"/>
    <w:rsid w:val="063302DF"/>
    <w:rsid w:val="065258F0"/>
    <w:rsid w:val="0659586C"/>
    <w:rsid w:val="084C38DA"/>
    <w:rsid w:val="0882554E"/>
    <w:rsid w:val="08C94F2B"/>
    <w:rsid w:val="09880942"/>
    <w:rsid w:val="0A941EE8"/>
    <w:rsid w:val="0B4E5BBB"/>
    <w:rsid w:val="0B5E4C37"/>
    <w:rsid w:val="0C3443D2"/>
    <w:rsid w:val="0C3D1EB8"/>
    <w:rsid w:val="0C430B50"/>
    <w:rsid w:val="0C78671E"/>
    <w:rsid w:val="0D2A1CCE"/>
    <w:rsid w:val="0D523741"/>
    <w:rsid w:val="0DE46D10"/>
    <w:rsid w:val="0E0F1CCC"/>
    <w:rsid w:val="0E7F2451"/>
    <w:rsid w:val="0F087E2F"/>
    <w:rsid w:val="0F2C75EB"/>
    <w:rsid w:val="108B0D18"/>
    <w:rsid w:val="108F3223"/>
    <w:rsid w:val="127C3C10"/>
    <w:rsid w:val="12D15E76"/>
    <w:rsid w:val="12FC5EFD"/>
    <w:rsid w:val="136A2E67"/>
    <w:rsid w:val="144B0EEA"/>
    <w:rsid w:val="1585667E"/>
    <w:rsid w:val="15A91924"/>
    <w:rsid w:val="16AA639C"/>
    <w:rsid w:val="17424826"/>
    <w:rsid w:val="17D26EF5"/>
    <w:rsid w:val="19A81E3E"/>
    <w:rsid w:val="19B5715D"/>
    <w:rsid w:val="19E33973"/>
    <w:rsid w:val="1A037B71"/>
    <w:rsid w:val="1A134258"/>
    <w:rsid w:val="1A261232"/>
    <w:rsid w:val="1A7A361D"/>
    <w:rsid w:val="1AA66011"/>
    <w:rsid w:val="1AE039DC"/>
    <w:rsid w:val="1B634D6B"/>
    <w:rsid w:val="1BA3160C"/>
    <w:rsid w:val="1BF9747E"/>
    <w:rsid w:val="1C8D2DDE"/>
    <w:rsid w:val="1CCB1999"/>
    <w:rsid w:val="1D557E13"/>
    <w:rsid w:val="1D6A0633"/>
    <w:rsid w:val="1E9D5684"/>
    <w:rsid w:val="1F0077FF"/>
    <w:rsid w:val="1F9E2816"/>
    <w:rsid w:val="1FA77D59"/>
    <w:rsid w:val="1FF561AE"/>
    <w:rsid w:val="204B7632"/>
    <w:rsid w:val="20541191"/>
    <w:rsid w:val="205D1D27"/>
    <w:rsid w:val="21A8172A"/>
    <w:rsid w:val="220A1A54"/>
    <w:rsid w:val="225278E7"/>
    <w:rsid w:val="22F56BF1"/>
    <w:rsid w:val="23504946"/>
    <w:rsid w:val="240D4F4F"/>
    <w:rsid w:val="2459453D"/>
    <w:rsid w:val="24721326"/>
    <w:rsid w:val="24F133E8"/>
    <w:rsid w:val="25AF5AD6"/>
    <w:rsid w:val="25EE5B79"/>
    <w:rsid w:val="2680161F"/>
    <w:rsid w:val="27075144"/>
    <w:rsid w:val="27204B1A"/>
    <w:rsid w:val="27402404"/>
    <w:rsid w:val="28AB63A0"/>
    <w:rsid w:val="29BB3FC4"/>
    <w:rsid w:val="2AB57BE7"/>
    <w:rsid w:val="2B9B7C39"/>
    <w:rsid w:val="2C2A4C66"/>
    <w:rsid w:val="2D016192"/>
    <w:rsid w:val="2E8B7CC7"/>
    <w:rsid w:val="2E9E6BD6"/>
    <w:rsid w:val="30136908"/>
    <w:rsid w:val="30280DC2"/>
    <w:rsid w:val="30884CB9"/>
    <w:rsid w:val="31185880"/>
    <w:rsid w:val="318B2D05"/>
    <w:rsid w:val="31B969D9"/>
    <w:rsid w:val="31FD7870"/>
    <w:rsid w:val="321A3B53"/>
    <w:rsid w:val="32347D51"/>
    <w:rsid w:val="324F5BF1"/>
    <w:rsid w:val="332B3F69"/>
    <w:rsid w:val="342C7F98"/>
    <w:rsid w:val="342E0C5D"/>
    <w:rsid w:val="344F1ED9"/>
    <w:rsid w:val="348F0527"/>
    <w:rsid w:val="3509652C"/>
    <w:rsid w:val="352468F4"/>
    <w:rsid w:val="352A6697"/>
    <w:rsid w:val="35E0570D"/>
    <w:rsid w:val="366C0B20"/>
    <w:rsid w:val="36B6623F"/>
    <w:rsid w:val="36BB50CB"/>
    <w:rsid w:val="36E64E2E"/>
    <w:rsid w:val="37177E68"/>
    <w:rsid w:val="37F012DD"/>
    <w:rsid w:val="3811655F"/>
    <w:rsid w:val="38AD5420"/>
    <w:rsid w:val="38CC7EED"/>
    <w:rsid w:val="38CC7F9C"/>
    <w:rsid w:val="391C32AC"/>
    <w:rsid w:val="398A1259"/>
    <w:rsid w:val="399D5494"/>
    <w:rsid w:val="39D709A6"/>
    <w:rsid w:val="3A0260C4"/>
    <w:rsid w:val="3A344E5B"/>
    <w:rsid w:val="3A35209F"/>
    <w:rsid w:val="3A52002D"/>
    <w:rsid w:val="3A575643"/>
    <w:rsid w:val="3A654204"/>
    <w:rsid w:val="3A851A34"/>
    <w:rsid w:val="3AD66EB0"/>
    <w:rsid w:val="3AE01ADD"/>
    <w:rsid w:val="3AF85078"/>
    <w:rsid w:val="3BB86F05"/>
    <w:rsid w:val="3C0B4937"/>
    <w:rsid w:val="3CDA37CA"/>
    <w:rsid w:val="3CEF4259"/>
    <w:rsid w:val="3CF8135F"/>
    <w:rsid w:val="3CFD4BC8"/>
    <w:rsid w:val="3D706BC9"/>
    <w:rsid w:val="3D762284"/>
    <w:rsid w:val="3DE73182"/>
    <w:rsid w:val="3DED69EA"/>
    <w:rsid w:val="3E5C3A7A"/>
    <w:rsid w:val="3E6007FF"/>
    <w:rsid w:val="3E6536F6"/>
    <w:rsid w:val="3F457BA5"/>
    <w:rsid w:val="3FF937BF"/>
    <w:rsid w:val="4021274E"/>
    <w:rsid w:val="402B37FA"/>
    <w:rsid w:val="40463747"/>
    <w:rsid w:val="4047615A"/>
    <w:rsid w:val="40F260C6"/>
    <w:rsid w:val="424F3680"/>
    <w:rsid w:val="42F56341"/>
    <w:rsid w:val="43087E22"/>
    <w:rsid w:val="45337C1B"/>
    <w:rsid w:val="45397CB8"/>
    <w:rsid w:val="45AE7EC9"/>
    <w:rsid w:val="45C81AEB"/>
    <w:rsid w:val="462737F0"/>
    <w:rsid w:val="46616A8D"/>
    <w:rsid w:val="488937B4"/>
    <w:rsid w:val="493168D5"/>
    <w:rsid w:val="49AA1C33"/>
    <w:rsid w:val="4A102497"/>
    <w:rsid w:val="4A512634"/>
    <w:rsid w:val="4A560A78"/>
    <w:rsid w:val="4AA471DD"/>
    <w:rsid w:val="4B296B88"/>
    <w:rsid w:val="4B417D35"/>
    <w:rsid w:val="4BE8259F"/>
    <w:rsid w:val="4BFA22D2"/>
    <w:rsid w:val="4C431ECB"/>
    <w:rsid w:val="4D707B83"/>
    <w:rsid w:val="4DC31360"/>
    <w:rsid w:val="4DD0778F"/>
    <w:rsid w:val="4E125FF9"/>
    <w:rsid w:val="4E516B8F"/>
    <w:rsid w:val="4ED26EA1"/>
    <w:rsid w:val="4EE5726A"/>
    <w:rsid w:val="4F053468"/>
    <w:rsid w:val="4F195165"/>
    <w:rsid w:val="4F330111"/>
    <w:rsid w:val="4FBD4843"/>
    <w:rsid w:val="500619EB"/>
    <w:rsid w:val="501D26ED"/>
    <w:rsid w:val="50A33687"/>
    <w:rsid w:val="518F170F"/>
    <w:rsid w:val="51D57A6A"/>
    <w:rsid w:val="51D75590"/>
    <w:rsid w:val="51D91C56"/>
    <w:rsid w:val="54F71AA5"/>
    <w:rsid w:val="554F18E1"/>
    <w:rsid w:val="557C3F7B"/>
    <w:rsid w:val="56355A79"/>
    <w:rsid w:val="563C00B7"/>
    <w:rsid w:val="563F1955"/>
    <w:rsid w:val="567245D9"/>
    <w:rsid w:val="56E57FF1"/>
    <w:rsid w:val="56ED315F"/>
    <w:rsid w:val="57D45CF1"/>
    <w:rsid w:val="57F624E8"/>
    <w:rsid w:val="57FE314A"/>
    <w:rsid w:val="58A50A75"/>
    <w:rsid w:val="58D97E3F"/>
    <w:rsid w:val="59396B30"/>
    <w:rsid w:val="593F5506"/>
    <w:rsid w:val="5943350B"/>
    <w:rsid w:val="598D6049"/>
    <w:rsid w:val="59BB781F"/>
    <w:rsid w:val="59E85E60"/>
    <w:rsid w:val="59F46E55"/>
    <w:rsid w:val="5A751DEA"/>
    <w:rsid w:val="5B307ABF"/>
    <w:rsid w:val="5B4E4D05"/>
    <w:rsid w:val="5B591DBE"/>
    <w:rsid w:val="5B8C73EB"/>
    <w:rsid w:val="5BFF1C79"/>
    <w:rsid w:val="5D153410"/>
    <w:rsid w:val="5D675648"/>
    <w:rsid w:val="5F9F419D"/>
    <w:rsid w:val="608C1C3B"/>
    <w:rsid w:val="60E750C3"/>
    <w:rsid w:val="6138147B"/>
    <w:rsid w:val="61422629"/>
    <w:rsid w:val="615D3815"/>
    <w:rsid w:val="623F4BB2"/>
    <w:rsid w:val="626B5506"/>
    <w:rsid w:val="629341F9"/>
    <w:rsid w:val="63493173"/>
    <w:rsid w:val="640F6E0B"/>
    <w:rsid w:val="64124205"/>
    <w:rsid w:val="65D774B5"/>
    <w:rsid w:val="66154481"/>
    <w:rsid w:val="66617DBA"/>
    <w:rsid w:val="671F55B7"/>
    <w:rsid w:val="674412F8"/>
    <w:rsid w:val="67F56318"/>
    <w:rsid w:val="690C3919"/>
    <w:rsid w:val="6A785B68"/>
    <w:rsid w:val="6BC208AE"/>
    <w:rsid w:val="6C733CAF"/>
    <w:rsid w:val="6CEF77DA"/>
    <w:rsid w:val="6D0D4104"/>
    <w:rsid w:val="6D2E0EA2"/>
    <w:rsid w:val="6D346DBE"/>
    <w:rsid w:val="6E301E58"/>
    <w:rsid w:val="6EC07B72"/>
    <w:rsid w:val="6F773AB6"/>
    <w:rsid w:val="704238AB"/>
    <w:rsid w:val="71D51FF0"/>
    <w:rsid w:val="72094873"/>
    <w:rsid w:val="72951D23"/>
    <w:rsid w:val="730B45CC"/>
    <w:rsid w:val="73A47472"/>
    <w:rsid w:val="73CE0271"/>
    <w:rsid w:val="73F44B5D"/>
    <w:rsid w:val="74610E36"/>
    <w:rsid w:val="74CF1C9F"/>
    <w:rsid w:val="751E5D90"/>
    <w:rsid w:val="75A34993"/>
    <w:rsid w:val="764C1B6D"/>
    <w:rsid w:val="772C720E"/>
    <w:rsid w:val="773F40BA"/>
    <w:rsid w:val="77826897"/>
    <w:rsid w:val="77C655DB"/>
    <w:rsid w:val="786D3CA8"/>
    <w:rsid w:val="78882890"/>
    <w:rsid w:val="78FA5BA7"/>
    <w:rsid w:val="791800B8"/>
    <w:rsid w:val="7A2D1941"/>
    <w:rsid w:val="7A97325F"/>
    <w:rsid w:val="7BBD6CF5"/>
    <w:rsid w:val="7BE67FFA"/>
    <w:rsid w:val="7C53250F"/>
    <w:rsid w:val="7CDD764F"/>
    <w:rsid w:val="7D87580C"/>
    <w:rsid w:val="7DC97DC7"/>
    <w:rsid w:val="7E2C4701"/>
    <w:rsid w:val="7E77394B"/>
    <w:rsid w:val="7EC55299"/>
    <w:rsid w:val="7F651B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iPriority="99"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60" w:line="360" w:lineRule="auto"/>
      <w:ind w:firstLine="284"/>
    </w:pPr>
    <w:rPr>
      <w:rFonts w:ascii="Times New Roman" w:hAnsi="Times New Roman" w:eastAsia="宋体" w:cs="Times New Roman"/>
      <w:sz w:val="24"/>
      <w:szCs w:val="24"/>
      <w:lang w:val="en-US" w:eastAsia="zh-CN" w:bidi="ar-SA"/>
    </w:rPr>
  </w:style>
  <w:style w:type="paragraph" w:styleId="2">
    <w:name w:val="heading 1"/>
    <w:basedOn w:val="1"/>
    <w:next w:val="1"/>
    <w:autoRedefine/>
    <w:qFormat/>
    <w:uiPriority w:val="0"/>
    <w:pPr>
      <w:keepNext/>
      <w:keepLines/>
      <w:ind w:firstLine="0"/>
      <w:outlineLvl w:val="0"/>
    </w:pPr>
    <w:rPr>
      <w:b/>
      <w:bCs/>
      <w:kern w:val="44"/>
      <w:sz w:val="28"/>
      <w:szCs w:val="36"/>
    </w:rPr>
  </w:style>
  <w:style w:type="paragraph" w:styleId="3">
    <w:name w:val="heading 2"/>
    <w:basedOn w:val="1"/>
    <w:next w:val="1"/>
    <w:link w:val="44"/>
    <w:autoRedefine/>
    <w:unhideWhenUsed/>
    <w:qFormat/>
    <w:uiPriority w:val="9"/>
    <w:pPr>
      <w:keepNext/>
      <w:keepLines/>
      <w:spacing w:before="120"/>
      <w:ind w:firstLine="0"/>
      <w:outlineLvl w:val="1"/>
    </w:pPr>
    <w:rPr>
      <w:rFonts w:cstheme="majorBidi"/>
      <w:b/>
      <w:bCs/>
      <w:snapToGrid w:val="0"/>
      <w:szCs w:val="32"/>
    </w:rPr>
  </w:style>
  <w:style w:type="paragraph" w:styleId="4">
    <w:name w:val="heading 3"/>
    <w:basedOn w:val="1"/>
    <w:next w:val="1"/>
    <w:autoRedefine/>
    <w:unhideWhenUsed/>
    <w:qFormat/>
    <w:uiPriority w:val="0"/>
    <w:pPr>
      <w:spacing w:before="120"/>
      <w:ind w:firstLine="0"/>
      <w:outlineLvl w:val="2"/>
    </w:pPr>
    <w:rPr>
      <w:i/>
      <w:iCs/>
      <w:kern w:val="2"/>
      <w:szCs w:val="27"/>
      <w:u w:val="single"/>
      <w:lang w:val="en-AU"/>
    </w:rPr>
  </w:style>
  <w:style w:type="paragraph" w:styleId="5">
    <w:name w:val="heading 4"/>
    <w:basedOn w:val="1"/>
    <w:next w:val="1"/>
    <w:link w:val="54"/>
    <w:autoRedefine/>
    <w:unhideWhenUsed/>
    <w:qFormat/>
    <w:uiPriority w:val="0"/>
    <w:pPr>
      <w:keepNext/>
      <w:keepLines/>
      <w:ind w:firstLine="0"/>
      <w:outlineLvl w:val="3"/>
    </w:pPr>
    <w:rPr>
      <w:rFonts w:eastAsiaTheme="majorEastAsia" w:cstheme="majorBidi"/>
      <w:i/>
      <w:iCs/>
    </w:rPr>
  </w:style>
  <w:style w:type="character" w:default="1" w:styleId="26">
    <w:name w:val="Default Paragraph Font"/>
    <w:semiHidden/>
    <w:unhideWhenUsed/>
    <w:qFormat/>
    <w:uiPriority w:val="1"/>
  </w:style>
  <w:style w:type="table" w:default="1" w:styleId="2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toc 7"/>
    <w:basedOn w:val="1"/>
    <w:next w:val="1"/>
    <w:autoRedefine/>
    <w:unhideWhenUsed/>
    <w:qFormat/>
    <w:uiPriority w:val="39"/>
    <w:pPr>
      <w:spacing w:after="100" w:line="278" w:lineRule="auto"/>
      <w:ind w:left="1440" w:firstLine="0"/>
    </w:pPr>
    <w:rPr>
      <w:rFonts w:asciiTheme="minorHAnsi" w:hAnsiTheme="minorHAnsi" w:cstheme="minorBidi"/>
      <w:kern w:val="2"/>
      <w:lang w:val="en-AU"/>
      <w14:ligatures w14:val="standardContextual"/>
    </w:rPr>
  </w:style>
  <w:style w:type="paragraph" w:styleId="7">
    <w:name w:val="caption"/>
    <w:basedOn w:val="1"/>
    <w:next w:val="1"/>
    <w:autoRedefine/>
    <w:unhideWhenUsed/>
    <w:qFormat/>
    <w:uiPriority w:val="35"/>
    <w:pPr>
      <w:spacing w:line="240" w:lineRule="auto"/>
      <w:ind w:firstLine="0"/>
      <w:outlineLvl w:val="1"/>
    </w:pPr>
    <w:rPr>
      <w:bCs/>
      <w:szCs w:val="18"/>
    </w:rPr>
  </w:style>
  <w:style w:type="paragraph" w:styleId="8">
    <w:name w:val="annotation text"/>
    <w:basedOn w:val="1"/>
    <w:link w:val="47"/>
    <w:qFormat/>
    <w:uiPriority w:val="0"/>
    <w:rPr>
      <w:sz w:val="20"/>
      <w:szCs w:val="20"/>
    </w:rPr>
  </w:style>
  <w:style w:type="paragraph" w:styleId="9">
    <w:name w:val="Body Text"/>
    <w:basedOn w:val="1"/>
    <w:semiHidden/>
    <w:qFormat/>
    <w:uiPriority w:val="0"/>
    <w:rPr>
      <w:rFonts w:eastAsia="Times New Roman"/>
    </w:rPr>
  </w:style>
  <w:style w:type="paragraph" w:styleId="10">
    <w:name w:val="toc 5"/>
    <w:basedOn w:val="1"/>
    <w:next w:val="1"/>
    <w:autoRedefine/>
    <w:unhideWhenUsed/>
    <w:qFormat/>
    <w:uiPriority w:val="39"/>
    <w:pPr>
      <w:spacing w:after="100" w:line="278" w:lineRule="auto"/>
      <w:ind w:left="960" w:firstLine="0"/>
    </w:pPr>
    <w:rPr>
      <w:rFonts w:asciiTheme="minorHAnsi" w:hAnsiTheme="minorHAnsi" w:cstheme="minorBidi"/>
      <w:kern w:val="2"/>
      <w:lang w:val="en-AU"/>
      <w14:ligatures w14:val="standardContextual"/>
    </w:rPr>
  </w:style>
  <w:style w:type="paragraph" w:styleId="11">
    <w:name w:val="toc 3"/>
    <w:basedOn w:val="1"/>
    <w:next w:val="1"/>
    <w:autoRedefine/>
    <w:qFormat/>
    <w:uiPriority w:val="39"/>
    <w:pPr>
      <w:spacing w:after="100"/>
      <w:ind w:left="480"/>
    </w:pPr>
  </w:style>
  <w:style w:type="paragraph" w:styleId="12">
    <w:name w:val="toc 8"/>
    <w:basedOn w:val="1"/>
    <w:next w:val="1"/>
    <w:autoRedefine/>
    <w:unhideWhenUsed/>
    <w:qFormat/>
    <w:uiPriority w:val="39"/>
    <w:pPr>
      <w:spacing w:after="100" w:line="278" w:lineRule="auto"/>
      <w:ind w:left="1680" w:firstLine="0"/>
    </w:pPr>
    <w:rPr>
      <w:rFonts w:asciiTheme="minorHAnsi" w:hAnsiTheme="minorHAnsi" w:cstheme="minorBidi"/>
      <w:kern w:val="2"/>
      <w:lang w:val="en-AU"/>
      <w14:ligatures w14:val="standardContextual"/>
    </w:rPr>
  </w:style>
  <w:style w:type="paragraph" w:styleId="13">
    <w:name w:val="Balloon Text"/>
    <w:basedOn w:val="1"/>
    <w:link w:val="45"/>
    <w:qFormat/>
    <w:uiPriority w:val="0"/>
    <w:rPr>
      <w:sz w:val="18"/>
      <w:szCs w:val="18"/>
    </w:rPr>
  </w:style>
  <w:style w:type="paragraph" w:styleId="14">
    <w:name w:val="footer"/>
    <w:basedOn w:val="1"/>
    <w:link w:val="57"/>
    <w:qFormat/>
    <w:uiPriority w:val="99"/>
    <w:pPr>
      <w:tabs>
        <w:tab w:val="center" w:pos="4153"/>
        <w:tab w:val="right" w:pos="8306"/>
      </w:tabs>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6">
    <w:name w:val="toc 1"/>
    <w:basedOn w:val="1"/>
    <w:next w:val="1"/>
    <w:autoRedefine/>
    <w:qFormat/>
    <w:uiPriority w:val="39"/>
    <w:pPr>
      <w:spacing w:after="100"/>
    </w:pPr>
  </w:style>
  <w:style w:type="paragraph" w:styleId="17">
    <w:name w:val="toc 4"/>
    <w:basedOn w:val="1"/>
    <w:next w:val="1"/>
    <w:autoRedefine/>
    <w:unhideWhenUsed/>
    <w:qFormat/>
    <w:uiPriority w:val="39"/>
    <w:pPr>
      <w:spacing w:after="100" w:line="278" w:lineRule="auto"/>
      <w:ind w:left="720" w:firstLine="0"/>
    </w:pPr>
    <w:rPr>
      <w:rFonts w:asciiTheme="minorHAnsi" w:hAnsiTheme="minorHAnsi" w:cstheme="minorBidi"/>
      <w:kern w:val="2"/>
      <w:lang w:val="en-AU"/>
      <w14:ligatures w14:val="standardContextual"/>
    </w:rPr>
  </w:style>
  <w:style w:type="paragraph" w:styleId="18">
    <w:name w:val="footnote text"/>
    <w:basedOn w:val="1"/>
    <w:qFormat/>
    <w:uiPriority w:val="0"/>
    <w:rPr>
      <w:sz w:val="18"/>
    </w:rPr>
  </w:style>
  <w:style w:type="paragraph" w:styleId="19">
    <w:name w:val="toc 6"/>
    <w:basedOn w:val="1"/>
    <w:next w:val="1"/>
    <w:autoRedefine/>
    <w:unhideWhenUsed/>
    <w:qFormat/>
    <w:uiPriority w:val="39"/>
    <w:pPr>
      <w:spacing w:after="100" w:line="278" w:lineRule="auto"/>
      <w:ind w:left="1200" w:firstLine="0"/>
    </w:pPr>
    <w:rPr>
      <w:rFonts w:asciiTheme="minorHAnsi" w:hAnsiTheme="minorHAnsi" w:cstheme="minorBidi"/>
      <w:kern w:val="2"/>
      <w:lang w:val="en-AU"/>
      <w14:ligatures w14:val="standardContextual"/>
    </w:rPr>
  </w:style>
  <w:style w:type="paragraph" w:styleId="20">
    <w:name w:val="toc 2"/>
    <w:basedOn w:val="1"/>
    <w:next w:val="1"/>
    <w:autoRedefine/>
    <w:qFormat/>
    <w:uiPriority w:val="39"/>
    <w:pPr>
      <w:spacing w:after="100"/>
      <w:ind w:left="240"/>
    </w:pPr>
  </w:style>
  <w:style w:type="paragraph" w:styleId="21">
    <w:name w:val="toc 9"/>
    <w:basedOn w:val="1"/>
    <w:next w:val="1"/>
    <w:autoRedefine/>
    <w:unhideWhenUsed/>
    <w:qFormat/>
    <w:uiPriority w:val="39"/>
    <w:pPr>
      <w:spacing w:after="100" w:line="278" w:lineRule="auto"/>
      <w:ind w:left="1920" w:firstLine="0"/>
    </w:pPr>
    <w:rPr>
      <w:rFonts w:asciiTheme="minorHAnsi" w:hAnsiTheme="minorHAnsi" w:cstheme="minorBidi"/>
      <w:kern w:val="2"/>
      <w:lang w:val="en-AU"/>
      <w14:ligatures w14:val="standardContextual"/>
    </w:rPr>
  </w:style>
  <w:style w:type="paragraph" w:styleId="22">
    <w:name w:val="Normal (Web)"/>
    <w:basedOn w:val="1"/>
    <w:qFormat/>
    <w:uiPriority w:val="0"/>
  </w:style>
  <w:style w:type="paragraph" w:styleId="23">
    <w:name w:val="annotation subject"/>
    <w:basedOn w:val="8"/>
    <w:next w:val="8"/>
    <w:link w:val="48"/>
    <w:qFormat/>
    <w:uiPriority w:val="0"/>
    <w:rPr>
      <w:b/>
      <w:bCs/>
    </w:rPr>
  </w:style>
  <w:style w:type="table" w:styleId="25">
    <w:name w:val="Table Grid"/>
    <w:basedOn w:val="24"/>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0"/>
    <w:rPr>
      <w:b/>
    </w:rPr>
  </w:style>
  <w:style w:type="character" w:styleId="28">
    <w:name w:val="Emphasis"/>
    <w:basedOn w:val="26"/>
    <w:qFormat/>
    <w:uiPriority w:val="0"/>
    <w:rPr>
      <w:i/>
    </w:rPr>
  </w:style>
  <w:style w:type="character" w:styleId="29">
    <w:name w:val="line number"/>
    <w:basedOn w:val="26"/>
    <w:qFormat/>
    <w:uiPriority w:val="0"/>
  </w:style>
  <w:style w:type="character" w:styleId="30">
    <w:name w:val="Hyperlink"/>
    <w:basedOn w:val="26"/>
    <w:qFormat/>
    <w:uiPriority w:val="99"/>
    <w:rPr>
      <w:rFonts w:ascii="Times New Roman" w:hAnsi="Times New Roman"/>
      <w:color w:val="0026E5" w:themeColor="hyperlink"/>
      <w:sz w:val="24"/>
      <w:u w:val="none"/>
      <w14:textFill>
        <w14:solidFill>
          <w14:schemeClr w14:val="hlink"/>
        </w14:solidFill>
      </w14:textFill>
    </w:rPr>
  </w:style>
  <w:style w:type="character" w:styleId="31">
    <w:name w:val="annotation reference"/>
    <w:basedOn w:val="26"/>
    <w:semiHidden/>
    <w:unhideWhenUsed/>
    <w:qFormat/>
    <w:uiPriority w:val="99"/>
    <w:rPr>
      <w:sz w:val="16"/>
      <w:szCs w:val="16"/>
    </w:rPr>
  </w:style>
  <w:style w:type="character" w:styleId="32">
    <w:name w:val="footnote reference"/>
    <w:basedOn w:val="26"/>
    <w:qFormat/>
    <w:uiPriority w:val="0"/>
    <w:rPr>
      <w:vertAlign w:val="superscript"/>
    </w:rPr>
  </w:style>
  <w:style w:type="paragraph" w:styleId="33">
    <w:name w:val="List Paragraph"/>
    <w:basedOn w:val="1"/>
    <w:qFormat/>
    <w:uiPriority w:val="99"/>
    <w:pPr>
      <w:ind w:left="720" w:firstLine="567"/>
      <w:contextualSpacing/>
    </w:pPr>
    <w:rPr>
      <w:lang w:val="en-GB" w:bidi="en-US"/>
    </w:rPr>
  </w:style>
  <w:style w:type="table" w:customStyle="1" w:styleId="34">
    <w:name w:val="_Style 12"/>
    <w:basedOn w:val="35"/>
    <w:qFormat/>
    <w:uiPriority w:val="0"/>
    <w:tblPr>
      <w:tblCellMar>
        <w:left w:w="108" w:type="dxa"/>
        <w:right w:w="108" w:type="dxa"/>
      </w:tblCellMar>
    </w:tblPr>
  </w:style>
  <w:style w:type="table" w:customStyle="1" w:styleId="35">
    <w:name w:val="TableNormal"/>
    <w:qFormat/>
    <w:uiPriority w:val="0"/>
    <w:tblPr>
      <w:tblCellMar>
        <w:top w:w="0" w:type="dxa"/>
        <w:left w:w="0" w:type="dxa"/>
        <w:bottom w:w="0" w:type="dxa"/>
        <w:right w:w="0" w:type="dxa"/>
      </w:tblCellMar>
    </w:tblPr>
  </w:style>
  <w:style w:type="table" w:customStyle="1" w:styleId="36">
    <w:name w:val="_Style 13"/>
    <w:basedOn w:val="35"/>
    <w:qFormat/>
    <w:uiPriority w:val="0"/>
    <w:tblPr>
      <w:tblCellMar>
        <w:left w:w="115" w:type="dxa"/>
        <w:right w:w="115" w:type="dxa"/>
      </w:tblCellMar>
    </w:tblPr>
  </w:style>
  <w:style w:type="table" w:customStyle="1" w:styleId="37">
    <w:name w:val="_Style 14"/>
    <w:basedOn w:val="35"/>
    <w:qFormat/>
    <w:uiPriority w:val="0"/>
    <w:tblPr>
      <w:tblCellMar>
        <w:left w:w="115" w:type="dxa"/>
        <w:right w:w="115" w:type="dxa"/>
      </w:tblCellMar>
    </w:tblPr>
  </w:style>
  <w:style w:type="table" w:customStyle="1" w:styleId="38">
    <w:name w:val="_Style 15"/>
    <w:basedOn w:val="35"/>
    <w:qFormat/>
    <w:uiPriority w:val="0"/>
    <w:tblPr>
      <w:tblCellMar>
        <w:left w:w="115" w:type="dxa"/>
        <w:right w:w="115" w:type="dxa"/>
      </w:tblCellMar>
    </w:tblPr>
  </w:style>
  <w:style w:type="table" w:customStyle="1" w:styleId="39">
    <w:name w:val="_Style 16"/>
    <w:basedOn w:val="35"/>
    <w:qFormat/>
    <w:uiPriority w:val="0"/>
    <w:tblPr>
      <w:tblCellMar>
        <w:left w:w="115" w:type="dxa"/>
        <w:right w:w="115" w:type="dxa"/>
      </w:tblCellMar>
    </w:tblPr>
  </w:style>
  <w:style w:type="table" w:customStyle="1" w:styleId="40">
    <w:name w:val="_Style 17"/>
    <w:basedOn w:val="35"/>
    <w:qFormat/>
    <w:uiPriority w:val="0"/>
    <w:tblPr>
      <w:tblCellMar>
        <w:left w:w="115" w:type="dxa"/>
        <w:right w:w="115" w:type="dxa"/>
      </w:tblCellMar>
    </w:tblPr>
  </w:style>
  <w:style w:type="table" w:customStyle="1" w:styleId="41">
    <w:name w:val="_Style 18"/>
    <w:basedOn w:val="35"/>
    <w:qFormat/>
    <w:uiPriority w:val="0"/>
    <w:tblPr>
      <w:tblCellMar>
        <w:left w:w="115" w:type="dxa"/>
        <w:right w:w="115" w:type="dxa"/>
      </w:tblCellMar>
    </w:tblPr>
  </w:style>
  <w:style w:type="table" w:customStyle="1" w:styleId="42">
    <w:name w:val="_Style 19"/>
    <w:basedOn w:val="35"/>
    <w:qFormat/>
    <w:uiPriority w:val="0"/>
    <w:tblPr>
      <w:tblCellMar>
        <w:left w:w="115" w:type="dxa"/>
        <w:right w:w="115" w:type="dxa"/>
      </w:tblCellMar>
    </w:tblPr>
  </w:style>
  <w:style w:type="paragraph" w:customStyle="1" w:styleId="43">
    <w:name w:val="Appendix"/>
    <w:basedOn w:val="1"/>
    <w:qFormat/>
    <w:uiPriority w:val="99"/>
  </w:style>
  <w:style w:type="character" w:customStyle="1" w:styleId="44">
    <w:name w:val="标题 2 字符"/>
    <w:basedOn w:val="26"/>
    <w:link w:val="3"/>
    <w:qFormat/>
    <w:uiPriority w:val="9"/>
    <w:rPr>
      <w:rFonts w:cstheme="majorBidi"/>
      <w:b/>
      <w:bCs/>
      <w:snapToGrid w:val="0"/>
      <w:szCs w:val="32"/>
    </w:rPr>
  </w:style>
  <w:style w:type="character" w:customStyle="1" w:styleId="45">
    <w:name w:val="批注框文本 字符"/>
    <w:basedOn w:val="26"/>
    <w:link w:val="13"/>
    <w:qFormat/>
    <w:uiPriority w:val="0"/>
    <w:rPr>
      <w:rFonts w:ascii="Arial" w:hAnsi="Arial" w:eastAsia="Arial" w:cs="Arial"/>
      <w:snapToGrid w:val="0"/>
      <w:color w:val="000000"/>
      <w:sz w:val="18"/>
      <w:szCs w:val="18"/>
      <w:lang w:eastAsia="en-US"/>
    </w:rPr>
  </w:style>
  <w:style w:type="paragraph" w:customStyle="1" w:styleId="46">
    <w:name w:val="修订1"/>
    <w:hidden/>
    <w:semiHidden/>
    <w:qFormat/>
    <w:uiPriority w:val="99"/>
    <w:pPr>
      <w:spacing w:after="120"/>
      <w:ind w:firstLine="284"/>
    </w:pPr>
    <w:rPr>
      <w:rFonts w:ascii="Arial" w:hAnsi="Arial" w:eastAsia="Arial" w:cs="Arial"/>
      <w:snapToGrid w:val="0"/>
      <w:color w:val="000000"/>
      <w:sz w:val="21"/>
      <w:szCs w:val="21"/>
      <w:lang w:val="en-US" w:eastAsia="en-US" w:bidi="ar-SA"/>
    </w:rPr>
  </w:style>
  <w:style w:type="character" w:customStyle="1" w:styleId="47">
    <w:name w:val="批注文字 字符"/>
    <w:basedOn w:val="26"/>
    <w:link w:val="8"/>
    <w:qFormat/>
    <w:uiPriority w:val="0"/>
    <w:rPr>
      <w:rFonts w:ascii="Arial" w:hAnsi="Arial" w:eastAsia="Arial" w:cs="Arial"/>
      <w:snapToGrid w:val="0"/>
      <w:color w:val="000000"/>
      <w:lang w:eastAsia="en-US"/>
    </w:rPr>
  </w:style>
  <w:style w:type="character" w:customStyle="1" w:styleId="48">
    <w:name w:val="批注主题 字符"/>
    <w:basedOn w:val="47"/>
    <w:link w:val="23"/>
    <w:qFormat/>
    <w:uiPriority w:val="0"/>
    <w:rPr>
      <w:rFonts w:ascii="Arial" w:hAnsi="Arial" w:eastAsia="Arial" w:cs="Arial"/>
      <w:b/>
      <w:bCs/>
      <w:snapToGrid w:val="0"/>
      <w:color w:val="000000"/>
      <w:lang w:eastAsia="en-US"/>
    </w:rPr>
  </w:style>
  <w:style w:type="paragraph" w:customStyle="1" w:styleId="49">
    <w:name w:val="EndNote Bibliography Title"/>
    <w:basedOn w:val="1"/>
    <w:link w:val="50"/>
    <w:qFormat/>
    <w:uiPriority w:val="0"/>
    <w:pPr>
      <w:jc w:val="center"/>
    </w:pPr>
    <w:rPr>
      <w:rFonts w:ascii="Arial" w:hAnsi="Arial" w:cs="Arial"/>
      <w:sz w:val="20"/>
    </w:rPr>
  </w:style>
  <w:style w:type="character" w:customStyle="1" w:styleId="50">
    <w:name w:val="EndNote Bibliography Title Char"/>
    <w:basedOn w:val="26"/>
    <w:link w:val="49"/>
    <w:qFormat/>
    <w:uiPriority w:val="0"/>
    <w:rPr>
      <w:rFonts w:ascii="Arial" w:hAnsi="Arial" w:cs="Arial"/>
      <w:sz w:val="20"/>
    </w:rPr>
  </w:style>
  <w:style w:type="paragraph" w:customStyle="1" w:styleId="51">
    <w:name w:val="EndNote Bibliography"/>
    <w:basedOn w:val="1"/>
    <w:link w:val="52"/>
    <w:qFormat/>
    <w:uiPriority w:val="0"/>
    <w:pPr>
      <w:spacing w:line="240" w:lineRule="auto"/>
      <w:jc w:val="both"/>
    </w:pPr>
    <w:rPr>
      <w:rFonts w:ascii="Arial" w:hAnsi="Arial" w:cs="Arial"/>
      <w:sz w:val="20"/>
    </w:rPr>
  </w:style>
  <w:style w:type="character" w:customStyle="1" w:styleId="52">
    <w:name w:val="EndNote Bibliography Char"/>
    <w:basedOn w:val="26"/>
    <w:link w:val="51"/>
    <w:qFormat/>
    <w:uiPriority w:val="0"/>
    <w:rPr>
      <w:rFonts w:ascii="Arial" w:hAnsi="Arial" w:cs="Arial"/>
      <w:sz w:val="20"/>
    </w:rPr>
  </w:style>
  <w:style w:type="character" w:customStyle="1" w:styleId="53">
    <w:name w:val="未处理的提及1"/>
    <w:basedOn w:val="26"/>
    <w:semiHidden/>
    <w:unhideWhenUsed/>
    <w:qFormat/>
    <w:uiPriority w:val="99"/>
    <w:rPr>
      <w:color w:val="605E5C"/>
      <w:shd w:val="clear" w:color="auto" w:fill="E1DFDD"/>
    </w:rPr>
  </w:style>
  <w:style w:type="character" w:customStyle="1" w:styleId="54">
    <w:name w:val="标题 4 字符"/>
    <w:basedOn w:val="26"/>
    <w:link w:val="5"/>
    <w:qFormat/>
    <w:uiPriority w:val="0"/>
    <w:rPr>
      <w:rFonts w:eastAsiaTheme="majorEastAsia" w:cstheme="majorBidi"/>
      <w:i/>
      <w:iCs/>
      <w:snapToGrid w:val="0"/>
      <w:sz w:val="24"/>
      <w:szCs w:val="21"/>
      <w:lang w:eastAsia="en-US"/>
    </w:rPr>
  </w:style>
  <w:style w:type="paragraph" w:customStyle="1" w:styleId="55">
    <w:name w:val="Table"/>
    <w:basedOn w:val="1"/>
    <w:autoRedefine/>
    <w:qFormat/>
    <w:uiPriority w:val="0"/>
    <w:pPr>
      <w:spacing w:after="0" w:line="240" w:lineRule="auto"/>
      <w:ind w:left="18" w:firstLine="0"/>
    </w:pPr>
    <w:rPr>
      <w:rFonts w:eastAsia="等线"/>
      <w:sz w:val="20"/>
      <w:lang w:val="en-AU" w:eastAsia="en-AU"/>
    </w:rPr>
  </w:style>
  <w:style w:type="paragraph" w:customStyle="1" w:styleId="56">
    <w:name w:val="Table Note"/>
    <w:basedOn w:val="1"/>
    <w:autoRedefine/>
    <w:qFormat/>
    <w:uiPriority w:val="0"/>
    <w:pPr>
      <w:spacing w:after="0" w:line="240" w:lineRule="auto"/>
      <w:ind w:firstLine="0"/>
    </w:pPr>
    <w:rPr>
      <w:sz w:val="22"/>
      <w:vertAlign w:val="superscript"/>
    </w:rPr>
  </w:style>
  <w:style w:type="character" w:customStyle="1" w:styleId="57">
    <w:name w:val="页脚 字符"/>
    <w:basedOn w:val="26"/>
    <w:link w:val="14"/>
    <w:qFormat/>
    <w:uiPriority w:val="99"/>
    <w:rPr>
      <w:sz w:val="18"/>
    </w:rPr>
  </w:style>
  <w:style w:type="paragraph" w:customStyle="1" w:styleId="58">
    <w:name w:val="Bibliographie1"/>
    <w:basedOn w:val="1"/>
    <w:next w:val="1"/>
    <w:unhideWhenUsed/>
    <w:qFormat/>
    <w:uiPriority w:val="37"/>
  </w:style>
  <w:style w:type="paragraph" w:customStyle="1" w:styleId="59">
    <w:name w:val="修订2"/>
    <w:hidden/>
    <w:semiHidden/>
    <w:qFormat/>
    <w:uiPriority w:val="99"/>
    <w:rPr>
      <w:rFonts w:ascii="Times New Roman" w:hAnsi="Times New Roman" w:eastAsia="宋体" w:cs="Times New Roman"/>
      <w:sz w:val="24"/>
      <w:szCs w:val="24"/>
      <w:lang w:val="en-US" w:eastAsia="zh-CN" w:bidi="ar-SA"/>
    </w:rPr>
  </w:style>
  <w:style w:type="paragraph" w:customStyle="1" w:styleId="60">
    <w:name w:val="修订3"/>
    <w:hidden/>
    <w:unhideWhenUsed/>
    <w:qFormat/>
    <w:uiPriority w:val="99"/>
    <w:rPr>
      <w:rFonts w:ascii="Times New Roman" w:hAnsi="Times New Roman" w:eastAsia="宋体" w:cs="Times New Roman"/>
      <w:sz w:val="24"/>
      <w:szCs w:val="24"/>
      <w:lang w:val="en-US" w:eastAsia="zh-CN" w:bidi="ar-SA"/>
    </w:rPr>
  </w:style>
  <w:style w:type="paragraph" w:customStyle="1" w:styleId="61">
    <w:name w:val="书目1"/>
    <w:basedOn w:val="1"/>
    <w:next w:val="1"/>
    <w:unhideWhenUsed/>
    <w:qFormat/>
    <w:uiPriority w:val="37"/>
  </w:style>
  <w:style w:type="paragraph" w:customStyle="1" w:styleId="62">
    <w:name w:val="修订4"/>
    <w:hidden/>
    <w:unhideWhenUsed/>
    <w:qFormat/>
    <w:uiPriority w:val="99"/>
    <w:rPr>
      <w:rFonts w:ascii="Times New Roman" w:hAnsi="Times New Roman" w:eastAsia="宋体" w:cs="Times New Roman"/>
      <w:sz w:val="24"/>
      <w:szCs w:val="24"/>
      <w:lang w:val="en-US" w:eastAsia="zh-CN" w:bidi="ar-SA"/>
    </w:rPr>
  </w:style>
  <w:style w:type="paragraph" w:customStyle="1" w:styleId="63">
    <w:name w:val="书目2"/>
    <w:basedOn w:val="1"/>
    <w:next w:val="1"/>
    <w:unhideWhenUsed/>
    <w:qFormat/>
    <w:uiPriority w:val="37"/>
  </w:style>
  <w:style w:type="paragraph" w:customStyle="1" w:styleId="64">
    <w:name w:val="修订5"/>
    <w:hidden/>
    <w:unhideWhenUsed/>
    <w:qFormat/>
    <w:uiPriority w:val="99"/>
    <w:rPr>
      <w:rFonts w:ascii="Times New Roman" w:hAnsi="Times New Roman" w:eastAsia="宋体" w:cs="Times New Roman"/>
      <w:sz w:val="24"/>
      <w:szCs w:val="24"/>
      <w:lang w:val="en-US" w:eastAsia="zh-CN" w:bidi="ar-SA"/>
    </w:rPr>
  </w:style>
  <w:style w:type="character" w:customStyle="1" w:styleId="65">
    <w:name w:val="font41"/>
    <w:qFormat/>
    <w:uiPriority w:val="0"/>
    <w:rPr>
      <w:rFonts w:hint="default" w:ascii="Times New Roman" w:hAnsi="Times New Roman" w:cs="Times New Roman"/>
      <w:i/>
      <w:iCs/>
      <w:color w:val="000000"/>
      <w:sz w:val="20"/>
      <w:szCs w:val="20"/>
      <w:u w:val="none"/>
    </w:rPr>
  </w:style>
  <w:style w:type="character" w:customStyle="1" w:styleId="66">
    <w:name w:val="font61"/>
    <w:qFormat/>
    <w:uiPriority w:val="0"/>
    <w:rPr>
      <w:rFonts w:hint="default" w:ascii="Times New Roman" w:hAnsi="Times New Roman" w:cs="Times New Roman"/>
      <w:color w:val="000000"/>
      <w:sz w:val="20"/>
      <w:szCs w:val="20"/>
      <w:u w:val="none"/>
    </w:rPr>
  </w:style>
  <w:style w:type="character" w:customStyle="1" w:styleId="67">
    <w:name w:val="font21"/>
    <w:basedOn w:val="26"/>
    <w:qFormat/>
    <w:uiPriority w:val="0"/>
    <w:rPr>
      <w:rFonts w:hint="default" w:ascii="Times New Roman" w:hAnsi="Times New Roman" w:cs="Times New Roman"/>
      <w:b/>
      <w:bCs/>
      <w:color w:val="000000"/>
      <w:sz w:val="20"/>
      <w:szCs w:val="20"/>
      <w:u w:val="none"/>
    </w:rPr>
  </w:style>
  <w:style w:type="paragraph" w:customStyle="1" w:styleId="68">
    <w:name w:val="Default"/>
    <w:qFormat/>
    <w:uiPriority w:val="0"/>
    <w:pPr>
      <w:widowControl w:val="0"/>
      <w:autoSpaceDE w:val="0"/>
      <w:autoSpaceDN w:val="0"/>
      <w:adjustRightInd w:val="0"/>
    </w:pPr>
    <w:rPr>
      <w:rFonts w:ascii="Times New Roman" w:hAnsi="Times New Roman" w:cs="Times New Roman" w:eastAsiaTheme="minorEastAsia"/>
      <w:color w:val="000000"/>
      <w:kern w:val="0"/>
      <w:sz w:val="24"/>
      <w:szCs w:val="24"/>
      <w:lang w:val="en-US" w:eastAsia="zh-CN" w:bidi="ar-SA"/>
    </w:rPr>
  </w:style>
  <w:style w:type="paragraph" w:customStyle="1" w:styleId="69">
    <w:name w:val="Bibliography"/>
    <w:basedOn w:val="1"/>
    <w:qFormat/>
    <w:uiPriority w:val="0"/>
    <w:pPr>
      <w:tabs>
        <w:tab w:val="left" w:pos="264"/>
      </w:tabs>
      <w:spacing w:line="480" w:lineRule="auto"/>
      <w:ind w:left="264" w:hanging="264"/>
    </w:p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wmf"/><Relationship Id="rId7" Type="http://schemas.openxmlformats.org/officeDocument/2006/relationships/oleObject" Target="embeddings/oleObject1.bin"/><Relationship Id="rId65" Type="http://schemas.openxmlformats.org/officeDocument/2006/relationships/fontTable" Target="fontTable.xml"/><Relationship Id="rId64" Type="http://schemas.openxmlformats.org/officeDocument/2006/relationships/customXml" Target="../customXml/item2.xml"/><Relationship Id="rId63" Type="http://schemas.openxmlformats.org/officeDocument/2006/relationships/numbering" Target="numbering.xml"/><Relationship Id="rId62" Type="http://schemas.openxmlformats.org/officeDocument/2006/relationships/customXml" Target="../customXml/item1.xml"/><Relationship Id="rId61" Type="http://schemas.openxmlformats.org/officeDocument/2006/relationships/image" Target="media/image50.jpeg"/><Relationship Id="rId60" Type="http://schemas.openxmlformats.org/officeDocument/2006/relationships/image" Target="media/image49.png"/><Relationship Id="rId6" Type="http://schemas.openxmlformats.org/officeDocument/2006/relationships/theme" Target="theme/theme1.xml"/><Relationship Id="rId59" Type="http://schemas.openxmlformats.org/officeDocument/2006/relationships/image" Target="media/image48.jpeg"/><Relationship Id="rId58" Type="http://schemas.openxmlformats.org/officeDocument/2006/relationships/image" Target="media/image47.jpeg"/><Relationship Id="rId57" Type="http://schemas.openxmlformats.org/officeDocument/2006/relationships/image" Target="media/image46.png"/><Relationship Id="rId56" Type="http://schemas.openxmlformats.org/officeDocument/2006/relationships/image" Target="media/image45.jpeg"/><Relationship Id="rId55" Type="http://schemas.openxmlformats.org/officeDocument/2006/relationships/image" Target="media/image44.png"/><Relationship Id="rId54" Type="http://schemas.openxmlformats.org/officeDocument/2006/relationships/image" Target="media/image43.png"/><Relationship Id="rId53" Type="http://schemas.openxmlformats.org/officeDocument/2006/relationships/image" Target="media/image42.png"/><Relationship Id="rId52" Type="http://schemas.openxmlformats.org/officeDocument/2006/relationships/image" Target="media/image41.png"/><Relationship Id="rId51" Type="http://schemas.openxmlformats.org/officeDocument/2006/relationships/image" Target="media/image40.png"/><Relationship Id="rId50" Type="http://schemas.openxmlformats.org/officeDocument/2006/relationships/image" Target="media/image39.png"/><Relationship Id="rId5" Type="http://schemas.openxmlformats.org/officeDocument/2006/relationships/footer" Target="footer1.xml"/><Relationship Id="rId49" Type="http://schemas.openxmlformats.org/officeDocument/2006/relationships/image" Target="media/image38.png"/><Relationship Id="rId48" Type="http://schemas.openxmlformats.org/officeDocument/2006/relationships/image" Target="media/image37.png"/><Relationship Id="rId47" Type="http://schemas.openxmlformats.org/officeDocument/2006/relationships/image" Target="media/image36.png"/><Relationship Id="rId46" Type="http://schemas.openxmlformats.org/officeDocument/2006/relationships/image" Target="media/image35.png"/><Relationship Id="rId45" Type="http://schemas.openxmlformats.org/officeDocument/2006/relationships/image" Target="media/image34.png"/><Relationship Id="rId44" Type="http://schemas.openxmlformats.org/officeDocument/2006/relationships/image" Target="media/image33.png"/><Relationship Id="rId43" Type="http://schemas.openxmlformats.org/officeDocument/2006/relationships/image" Target="media/image32.png"/><Relationship Id="rId42" Type="http://schemas.openxmlformats.org/officeDocument/2006/relationships/image" Target="media/image31.png"/><Relationship Id="rId41" Type="http://schemas.openxmlformats.org/officeDocument/2006/relationships/image" Target="media/image30.png"/><Relationship Id="rId40" Type="http://schemas.openxmlformats.org/officeDocument/2006/relationships/image" Target="media/image29.png"/><Relationship Id="rId4" Type="http://schemas.openxmlformats.org/officeDocument/2006/relationships/endnotes" Target="endnotes.xml"/><Relationship Id="rId39" Type="http://schemas.openxmlformats.org/officeDocument/2006/relationships/image" Target="media/image28.png"/><Relationship Id="rId38" Type="http://schemas.openxmlformats.org/officeDocument/2006/relationships/image" Target="media/image27.jpeg"/><Relationship Id="rId37" Type="http://schemas.openxmlformats.org/officeDocument/2006/relationships/image" Target="media/image26.tiff"/><Relationship Id="rId36" Type="http://schemas.openxmlformats.org/officeDocument/2006/relationships/image" Target="media/image25.tiff"/><Relationship Id="rId35" Type="http://schemas.openxmlformats.org/officeDocument/2006/relationships/image" Target="media/image24.jpeg"/><Relationship Id="rId34" Type="http://schemas.openxmlformats.org/officeDocument/2006/relationships/image" Target="media/image23.jpeg"/><Relationship Id="rId33" Type="http://schemas.openxmlformats.org/officeDocument/2006/relationships/image" Target="media/image22.jpeg"/><Relationship Id="rId32" Type="http://schemas.openxmlformats.org/officeDocument/2006/relationships/image" Target="media/image21.jpe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footnotes" Target="footnotes.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tiff"/><Relationship Id="rId16" Type="http://schemas.openxmlformats.org/officeDocument/2006/relationships/image" Target="media/image5.wmf"/><Relationship Id="rId15" Type="http://schemas.openxmlformats.org/officeDocument/2006/relationships/oleObject" Target="embeddings/oleObject5.bin"/><Relationship Id="rId14" Type="http://schemas.openxmlformats.org/officeDocument/2006/relationships/image" Target="media/image4.wmf"/><Relationship Id="rId13" Type="http://schemas.openxmlformats.org/officeDocument/2006/relationships/oleObject" Target="embeddings/oleObject4.bin"/><Relationship Id="rId12" Type="http://schemas.openxmlformats.org/officeDocument/2006/relationships/image" Target="media/image3.wmf"/><Relationship Id="rId11" Type="http://schemas.openxmlformats.org/officeDocument/2006/relationships/oleObject" Target="embeddings/oleObject3.bin"/><Relationship Id="rId10" Type="http://schemas.openxmlformats.org/officeDocument/2006/relationships/image" Target="media/image2.wm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8DE3BB-7EDD-4218-B9B2-79D8350B1FEF}">
  <ds:schemaRefs/>
</ds:datastoreItem>
</file>

<file path=docProps/app.xml><?xml version="1.0" encoding="utf-8"?>
<Properties xmlns="http://schemas.openxmlformats.org/officeDocument/2006/extended-properties" xmlns:vt="http://schemas.openxmlformats.org/officeDocument/2006/docPropsVTypes">
  <Template>Normal</Template>
  <Pages>147</Pages>
  <Words>1457</Words>
  <Characters>8584</Characters>
  <Lines>1</Lines>
  <Paragraphs>1</Paragraphs>
  <TotalTime>54</TotalTime>
  <ScaleCrop>false</ScaleCrop>
  <LinksUpToDate>false</LinksUpToDate>
  <CharactersWithSpaces>9991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2026-01-14T08:55:00Z</dcterms:created>
  <dc:creator>李浩</dc:creator>
  <cp:lastModifiedBy>Admin</cp:lastModifiedBy>
  <dcterms:modified xsi:type="dcterms:W3CDTF">2026-08-05T16:59:39Z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eyJoZGlkIjoiODhmZDRmY2E0YWE5MmM4ZTI2MGNjNjhkZGE5ZmM2ZGYiLCJ1c2VySWQiOiIxOTM0MTU2ODMifQ==</vt:lpwstr>
  </property>
  <property fmtid="{D5CDD505-2E9C-101B-9397-08002B2CF9AE}" pid="4" name="ICV">
    <vt:lpwstr>3EBF1F622FAB43758978DB4F5B7DCEED_13</vt:lpwstr>
  </property>
  <property fmtid="{D5CDD505-2E9C-101B-9397-08002B2CF9AE}" pid="5" name="ZOTERO_PREF_1">
    <vt:lpwstr>&lt;data data-version="3" zotero-version="7.0.30"&gt;&lt;session id="9LPJZClL"/&gt;&lt;style id="http://www.zotero.org/styles/nature" hasBibliography="1" bibliographyStyleHasBeenSet="1"/&gt;&lt;prefs&gt;&lt;pref name="fieldType" value="Field"/&gt;&lt;pref name="automaticJournalAbbreviati</vt:lpwstr>
  </property>
  <property fmtid="{D5CDD505-2E9C-101B-9397-08002B2CF9AE}" pid="6" name="ZOTERO_PREF_2">
    <vt:lpwstr>ons" value="true"/&gt;&lt;/prefs&gt;&lt;/data&gt;</vt:lpwstr>
  </property>
</Properties>
</file>