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Fonts w:ascii="Helvetica" w:hAnsi="Helvetica"/>
          <w:b/>
          <w:bCs/>
          <w:sz w:val="22"/>
          <w:szCs w:val="22"/>
        </w:rPr>
        <w:t xml:space="preserve">Supplementary Table 2: Fly genotypes </w:t>
      </w:r>
    </w:p>
    <w:tbl>
      <w:tblPr>
        <w:tblStyle w:val="TableGrid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VBand="1" w:noHBand="0" w:lastColumn="0" w:firstColumn="1" w:lastRow="0" w:firstRow="1"/>
      </w:tblPr>
      <w:tblGrid>
        <w:gridCol w:w="3409"/>
        <w:gridCol w:w="3207"/>
        <w:gridCol w:w="2734"/>
      </w:tblGrid>
      <w:tr>
        <w:trPr/>
        <w:tc>
          <w:tcPr>
            <w:tcW w:w="3409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b/>
                <w:bCs/>
                <w:sz w:val="14"/>
                <w:szCs w:val="14"/>
              </w:rPr>
            </w:pPr>
            <w:r>
              <w:rPr>
                <w:rFonts w:eastAsia="Aptos" w:cs="" w:ascii="Helvetica" w:hAnsi="Helvetica"/>
                <w:b/>
                <w:bCs/>
                <w:kern w:val="2"/>
                <w:sz w:val="14"/>
                <w:szCs w:val="14"/>
                <w:lang w:val="en-CA" w:eastAsia="en-US" w:bidi="ar-SA"/>
              </w:rPr>
              <w:t>Genotype</w:t>
            </w:r>
          </w:p>
        </w:tc>
        <w:tc>
          <w:tcPr>
            <w:tcW w:w="3207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b/>
                <w:bCs/>
                <w:sz w:val="14"/>
                <w:szCs w:val="14"/>
              </w:rPr>
            </w:pPr>
            <w:r>
              <w:rPr>
                <w:rFonts w:eastAsia="Aptos" w:cs="" w:ascii="Helvetica" w:hAnsi="Helvetica"/>
                <w:b/>
                <w:bCs/>
                <w:kern w:val="2"/>
                <w:sz w:val="14"/>
                <w:szCs w:val="14"/>
                <w:lang w:val="en-CA" w:eastAsia="en-US" w:bidi="ar-SA"/>
              </w:rPr>
              <w:t>Figures</w:t>
            </w:r>
          </w:p>
        </w:tc>
        <w:tc>
          <w:tcPr>
            <w:tcW w:w="2734" w:type="dxa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b/>
                <w:bCs/>
                <w:sz w:val="14"/>
                <w:szCs w:val="14"/>
              </w:rPr>
            </w:pPr>
            <w:r>
              <w:rPr>
                <w:rFonts w:eastAsia="Aptos" w:cs="" w:ascii="Helvetica" w:hAnsi="Helvetica"/>
                <w:b/>
                <w:bCs/>
                <w:kern w:val="2"/>
                <w:sz w:val="14"/>
                <w:szCs w:val="14"/>
                <w:lang w:val="en-CA" w:eastAsia="en-US" w:bidi="ar-SA"/>
              </w:rPr>
              <w:t>Notes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VT062617AD; VT037223DBD &gt; UAS-GCaMP7f, UAS-tdTomato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1d,f,h,i,j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4b,d,e,f,h,j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1i,j,k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2b,d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8c,d,e,f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Split Gal4 SS63158 targeting h∆K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SS52590 (VT017491AD; VT000355DBD) &gt; UAS-GCaMP7f, UAS-tdTomato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1e,g,k,l,m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4a,c,d,e,f,g,i,j,k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1j,k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2c,d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8b,d,e,f,g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PFG split (Bl: #86628)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VT062617-gal4 &gt; UAS-GCaMP7f, UAS-tdTomato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1j,k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Broad line targeting h∆K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>1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 xml:space="preserve"> 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13xlexAop-GFP/+; UAS-Chrimson/65C03-Gal4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2a,c,d,f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3a,b,d,e,f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5d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Recording from h∆K; activate 65C03 (Bl: 41290) is a FB tangential line that drives upwind walking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>2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 xml:space="preserve"> 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13xlexAop-GFP/lexAop-TNTe; UAS-Chrimson/65C03-Gal4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2e,f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Same as above with TNTe to block synaptic transmission from h∆K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 VT017491AD; UAS-Chrimson/ VT000355DBD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 xml:space="preserve">Fig. 2a,g 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3a,b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Recording from h∆K; activate PFG split (Bl: #86628)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13xlexAop-GFP/+; UAS-Chrimson/24C07-Gal4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2a,h,i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3a,b,g,h,i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 xml:space="preserve">Recording from h∆K; activate ExR3 using 24C07 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13xlexAop-GFP/49B08AD; UAS-Chrimson/VT063626DBD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2a,j,k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3a,b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5c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Recording from h∆K; activate FB6M using 49B08AD; VT063626DBD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13xlexAop-GFP/VT013602AD; UAS-Chrimson/78H12DBD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2l,m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 w:eastAsia="Aptos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Recording from h∆K; activate FB5V using VT013602AD; 78H12DBD (SS88825)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VT013602AD; 78H12DBD &gt; mCD8::GFP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4a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Visualization of split used to target FB5V for activation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36B06-Gal4 &gt; mCD8::GFP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4a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Visualization of broad line used to target FB5V for activation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49B08AD; VT063626DBD &gt; mCD8::GFP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4b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Visualization of split used to target FB6M for activation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13xlexAop-GFP/+; UAS-Chrimson/36B06-Gal4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3a,b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4c,d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Recording from h∆K; activate 36B06 (Bl: 49929) targeting FB5V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VT062617-lexA, 13xlexAop-GFP/+; UAS-Chrimson/21D07-Gal4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2a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3a,b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Recording from h∆K; activate 21D07 (Bl: 48943) targeting FB5AB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vertAlign w:val="superscript"/>
                <w:lang w:val="en-CA" w:eastAsia="en-US" w:bidi="ar-SA"/>
              </w:rPr>
              <w:t>2</w:t>
            </w: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. Only used for current injections in this paper.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VT013602AD; 78H12DBD &gt; UAS-GCaMP7f, UAS-tdTomato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6b,c,d,e,f,g,h,i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10a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Split Gal-4 line SS88825 targeting FB5V</w:t>
            </w:r>
          </w:p>
        </w:tc>
      </w:tr>
      <w:tr>
        <w:trPr/>
        <w:tc>
          <w:tcPr>
            <w:tcW w:w="34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49B08AD; VT063626DBD &gt; UAS-GCaMP7f, UAS-tdTomato</w:t>
            </w:r>
          </w:p>
        </w:tc>
        <w:tc>
          <w:tcPr>
            <w:tcW w:w="3207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Fig. 6k,l,m,n,o,p,q,r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>Ext. Data Fig. 10b</w:t>
            </w:r>
          </w:p>
        </w:tc>
        <w:tc>
          <w:tcPr>
            <w:tcW w:w="27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Helvetica" w:hAnsi="Helvetica"/>
                <w:sz w:val="14"/>
                <w:szCs w:val="14"/>
              </w:rPr>
            </w:pPr>
            <w:r>
              <w:rPr>
                <w:rFonts w:eastAsia="Aptos" w:cs="" w:ascii="Helvetica" w:hAnsi="Helvetica"/>
                <w:kern w:val="2"/>
                <w:sz w:val="14"/>
                <w:szCs w:val="14"/>
                <w:lang w:val="en-CA" w:eastAsia="en-US" w:bidi="ar-SA"/>
              </w:rPr>
              <w:t xml:space="preserve">Split Gal4 line targeting FB6M:49B08AD; VT063626DBD </w:t>
            </w:r>
          </w:p>
        </w:tc>
      </w:tr>
    </w:tbl>
    <w:p>
      <w:pPr>
        <w:pStyle w:val="Normal"/>
        <w:rPr>
          <w:rFonts w:ascii="Helvetica" w:hAnsi="Helvetica"/>
          <w:sz w:val="14"/>
          <w:szCs w:val="14"/>
        </w:rPr>
      </w:pPr>
      <w:r>
        <w:rPr>
          <w:rFonts w:ascii="Helvetica" w:hAnsi="Helvetica"/>
          <w:sz w:val="14"/>
          <w:szCs w:val="14"/>
        </w:rPr>
        <w:t>*Bl refers to Bloomington Drosophila Stock Center</w:t>
      </w:r>
    </w:p>
    <w:p>
      <w:pPr>
        <w:pStyle w:val="Normal"/>
        <w:rPr>
          <w:rFonts w:ascii="Helvetica" w:hAnsi="Helvetica"/>
          <w:sz w:val="14"/>
          <w:szCs w:val="14"/>
        </w:rPr>
      </w:pPr>
      <w:r>
        <w:rPr>
          <w:rFonts w:ascii="Helvetica" w:hAnsi="Helvetica"/>
          <w:sz w:val="14"/>
          <w:szCs w:val="14"/>
        </w:rPr>
        <w:t>References:</w:t>
      </w:r>
    </w:p>
    <w:p>
      <w:pPr>
        <w:pStyle w:val="Normal"/>
        <w:rPr>
          <w:rFonts w:ascii="Helvetica" w:hAnsi="Helvetica"/>
          <w:sz w:val="14"/>
          <w:szCs w:val="14"/>
        </w:rPr>
      </w:pPr>
      <w:r>
        <w:rPr>
          <w:rFonts w:ascii="Helvetica" w:hAnsi="Helvetica"/>
          <w:color w:val="000000"/>
          <w:sz w:val="14"/>
          <w:szCs w:val="14"/>
          <w:lang w:val="en-US"/>
        </w:rPr>
        <w:t>1</w:t>
      </w:r>
      <w:r>
        <w:rPr>
          <w:rFonts w:ascii="Helvetica" w:hAnsi="Helvetica"/>
          <w:color w:val="000000"/>
          <w:sz w:val="14"/>
          <w:szCs w:val="14"/>
          <w:lang w:val="en-US"/>
        </w:rPr>
        <w:t xml:space="preserve">. </w:t>
      </w:r>
      <w:r>
        <w:rPr>
          <w:rFonts w:ascii="Helvetica" w:hAnsi="Helvetica"/>
          <w:b w:val="false"/>
          <w:i w:val="false"/>
          <w:caps w:val="false"/>
          <w:smallCaps w:val="false"/>
          <w:color w:val="000000"/>
          <w:spacing w:val="0"/>
          <w:sz w:val="14"/>
          <w:szCs w:val="14"/>
        </w:rPr>
        <w:t>Kathman, N.D., Lanz, A.J., Freed, J.D. </w:t>
      </w:r>
      <w:r>
        <w:rPr>
          <w:rFonts w:ascii="Helvetica" w:hAnsi="Helvetica"/>
          <w:b w:val="false"/>
          <w:i/>
          <w:color w:val="000000"/>
          <w:spacing w:val="0"/>
          <w:sz w:val="14"/>
          <w:szCs w:val="14"/>
        </w:rPr>
        <w:t>et al.</w:t>
      </w:r>
      <w:r>
        <w:rPr>
          <w:rFonts w:ascii="Helvetica" w:hAnsi="Helvetica"/>
          <w:caps w:val="false"/>
          <w:smallCaps w:val="false"/>
          <w:color w:val="000000"/>
          <w:spacing w:val="0"/>
          <w:sz w:val="14"/>
          <w:szCs w:val="14"/>
        </w:rPr>
        <w:t> </w:t>
      </w:r>
      <w:r>
        <w:rPr>
          <w:rFonts w:ascii="Helvetica" w:hAnsi="Helvetica"/>
          <w:b w:val="false"/>
          <w:i w:val="false"/>
          <w:caps w:val="false"/>
          <w:smallCaps w:val="false"/>
          <w:color w:val="000000"/>
          <w:spacing w:val="0"/>
          <w:sz w:val="14"/>
          <w:szCs w:val="14"/>
        </w:rPr>
        <w:t>Neural dynamics for working memory and evidence integration during olfactory navigation in </w:t>
      </w:r>
      <w:r>
        <w:rPr>
          <w:rFonts w:ascii="Helvetica" w:hAnsi="Helvetica"/>
          <w:b w:val="false"/>
          <w:i/>
          <w:color w:val="000000"/>
          <w:spacing w:val="0"/>
          <w:sz w:val="14"/>
          <w:szCs w:val="14"/>
        </w:rPr>
        <w:t>Drosophila</w:t>
      </w:r>
      <w:r>
        <w:rPr>
          <w:rFonts w:ascii="Helvetica" w:hAnsi="Helvetica"/>
          <w:b w:val="false"/>
          <w:i w:val="false"/>
          <w:caps w:val="false"/>
          <w:smallCaps w:val="false"/>
          <w:color w:val="000000"/>
          <w:spacing w:val="0"/>
          <w:sz w:val="14"/>
          <w:szCs w:val="14"/>
        </w:rPr>
        <w:t>. </w:t>
      </w:r>
      <w:r>
        <w:rPr>
          <w:rFonts w:ascii="Helvetica" w:hAnsi="Helvetica"/>
          <w:b w:val="false"/>
          <w:i/>
          <w:color w:val="000000"/>
          <w:spacing w:val="0"/>
          <w:sz w:val="14"/>
          <w:szCs w:val="14"/>
        </w:rPr>
        <w:t xml:space="preserve">Nat Commun </w:t>
      </w:r>
      <w:r>
        <w:rPr>
          <w:rFonts w:ascii="Helvetica" w:hAnsi="Helvetica"/>
          <w:b w:val="false"/>
          <w:i w:val="false"/>
          <w:caps w:val="false"/>
          <w:smallCaps w:val="false"/>
          <w:color w:val="000000"/>
          <w:spacing w:val="0"/>
          <w:sz w:val="14"/>
          <w:szCs w:val="14"/>
        </w:rPr>
        <w:t>17, 9082 (2026). https://doi.org/10.1038/s41467-026-75945-2</w:t>
      </w:r>
    </w:p>
    <w:p>
      <w:pPr>
        <w:pStyle w:val="Bibliography"/>
        <w:rPr>
          <w:rFonts w:ascii="Helvetica" w:hAnsi="Helvetica"/>
          <w:sz w:val="14"/>
          <w:szCs w:val="14"/>
        </w:rPr>
      </w:pPr>
      <w:r>
        <w:rPr>
          <w:rFonts w:ascii="Helvetica" w:hAnsi="Helvetica"/>
          <w:sz w:val="14"/>
          <w:szCs w:val="14"/>
          <w:lang w:val="en-US"/>
        </w:rPr>
        <w:t xml:space="preserve">2. Matheson, A. M. M., Lanz, A. J., Medina, A. M., Licata, A. M., Currier, T. A., Syed, M. H., &amp; Nagel, K. I. (2022). A neural circuit for wind-guided olfactory navigation. </w:t>
      </w:r>
      <w:r>
        <w:rPr>
          <w:rFonts w:ascii="Helvetica" w:hAnsi="Helvetica"/>
          <w:i/>
          <w:iCs/>
          <w:sz w:val="14"/>
          <w:szCs w:val="14"/>
          <w:lang w:val="en-US"/>
        </w:rPr>
        <w:t>Nature Communications</w:t>
      </w:r>
      <w:r>
        <w:rPr>
          <w:rFonts w:ascii="Helvetica" w:hAnsi="Helvetica"/>
          <w:sz w:val="14"/>
          <w:szCs w:val="14"/>
          <w:lang w:val="en-US"/>
        </w:rPr>
        <w:t xml:space="preserve">, </w:t>
      </w:r>
      <w:r>
        <w:rPr>
          <w:rFonts w:ascii="Helvetica" w:hAnsi="Helvetica"/>
          <w:i/>
          <w:iCs/>
          <w:sz w:val="14"/>
          <w:szCs w:val="14"/>
          <w:lang w:val="en-US"/>
        </w:rPr>
        <w:t>13</w:t>
      </w:r>
      <w:r>
        <w:rPr>
          <w:rFonts w:ascii="Helvetica" w:hAnsi="Helvetica"/>
          <w:sz w:val="14"/>
          <w:szCs w:val="14"/>
          <w:lang w:val="en-US"/>
        </w:rPr>
        <w:t>(1), 4613. https://doi.org/10.1038/s41467-022-32247-7</w:t>
      </w:r>
    </w:p>
    <w:p>
      <w:pPr>
        <w:pStyle w:val="Normal"/>
        <w:widowControl/>
        <w:bidi w:val="0"/>
        <w:spacing w:lineRule="auto" w:line="278" w:before="0" w:after="160"/>
        <w:jc w:val="start"/>
        <w:rPr/>
      </w:pPr>
      <w:r>
        <w:rPr/>
      </w:r>
    </w:p>
    <w:sectPr>
      <w:type w:val="nextPage"/>
      <w:pgSz w:w="12240" w:h="15840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Aptos">
    <w:charset w:val="01" w:characterSet="utf-8"/>
    <w:family w:val="roman"/>
    <w:pitch w:val="variable"/>
  </w:font>
  <w:font w:name="Aptos Display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Helvetica">
    <w:altName w:val="Arial"/>
    <w:charset w:val="01" w:characterSet="utf-8"/>
    <w:family w:val="roman"/>
    <w:pitch w:val="variable"/>
  </w:font>
  <w:font w:name="Helvetica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CA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Aptos" w:cs="" w:asciiTheme="minorHAnsi" w:cstheme="minorBidi" w:eastAsiaTheme="minorHAnsi" w:hAnsiTheme="minorHAns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4b1833"/>
    <w:pPr>
      <w:widowControl/>
      <w:bidi w:val="0"/>
      <w:spacing w:lineRule="auto" w:line="278" w:before="0" w:after="160"/>
      <w:jc w:val="start"/>
    </w:pPr>
    <w:rPr>
      <w:rFonts w:ascii="Aptos" w:hAnsi="Aptos" w:eastAsia="Aptos" w:cs="" w:asciiTheme="minorHAnsi" w:cstheme="minorBidi" w:eastAsiaTheme="minorHAnsi" w:hAnsiTheme="minorHAnsi"/>
      <w:color w:val="auto"/>
      <w:kern w:val="2"/>
      <w:sz w:val="24"/>
      <w:szCs w:val="24"/>
      <w:lang w:val="en-CA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833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1833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1833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1833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1833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1833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1833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1833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1833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4b183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4b1833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4b1833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4b1833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4b1833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4b1833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4b1833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4b1833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4b1833"/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4b1833"/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4b1833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QuoteChar" w:customStyle="1">
    <w:name w:val="Quote Char"/>
    <w:basedOn w:val="DefaultParagraphFont"/>
    <w:link w:val="Quote"/>
    <w:uiPriority w:val="29"/>
    <w:qFormat/>
    <w:rsid w:val="004b1833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4b1833"/>
    <w:rPr>
      <w:i/>
      <w:iCs/>
      <w:color w:themeColor="accent1" w:themeShade="bf" w:val="0F4761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4b1833"/>
    <w:rPr>
      <w:i/>
      <w:iCs/>
      <w:color w:themeColor="accent1" w:themeShade="bf" w:val="0F4761"/>
    </w:rPr>
  </w:style>
  <w:style w:type="character" w:styleId="IntenseReference">
    <w:name w:val="Intense Reference"/>
    <w:basedOn w:val="DefaultParagraphFont"/>
    <w:uiPriority w:val="32"/>
    <w:qFormat/>
    <w:rsid w:val="004b1833"/>
    <w:rPr>
      <w:b/>
      <w:bCs/>
      <w:smallCaps/>
      <w:color w:themeColor="accent1" w:themeShade="bf" w:val="0F4761"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Normal"/>
    <w:link w:val="TitleChar"/>
    <w:uiPriority w:val="10"/>
    <w:qFormat/>
    <w:rsid w:val="004b1833"/>
    <w:pPr>
      <w:spacing w:lineRule="auto" w:line="240" w:before="0" w:after="80"/>
      <w:contextualSpacing/>
    </w:pPr>
    <w:rPr>
      <w:rFonts w:ascii="Aptos Display" w:hAnsi="Aptos Display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1833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1833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4b1833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IntenseQuoteChar"/>
    <w:uiPriority w:val="30"/>
    <w:qFormat/>
    <w:rsid w:val="004b1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0F4761"/>
    </w:rPr>
  </w:style>
  <w:style w:type="paragraph" w:styleId="Bibliography">
    <w:name w:val="Bibliography"/>
    <w:basedOn w:val="Normal"/>
    <w:next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4b1833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LibreOffice/25.8.3.2$MacOSX_AARCH64 LibreOffice_project/8ca8d55c161d602844f5428fa4b58097424e324e</Application>
  <AppVersion>15.0000</AppVersion>
  <Pages>1</Pages>
  <Words>391</Words>
  <Characters>2580</Characters>
  <CharactersWithSpaces>2903</CharactersWithSpaces>
  <Paragraphs>74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2026-08-27T05:36:00Z</dcterms:created>
  <dc:creator>Christina May</dc:creator>
  <dc:description/>
  <dc:language>en-US</dc:language>
  <cp:lastModifiedBy/>
  <dcterms:modified xsi:type="dcterms:W3CDTF">2026-09-28T09:13:44Z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