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Fonts w:ascii="Helvetica" w:hAnsi="Helvetica"/>
          <w:b/>
          <w:bCs/>
          <w:sz w:val="22"/>
          <w:szCs w:val="22"/>
        </w:rPr>
        <w:t>Supplementary Table 3: Fly Reagents</w:t>
      </w:r>
      <w:r>
        <w:rPr>
          <w:rFonts w:ascii="Helvetica" w:hAnsi="Helvetica"/>
          <w:sz w:val="22"/>
          <w:szCs w:val="22"/>
        </w:rPr>
        <w:t xml:space="preserve">. </w:t>
      </w:r>
    </w:p>
    <w:tbl>
      <w:tblPr>
        <w:tblStyle w:val="TableGrid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3409"/>
        <w:gridCol w:w="3207"/>
        <w:gridCol w:w="2734"/>
      </w:tblGrid>
      <w:tr>
        <w:trPr/>
        <w:tc>
          <w:tcPr>
            <w:tcW w:w="3409" w:type="dxa"/>
            <w:tcBorders/>
            <w:shd w:color="auto" w:fill="A6A6A6" w:themeFill="background1" w:themeFillShade="a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b/>
                <w:bCs/>
                <w:kern w:val="2"/>
                <w:sz w:val="14"/>
                <w:szCs w:val="14"/>
                <w:lang w:val="en-CA" w:eastAsia="en-US" w:bidi="ar-SA"/>
              </w:rPr>
              <w:t>Reagent</w:t>
            </w:r>
          </w:p>
        </w:tc>
        <w:tc>
          <w:tcPr>
            <w:tcW w:w="3207" w:type="dxa"/>
            <w:tcBorders/>
            <w:shd w:color="auto" w:fill="A6A6A6" w:themeFill="background1" w:themeFillShade="a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b/>
                <w:bCs/>
                <w:kern w:val="2"/>
                <w:sz w:val="14"/>
                <w:szCs w:val="14"/>
                <w:lang w:val="en-CA" w:eastAsia="en-US" w:bidi="ar-SA"/>
              </w:rPr>
              <w:t>Source</w:t>
            </w:r>
          </w:p>
        </w:tc>
        <w:tc>
          <w:tcPr>
            <w:tcW w:w="2734" w:type="dxa"/>
            <w:tcBorders/>
            <w:shd w:color="auto" w:fill="A6A6A6" w:themeFill="background1" w:themeFillShade="a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b/>
                <w:bCs/>
                <w:kern w:val="2"/>
                <w:sz w:val="14"/>
                <w:szCs w:val="14"/>
                <w:lang w:val="en-CA" w:eastAsia="en-US" w:bidi="ar-SA"/>
              </w:rPr>
              <w:t>Identifier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w[1118],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vertAlign w:val="superscript"/>
                <w:lang w:val="en-CA" w:eastAsia="en-US" w:bidi="ar-SA"/>
              </w:rPr>
              <w:t xml:space="preserve"> 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20XUAS-IVS-jGCaMP7f (II)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RRID:BDSC_80906</w:t>
            </w:r>
          </w:p>
        </w:tc>
      </w:tr>
      <w:tr>
        <w:trPr/>
        <w:tc>
          <w:tcPr>
            <w:tcW w:w="34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w[*]; UAS-tdTom (II)</w:t>
            </w:r>
          </w:p>
        </w:tc>
        <w:tc>
          <w:tcPr>
            <w:tcW w:w="320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RRID:BDSC_36327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w[*]; 13XLexAop-GFP (II)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RRID:BDSC_52265</w:t>
            </w:r>
          </w:p>
        </w:tc>
      </w:tr>
      <w:tr>
        <w:trPr/>
        <w:tc>
          <w:tcPr>
            <w:tcW w:w="34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vertAlign w:val="superscript"/>
                <w:lang w:val="en-CA" w:eastAsia="en-US" w:bidi="ar-SA"/>
              </w:rPr>
              <w:t xml:space="preserve"> 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20XUAS-IVS-CsChrimson.mVenus (III)</w:t>
            </w:r>
          </w:p>
        </w:tc>
        <w:tc>
          <w:tcPr>
            <w:tcW w:w="320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RRID:BDSC_55136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LexAop-TNT (269b) (II)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Janelia; Sen et al., 2019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vertAlign w:val="superscript"/>
                <w:lang w:val="en-CA" w:eastAsia="en-US" w:bidi="ar-SA"/>
              </w:rPr>
              <w:t>1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N/A</w:t>
            </w:r>
          </w:p>
        </w:tc>
      </w:tr>
      <w:tr>
        <w:trPr/>
        <w:tc>
          <w:tcPr>
            <w:tcW w:w="34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w[1118];;10XUAS-IVS-mCD8::GFP (III)</w:t>
            </w:r>
          </w:p>
        </w:tc>
        <w:tc>
          <w:tcPr>
            <w:tcW w:w="320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RRID:BDSC_32187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yw; B3RT-vGlut-LexA/CyO,EYFP; UAS-B3, 13XLexAop-6XmCherry, 20XUAS-6XGFP/TM6c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Steven Stowers, Sherer et al., 2020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vertAlign w:val="superscript"/>
                <w:lang w:val="en-CA" w:eastAsia="en-US" w:bidi="ar-SA"/>
              </w:rPr>
              <w:t>2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N/A</w:t>
            </w:r>
          </w:p>
        </w:tc>
      </w:tr>
      <w:tr>
        <w:trPr/>
        <w:tc>
          <w:tcPr>
            <w:tcW w:w="34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 VT062617AD; VT037223DBD (SS63158)</w:t>
            </w:r>
          </w:p>
        </w:tc>
        <w:tc>
          <w:tcPr>
            <w:tcW w:w="320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Janelia, gift of Tanya Wolff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vertAlign w:val="superscript"/>
                <w:lang w:val="en-CA" w:eastAsia="en-US" w:bidi="ar-SA"/>
              </w:rPr>
              <w:t>3</w:t>
            </w:r>
          </w:p>
        </w:tc>
        <w:tc>
          <w:tcPr>
            <w:tcW w:w="27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Robot ID: 3044006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 VT017491AD; VT000355DBD (SS52590)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RRID:BDSC_86628</w:t>
            </w:r>
          </w:p>
        </w:tc>
      </w:tr>
      <w:tr>
        <w:trPr/>
        <w:tc>
          <w:tcPr>
            <w:tcW w:w="34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w[1118];; VT062617-Gal4 (III)</w:t>
            </w:r>
          </w:p>
        </w:tc>
        <w:tc>
          <w:tcPr>
            <w:tcW w:w="320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VDRC</w:t>
            </w:r>
          </w:p>
        </w:tc>
        <w:tc>
          <w:tcPr>
            <w:tcW w:w="27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VDRC: 206875*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 VT062617-lexA (II)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Hamid et al., 2024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vertAlign w:val="superscript"/>
                <w:lang w:val="en-CA" w:eastAsia="en-US" w:bidi="ar-SA"/>
              </w:rPr>
              <w:t>4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N/A</w:t>
            </w:r>
          </w:p>
        </w:tc>
      </w:tr>
      <w:tr>
        <w:trPr/>
        <w:tc>
          <w:tcPr>
            <w:tcW w:w="34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w[1118];; 65C03-Gal4 (III)</w:t>
            </w:r>
          </w:p>
        </w:tc>
        <w:tc>
          <w:tcPr>
            <w:tcW w:w="320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RRID:BDSC_41290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w[1118];; 24C07-Gal4 (III)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RRID:BDSC_49074</w:t>
            </w:r>
          </w:p>
        </w:tc>
      </w:tr>
      <w:tr>
        <w:trPr/>
        <w:tc>
          <w:tcPr>
            <w:tcW w:w="34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 49B08AD (II)</w:t>
            </w:r>
          </w:p>
        </w:tc>
        <w:tc>
          <w:tcPr>
            <w:tcW w:w="320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RRID:BDSC_86664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w[1118];; VT063626DBD (III)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RRID:BDSC_73940</w:t>
            </w:r>
          </w:p>
        </w:tc>
      </w:tr>
      <w:tr>
        <w:trPr/>
        <w:tc>
          <w:tcPr>
            <w:tcW w:w="34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 VT013602AD; 78H12DBD (SS88825)</w:t>
            </w:r>
          </w:p>
        </w:tc>
        <w:tc>
          <w:tcPr>
            <w:tcW w:w="320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Janelia</w:t>
            </w:r>
          </w:p>
        </w:tc>
        <w:tc>
          <w:tcPr>
            <w:tcW w:w="27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Robot ID: 3046075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w[1118];; 36B06-Gal4 (III)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RRID:BDSC_49929</w:t>
            </w:r>
          </w:p>
        </w:tc>
      </w:tr>
      <w:tr>
        <w:trPr/>
        <w:tc>
          <w:tcPr>
            <w:tcW w:w="34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w[1118];; 21D07-Gal4 (III)</w:t>
            </w:r>
          </w:p>
        </w:tc>
        <w:tc>
          <w:tcPr>
            <w:tcW w:w="320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BDSC</w:t>
            </w:r>
          </w:p>
        </w:tc>
        <w:tc>
          <w:tcPr>
            <w:tcW w:w="27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RRID:BDSC_48943</w:t>
            </w:r>
          </w:p>
        </w:tc>
      </w:tr>
    </w:tbl>
    <w:p>
      <w:pPr>
        <w:pStyle w:val="Normal"/>
        <w:rPr>
          <w:rFonts w:ascii="Helvetica" w:hAnsi="Helvetica"/>
          <w:sz w:val="14"/>
          <w:szCs w:val="14"/>
        </w:rPr>
      </w:pPr>
      <w:r>
        <w:rPr>
          <w:rFonts w:ascii="Helvetica" w:hAnsi="Helvetica"/>
          <w:sz w:val="14"/>
          <w:szCs w:val="14"/>
        </w:rPr>
        <w:t>*no longer available</w:t>
      </w:r>
    </w:p>
    <w:p>
      <w:pPr>
        <w:pStyle w:val="Normal"/>
        <w:rPr>
          <w:rFonts w:ascii="Helvetica" w:hAnsi="Helvetica"/>
          <w:sz w:val="14"/>
          <w:szCs w:val="14"/>
        </w:rPr>
      </w:pPr>
      <w:r>
        <w:rPr>
          <w:rFonts w:ascii="Helvetica" w:hAnsi="Helvetica"/>
          <w:sz w:val="14"/>
          <w:szCs w:val="14"/>
        </w:rPr>
        <w:t>References:</w:t>
      </w:r>
    </w:p>
    <w:p>
      <w:pPr>
        <w:pStyle w:val="Normal"/>
        <w:rPr>
          <w:rFonts w:ascii="Helvetica" w:hAnsi="Helvetica"/>
          <w:sz w:val="14"/>
          <w:szCs w:val="14"/>
        </w:rPr>
      </w:pPr>
      <w:r>
        <w:rPr>
          <w:rFonts w:ascii="Helvetica" w:hAnsi="Helvetica"/>
          <w:color w:val="000000"/>
          <w:sz w:val="14"/>
          <w:szCs w:val="14"/>
          <w:lang w:val="en-US"/>
        </w:rPr>
        <w:t xml:space="preserve">1. Sen, R., Wang, K., &amp; Dickson, B. J. (2019). TwoLumps Ascending Neurons Mediate Touch-Evoked Reversal of Walking Direction in Drosophila. </w:t>
      </w:r>
      <w:r>
        <w:rPr>
          <w:rFonts w:ascii="Helvetica" w:hAnsi="Helvetica"/>
          <w:i/>
          <w:iCs/>
          <w:color w:val="000000"/>
          <w:sz w:val="14"/>
          <w:szCs w:val="14"/>
          <w:lang w:val="en-US"/>
        </w:rPr>
        <w:t>Current Biology, 29</w:t>
      </w:r>
      <w:r>
        <w:rPr>
          <w:rFonts w:ascii="Helvetica" w:hAnsi="Helvetica"/>
          <w:iCs/>
          <w:color w:val="000000"/>
          <w:sz w:val="14"/>
          <w:szCs w:val="14"/>
          <w:lang w:val="en-US"/>
        </w:rPr>
        <w:t>(24), 4337-4344. doi: 10.1016/j.cub.2019.11.004</w:t>
      </w:r>
    </w:p>
    <w:p>
      <w:pPr>
        <w:pStyle w:val="Normal"/>
        <w:rPr>
          <w:rFonts w:ascii="Helvetica" w:hAnsi="Helvetica"/>
          <w:sz w:val="14"/>
          <w:szCs w:val="14"/>
        </w:rPr>
      </w:pPr>
      <w:r>
        <w:rPr>
          <w:rFonts w:ascii="Helvetica" w:hAnsi="Helvetica"/>
          <w:iCs/>
          <w:color w:val="000000"/>
          <w:sz w:val="14"/>
          <w:szCs w:val="14"/>
          <w:lang w:val="en-US"/>
        </w:rPr>
        <w:t>2</w:t>
      </w:r>
      <w:r>
        <w:rPr>
          <w:rFonts w:ascii="Helvetica" w:hAnsi="Helvetica"/>
          <w:iCs/>
          <w:color w:val="000000"/>
          <w:sz w:val="14"/>
          <w:szCs w:val="14"/>
          <w:lang w:val="en-US"/>
        </w:rPr>
        <w:t xml:space="preserve">. Sherer, L. M., Garrett, E. C., Morgan, H. R., Brewer, E. D., Sirrs, L. A., Shearin, H. K., Williams, J. L., McCabe, B. D., Stowers, R. S., &amp; Cartel, S. J. (2020). Octopamine neuron dependent aggression requires dVGLUT from dual-transmitting neurons. </w:t>
      </w:r>
      <w:r>
        <w:rPr>
          <w:rFonts w:ascii="Helvetica" w:hAnsi="Helvetica"/>
          <w:i/>
          <w:color w:val="000000"/>
          <w:sz w:val="14"/>
          <w:szCs w:val="14"/>
          <w:lang w:val="en-US"/>
        </w:rPr>
        <w:t>PLos Genetics, 16</w:t>
      </w:r>
      <w:r>
        <w:rPr>
          <w:rFonts w:ascii="Helvetica" w:hAnsi="Helvetica"/>
          <w:color w:val="000000"/>
          <w:sz w:val="14"/>
          <w:szCs w:val="14"/>
          <w:lang w:val="en-US"/>
        </w:rPr>
        <w:t>(2), e1008609.</w:t>
      </w:r>
      <w:r>
        <w:rPr>
          <w:rFonts w:ascii="Helvetica" w:hAnsi="Helvetica"/>
          <w:color w:val="000000"/>
          <w:sz w:val="14"/>
          <w:szCs w:val="14"/>
        </w:rPr>
        <w:t xml:space="preserve"> </w:t>
      </w:r>
      <w:r>
        <w:rPr>
          <w:rFonts w:ascii="Helvetica" w:hAnsi="Helvetica"/>
          <w:color w:val="000000"/>
          <w:sz w:val="14"/>
          <w:szCs w:val="14"/>
          <w:lang w:val="en-US"/>
        </w:rPr>
        <w:t>doi: 10.1371/journal.pgen.1008609.</w:t>
      </w:r>
    </w:p>
    <w:p>
      <w:pPr>
        <w:pStyle w:val="Bibliography"/>
        <w:rPr>
          <w:rFonts w:ascii="Helvetica" w:hAnsi="Helvetica"/>
          <w:sz w:val="14"/>
          <w:szCs w:val="14"/>
        </w:rPr>
      </w:pPr>
      <w:r>
        <w:rPr>
          <w:rFonts w:ascii="Helvetica" w:hAnsi="Helvetica"/>
          <w:color w:val="000000"/>
          <w:sz w:val="14"/>
          <w:szCs w:val="14"/>
          <w:lang w:val="en-US"/>
        </w:rPr>
        <w:t>3</w:t>
      </w:r>
      <w:r>
        <w:rPr>
          <w:rFonts w:ascii="Helvetica" w:hAnsi="Helvetica"/>
          <w:color w:val="000000"/>
          <w:sz w:val="14"/>
          <w:szCs w:val="14"/>
          <w:lang w:val="en-US"/>
        </w:rPr>
        <w:t xml:space="preserve">. Wolff, T., Eddison, M., Chen, N., Nern, A., Sundaramurthi, P., Sitaraman, D., &amp; Rubin, G. M. (2025). Cell type-specific driver lines targeting the Drosophila central complex and their use to investigate neuropeptide expression and sleep regulation. </w:t>
      </w:r>
      <w:r>
        <w:rPr>
          <w:rFonts w:ascii="Helvetica" w:hAnsi="Helvetica"/>
          <w:i/>
          <w:iCs/>
          <w:color w:val="000000"/>
          <w:sz w:val="14"/>
          <w:szCs w:val="14"/>
          <w:lang w:val="en-US"/>
        </w:rPr>
        <w:t>eLife</w:t>
      </w:r>
      <w:r>
        <w:rPr>
          <w:rFonts w:ascii="Helvetica" w:hAnsi="Helvetica"/>
          <w:color w:val="000000"/>
          <w:sz w:val="14"/>
          <w:szCs w:val="14"/>
          <w:lang w:val="en-US"/>
        </w:rPr>
        <w:t xml:space="preserve">, </w:t>
      </w:r>
      <w:r>
        <w:rPr>
          <w:rFonts w:ascii="Helvetica" w:hAnsi="Helvetica"/>
          <w:i/>
          <w:iCs/>
          <w:color w:val="000000"/>
          <w:sz w:val="14"/>
          <w:szCs w:val="14"/>
          <w:lang w:val="en-US"/>
        </w:rPr>
        <w:t>14</w:t>
      </w:r>
      <w:r>
        <w:rPr>
          <w:rFonts w:ascii="Helvetica" w:hAnsi="Helvetica"/>
          <w:color w:val="000000"/>
          <w:sz w:val="14"/>
          <w:szCs w:val="14"/>
          <w:lang w:val="en-US"/>
        </w:rPr>
        <w:t>, RP104764. https://doi.org/10.7554/eLife.104764</w:t>
      </w:r>
    </w:p>
    <w:p>
      <w:pPr>
        <w:pStyle w:val="Normal"/>
        <w:spacing w:before="0" w:after="160"/>
        <w:rPr>
          <w:rFonts w:ascii="Helvetica" w:hAnsi="Helvetica"/>
          <w:sz w:val="14"/>
          <w:szCs w:val="14"/>
        </w:rPr>
      </w:pPr>
      <w:r>
        <w:rPr>
          <w:rFonts w:ascii="Helvetica" w:hAnsi="Helvetica"/>
          <w:color w:val="000000"/>
          <w:sz w:val="14"/>
          <w:szCs w:val="14"/>
          <w:lang w:val="en-US"/>
        </w:rPr>
        <w:t>4</w:t>
      </w:r>
      <w:r>
        <w:rPr>
          <w:rFonts w:ascii="Helvetica" w:hAnsi="Helvetica"/>
          <w:color w:val="000000"/>
          <w:sz w:val="14"/>
          <w:szCs w:val="14"/>
          <w:lang w:val="en-US"/>
        </w:rPr>
        <w:t xml:space="preserve">. Hamid, A., Gattuso, H. Caglar, A. N., Pillai, M., Steele, T., Gonzalez, A., Nagel, K., &amp; Syed, M. H. (2024). The conserved RNA-binding protein Imp is required for the specification and function of olfactory navigation circuitry in Drosophila. </w:t>
      </w:r>
      <w:r>
        <w:rPr>
          <w:rFonts w:ascii="Helvetica" w:hAnsi="Helvetica"/>
          <w:i/>
          <w:iCs/>
          <w:color w:val="000000"/>
          <w:sz w:val="14"/>
          <w:szCs w:val="14"/>
          <w:lang w:val="en-US"/>
        </w:rPr>
        <w:t>Current Biology, 34</w:t>
      </w:r>
      <w:r>
        <w:rPr>
          <w:rFonts w:ascii="Helvetica" w:hAnsi="Helvetica"/>
          <w:color w:val="000000"/>
          <w:sz w:val="14"/>
          <w:szCs w:val="14"/>
          <w:lang w:val="en-US"/>
        </w:rPr>
        <w:t>(3), 473-488.</w:t>
      </w:r>
      <w:r>
        <w:rPr>
          <w:rFonts w:ascii="Helvetica" w:hAnsi="Helvetica"/>
          <w:color w:val="000000"/>
          <w:sz w:val="14"/>
          <w:szCs w:val="14"/>
        </w:rPr>
        <w:t xml:space="preserve"> </w:t>
      </w:r>
      <w:r>
        <w:rPr>
          <w:rFonts w:ascii="Helvetica" w:hAnsi="Helvetica"/>
          <w:color w:val="000000"/>
          <w:sz w:val="14"/>
          <w:szCs w:val="14"/>
          <w:lang w:val="en-US"/>
        </w:rPr>
        <w:t xml:space="preserve">doi: 10.1016/j.cub.2023.12.020 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roman"/>
    <w:pitch w:val="variable"/>
  </w:font>
  <w:font w:name="Aptos Display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Helvetica">
    <w:altName w:val="Arial"/>
    <w:charset w:val="01" w:characterSet="utf-8"/>
    <w:family w:val="roman"/>
    <w:pitch w:val="variable"/>
  </w:font>
  <w:font w:name="Helvetica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C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b0391"/>
    <w:pPr>
      <w:widowControl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n-CA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391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391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91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391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391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391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391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391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391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b0391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8b0391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8b0391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8b0391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8b0391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8b0391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8b0391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8b0391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8b0391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8b0391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b0391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8b0391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b0391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8b0391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b0391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rsid w:val="008b0391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391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391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b0391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8b0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Bibliography">
    <w:name w:val="Bibliography"/>
    <w:basedOn w:val="Normal"/>
    <w:next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b039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LibreOffice/25.8.3.2$MacOSX_AARCH64 LibreOffice_project/8ca8d55c161d602844f5428fa4b58097424e324e</Application>
  <AppVersion>15.0000</AppVersion>
  <Pages>1</Pages>
  <Words>288</Words>
  <Characters>1998</Characters>
  <CharactersWithSpaces>2224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2026-08-27T05:37:00Z</dcterms:created>
  <dc:creator>Christina May</dc:creator>
  <dc:description/>
  <dc:language>en-US</dc:language>
  <cp:lastModifiedBy/>
  <dcterms:modified xsi:type="dcterms:W3CDTF">2026-09-28T09:15:48Z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