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media/image3.png" ContentType="image/png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Heading3"/>
        <w:spacing w:lineRule="auto" w:line="331" w:before="0" w:after="0"/>
        <w:rPr/>
      </w:pPr>
      <w:r>
        <w:rPr>
          <w:i/>
          <w:color w:val="000000"/>
          <w:sz w:val="24"/>
          <w:szCs w:val="24"/>
        </w:rPr>
        <w:t xml:space="preserve">Supplementary information to: </w:t>
      </w:r>
      <w:r>
        <w:rPr>
          <w:rFonts w:eastAsia="AR PL SungtiL GB" w:cs="Lohit Devanagari"/>
          <w:b/>
          <w:bCs/>
          <w:i/>
          <w:color w:val="000000"/>
          <w:kern w:val="2"/>
          <w:sz w:val="24"/>
          <w:szCs w:val="24"/>
          <w:lang w:val="en-GB" w:eastAsia="zh-CN" w:bidi="hi-IN"/>
        </w:rPr>
        <w:t>EU-Trees</w:t>
      </w:r>
      <w:r>
        <w:rPr>
          <w:rFonts w:eastAsia="AR PL SungtiL GB" w:cs="Lohit Devanagari"/>
          <w:b/>
          <w:bCs/>
          <w:i/>
          <w:color w:val="000000"/>
          <w:kern w:val="2"/>
          <w:sz w:val="24"/>
          <w:szCs w:val="24"/>
          <w:lang w:val="en-GB" w:eastAsia="zh-CN" w:bidi="hi-IN"/>
        </w:rPr>
        <w:t>4</w:t>
      </w:r>
      <w:r>
        <w:rPr>
          <w:rFonts w:eastAsia="AR PL SungtiL GB" w:cs="Lohit Devanagari"/>
          <w:b/>
          <w:bCs/>
          <w:i/>
          <w:color w:val="000000"/>
          <w:kern w:val="2"/>
          <w:sz w:val="24"/>
          <w:szCs w:val="24"/>
          <w:lang w:val="en-GB" w:eastAsia="zh-CN" w:bidi="hi-IN"/>
        </w:rPr>
        <w:t xml:space="preserve">F, </w:t>
      </w:r>
      <w:r>
        <w:rPr>
          <w:rFonts w:eastAsia="AR PL SungtiL GB" w:cs="Lohit Devanagari"/>
          <w:b/>
          <w:bCs/>
          <w:i/>
          <w:color w:val="000000"/>
          <w:kern w:val="2"/>
          <w:sz w:val="24"/>
          <w:szCs w:val="24"/>
          <w:lang w:val="en-GB" w:eastAsia="zh-CN" w:bidi="hi-IN"/>
        </w:rPr>
        <w:t>a</w:t>
      </w:r>
      <w:r>
        <w:rPr>
          <w:i/>
          <w:color w:val="000000"/>
          <w:sz w:val="24"/>
          <w:szCs w:val="24"/>
        </w:rPr>
        <w:t xml:space="preserve"> dataset of the future distribution of European tree species</w:t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  <w:t>Supplementary material:</w:t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  <w:t xml:space="preserve">- </w:t>
      </w:r>
      <w:r>
        <w:rPr>
          <w:b/>
          <w:i/>
          <w:color w:val="000000"/>
        </w:rPr>
        <w:t>Table S1</w:t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  <w:t>- Figure S1</w:t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  <w:t>- Table S</w:t>
      </w:r>
      <w:r>
        <w:rPr>
          <w:b/>
          <w:i/>
          <w:color w:val="000000"/>
        </w:rPr>
        <w:t>2</w:t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  <w:t>- Figure S</w:t>
      </w:r>
      <w:r>
        <w:rPr>
          <w:b/>
          <w:i/>
          <w:color w:val="000000"/>
        </w:rPr>
        <w:t>2</w:t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  <w:t>- Table S</w:t>
      </w:r>
      <w:r>
        <w:rPr>
          <w:b/>
          <w:i/>
          <w:color w:val="000000"/>
        </w:rPr>
        <w:t>3</w:t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  <w:t>- Figure S</w:t>
      </w:r>
      <w:r>
        <w:rPr>
          <w:b/>
          <w:i/>
          <w:color w:val="000000"/>
        </w:rPr>
        <w:t>3</w:t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TextBody"/>
        <w:spacing w:lineRule="auto" w:line="331" w:before="0" w:after="0"/>
        <w:rPr>
          <w:b/>
          <w:b/>
          <w:i/>
          <w:i/>
          <w:color w:val="000000"/>
        </w:rPr>
      </w:pPr>
      <w:r>
        <w:rPr>
          <w:b/>
          <w:i/>
          <w:color w:val="000000"/>
        </w:rPr>
      </w:r>
    </w:p>
    <w:p>
      <w:pPr>
        <w:pStyle w:val="Normal"/>
        <w:rPr>
          <w:rFonts w:ascii="Liberation Sans" w:hAnsi="Liberation Sans"/>
          <w:b/>
          <w:b/>
          <w:bCs/>
          <w:color w:val="000000"/>
        </w:rPr>
      </w:pPr>
      <w:r>
        <w:rPr>
          <w:rFonts w:ascii="Liberation Sans" w:hAnsi="Liberation Sans"/>
          <w:b/>
          <w:bCs/>
          <w:color w:val="000000"/>
        </w:rPr>
      </w:r>
    </w:p>
    <w:tbl>
      <w:tblPr>
        <w:tblW w:w="9637" w:type="dxa"/>
        <w:jc w:val="left"/>
        <w:tblInd w:w="-60" w:type="dxa"/>
        <w:tblBorders/>
        <w:tblCellMar>
          <w:top w:w="0" w:type="dxa"/>
          <w:left w:w="30" w:type="dxa"/>
          <w:bottom w:w="0" w:type="dxa"/>
          <w:right w:w="30" w:type="dxa"/>
        </w:tblCellMar>
      </w:tblPr>
      <w:tblGrid>
        <w:gridCol w:w="2716"/>
        <w:gridCol w:w="1134"/>
        <w:gridCol w:w="2279"/>
        <w:gridCol w:w="1357"/>
        <w:gridCol w:w="975"/>
        <w:gridCol w:w="1176"/>
      </w:tblGrid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b/>
                <w:b/>
                <w:bCs/>
              </w:rPr>
            </w:pPr>
            <w:r>
              <w:rPr>
                <w:b/>
                <w:bCs/>
              </w:rPr>
              <w:t>Species name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3106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b/>
                <w:b/>
              </w:rPr>
            </w:pPr>
            <w:r>
              <w:rPr>
                <w:b/>
              </w:rPr>
              <w:t>MDD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Abies alba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70.5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68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800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Acer campestre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64.5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1.1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175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Acer opalus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77.5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153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Acer platanoides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124.3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1.0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482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Acer pseudoplatanus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90.6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1.0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5000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Alnus glutinosa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2.4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500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Alnus incana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1.2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494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Arbutus unedo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4.0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1761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Aria_edulis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61.7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949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Betula pendula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0.3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0.8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475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Betula pubescens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0.2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0.8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475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Borkhausenia_intermedia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78.7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727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Carpinus betulus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47.3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1.2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425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Carpinus orientalis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14.8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232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Castanea sativa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2,692.8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480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Celtis australis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195.8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1777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Ceratonia siliqua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196.8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16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648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C</w:t>
            </w:r>
            <w:r>
              <w:rPr>
                <w:i/>
              </w:rPr>
              <w:t>orylus avellana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</w:t>
            </w:r>
            <w:r>
              <w:rPr/>
              <w:t>192.3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15000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Cormus domestica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22.1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1296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Cupressus sempervirens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7.7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Fagus sylvatica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208.0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32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Fraxinus angustifolia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56.6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149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Fraxinus excelsior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60.2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43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725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Fraxinus ornus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29.9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146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Juglans regia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9,071.6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498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Juniperus thurifera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30.5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1381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Larix decidua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6.3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0.8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56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171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Laurus nobilis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374.8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1777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Malus sylvestris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23.4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1060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Olea europaea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249.4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1331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Ostrya carpinifolia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10.6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250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Picea abies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6.4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1.2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1500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Pinus brutia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43.6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376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Pinus cembra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256.5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12000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Pinus halepensis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20.6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27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402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Pinus nigra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20.1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7780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Pinus pinaster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54.8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5615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Pinus pinea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653.0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2814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Pinus sylvestris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7.9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0.7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646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Pistacia lentiscus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20.8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8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1777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Pistacia terebinthus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37.8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1777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Populus alba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0.1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1043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Populus nigra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0.3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58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789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Populus tremula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0.1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0.1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15745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Prunus avium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183.5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2220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Prunus padus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91.4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19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774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Pyrus communis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31.0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1198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Quercus cerris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3,683.5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472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Quercus coccifera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1,856.6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12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337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Quercus faginea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1,805.7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1777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Quercus frainetto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2,309.1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1777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Quercus ilex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1,740.8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546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Quercus petraea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1,523.1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6.5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Quercus pubescens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894.0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539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Quercus pyrenaica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1,305.7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532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Quercus robur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3,001.2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584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Quercus suber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3,621.9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546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Robinia pseudoacacia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19.0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5.7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1441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Salix alba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0.1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wind.special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984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Sorbus aucuparia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7.1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4.1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27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1613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Taxus baccata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58.1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5.6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29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1777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Tilia cordata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38.4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wind.none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1.3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43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373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Tilia platyphyllos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97.2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wind.none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1.7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373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Torminalis_glaberrima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74.8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animal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33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907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Ulmus glabra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10.9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wind.none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0.5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48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350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>
                <w:i/>
                <w:i/>
              </w:rPr>
            </w:pPr>
            <w:r>
              <w:rPr>
                <w:i/>
              </w:rPr>
              <w:t>Ulmus laevis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6.9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wind.none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35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350</w:t>
            </w:r>
          </w:p>
        </w:tc>
      </w:tr>
      <w:tr>
        <w:trPr>
          <w:trHeight w:val="256" w:hRule="atLeast"/>
        </w:trPr>
        <w:tc>
          <w:tcPr>
            <w:tcW w:w="2716" w:type="dxa"/>
            <w:tcBorders/>
            <w:shd w:fill="auto" w:val="clear"/>
            <w:vAlign w:val="bottom"/>
          </w:tcPr>
          <w:p>
            <w:pPr>
              <w:pStyle w:val="Normal"/>
              <w:rPr/>
            </w:pPr>
            <w:r>
              <w:rPr/>
              <w:t>Ulmus minor</w:t>
            </w:r>
          </w:p>
        </w:tc>
        <w:tc>
          <w:tcPr>
            <w:tcW w:w="1134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7.0</w:t>
            </w:r>
          </w:p>
        </w:tc>
        <w:tc>
          <w:tcPr>
            <w:tcW w:w="2279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wind.none</w:t>
            </w:r>
          </w:p>
        </w:tc>
        <w:tc>
          <w:tcPr>
            <w:tcW w:w="1357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>
                <w:i/>
                <w:i/>
                <w:iCs/>
              </w:rPr>
            </w:pPr>
            <w:r>
              <w:rPr>
                <w:i/>
                <w:iCs/>
              </w:rPr>
              <w:t>n.a.</w:t>
            </w:r>
          </w:p>
        </w:tc>
        <w:tc>
          <w:tcPr>
            <w:tcW w:w="975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40</w:t>
            </w:r>
          </w:p>
        </w:tc>
        <w:tc>
          <w:tcPr>
            <w:tcW w:w="1176" w:type="dxa"/>
            <w:tcBorders/>
            <w:shd w:fill="auto" w:val="clear"/>
            <w:vAlign w:val="bottom"/>
          </w:tcPr>
          <w:p>
            <w:pPr>
              <w:pStyle w:val="Normal"/>
              <w:jc w:val="center"/>
              <w:rPr/>
            </w:pPr>
            <w:r>
              <w:rPr/>
              <w:t>350</w:t>
            </w:r>
          </w:p>
        </w:tc>
      </w:tr>
    </w:tbl>
    <w:p>
      <w:pPr>
        <w:pStyle w:val="Normal"/>
        <w:rPr/>
      </w:pPr>
      <w:r>
        <w:rPr>
          <w:b/>
          <w:bCs/>
          <w:i w:val="false"/>
          <w:iCs w:val="false"/>
          <w:color w:val="000000"/>
        </w:rPr>
        <w:t>Table S</w:t>
      </w:r>
      <w:r>
        <w:rPr>
          <w:b/>
          <w:bCs/>
          <w:i w:val="false"/>
          <w:iCs w:val="false"/>
          <w:color w:val="000000"/>
        </w:rPr>
        <w:t>1</w:t>
      </w:r>
      <w:r>
        <w:rPr>
          <w:b/>
          <w:bCs/>
          <w:i w:val="false"/>
          <w:iCs w:val="false"/>
          <w:color w:val="000000"/>
        </w:rPr>
        <w:t xml:space="preserve">. </w:t>
      </w:r>
      <w:r>
        <w:rPr>
          <w:b w:val="false"/>
          <w:bCs w:val="false"/>
          <w:i w:val="false"/>
          <w:iCs w:val="false"/>
          <w:color w:val="000000"/>
        </w:rPr>
        <w:t xml:space="preserve">Functional traits used to compute maximum distance dispersal (MDD) </w:t>
      </w:r>
      <w:r>
        <w:rPr>
          <w:b w:val="false"/>
          <w:bCs w:val="false"/>
          <w:i w:val="false"/>
          <w:iCs w:val="false"/>
          <w:color w:val="000000"/>
        </w:rPr>
        <w:t xml:space="preserve">as described in Tamme </w:t>
      </w:r>
      <w:r>
        <w:rPr>
          <w:b w:val="false"/>
          <w:bCs w:val="false"/>
          <w:i/>
          <w:iCs/>
          <w:color w:val="000000"/>
        </w:rPr>
        <w:t>et al.</w:t>
      </w:r>
      <w:r>
        <w:rPr>
          <w:b w:val="false"/>
          <w:bCs w:val="false"/>
          <w:i w:val="false"/>
          <w:iCs w:val="false"/>
          <w:color w:val="000000"/>
        </w:rPr>
        <w:t xml:space="preserve"> (201</w:t>
      </w:r>
      <w:r>
        <w:rPr>
          <w:b w:val="false"/>
          <w:bCs w:val="false"/>
          <w:i w:val="false"/>
          <w:iCs w:val="false"/>
          <w:color w:val="000000"/>
        </w:rPr>
        <w:t>4</w:t>
      </w:r>
      <w:r>
        <w:rPr>
          <w:b w:val="false"/>
          <w:bCs w:val="false"/>
          <w:i w:val="false"/>
          <w:iCs w:val="false"/>
          <w:color w:val="000000"/>
        </w:rPr>
        <w:t>)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u w:val="none"/>
          <w:vertAlign w:val="superscript"/>
        </w:rPr>
        <w:t>1</w:t>
      </w:r>
      <w:r>
        <w:rPr>
          <w:b w:val="false"/>
          <w:bCs w:val="false"/>
          <w:i w:val="false"/>
          <w:iCs w:val="false"/>
          <w:color w:val="000000"/>
        </w:rPr>
        <w:t xml:space="preserve"> (see main text for more details)</w:t>
      </w:r>
      <w:r>
        <w:rPr>
          <w:b w:val="false"/>
          <w:bCs w:val="false"/>
          <w:i w:val="false"/>
          <w:iCs w:val="false"/>
          <w:color w:val="000000"/>
        </w:rPr>
        <w:t xml:space="preserve">. </w:t>
      </w:r>
      <w:r>
        <w:rPr>
          <w:b w:val="false"/>
          <w:bCs w:val="false"/>
          <w:i w:val="false"/>
          <w:iCs w:val="false"/>
          <w:color w:val="000000"/>
        </w:rPr>
        <w:t>Column field names correpond to “Traits ids” as used in the TRY database</w:t>
      </w:r>
      <w:r>
        <w:rPr>
          <w:b w:val="false"/>
          <w:bCs w:val="false"/>
          <w:i w:val="false"/>
          <w:iCs w:val="false"/>
          <w:caps w:val="false"/>
          <w:smallCaps w:val="false"/>
          <w:color w:val="000000"/>
          <w:u w:val="none"/>
          <w:vertAlign w:val="superscript"/>
        </w:rPr>
        <w:t>2</w:t>
      </w:r>
      <w:r>
        <w:rPr>
          <w:b w:val="false"/>
          <w:bCs w:val="false"/>
          <w:i w:val="false"/>
          <w:iCs w:val="false"/>
          <w:color w:val="000000"/>
        </w:rPr>
        <w:t xml:space="preserve"> from which the data were collected</w:t>
      </w:r>
      <w:r>
        <w:rPr>
          <w:b w:val="false"/>
          <w:bCs w:val="false"/>
          <w:i w:val="false"/>
          <w:iCs w:val="false"/>
          <w:color w:val="000000"/>
        </w:rPr>
        <w:t>: 26: seed dry mass; 28: dispersal syndrome, 66: Seed terminal velocity; 3106: plant vegetative height.</w:t>
      </w:r>
      <w:r>
        <w:br w:type="page"/>
      </w:r>
    </w:p>
    <w:p>
      <w:pPr>
        <w:pStyle w:val="TextBody"/>
        <w:spacing w:lineRule="auto" w:line="331" w:before="0" w:after="0"/>
        <w:rPr/>
      </w:pPr>
      <w:r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posOffset>-635</wp:posOffset>
            </wp:positionH>
            <wp:positionV relativeFrom="paragraph">
              <wp:posOffset>635</wp:posOffset>
            </wp:positionV>
            <wp:extent cx="6134735" cy="2153920"/>
            <wp:effectExtent l="0" t="0" r="0" b="0"/>
            <wp:wrapTopAndBottom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2433" t="0" r="2633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35" cy="215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</w:rPr>
        <w:t>Figure S1</w:t>
      </w:r>
      <w:r>
        <w:rPr>
          <w:b/>
          <w:bCs/>
          <w:i/>
          <w:color w:val="000000"/>
        </w:rPr>
        <w:t xml:space="preserve">. 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Comparison between 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the </w:t>
      </w:r>
      <w:r>
        <w:rPr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Querus ilex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 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potential suitable range (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according to ensemble SDM projections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, 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green + blue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) and the expected distribution 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as 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simulated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 using a d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ispersal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 model (Migclim, 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green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). 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The blue area represents the potential suitable range that is not occupied by </w:t>
      </w:r>
      <w:r>
        <w:rPr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Quercus ilex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 due to dispersal limitations.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 The current distribution is modelled based on Worldclim V1.4 climatology, and future distributions based on EURO-CORDEX data for the scenario RCP 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8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.5. The target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ed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 xml:space="preserve"> species (</w:t>
      </w:r>
      <w:r>
        <w:rPr>
          <w:b w:val="false"/>
          <w:bCs w:val="false"/>
          <w:i/>
          <w:iCs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Quercus ilex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) was arbitrar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i</w:t>
      </w:r>
      <w:r>
        <w:rPr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pacing w:val="0"/>
          <w:kern w:val="2"/>
          <w:sz w:val="24"/>
          <w:szCs w:val="24"/>
          <w:u w:val="none"/>
          <w:em w:val="none"/>
        </w:rPr>
        <w:t>ly chosen from the full set of tree species.</w:t>
      </w:r>
    </w:p>
    <w:p>
      <w:pPr>
        <w:pStyle w:val="TextBody"/>
        <w:spacing w:lineRule="auto" w:line="288" w:before="240" w:after="0"/>
        <w:rPr/>
      </w:pPr>
      <w:r>
        <w:rPr/>
      </w:r>
    </w:p>
    <w:p>
      <w:pPr>
        <w:pStyle w:val="TextBody"/>
        <w:spacing w:lineRule="auto" w:line="288" w:before="240" w:after="0"/>
        <w:rPr/>
      </w:pPr>
      <w:r>
        <w:rPr/>
      </w:r>
      <w:r>
        <w:br w:type="page"/>
      </w:r>
    </w:p>
    <w:tbl>
      <w:tblPr>
        <w:tblW w:w="9634" w:type="dxa"/>
        <w:jc w:val="left"/>
        <w:tblInd w:w="-44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41" w:type="dxa"/>
          <w:bottom w:w="55" w:type="dxa"/>
          <w:right w:w="55" w:type="dxa"/>
        </w:tblCellMar>
      </w:tblPr>
      <w:tblGrid>
        <w:gridCol w:w="4311"/>
        <w:gridCol w:w="5323"/>
      </w:tblGrid>
      <w:tr>
        <w:trPr/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pageBreakBefore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Climatic </w:t>
            </w:r>
            <w:r>
              <w:rPr>
                <w:b/>
                <w:bCs/>
                <w:sz w:val="20"/>
                <w:szCs w:val="20"/>
              </w:rPr>
              <w:t>parameters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b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Meaning</w:t>
            </w:r>
          </w:p>
        </w:tc>
      </w:tr>
      <w:tr>
        <w:trPr/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Winter Temperature </w:t>
            </w:r>
            <w:r>
              <w:rPr>
                <w:sz w:val="20"/>
                <w:szCs w:val="20"/>
              </w:rPr>
              <w:t>(tw*)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 </w:t>
            </w:r>
            <w:r>
              <w:rPr>
                <w:sz w:val="20"/>
                <w:szCs w:val="20"/>
              </w:rPr>
              <w:t xml:space="preserve">precipitation </w:t>
            </w:r>
            <w:r>
              <w:rPr>
                <w:sz w:val="20"/>
                <w:szCs w:val="20"/>
              </w:rPr>
              <w:t>of December-January-February</w:t>
            </w:r>
          </w:p>
        </w:tc>
      </w:tr>
      <w:tr>
        <w:trPr/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Summer Temperature </w:t>
            </w:r>
            <w:r>
              <w:rPr>
                <w:sz w:val="20"/>
                <w:szCs w:val="20"/>
              </w:rPr>
              <w:t xml:space="preserve">(ts) 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 </w:t>
            </w:r>
            <w:r>
              <w:rPr>
                <w:sz w:val="20"/>
                <w:szCs w:val="20"/>
              </w:rPr>
              <w:t xml:space="preserve">precipitation </w:t>
            </w:r>
            <w:r>
              <w:rPr>
                <w:sz w:val="20"/>
                <w:szCs w:val="20"/>
              </w:rPr>
              <w:t>of June-July-August</w:t>
            </w:r>
          </w:p>
        </w:tc>
      </w:tr>
      <w:tr>
        <w:trPr/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Winter Precipitation </w:t>
            </w:r>
            <w:r>
              <w:rPr>
                <w:sz w:val="20"/>
                <w:szCs w:val="20"/>
              </w:rPr>
              <w:t>(pw)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 </w:t>
            </w:r>
            <w:r>
              <w:rPr>
                <w:sz w:val="20"/>
                <w:szCs w:val="20"/>
              </w:rPr>
              <w:t>precipitation</w:t>
            </w:r>
            <w:r>
              <w:rPr>
                <w:sz w:val="20"/>
                <w:szCs w:val="20"/>
              </w:rPr>
              <w:t xml:space="preserve"> of December-January-February</w:t>
            </w:r>
          </w:p>
        </w:tc>
      </w:tr>
      <w:tr>
        <w:trPr/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Summer Precipitation </w:t>
            </w:r>
            <w:r>
              <w:rPr>
                <w:sz w:val="20"/>
                <w:szCs w:val="20"/>
              </w:rPr>
              <w:t>(ps)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Sum </w:t>
            </w:r>
            <w:r>
              <w:rPr>
                <w:sz w:val="20"/>
                <w:szCs w:val="20"/>
              </w:rPr>
              <w:t>precipitation</w:t>
            </w:r>
            <w:r>
              <w:rPr>
                <w:sz w:val="20"/>
                <w:szCs w:val="20"/>
              </w:rPr>
              <w:t xml:space="preserve"> of June-July-August</w:t>
            </w:r>
          </w:p>
        </w:tc>
      </w:tr>
      <w:tr>
        <w:trPr/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 Annual Temperature </w:t>
            </w:r>
            <w:r>
              <w:rPr>
                <w:sz w:val="20"/>
                <w:szCs w:val="20"/>
              </w:rPr>
              <w:t>(bio1)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Annual Temperature</w:t>
            </w:r>
          </w:p>
        </w:tc>
      </w:tr>
      <w:tr>
        <w:trPr/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Mean Tempearature of the Coldest Month </w:t>
            </w:r>
            <w:r>
              <w:rPr>
                <w:sz w:val="20"/>
                <w:szCs w:val="20"/>
              </w:rPr>
              <w:t>(bio6*)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Mean temperature of the coldest month of the year</w:t>
            </w:r>
          </w:p>
        </w:tc>
      </w:tr>
      <w:tr>
        <w:trPr/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Total Annual Precipitation </w:t>
            </w:r>
            <w:r>
              <w:rPr>
                <w:sz w:val="20"/>
                <w:szCs w:val="20"/>
              </w:rPr>
              <w:t>(bio12)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 Annual Precipitation</w:t>
            </w:r>
          </w:p>
        </w:tc>
      </w:tr>
      <w:tr>
        <w:trPr/>
        <w:tc>
          <w:tcPr>
            <w:tcW w:w="431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Precipiation seasonality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(bio15)</w:t>
            </w:r>
          </w:p>
        </w:tc>
        <w:tc>
          <w:tcPr>
            <w:tcW w:w="53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Precipitaton seasonality </w:t>
            </w:r>
            <w:r>
              <w:rPr>
                <w:sz w:val="20"/>
                <w:szCs w:val="20"/>
              </w:rPr>
              <w:t>(Coefficient of variation)</w:t>
            </w:r>
          </w:p>
        </w:tc>
      </w:tr>
      <w:tr>
        <w:trPr/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Continentality </w:t>
            </w:r>
            <w:r>
              <w:rPr>
                <w:sz w:val="20"/>
                <w:szCs w:val="20"/>
              </w:rPr>
              <w:t>(ci)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Average temperature of the warmest month – average temperature of the coldest month</w:t>
            </w:r>
          </w:p>
        </w:tc>
      </w:tr>
      <w:tr>
        <w:trPr/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Climatic Moisture</w:t>
            </w:r>
            <w:r>
              <w:rPr>
                <w:sz w:val="20"/>
                <w:szCs w:val="20"/>
              </w:rPr>
              <w:t xml:space="preserve"> Index </w:t>
            </w:r>
            <w:r>
              <w:rPr>
                <w:sz w:val="20"/>
                <w:szCs w:val="20"/>
              </w:rPr>
              <w:t>(Mi*)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This is the ratio between annual evaportraspiration and potential evapotranspiration</w:t>
            </w:r>
          </w:p>
        </w:tc>
      </w:tr>
      <w:tr>
        <w:trPr/>
        <w:tc>
          <w:tcPr>
            <w:tcW w:w="43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/>
            </w:pPr>
            <w:r>
              <w:rPr>
                <w:sz w:val="20"/>
                <w:szCs w:val="20"/>
              </w:rPr>
              <w:t xml:space="preserve">Growing Degree Days above </w:t>
            </w:r>
            <w:r>
              <w:rPr>
                <w:color w:val="000000"/>
                <w:sz w:val="20"/>
                <w:szCs w:val="20"/>
              </w:rPr>
              <w:t xml:space="preserve">5°C </w:t>
            </w:r>
            <w:r>
              <w:rPr>
                <w:color w:val="000000"/>
                <w:sz w:val="20"/>
                <w:szCs w:val="20"/>
              </w:rPr>
              <w:t>(GDD5*)</w:t>
            </w:r>
          </w:p>
        </w:tc>
        <w:tc>
          <w:tcPr>
            <w:tcW w:w="53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 of the mean monthly temperature greater than 5°C, multiplied by the number of days</w:t>
            </w:r>
          </w:p>
        </w:tc>
      </w:tr>
      <w:tr>
        <w:trPr/>
        <w:tc>
          <w:tcPr>
            <w:tcW w:w="431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Soil pH </w:t>
            </w:r>
            <w:r>
              <w:rPr>
                <w:sz w:val="20"/>
                <w:szCs w:val="20"/>
              </w:rPr>
              <w:t>(pH)</w:t>
            </w:r>
          </w:p>
        </w:tc>
        <w:tc>
          <w:tcPr>
            <w:tcW w:w="53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Soil pH m</w:t>
            </w:r>
            <w:r>
              <w:rPr>
                <w:sz w:val="20"/>
                <w:szCs w:val="20"/>
              </w:rPr>
              <w:t xml:space="preserve">easured in the top 15 cm of the soil </w:t>
            </w:r>
          </w:p>
        </w:tc>
      </w:tr>
      <w:tr>
        <w:trPr/>
        <w:tc>
          <w:tcPr>
            <w:tcW w:w="4311" w:type="dxa"/>
            <w:tcBorders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Organic Carbon Content </w:t>
            </w:r>
            <w:r>
              <w:rPr>
                <w:sz w:val="20"/>
                <w:szCs w:val="20"/>
              </w:rPr>
              <w:t>(occ)</w:t>
            </w:r>
          </w:p>
        </w:tc>
        <w:tc>
          <w:tcPr>
            <w:tcW w:w="53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</w:tcPr>
          <w:p>
            <w:pPr>
              <w:pStyle w:val="TableContents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Organic Carbon Content m</w:t>
            </w:r>
            <w:r>
              <w:rPr>
                <w:sz w:val="20"/>
                <w:szCs w:val="20"/>
              </w:rPr>
              <w:t xml:space="preserve">easured in the top 15 cm of the soil </w:t>
            </w:r>
          </w:p>
        </w:tc>
      </w:tr>
    </w:tbl>
    <w:p>
      <w:pPr>
        <w:pStyle w:val="Normal"/>
        <w:rPr/>
      </w:pPr>
      <w:r>
        <w:rPr>
          <w:b/>
          <w:bCs/>
        </w:rPr>
        <w:t>Table S</w:t>
      </w:r>
      <w:r>
        <w:rPr>
          <w:b/>
          <w:bCs/>
        </w:rPr>
        <w:t>2</w:t>
      </w:r>
      <w:r>
        <w:rPr>
          <w:b/>
          <w:bCs/>
        </w:rPr>
        <w:t>.</w:t>
      </w:r>
      <w:r>
        <w:rPr/>
        <w:t xml:space="preserve"> Climatic parameters used to drive the species distribution models. See methods for further details. </w:t>
      </w:r>
      <w:r>
        <w:rPr/>
        <w:t>The values with an astheriscs are the environmental parameters excluded after multi collinearity analysis (Figure S2).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posOffset>1206500</wp:posOffset>
            </wp:positionH>
            <wp:positionV relativeFrom="paragraph">
              <wp:posOffset>299720</wp:posOffset>
            </wp:positionV>
            <wp:extent cx="3906520" cy="3539490"/>
            <wp:effectExtent l="0" t="0" r="0" b="0"/>
            <wp:wrapTopAndBottom/>
            <wp:docPr id="2" name="Imag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5649" t="7174" r="895" b="81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6520" cy="3539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pacing w:lineRule="auto" w:line="288" w:before="240" w:after="0"/>
        <w:rPr>
          <w:rFonts w:ascii="Liberation Serif" w:hAnsi="Liberation Serif"/>
          <w:sz w:val="24"/>
          <w:szCs w:val="24"/>
        </w:rPr>
      </w:pPr>
      <w:r>
        <w:rPr>
          <w:b/>
          <w:bCs/>
          <w:sz w:val="24"/>
          <w:szCs w:val="24"/>
        </w:rPr>
        <w:t xml:space="preserve">Figure </w:t>
      </w:r>
      <w:r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Correlation matrix showing </w:t>
      </w:r>
      <w:r>
        <w:rPr>
          <w:rFonts w:eastAsia="Calibri" w:cs="Times New Roman"/>
          <w:b w:val="false"/>
          <w:bCs w:val="false"/>
          <w:color w:val="000000"/>
          <w:sz w:val="24"/>
          <w:szCs w:val="24"/>
        </w:rPr>
        <w:t xml:space="preserve">the pairwise Spearman’s correlation coefficient </w:t>
      </w:r>
      <w:r>
        <w:rPr>
          <w:sz w:val="24"/>
          <w:szCs w:val="24"/>
        </w:rPr>
        <w:t xml:space="preserve">among the environmental parameters considered </w:t>
      </w:r>
      <w:r>
        <w:rPr>
          <w:rFonts w:eastAsia="AR PL SungtiL GB" w:cs="Lohit Devanagari"/>
          <w:color w:val="auto"/>
          <w:kern w:val="2"/>
          <w:sz w:val="24"/>
          <w:szCs w:val="24"/>
          <w:lang w:val="en-GB" w:eastAsia="zh-CN" w:bidi="hi-IN"/>
        </w:rPr>
        <w:t>in the</w:t>
      </w:r>
      <w:r>
        <w:rPr>
          <w:sz w:val="24"/>
          <w:szCs w:val="24"/>
        </w:rPr>
        <w:t xml:space="preserve"> study. Mat = Mean Annual Temperature, Mtc = Mean Tempearature of the Coldest Month*, Ptot = Total Annual Precipitation, Pse = Precipiation seasonality, Ci = Continentality, Ps = Summer precipitation, Pw = Winter precipitation, Ts = Summer temperature*, Tw = Winter temperature, Gdd5 = Growing Degree Days above </w:t>
      </w:r>
      <w:r>
        <w:rPr>
          <w:color w:val="000000"/>
          <w:sz w:val="24"/>
          <w:szCs w:val="24"/>
        </w:rPr>
        <w:t>5°C*</w:t>
      </w:r>
      <w:r>
        <w:rPr>
          <w:sz w:val="24"/>
          <w:szCs w:val="24"/>
        </w:rPr>
        <w:t>, Mi = Climatic Moisture Index*, Occ = Organic Carbon Content, Ph = Soil pH. The values with an astheriscs are the environmental parameters excluded after multi collinearity analysis.</w:t>
      </w:r>
    </w:p>
    <w:p>
      <w:pPr>
        <w:pStyle w:val="Normal"/>
        <w:spacing w:lineRule="auto" w:line="288" w:before="240" w:after="0"/>
        <w:rPr/>
      </w:pPr>
      <w:r>
        <w:rPr/>
      </w:r>
      <w:r>
        <w:br w:type="page"/>
      </w:r>
    </w:p>
    <w:tbl>
      <w:tblPr>
        <w:tblW w:w="6110" w:type="dxa"/>
        <w:jc w:val="left"/>
        <w:tblInd w:w="-5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0" w:type="dxa"/>
          <w:left w:w="23" w:type="dxa"/>
          <w:bottom w:w="0" w:type="dxa"/>
          <w:right w:w="28" w:type="dxa"/>
        </w:tblCellMar>
      </w:tblPr>
      <w:tblGrid>
        <w:gridCol w:w="1718"/>
        <w:gridCol w:w="1357"/>
        <w:gridCol w:w="3035"/>
      </w:tblGrid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pageBreakBefore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Institute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RCM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rPr>
                <w:b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Driving GCM</w:t>
            </w:r>
          </w:p>
        </w:tc>
      </w:tr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CLM-Community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CCLM4-8-17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CNRM-CERFACS-CNRM-CM5</w:t>
            </w:r>
          </w:p>
        </w:tc>
      </w:tr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CLM-Community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CCLM4-8-17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ICHEC-EC-EARTH</w:t>
            </w:r>
          </w:p>
        </w:tc>
      </w:tr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CLM-Community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CCLM4-8-17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MPI-M-MPI-ESM-LR</w:t>
            </w:r>
          </w:p>
        </w:tc>
      </w:tr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DMI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HIRHAM5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ICHEC-EC-EARTH</w:t>
            </w:r>
          </w:p>
        </w:tc>
      </w:tr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IPSL-INERIS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WRF331F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IPSL-IPSL-CM5A-MR</w:t>
            </w:r>
          </w:p>
        </w:tc>
      </w:tr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KNMI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RACMO22E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ICHEC-EC-EARTH</w:t>
            </w:r>
          </w:p>
        </w:tc>
      </w:tr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SMHI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RCA4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CNRM-CERFACS-CNRM-CM5</w:t>
            </w:r>
          </w:p>
        </w:tc>
      </w:tr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SMHI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RCA4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ICHEC-EC-EARTH</w:t>
            </w:r>
          </w:p>
        </w:tc>
      </w:tr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SMHI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RCA4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IPSL-IPSL-CM5A-MR</w:t>
            </w:r>
          </w:p>
        </w:tc>
      </w:tr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SMHI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RCA4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MOHC-HadGEM2-ES</w:t>
            </w:r>
          </w:p>
        </w:tc>
      </w:tr>
      <w:tr>
        <w:trPr>
          <w:trHeight w:val="256" w:hRule="atLeast"/>
        </w:trPr>
        <w:tc>
          <w:tcPr>
            <w:tcW w:w="1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SMHI</w:t>
            </w:r>
          </w:p>
        </w:tc>
        <w:tc>
          <w:tcPr>
            <w:tcW w:w="13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RCA4</w:t>
            </w:r>
          </w:p>
        </w:tc>
        <w:tc>
          <w:tcPr>
            <w:tcW w:w="3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bottom"/>
          </w:tcPr>
          <w:p>
            <w:pPr>
              <w:pStyle w:val="Normal"/>
              <w:jc w:val="both"/>
              <w:rPr>
                <w:sz w:val="20"/>
                <w:szCs w:val="20"/>
                <w:lang w:val="it-IT"/>
              </w:rPr>
            </w:pPr>
            <w:r>
              <w:rPr>
                <w:sz w:val="20"/>
                <w:szCs w:val="20"/>
                <w:lang w:val="it-IT"/>
              </w:rPr>
              <w:t>MPI-M-MPI-ESM-LR</w:t>
            </w:r>
          </w:p>
        </w:tc>
      </w:tr>
    </w:tbl>
    <w:p>
      <w:pPr>
        <w:pStyle w:val="TextBody"/>
        <w:spacing w:lineRule="auto" w:line="288" w:before="240" w:after="0"/>
        <w:rPr/>
      </w:pPr>
      <w:r>
        <w:rPr>
          <w:b/>
          <w:bCs/>
        </w:rPr>
        <w:t>Table S</w:t>
      </w:r>
      <w:r>
        <w:rPr>
          <w:b/>
          <w:bCs/>
        </w:rPr>
        <w:t>3</w:t>
      </w:r>
      <w:r>
        <w:rPr>
          <w:b/>
          <w:bCs/>
        </w:rPr>
        <w:t xml:space="preserve">. </w:t>
      </w:r>
      <w:r>
        <w:rPr/>
        <w:t>Regional climate models (RCMs) used to project the species distribution model into the future. The driving Global Circulation Model (GCM) is indicated for each RCM in the right-hand column.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b/>
          <w:b/>
          <w:bCs/>
          <w:color w:val="000000"/>
        </w:rPr>
      </w:pPr>
      <w:r>
        <w:rPr>
          <w:rFonts w:ascii="Liberation Sans" w:hAnsi="Liberation Sans"/>
          <w:b/>
          <w:bCs/>
          <w:color w:val="000000"/>
        </w:rPr>
      </w:r>
    </w:p>
    <w:p>
      <w:pPr>
        <w:pStyle w:val="Normal"/>
        <w:rPr>
          <w:b/>
          <w:b/>
          <w:bCs/>
        </w:rPr>
      </w:pPr>
      <w:r>
        <w:rPr>
          <w:b/>
          <w:bCs/>
        </w:rPr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18860" cy="3671570"/>
            <wp:effectExtent l="0" t="0" r="0" b="0"/>
            <wp:wrapSquare wrapText="largest"/>
            <wp:docPr id="3" name="Image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8860" cy="3671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>
          <w:b/>
          <w:bCs/>
        </w:rPr>
        <w:t>Figure S</w:t>
      </w:r>
      <w:r>
        <w:rPr>
          <w:b/>
          <w:bCs/>
        </w:rPr>
        <w:t>3</w:t>
      </w:r>
      <w:r>
        <w:rPr>
          <w:b/>
          <w:bCs/>
        </w:rPr>
        <w:t>.</w:t>
      </w:r>
      <w:r>
        <w:rPr/>
        <w:t xml:space="preserve"> True skills statistics (TSS) scores for the species distribution models used to calculate the consensus ensemble projection: </w:t>
      </w:r>
      <w:r>
        <w:rPr>
          <w:color w:val="000000"/>
        </w:rPr>
        <w:t>Generalized Additive Model (GAM), G</w:t>
      </w:r>
      <w:r>
        <w:rPr/>
        <w:t xml:space="preserve">eneralized Boosting Model (GBM), </w:t>
      </w:r>
      <w:r>
        <w:rPr>
          <w:color w:val="000000"/>
        </w:rPr>
        <w:t>Generalized Linear Models (GLM), Multiple Adaptive Regression Splines (MARS)</w:t>
      </w:r>
      <w:r>
        <w:rPr>
          <w:color w:val="000000"/>
        </w:rPr>
        <w:t xml:space="preserve">, Maximum Entropy - Maxent (ME), Random Forest (RF). </w:t>
      </w:r>
      <w:r>
        <w:rPr>
          <w:color w:val="000000"/>
        </w:rPr>
        <w:t>Results are shown for the entire pool of tree species.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rPr>
          <w:b/>
          <w:b/>
          <w:bCs/>
          <w:color w:val="000000"/>
        </w:rPr>
      </w:pPr>
      <w:r>
        <w:rPr>
          <w:b/>
          <w:bCs/>
          <w:color w:val="000000"/>
        </w:rPr>
        <w:t>References</w:t>
      </w:r>
    </w:p>
    <w:p>
      <w:pPr>
        <w:sectPr>
          <w:headerReference w:type="default" r:id="rId5"/>
          <w:footerReference w:type="default" r:id="rId6"/>
          <w:type w:val="nextPage"/>
          <w:pgSz w:w="11906" w:h="16838"/>
          <w:pgMar w:left="1134" w:right="1134" w:header="0" w:top="1134" w:footer="0" w:bottom="1134" w:gutter="0"/>
          <w:pgNumType w:fmt="decimal"/>
          <w:formProt w:val="false"/>
          <w:textDirection w:val="lrTb"/>
          <w:docGrid w:type="default" w:linePitch="312" w:charSpace="0"/>
        </w:sectPr>
      </w:pPr>
    </w:p>
    <w:p>
      <w:pPr>
        <w:pStyle w:val="Bibliography1"/>
        <w:rPr/>
      </w:pPr>
      <w:r>
        <w:rPr/>
        <w:t>1.</w:t>
        <w:tab/>
        <w:t xml:space="preserve">Tamme, R. </w:t>
      </w:r>
      <w:r>
        <w:rPr>
          <w:i/>
        </w:rPr>
        <w:t>et al.</w:t>
      </w:r>
      <w:r>
        <w:rPr/>
        <w:t xml:space="preserve"> Predicting species’ maximum dispersal distances from simple plant traits. </w:t>
      </w:r>
      <w:r>
        <w:rPr>
          <w:i/>
        </w:rPr>
        <w:t>Ecology</w:t>
      </w:r>
      <w:r>
        <w:rPr/>
        <w:t xml:space="preserve"> </w:t>
      </w:r>
      <w:r>
        <w:rPr>
          <w:b/>
        </w:rPr>
        <w:t>95</w:t>
      </w:r>
      <w:r>
        <w:rPr/>
        <w:t>, 505–513 (2014).</w:t>
      </w:r>
    </w:p>
    <w:p>
      <w:pPr>
        <w:pStyle w:val="Bibliography1"/>
        <w:rPr/>
      </w:pPr>
      <w:r>
        <w:rPr/>
        <w:t>2.</w:t>
        <w:tab/>
        <w:t xml:space="preserve">Kattge, J. </w:t>
      </w:r>
      <w:r>
        <w:rPr>
          <w:i/>
        </w:rPr>
        <w:t>et al.</w:t>
      </w:r>
      <w:r>
        <w:rPr/>
        <w:t xml:space="preserve"> TRY plant trait database–enhanced coverage and open access. </w:t>
      </w:r>
      <w:r>
        <w:rPr>
          <w:i/>
        </w:rPr>
        <w:t>Glob. Change Biol.</w:t>
      </w:r>
      <w:r>
        <w:rPr/>
        <w:t xml:space="preserve"> </w:t>
      </w:r>
      <w:r>
        <w:rPr>
          <w:b/>
        </w:rPr>
        <w:t>26</w:t>
      </w:r>
      <w:r>
        <w:rPr/>
        <w:t>, 119–188 (2020).</w:t>
      </w:r>
    </w:p>
    <w:p>
      <w:pPr>
        <w:sectPr>
          <w:type w:val="continuous"/>
          <w:pgSz w:w="11906" w:h="16838"/>
          <w:pgMar w:left="1134" w:right="1134" w:header="0" w:top="1134" w:footer="0" w:bottom="1134" w:gutter="0"/>
          <w:formProt w:val="false"/>
          <w:textDirection w:val="lrTb"/>
          <w:docGrid w:type="default" w:linePitch="312" w:charSpace="0"/>
        </w:sectPr>
      </w:pPr>
    </w:p>
    <w:p>
      <w:pPr>
        <w:pStyle w:val="Normal"/>
        <w:rPr/>
      </w:pPr>
      <w:r>
        <w:rPr/>
      </w:r>
    </w:p>
    <w:sectPr>
      <w:type w:val="continuous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40"/>
  <w:displayBackgroundShape/>
  <w:trackRevisions/>
  <w:defaultTabStop w:val="720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Lohit Devanagari"/>
        <w:kern w:val="2"/>
        <w:szCs w:val="24"/>
        <w:lang w:val="en-GB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  <w:jc w:val="left"/>
    </w:pPr>
    <w:rPr>
      <w:rFonts w:ascii="Liberation Serif" w:hAnsi="Liberation Serif" w:eastAsia="AR PL SungtiL GB" w:cs="Lohit Devanagari"/>
      <w:color w:val="auto"/>
      <w:kern w:val="2"/>
      <w:sz w:val="24"/>
      <w:szCs w:val="24"/>
      <w:lang w:val="en-GB" w:eastAsia="zh-CN" w:bidi="hi-IN"/>
    </w:rPr>
  </w:style>
  <w:style w:type="paragraph" w:styleId="Heading3">
    <w:name w:val="Heading 3"/>
    <w:basedOn w:val="Heading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/>
      <w:b/>
      <w:bCs/>
    </w:rPr>
  </w:style>
  <w:style w:type="character" w:styleId="DefaultParagraphFont">
    <w:name w:val="Default Paragraph Font"/>
    <w:qFormat/>
    <w:rPr/>
  </w:style>
  <w:style w:type="character" w:styleId="InternetLink">
    <w:name w:val="Internet Link"/>
    <w:rPr>
      <w:color w:val="000080"/>
      <w:u w:val="single"/>
    </w:rPr>
  </w:style>
  <w:style w:type="character" w:styleId="ListLabel1">
    <w:name w:val="ListLabel 1"/>
    <w:qFormat/>
    <w:rPr/>
  </w:style>
  <w:style w:type="character" w:styleId="ListLabel15">
    <w:name w:val="ListLabel 15"/>
    <w:qFormat/>
    <w:rPr/>
  </w:style>
  <w:style w:type="character" w:styleId="ListLabel2">
    <w:name w:val="ListLabel 2"/>
    <w:qFormat/>
    <w:rPr>
      <w:color w:val="1155CC"/>
      <w:u w:val="single"/>
    </w:rPr>
  </w:style>
  <w:style w:type="character" w:styleId="ListLabel16">
    <w:name w:val="ListLabel 16"/>
    <w:qFormat/>
    <w:rPr>
      <w:color w:val="1155CC"/>
      <w:u w:val="single"/>
    </w:rPr>
  </w:style>
  <w:style w:type="character" w:styleId="CommentTextChar">
    <w:name w:val="Comment Text Char"/>
    <w:basedOn w:val="DefaultParagraphFont"/>
    <w:qFormat/>
    <w:rPr>
      <w:rFonts w:cs="Mangal"/>
      <w:sz w:val="20"/>
      <w:szCs w:val="18"/>
    </w:rPr>
  </w:style>
  <w:style w:type="character" w:styleId="Annotationreference">
    <w:name w:val="annotation reference"/>
    <w:basedOn w:val="DefaultParagraphFont"/>
    <w:qFormat/>
    <w:rPr>
      <w:sz w:val="16"/>
      <w:szCs w:val="16"/>
    </w:rPr>
  </w:style>
  <w:style w:type="character" w:styleId="BalloonTextChar">
    <w:name w:val="Balloon Text Char"/>
    <w:basedOn w:val="DefaultParagraphFont"/>
    <w:qFormat/>
    <w:rPr>
      <w:rFonts w:ascii="Segoe UI" w:hAnsi="Segoe UI" w:cs="Mangal"/>
      <w:sz w:val="18"/>
      <w:szCs w:val="16"/>
    </w:rPr>
  </w:style>
  <w:style w:type="character" w:styleId="CommentSubjectChar">
    <w:name w:val="Comment Subject Char"/>
    <w:basedOn w:val="CommentTextChar"/>
    <w:qFormat/>
    <w:rPr>
      <w:rFonts w:cs="Mangal"/>
      <w:b/>
      <w:bCs/>
      <w:sz w:val="20"/>
      <w:szCs w:val="18"/>
    </w:rPr>
  </w:style>
  <w:style w:type="character" w:styleId="HeaderChar">
    <w:name w:val="Header Char"/>
    <w:basedOn w:val="DefaultParagraphFont"/>
    <w:qFormat/>
    <w:rPr>
      <w:rFonts w:cs="Mangal"/>
      <w:sz w:val="24"/>
      <w:szCs w:val="21"/>
    </w:rPr>
  </w:style>
  <w:style w:type="character" w:styleId="FooterChar">
    <w:name w:val="Footer Char"/>
    <w:basedOn w:val="DefaultParagraphFont"/>
    <w:qFormat/>
    <w:rPr>
      <w:rFonts w:cs="Mangal"/>
      <w:sz w:val="24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Caption1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Bibliography1">
    <w:name w:val="Bibliography 1"/>
    <w:basedOn w:val="Index"/>
    <w:qFormat/>
    <w:pPr>
      <w:tabs>
        <w:tab w:val="left" w:pos="384" w:leader="none"/>
      </w:tabs>
      <w:spacing w:lineRule="atLeast" w:line="480"/>
      <w:ind w:left="384" w:right="0" w:hanging="384"/>
    </w:pPr>
    <w:rPr/>
  </w:style>
  <w:style w:type="paragraph" w:styleId="Annotationtext">
    <w:name w:val="annotation text"/>
    <w:basedOn w:val="Normal"/>
    <w:qFormat/>
    <w:pPr/>
    <w:rPr>
      <w:rFonts w:cs="Mangal"/>
      <w:sz w:val="20"/>
      <w:szCs w:val="18"/>
    </w:rPr>
  </w:style>
  <w:style w:type="paragraph" w:styleId="BalloonText">
    <w:name w:val="Balloon Text"/>
    <w:basedOn w:val="Normal"/>
    <w:qFormat/>
    <w:pPr/>
    <w:rPr>
      <w:rFonts w:ascii="Segoe UI" w:hAnsi="Segoe UI" w:cs="Mangal"/>
      <w:sz w:val="18"/>
      <w:szCs w:val="16"/>
    </w:rPr>
  </w:style>
  <w:style w:type="paragraph" w:styleId="Annotationsubject">
    <w:name w:val="annotation subject"/>
    <w:basedOn w:val="Annotationtext"/>
    <w:qFormat/>
    <w:pPr/>
    <w:rPr>
      <w:b/>
      <w:bCs/>
    </w:rPr>
  </w:style>
  <w:style w:type="paragraph" w:styleId="Header">
    <w:name w:val="Header"/>
    <w:basedOn w:val="Normal"/>
    <w:pPr>
      <w:tabs>
        <w:tab w:val="center" w:pos="4513" w:leader="none"/>
        <w:tab w:val="right" w:pos="9026" w:leader="none"/>
      </w:tabs>
    </w:pPr>
    <w:rPr>
      <w:rFonts w:cs="Mangal"/>
      <w:szCs w:val="21"/>
    </w:rPr>
  </w:style>
  <w:style w:type="paragraph" w:styleId="Footer">
    <w:name w:val="Footer"/>
    <w:basedOn w:val="Normal"/>
    <w:pPr>
      <w:tabs>
        <w:tab w:val="center" w:pos="4513" w:leader="none"/>
        <w:tab w:val="right" w:pos="9026" w:leader="none"/>
      </w:tabs>
    </w:pPr>
    <w:rPr>
      <w:rFonts w:cs="Mangal"/>
      <w:szCs w:val="21"/>
    </w:rPr>
  </w:style>
  <w:style w:type="paragraph" w:styleId="Standard">
    <w:name w:val="Standard"/>
    <w:qFormat/>
    <w:pPr>
      <w:widowControl/>
      <w:kinsoku w:val="true"/>
      <w:overflowPunct w:val="true"/>
      <w:autoSpaceDE w:val="true"/>
      <w:bidi w:val="0"/>
      <w:jc w:val="left"/>
    </w:pPr>
    <w:rPr>
      <w:rFonts w:ascii="Liberation Serif" w:hAnsi="Liberation Serif" w:eastAsia="AR PL SungtiL GB" w:cs="Lohit Devanagari"/>
      <w:color w:val="auto"/>
      <w:kern w:val="2"/>
      <w:sz w:val="24"/>
      <w:szCs w:val="24"/>
      <w:lang w:val="en-GB" w:eastAsia="zh-CN" w:bidi="hi-IN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932</TotalTime>
  <Application>LibreOffice/6.0.7.3$Linux_X86_64 LibreOffice_project/00m0$Build-3</Application>
  <Pages>9</Pages>
  <Words>1088</Words>
  <Characters>6129</Characters>
  <CharactersWithSpaces>6729</CharactersWithSpaces>
  <Paragraphs>489</Paragraphs>
  <Company>IES - JRC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2021-06-21T20:51:00Z</dcterms:created>
  <dc:creator>Giovanni Forzieri</dc:creator>
  <dc:description/>
  <dc:language>en-GB</dc:language>
  <cp:lastModifiedBy/>
  <dcterms:modified xsi:type="dcterms:W3CDTF">2021-11-17T12:25:09Z</dcterms:modified>
  <cp:revision>87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IES - JRC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  <property fmtid="{D5CDD505-2E9C-101B-9397-08002B2CF9AE}" pid="9" name="ZOTERO_PREF_1">
    <vt:lpwstr>&lt;data data-version="3" zotero-version="5.0.82"&gt;&lt;session id="aHzWVuc6"/&gt;&lt;style id="http://www.zotero.org/styles/nature" hasBibliography="1" bibliographyStyleHasBeenSet="1"/&gt;&lt;prefs&gt;&lt;pref name="fieldType" value="ReferenceMark"/&gt;&lt;pref name="automaticJournalAb</vt:lpwstr>
  </property>
  <property fmtid="{D5CDD505-2E9C-101B-9397-08002B2CF9AE}" pid="10" name="ZOTERO_PREF_2">
    <vt:lpwstr>breviations" value="true"/&gt;&lt;/prefs&gt;&lt;/data&gt;</vt:lpwstr>
  </property>
</Properties>
</file>