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33305" w14:textId="77777777" w:rsidR="00593D45" w:rsidRDefault="00EF1AF3" w:rsidP="00593D45">
      <w:pPr>
        <w:jc w:val="center"/>
        <w:rPr>
          <w:rFonts w:asciiTheme="majorHAnsi" w:hAnsiTheme="majorHAnsi" w:cstheme="majorHAnsi"/>
          <w:b/>
          <w:sz w:val="28"/>
          <w:szCs w:val="28"/>
          <w:lang w:val="en-GB"/>
        </w:rPr>
      </w:pPr>
      <w:r w:rsidRPr="00EF1AF3">
        <w:rPr>
          <w:rFonts w:asciiTheme="majorHAnsi" w:hAnsiTheme="majorHAnsi" w:cstheme="majorHAnsi"/>
          <w:b/>
          <w:sz w:val="28"/>
          <w:szCs w:val="28"/>
          <w:lang w:val="en-GB"/>
        </w:rPr>
        <w:t xml:space="preserve">The Dresden Surgical Anatomy Dataset for abdominal organ </w:t>
      </w:r>
    </w:p>
    <w:p w14:paraId="500AE915" w14:textId="5D91A3BB" w:rsidR="00EF1AF3" w:rsidRPr="00EF1AF3" w:rsidRDefault="00EF1AF3" w:rsidP="00593D45">
      <w:pPr>
        <w:jc w:val="center"/>
        <w:rPr>
          <w:rFonts w:asciiTheme="majorHAnsi" w:hAnsiTheme="majorHAnsi" w:cstheme="majorHAnsi"/>
          <w:b/>
          <w:sz w:val="28"/>
          <w:szCs w:val="28"/>
          <w:lang w:val="en-GB"/>
        </w:rPr>
      </w:pPr>
      <w:proofErr w:type="gramStart"/>
      <w:r w:rsidRPr="00EF1AF3">
        <w:rPr>
          <w:rFonts w:asciiTheme="majorHAnsi" w:hAnsiTheme="majorHAnsi" w:cstheme="majorHAnsi"/>
          <w:b/>
          <w:sz w:val="28"/>
          <w:szCs w:val="28"/>
          <w:lang w:val="en-GB"/>
        </w:rPr>
        <w:t>segmentation</w:t>
      </w:r>
      <w:proofErr w:type="gramEnd"/>
      <w:r w:rsidRPr="00EF1AF3">
        <w:rPr>
          <w:rFonts w:asciiTheme="majorHAnsi" w:hAnsiTheme="majorHAnsi" w:cstheme="majorHAnsi"/>
          <w:b/>
          <w:sz w:val="28"/>
          <w:szCs w:val="28"/>
          <w:lang w:val="en-GB"/>
        </w:rPr>
        <w:t xml:space="preserve"> in surgical data science</w:t>
      </w:r>
    </w:p>
    <w:p w14:paraId="0481E137" w14:textId="77777777" w:rsidR="00593D45" w:rsidRPr="00593D45" w:rsidRDefault="00593D45" w:rsidP="00593D45">
      <w:pPr>
        <w:spacing w:line="240" w:lineRule="auto"/>
        <w:jc w:val="both"/>
        <w:rPr>
          <w:rFonts w:asciiTheme="majorHAnsi" w:hAnsiTheme="majorHAnsi" w:cstheme="majorHAnsi"/>
          <w:b/>
          <w:sz w:val="16"/>
          <w:szCs w:val="26"/>
          <w:lang w:val="en-GB"/>
        </w:rPr>
      </w:pPr>
    </w:p>
    <w:p w14:paraId="4D9CA405" w14:textId="6049A669" w:rsidR="00EF1AF3" w:rsidRPr="00EC34F3" w:rsidRDefault="00C71841" w:rsidP="00EF1AF3">
      <w:pPr>
        <w:spacing w:after="240" w:line="240" w:lineRule="auto"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EC34F3">
        <w:rPr>
          <w:rFonts w:asciiTheme="majorHAnsi" w:hAnsiTheme="majorHAnsi" w:cstheme="majorHAnsi"/>
          <w:b/>
          <w:sz w:val="26"/>
          <w:szCs w:val="26"/>
          <w:lang w:val="en-GB"/>
        </w:rPr>
        <w:t>Supplementary File 2</w:t>
      </w:r>
      <w:r w:rsidR="00EF1AF3" w:rsidRPr="00EC34F3">
        <w:rPr>
          <w:rFonts w:asciiTheme="majorHAnsi" w:hAnsiTheme="majorHAnsi" w:cstheme="majorHAnsi"/>
          <w:b/>
          <w:sz w:val="26"/>
          <w:szCs w:val="26"/>
          <w:lang w:val="en-GB"/>
        </w:rPr>
        <w:t>: Guideline for the segmentation of anatomical structures</w:t>
      </w:r>
    </w:p>
    <w:p w14:paraId="346D45AD" w14:textId="5EFF5486" w:rsidR="003932F4" w:rsidRPr="00EF1AF3" w:rsidRDefault="00910891" w:rsidP="00EF1AF3">
      <w:pPr>
        <w:spacing w:line="240" w:lineRule="auto"/>
        <w:rPr>
          <w:rFonts w:asciiTheme="majorHAnsi" w:hAnsiTheme="majorHAnsi" w:cstheme="majorHAnsi"/>
          <w:lang w:val="en-GB"/>
        </w:rPr>
      </w:pPr>
      <w:r w:rsidRPr="00EF1AF3">
        <w:rPr>
          <w:rFonts w:asciiTheme="majorHAnsi" w:hAnsiTheme="majorHAnsi" w:cstheme="majorHAnsi"/>
          <w:b/>
          <w:lang w:val="en-US"/>
        </w:rPr>
        <w:t>G</w:t>
      </w:r>
      <w:proofErr w:type="spellStart"/>
      <w:r w:rsidR="003F4B4E" w:rsidRPr="00EF1AF3">
        <w:rPr>
          <w:rFonts w:asciiTheme="majorHAnsi" w:hAnsiTheme="majorHAnsi" w:cstheme="majorHAnsi"/>
          <w:b/>
          <w:lang w:val="en-GB"/>
        </w:rPr>
        <w:t>eneral</w:t>
      </w:r>
      <w:proofErr w:type="spellEnd"/>
      <w:r w:rsidR="003F4B4E" w:rsidRPr="00EF1AF3">
        <w:rPr>
          <w:rFonts w:asciiTheme="majorHAnsi" w:hAnsiTheme="majorHAnsi" w:cstheme="majorHAnsi"/>
          <w:b/>
          <w:lang w:val="en-GB"/>
        </w:rPr>
        <w:t>:</w:t>
      </w:r>
      <w:r w:rsidR="003F4B4E" w:rsidRPr="00EF1AF3">
        <w:rPr>
          <w:rFonts w:asciiTheme="majorHAnsi" w:hAnsiTheme="majorHAnsi" w:cstheme="majorHAnsi"/>
          <w:lang w:val="en-GB"/>
        </w:rPr>
        <w:tab/>
      </w:r>
    </w:p>
    <w:p w14:paraId="5F16C601" w14:textId="27134188" w:rsidR="003932F4" w:rsidRPr="00EF1AF3" w:rsidRDefault="003F4B4E" w:rsidP="00EF1AF3">
      <w:pPr>
        <w:pStyle w:val="Listenabsatz"/>
        <w:numPr>
          <w:ilvl w:val="0"/>
          <w:numId w:val="17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the respective structures are visible on every single image of the dataset assigned to them; the deg</w:t>
      </w:r>
      <w:r w:rsidR="00EF414E">
        <w:rPr>
          <w:rFonts w:asciiTheme="majorHAnsi" w:hAnsiTheme="majorHAnsi" w:cstheme="majorHAnsi"/>
          <w:lang w:val="en-US"/>
        </w:rPr>
        <w:t xml:space="preserve">ree of </w:t>
      </w:r>
      <w:proofErr w:type="spellStart"/>
      <w:r w:rsidR="00EF414E">
        <w:rPr>
          <w:rFonts w:asciiTheme="majorHAnsi" w:hAnsiTheme="majorHAnsi" w:cstheme="majorHAnsi"/>
          <w:lang w:val="en-US"/>
        </w:rPr>
        <w:t>recognizability</w:t>
      </w:r>
      <w:proofErr w:type="spellEnd"/>
      <w:r w:rsidR="00EF414E">
        <w:rPr>
          <w:rFonts w:asciiTheme="majorHAnsi" w:hAnsiTheme="majorHAnsi" w:cstheme="majorHAnsi"/>
          <w:lang w:val="en-US"/>
        </w:rPr>
        <w:t xml:space="preserve"> may vary</w:t>
      </w:r>
    </w:p>
    <w:p w14:paraId="07B6EB22" w14:textId="6EE66F82" w:rsidR="003932F4" w:rsidRPr="00EF1AF3" w:rsidRDefault="003F4B4E" w:rsidP="00EF1AF3">
      <w:pPr>
        <w:pStyle w:val="Listenabsatz"/>
        <w:numPr>
          <w:ilvl w:val="0"/>
          <w:numId w:val="17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mark only intact, uninjured and clearly assignable wall/parenchyma of the structures</w:t>
      </w:r>
    </w:p>
    <w:p w14:paraId="0F6737DE" w14:textId="699F80E6" w:rsidR="003932F4" w:rsidRPr="00EF1AF3" w:rsidRDefault="00EF1AF3" w:rsidP="00EF1AF3">
      <w:pPr>
        <w:pStyle w:val="Listenabsatz"/>
        <w:numPr>
          <w:ilvl w:val="0"/>
          <w:numId w:val="17"/>
        </w:numPr>
        <w:spacing w:line="240" w:lineRule="auto"/>
        <w:ind w:left="567" w:hanging="283"/>
        <w:rPr>
          <w:rFonts w:asciiTheme="majorHAnsi" w:hAnsiTheme="majorHAnsi" w:cstheme="majorHAnsi"/>
        </w:rPr>
      </w:pPr>
      <w:proofErr w:type="spellStart"/>
      <w:r w:rsidRPr="00EF1AF3">
        <w:rPr>
          <w:rFonts w:asciiTheme="majorHAnsi" w:hAnsiTheme="majorHAnsi" w:cstheme="majorHAnsi"/>
        </w:rPr>
        <w:t>avoid</w:t>
      </w:r>
      <w:proofErr w:type="spellEnd"/>
      <w:r w:rsidRPr="00EF1AF3">
        <w:rPr>
          <w:rFonts w:asciiTheme="majorHAnsi" w:hAnsiTheme="majorHAnsi" w:cstheme="majorHAnsi"/>
        </w:rPr>
        <w:t xml:space="preserve"> </w:t>
      </w:r>
      <w:proofErr w:type="spellStart"/>
      <w:r w:rsidRPr="00EF1AF3">
        <w:rPr>
          <w:rFonts w:asciiTheme="majorHAnsi" w:hAnsiTheme="majorHAnsi" w:cstheme="majorHAnsi"/>
        </w:rPr>
        <w:t>marking</w:t>
      </w:r>
      <w:proofErr w:type="spellEnd"/>
    </w:p>
    <w:p w14:paraId="05D70230" w14:textId="77777777" w:rsidR="003932F4" w:rsidRPr="00EF1AF3" w:rsidRDefault="003F4B4E" w:rsidP="00EF1AF3">
      <w:pPr>
        <w:numPr>
          <w:ilvl w:val="1"/>
          <w:numId w:val="14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areas substantially covered with smoke/blood/fat</w:t>
      </w:r>
    </w:p>
    <w:p w14:paraId="247BAA4E" w14:textId="77777777" w:rsidR="003932F4" w:rsidRPr="00EF1AF3" w:rsidRDefault="003F4B4E" w:rsidP="00EF1AF3">
      <w:pPr>
        <w:numPr>
          <w:ilvl w:val="1"/>
          <w:numId w:val="14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areas not properly visible due to a dirty camera</w:t>
      </w:r>
    </w:p>
    <w:p w14:paraId="37413506" w14:textId="77777777" w:rsidR="003932F4" w:rsidRPr="00EF1AF3" w:rsidRDefault="003F4B4E" w:rsidP="00EF1AF3">
      <w:pPr>
        <w:numPr>
          <w:ilvl w:val="1"/>
          <w:numId w:val="14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large alimentary vessels (small vessels should be marked)</w:t>
      </w:r>
    </w:p>
    <w:p w14:paraId="5B9BF3FB" w14:textId="77777777" w:rsidR="003932F4" w:rsidRPr="00EF1AF3" w:rsidRDefault="003F4B4E" w:rsidP="00EF1AF3">
      <w:pPr>
        <w:numPr>
          <w:ilvl w:val="1"/>
          <w:numId w:val="14"/>
        </w:numPr>
        <w:spacing w:line="240" w:lineRule="auto"/>
        <w:ind w:left="1134" w:hanging="283"/>
        <w:rPr>
          <w:rFonts w:asciiTheme="majorHAnsi" w:hAnsiTheme="majorHAnsi" w:cstheme="majorHAnsi"/>
        </w:rPr>
      </w:pPr>
      <w:proofErr w:type="spellStart"/>
      <w:r w:rsidRPr="00EF1AF3">
        <w:rPr>
          <w:rFonts w:asciiTheme="majorHAnsi" w:hAnsiTheme="majorHAnsi" w:cstheme="majorHAnsi"/>
        </w:rPr>
        <w:t>instruments</w:t>
      </w:r>
      <w:proofErr w:type="spellEnd"/>
      <w:r w:rsidRPr="00EF1AF3">
        <w:rPr>
          <w:rFonts w:asciiTheme="majorHAnsi" w:hAnsiTheme="majorHAnsi" w:cstheme="majorHAnsi"/>
        </w:rPr>
        <w:t>/</w:t>
      </w:r>
      <w:proofErr w:type="spellStart"/>
      <w:r w:rsidRPr="00EF1AF3">
        <w:rPr>
          <w:rFonts w:asciiTheme="majorHAnsi" w:hAnsiTheme="majorHAnsi" w:cstheme="majorHAnsi"/>
        </w:rPr>
        <w:t>compresses</w:t>
      </w:r>
      <w:proofErr w:type="spellEnd"/>
      <w:r w:rsidRPr="00EF1AF3">
        <w:rPr>
          <w:rFonts w:asciiTheme="majorHAnsi" w:hAnsiTheme="majorHAnsi" w:cstheme="majorHAnsi"/>
        </w:rPr>
        <w:t>/</w:t>
      </w:r>
      <w:proofErr w:type="spellStart"/>
      <w:r w:rsidRPr="00EF1AF3">
        <w:rPr>
          <w:rFonts w:asciiTheme="majorHAnsi" w:hAnsiTheme="majorHAnsi" w:cstheme="majorHAnsi"/>
        </w:rPr>
        <w:t>threads</w:t>
      </w:r>
      <w:proofErr w:type="spellEnd"/>
      <w:r w:rsidRPr="00EF1AF3">
        <w:rPr>
          <w:rFonts w:asciiTheme="majorHAnsi" w:hAnsiTheme="majorHAnsi" w:cstheme="majorHAnsi"/>
        </w:rPr>
        <w:t>/…</w:t>
      </w:r>
    </w:p>
    <w:p w14:paraId="08EBC4FF" w14:textId="77777777" w:rsidR="003932F4" w:rsidRPr="00EF1AF3" w:rsidRDefault="003F4B4E" w:rsidP="00EF1AF3">
      <w:pPr>
        <w:numPr>
          <w:ilvl w:val="1"/>
          <w:numId w:val="14"/>
        </w:numPr>
        <w:spacing w:line="240" w:lineRule="auto"/>
        <w:ind w:left="1134" w:hanging="283"/>
        <w:rPr>
          <w:rFonts w:asciiTheme="majorHAnsi" w:hAnsiTheme="majorHAnsi" w:cstheme="majorHAnsi"/>
        </w:rPr>
      </w:pPr>
      <w:proofErr w:type="spellStart"/>
      <w:r w:rsidRPr="00EF1AF3">
        <w:rPr>
          <w:rFonts w:asciiTheme="majorHAnsi" w:hAnsiTheme="majorHAnsi" w:cstheme="majorHAnsi"/>
        </w:rPr>
        <w:t>anything</w:t>
      </w:r>
      <w:proofErr w:type="spellEnd"/>
      <w:r w:rsidRPr="00EF1AF3">
        <w:rPr>
          <w:rFonts w:asciiTheme="majorHAnsi" w:hAnsiTheme="majorHAnsi" w:cstheme="majorHAnsi"/>
        </w:rPr>
        <w:t xml:space="preserve"> outside </w:t>
      </w:r>
      <w:proofErr w:type="spellStart"/>
      <w:r w:rsidRPr="00EF1AF3">
        <w:rPr>
          <w:rFonts w:asciiTheme="majorHAnsi" w:hAnsiTheme="majorHAnsi" w:cstheme="majorHAnsi"/>
        </w:rPr>
        <w:t>the</w:t>
      </w:r>
      <w:proofErr w:type="spellEnd"/>
      <w:r w:rsidRPr="00EF1AF3">
        <w:rPr>
          <w:rFonts w:asciiTheme="majorHAnsi" w:hAnsiTheme="majorHAnsi" w:cstheme="majorHAnsi"/>
        </w:rPr>
        <w:t xml:space="preserve"> </w:t>
      </w:r>
      <w:proofErr w:type="spellStart"/>
      <w:r w:rsidRPr="00EF1AF3">
        <w:rPr>
          <w:rFonts w:asciiTheme="majorHAnsi" w:hAnsiTheme="majorHAnsi" w:cstheme="majorHAnsi"/>
        </w:rPr>
        <w:t>image</w:t>
      </w:r>
      <w:proofErr w:type="spellEnd"/>
      <w:r w:rsidRPr="00EF1AF3">
        <w:rPr>
          <w:rFonts w:asciiTheme="majorHAnsi" w:hAnsiTheme="majorHAnsi" w:cstheme="majorHAnsi"/>
        </w:rPr>
        <w:t xml:space="preserve"> </w:t>
      </w:r>
      <w:proofErr w:type="spellStart"/>
      <w:r w:rsidRPr="00EF1AF3">
        <w:rPr>
          <w:rFonts w:asciiTheme="majorHAnsi" w:hAnsiTheme="majorHAnsi" w:cstheme="majorHAnsi"/>
        </w:rPr>
        <w:t>margins</w:t>
      </w:r>
      <w:proofErr w:type="spellEnd"/>
    </w:p>
    <w:p w14:paraId="57F111D3" w14:textId="31BA599B" w:rsidR="003932F4" w:rsidRPr="00EF1AF3" w:rsidRDefault="003F4B4E" w:rsidP="00EF1AF3">
      <w:pPr>
        <w:pStyle w:val="Listenabsatz"/>
        <w:numPr>
          <w:ilvl w:val="0"/>
          <w:numId w:val="17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mark whenever it is possible to recognize t</w:t>
      </w:r>
      <w:r w:rsidR="00EF1AF3" w:rsidRPr="00EF1AF3">
        <w:rPr>
          <w:rFonts w:asciiTheme="majorHAnsi" w:hAnsiTheme="majorHAnsi" w:cstheme="majorHAnsi"/>
          <w:lang w:val="en-US"/>
        </w:rPr>
        <w:t>he structure in an area that is</w:t>
      </w:r>
    </w:p>
    <w:p w14:paraId="5645A56A" w14:textId="77777777" w:rsidR="003932F4" w:rsidRPr="00EF1AF3" w:rsidRDefault="003F4B4E" w:rsidP="00EF1AF3">
      <w:pPr>
        <w:numPr>
          <w:ilvl w:val="1"/>
          <w:numId w:val="15"/>
        </w:numPr>
        <w:spacing w:line="240" w:lineRule="auto"/>
        <w:ind w:left="1134" w:hanging="283"/>
        <w:rPr>
          <w:rFonts w:asciiTheme="majorHAnsi" w:hAnsiTheme="majorHAnsi" w:cstheme="majorHAnsi"/>
        </w:rPr>
      </w:pPr>
      <w:proofErr w:type="spellStart"/>
      <w:r w:rsidRPr="00EF1AF3">
        <w:rPr>
          <w:rFonts w:asciiTheme="majorHAnsi" w:hAnsiTheme="majorHAnsi" w:cstheme="majorHAnsi"/>
        </w:rPr>
        <w:t>dark</w:t>
      </w:r>
      <w:proofErr w:type="spellEnd"/>
    </w:p>
    <w:p w14:paraId="48E7C493" w14:textId="77777777" w:rsidR="003932F4" w:rsidRPr="00EF1AF3" w:rsidRDefault="003F4B4E" w:rsidP="00EF1AF3">
      <w:pPr>
        <w:numPr>
          <w:ilvl w:val="1"/>
          <w:numId w:val="15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slightly covered with smoke/blood/fat/fascia</w:t>
      </w:r>
    </w:p>
    <w:p w14:paraId="7E6D18E9" w14:textId="77777777" w:rsidR="003932F4" w:rsidRPr="00EF1AF3" w:rsidRDefault="003F4B4E" w:rsidP="00EF1AF3">
      <w:pPr>
        <w:numPr>
          <w:ilvl w:val="1"/>
          <w:numId w:val="15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small: sometimes, parts of the structure are visible in tiny areas, e.g. in instrument slots</w:t>
      </w:r>
    </w:p>
    <w:p w14:paraId="3A6196DC" w14:textId="77777777" w:rsidR="003932F4" w:rsidRPr="00EF1AF3" w:rsidRDefault="003F4B4E" w:rsidP="00EF1AF3">
      <w:pPr>
        <w:pStyle w:val="Listenabsatz"/>
        <w:numPr>
          <w:ilvl w:val="0"/>
          <w:numId w:val="17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note that a structure may be visible in several small areas in a single image</w:t>
      </w:r>
    </w:p>
    <w:p w14:paraId="7C4A542A" w14:textId="43F8129F" w:rsidR="003932F4" w:rsidRDefault="003932F4" w:rsidP="00EF1AF3">
      <w:pPr>
        <w:spacing w:line="240" w:lineRule="auto"/>
        <w:rPr>
          <w:rFonts w:asciiTheme="majorHAnsi" w:hAnsiTheme="majorHAnsi" w:cstheme="majorHAnsi"/>
          <w:lang w:val="en-US"/>
        </w:rPr>
      </w:pPr>
    </w:p>
    <w:p w14:paraId="1EEF3175" w14:textId="77777777" w:rsidR="00C71841" w:rsidRPr="00EF1AF3" w:rsidRDefault="00C71841" w:rsidP="00EF1AF3">
      <w:pPr>
        <w:spacing w:line="240" w:lineRule="auto"/>
        <w:rPr>
          <w:rFonts w:asciiTheme="majorHAnsi" w:hAnsiTheme="majorHAnsi" w:cstheme="majorHAnsi"/>
          <w:lang w:val="en-US"/>
        </w:rPr>
      </w:pPr>
    </w:p>
    <w:p w14:paraId="29261DE6" w14:textId="77777777" w:rsidR="00C71841" w:rsidRPr="00EF1AF3" w:rsidRDefault="00C71841" w:rsidP="00C71841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color w:val="000000"/>
        </w:rPr>
        <w:t>A</w:t>
      </w:r>
      <w:r w:rsidRPr="00EF1AF3">
        <w:rPr>
          <w:rFonts w:asciiTheme="majorHAnsi" w:hAnsiTheme="majorHAnsi" w:cstheme="majorHAnsi"/>
          <w:b/>
          <w:color w:val="000000"/>
        </w:rPr>
        <w:t>bdominal wall:</w:t>
      </w:r>
      <w:r w:rsidRPr="00EF1AF3">
        <w:rPr>
          <w:rFonts w:asciiTheme="majorHAnsi" w:hAnsiTheme="majorHAnsi" w:cstheme="majorHAnsi"/>
          <w:b/>
        </w:rPr>
        <w:t xml:space="preserve"> </w:t>
      </w:r>
    </w:p>
    <w:p w14:paraId="3655B647" w14:textId="77777777" w:rsidR="00C71841" w:rsidRPr="00EF1AF3" w:rsidRDefault="00C71841" w:rsidP="00C71841">
      <w:pPr>
        <w:pStyle w:val="Listenabsatz"/>
        <w:numPr>
          <w:ilvl w:val="0"/>
          <w:numId w:val="23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abdominal wall is mostly shown in the upper half of the image</w:t>
      </w:r>
    </w:p>
    <w:p w14:paraId="113EA4B4" w14:textId="77777777" w:rsidR="00C71841" w:rsidRPr="00EF1AF3" w:rsidRDefault="00C71841" w:rsidP="00C71841">
      <w:pPr>
        <w:pStyle w:val="Listenabsatz"/>
        <w:numPr>
          <w:ilvl w:val="0"/>
          <w:numId w:val="23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only mark fatty tissue that is located within the abdominal wall layers (i.e., if there is peritoneum above it); omit fat appendages on the surface of the abdominal wall</w:t>
      </w:r>
    </w:p>
    <w:p w14:paraId="2B4137E0" w14:textId="77777777" w:rsidR="00C71841" w:rsidRPr="00EF1AF3" w:rsidRDefault="00C71841" w:rsidP="00C71841">
      <w:pPr>
        <w:pStyle w:val="Listenabsatz"/>
        <w:numPr>
          <w:ilvl w:val="0"/>
          <w:numId w:val="23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please pay close attention to the borders of the abdominal wall segment if the colon is still attached to the abdominal wall</w:t>
      </w:r>
    </w:p>
    <w:p w14:paraId="000965D8" w14:textId="77777777" w:rsidR="00C71841" w:rsidRPr="00EF1AF3" w:rsidRDefault="00C71841" w:rsidP="00C71841">
      <w:pPr>
        <w:pStyle w:val="Listenabsatz"/>
        <w:numPr>
          <w:ilvl w:val="0"/>
          <w:numId w:val="23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 xml:space="preserve">folds of the abdominal wall, e.g. the plica </w:t>
      </w:r>
      <w:proofErr w:type="spellStart"/>
      <w:r w:rsidRPr="00EF1AF3">
        <w:rPr>
          <w:rFonts w:asciiTheme="majorHAnsi" w:hAnsiTheme="majorHAnsi" w:cstheme="majorHAnsi"/>
          <w:lang w:val="en-US"/>
        </w:rPr>
        <w:t>umbilicalis</w:t>
      </w:r>
      <w:proofErr w:type="spellEnd"/>
      <w:r w:rsidRPr="00EF1AF3">
        <w:rPr>
          <w:rFonts w:asciiTheme="majorHAnsi" w:hAnsiTheme="majorHAnsi" w:cstheme="majorHAnsi"/>
          <w:lang w:val="en-US"/>
        </w:rPr>
        <w:t xml:space="preserve">, should be marked </w:t>
      </w:r>
    </w:p>
    <w:p w14:paraId="0394BE4E" w14:textId="77777777" w:rsidR="00C71841" w:rsidRPr="00EF1AF3" w:rsidRDefault="00C71841" w:rsidP="00C71841">
      <w:pPr>
        <w:spacing w:line="240" w:lineRule="auto"/>
        <w:ind w:left="1440"/>
        <w:rPr>
          <w:rFonts w:asciiTheme="majorHAnsi" w:hAnsiTheme="majorHAnsi" w:cstheme="majorHAnsi"/>
          <w:lang w:val="en-US"/>
        </w:rPr>
      </w:pPr>
    </w:p>
    <w:p w14:paraId="0F563C1D" w14:textId="77777777" w:rsidR="00C71841" w:rsidRPr="00EF1AF3" w:rsidRDefault="00C71841" w:rsidP="00C71841">
      <w:pPr>
        <w:spacing w:line="240" w:lineRule="auto"/>
        <w:rPr>
          <w:rFonts w:asciiTheme="majorHAnsi" w:hAnsiTheme="majorHAnsi" w:cstheme="majorHAnsi"/>
          <w:b/>
          <w:lang w:val="en-GB"/>
        </w:rPr>
      </w:pPr>
      <w:r>
        <w:rPr>
          <w:rFonts w:asciiTheme="majorHAnsi" w:hAnsiTheme="majorHAnsi" w:cstheme="majorHAnsi"/>
          <w:b/>
          <w:color w:val="000000"/>
          <w:lang w:val="en-GB"/>
        </w:rPr>
        <w:t>C</w:t>
      </w:r>
      <w:r w:rsidRPr="00EF1AF3">
        <w:rPr>
          <w:rFonts w:asciiTheme="majorHAnsi" w:hAnsiTheme="majorHAnsi" w:cstheme="majorHAnsi"/>
          <w:b/>
          <w:color w:val="000000"/>
          <w:lang w:val="en-GB"/>
        </w:rPr>
        <w:t>olon:</w:t>
      </w:r>
      <w:r w:rsidRPr="00EF1AF3">
        <w:rPr>
          <w:rFonts w:asciiTheme="majorHAnsi" w:hAnsiTheme="majorHAnsi" w:cstheme="majorHAnsi"/>
          <w:b/>
          <w:lang w:val="en-GB"/>
        </w:rPr>
        <w:t xml:space="preserve"> </w:t>
      </w:r>
    </w:p>
    <w:p w14:paraId="7A4CD755" w14:textId="77777777" w:rsidR="00C71841" w:rsidRPr="00EF1AF3" w:rsidRDefault="00C71841" w:rsidP="00C71841">
      <w:pPr>
        <w:pStyle w:val="Listenabsatz"/>
        <w:numPr>
          <w:ilvl w:val="0"/>
          <w:numId w:val="24"/>
        </w:numPr>
        <w:spacing w:line="240" w:lineRule="auto"/>
        <w:ind w:left="567" w:hanging="283"/>
        <w:rPr>
          <w:rFonts w:asciiTheme="majorHAnsi" w:hAnsiTheme="majorHAnsi" w:cstheme="majorHAnsi"/>
          <w:b/>
          <w:lang w:val="en-US"/>
        </w:rPr>
      </w:pPr>
      <w:r w:rsidRPr="00EF1AF3">
        <w:rPr>
          <w:rFonts w:asciiTheme="majorHAnsi" w:hAnsiTheme="majorHAnsi" w:cstheme="majorHAnsi"/>
          <w:lang w:val="en-US"/>
        </w:rPr>
        <w:t xml:space="preserve">risk of confusion with small </w:t>
      </w:r>
      <w:r>
        <w:rPr>
          <w:rFonts w:asciiTheme="majorHAnsi" w:hAnsiTheme="majorHAnsi" w:cstheme="majorHAnsi"/>
          <w:lang w:val="en-US"/>
        </w:rPr>
        <w:t>intestine</w:t>
      </w:r>
      <w:r w:rsidRPr="00EF1AF3">
        <w:rPr>
          <w:rFonts w:asciiTheme="majorHAnsi" w:hAnsiTheme="majorHAnsi" w:cstheme="majorHAnsi"/>
          <w:lang w:val="en-US"/>
        </w:rPr>
        <w:t xml:space="preserve">: colon has appendices </w:t>
      </w:r>
      <w:proofErr w:type="spellStart"/>
      <w:r w:rsidRPr="00EF1AF3">
        <w:rPr>
          <w:rFonts w:asciiTheme="majorHAnsi" w:hAnsiTheme="majorHAnsi" w:cstheme="majorHAnsi"/>
          <w:lang w:val="en-US"/>
        </w:rPr>
        <w:t>epiploicae</w:t>
      </w:r>
      <w:proofErr w:type="spellEnd"/>
      <w:r w:rsidRPr="00EF1AF3">
        <w:rPr>
          <w:rFonts w:asciiTheme="majorHAnsi" w:hAnsiTheme="majorHAnsi" w:cstheme="majorHAnsi"/>
          <w:lang w:val="en-US"/>
        </w:rPr>
        <w:t xml:space="preserve">, </w:t>
      </w:r>
      <w:proofErr w:type="spellStart"/>
      <w:r w:rsidRPr="00EF1AF3">
        <w:rPr>
          <w:rFonts w:asciiTheme="majorHAnsi" w:hAnsiTheme="majorHAnsi" w:cstheme="majorHAnsi"/>
          <w:lang w:val="en-US"/>
        </w:rPr>
        <w:t>haustra</w:t>
      </w:r>
      <w:proofErr w:type="spellEnd"/>
      <w:r w:rsidRPr="00EF1AF3">
        <w:rPr>
          <w:rFonts w:asciiTheme="majorHAnsi" w:hAnsiTheme="majorHAnsi" w:cstheme="majorHAnsi"/>
          <w:lang w:val="en-US"/>
        </w:rPr>
        <w:t xml:space="preserve">, </w:t>
      </w:r>
      <w:proofErr w:type="spellStart"/>
      <w:r w:rsidRPr="00EF1AF3">
        <w:rPr>
          <w:rFonts w:asciiTheme="majorHAnsi" w:hAnsiTheme="majorHAnsi" w:cstheme="majorHAnsi"/>
          <w:lang w:val="en-US"/>
        </w:rPr>
        <w:t>taeniae</w:t>
      </w:r>
      <w:proofErr w:type="spellEnd"/>
    </w:p>
    <w:p w14:paraId="70EDDDEC" w14:textId="77777777" w:rsidR="00C71841" w:rsidRPr="00EF1AF3" w:rsidRDefault="00C71841" w:rsidP="00C71841">
      <w:pPr>
        <w:pStyle w:val="Listenabsatz"/>
        <w:numPr>
          <w:ilvl w:val="0"/>
          <w:numId w:val="24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colon is often attached to the abdominal wall in the images</w:t>
      </w:r>
    </w:p>
    <w:p w14:paraId="7067A549" w14:textId="77777777" w:rsidR="00C71841" w:rsidRPr="00EF1AF3" w:rsidRDefault="00C71841" w:rsidP="00C71841">
      <w:pPr>
        <w:pStyle w:val="Listenabsatz"/>
        <w:numPr>
          <w:ilvl w:val="0"/>
          <w:numId w:val="24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 xml:space="preserve">avoid marking areas with fat appendages, for example appendices epiploicae or remnants after the separation of the colon and the greater </w:t>
      </w:r>
      <w:proofErr w:type="spellStart"/>
      <w:r w:rsidRPr="00EF1AF3">
        <w:rPr>
          <w:rFonts w:asciiTheme="majorHAnsi" w:hAnsiTheme="majorHAnsi" w:cstheme="majorHAnsi"/>
          <w:lang w:val="en-US"/>
        </w:rPr>
        <w:t>omentum</w:t>
      </w:r>
      <w:proofErr w:type="spellEnd"/>
    </w:p>
    <w:p w14:paraId="533CD9C7" w14:textId="77777777" w:rsidR="00C71841" w:rsidRPr="00EF1AF3" w:rsidRDefault="00C71841" w:rsidP="00C71841">
      <w:pPr>
        <w:spacing w:line="240" w:lineRule="auto"/>
        <w:ind w:left="1440"/>
        <w:rPr>
          <w:rFonts w:asciiTheme="majorHAnsi" w:hAnsiTheme="majorHAnsi" w:cstheme="majorHAnsi"/>
          <w:lang w:val="en-US"/>
        </w:rPr>
      </w:pPr>
    </w:p>
    <w:p w14:paraId="2F55CBE5" w14:textId="77777777" w:rsidR="00C71841" w:rsidRPr="00EF1AF3" w:rsidRDefault="00C71841" w:rsidP="00C71841">
      <w:pPr>
        <w:spacing w:line="240" w:lineRule="auto"/>
        <w:rPr>
          <w:rFonts w:asciiTheme="majorHAnsi" w:hAnsiTheme="majorHAnsi" w:cstheme="majorHAnsi"/>
          <w:b/>
          <w:lang w:val="en-US"/>
        </w:rPr>
      </w:pPr>
      <w:r w:rsidRPr="00EF1AF3">
        <w:rPr>
          <w:rFonts w:asciiTheme="majorHAnsi" w:hAnsiTheme="majorHAnsi" w:cstheme="majorHAnsi"/>
          <w:b/>
          <w:lang w:val="en-US"/>
        </w:rPr>
        <w:t>Inferior mesenteric artery:</w:t>
      </w:r>
      <w:r>
        <w:rPr>
          <w:rFonts w:asciiTheme="majorHAnsi" w:hAnsiTheme="majorHAnsi" w:cstheme="majorHAnsi"/>
          <w:lang w:val="en-US"/>
        </w:rPr>
        <w:t xml:space="preserve"> </w:t>
      </w:r>
      <w:r w:rsidRPr="00EF1AF3">
        <w:rPr>
          <w:rFonts w:asciiTheme="majorHAnsi" w:hAnsiTheme="majorHAnsi" w:cstheme="majorHAnsi"/>
          <w:b/>
          <w:lang w:val="en-US"/>
        </w:rPr>
        <w:t xml:space="preserve"> </w:t>
      </w:r>
    </w:p>
    <w:p w14:paraId="097BE04B" w14:textId="77777777" w:rsidR="00C71841" w:rsidRPr="00C71841" w:rsidRDefault="00C71841" w:rsidP="00C71841">
      <w:pPr>
        <w:pStyle w:val="Listenabsatz"/>
        <w:numPr>
          <w:ilvl w:val="0"/>
          <w:numId w:val="26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>typical color: white to light pink, often small alimentary vessels are visible</w:t>
      </w:r>
    </w:p>
    <w:p w14:paraId="70585763" w14:textId="63F3B8D1" w:rsidR="00C71841" w:rsidRPr="00C71841" w:rsidRDefault="00C71841" w:rsidP="00C71841">
      <w:pPr>
        <w:pStyle w:val="Listenabsatz"/>
        <w:numPr>
          <w:ilvl w:val="0"/>
          <w:numId w:val="26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>risk of confusion with veins: veins are usually more bluish in color and appear softer</w:t>
      </w:r>
    </w:p>
    <w:p w14:paraId="081D6F5F" w14:textId="77777777" w:rsidR="00C71841" w:rsidRPr="00C71841" w:rsidRDefault="00C71841" w:rsidP="00C71841">
      <w:pPr>
        <w:pStyle w:val="Listenabsatz"/>
        <w:numPr>
          <w:ilvl w:val="0"/>
          <w:numId w:val="26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>in case of doubt it can be helpful to identify the artery at the moment of clipping in order to recognize it at an earlier stage</w:t>
      </w:r>
    </w:p>
    <w:p w14:paraId="6C465378" w14:textId="77777777" w:rsidR="00C71841" w:rsidRPr="00EF1AF3" w:rsidRDefault="00C71841" w:rsidP="00C71841">
      <w:pPr>
        <w:spacing w:line="240" w:lineRule="auto"/>
        <w:ind w:left="1440"/>
        <w:rPr>
          <w:rFonts w:asciiTheme="majorHAnsi" w:hAnsiTheme="majorHAnsi" w:cstheme="majorHAnsi"/>
          <w:lang w:val="en-US"/>
        </w:rPr>
      </w:pPr>
    </w:p>
    <w:p w14:paraId="60FD1921" w14:textId="77777777" w:rsidR="00C71841" w:rsidRDefault="00C71841" w:rsidP="00C71841">
      <w:pPr>
        <w:spacing w:line="240" w:lineRule="auto"/>
        <w:rPr>
          <w:rFonts w:asciiTheme="majorHAnsi" w:hAnsiTheme="majorHAnsi" w:cstheme="majorHAnsi"/>
          <w:u w:val="single"/>
        </w:rPr>
      </w:pPr>
      <w:r w:rsidRPr="00EF1AF3">
        <w:rPr>
          <w:rFonts w:asciiTheme="majorHAnsi" w:hAnsiTheme="majorHAnsi" w:cstheme="majorHAnsi"/>
          <w:b/>
        </w:rPr>
        <w:t xml:space="preserve">Intestinal </w:t>
      </w:r>
      <w:proofErr w:type="spellStart"/>
      <w:r w:rsidRPr="00EF1AF3">
        <w:rPr>
          <w:rFonts w:asciiTheme="majorHAnsi" w:hAnsiTheme="majorHAnsi" w:cstheme="majorHAnsi"/>
          <w:b/>
        </w:rPr>
        <w:t>veins</w:t>
      </w:r>
      <w:proofErr w:type="spellEnd"/>
      <w:r w:rsidRPr="00EF1AF3">
        <w:rPr>
          <w:rFonts w:asciiTheme="majorHAnsi" w:hAnsiTheme="majorHAnsi" w:cstheme="majorHAnsi"/>
          <w:b/>
        </w:rPr>
        <w:t>:</w:t>
      </w:r>
      <w:r w:rsidRPr="00EF1AF3">
        <w:rPr>
          <w:rFonts w:asciiTheme="majorHAnsi" w:hAnsiTheme="majorHAnsi" w:cstheme="majorHAnsi"/>
        </w:rPr>
        <w:tab/>
      </w:r>
      <w:r w:rsidRPr="00EF1AF3">
        <w:rPr>
          <w:rFonts w:asciiTheme="majorHAnsi" w:hAnsiTheme="majorHAnsi" w:cstheme="majorHAnsi"/>
        </w:rPr>
        <w:tab/>
      </w:r>
    </w:p>
    <w:p w14:paraId="68B9EE9D" w14:textId="4D3E23E4" w:rsidR="00C71841" w:rsidRPr="00C71841" w:rsidRDefault="00C71841" w:rsidP="00C71841">
      <w:pPr>
        <w:pStyle w:val="Listenabsatz"/>
        <w:numPr>
          <w:ilvl w:val="0"/>
          <w:numId w:val="27"/>
        </w:numPr>
        <w:spacing w:line="240" w:lineRule="auto"/>
        <w:ind w:left="567" w:hanging="283"/>
        <w:jc w:val="both"/>
        <w:rPr>
          <w:rFonts w:asciiTheme="majorHAnsi" w:hAnsiTheme="majorHAnsi" w:cstheme="majorHAnsi"/>
        </w:rPr>
      </w:pPr>
      <w:proofErr w:type="spellStart"/>
      <w:r w:rsidRPr="00C71841">
        <w:rPr>
          <w:rFonts w:asciiTheme="majorHAnsi" w:hAnsiTheme="majorHAnsi" w:cstheme="majorHAnsi"/>
        </w:rPr>
        <w:t>bluish</w:t>
      </w:r>
      <w:proofErr w:type="spellEnd"/>
      <w:r w:rsidRPr="00C71841">
        <w:rPr>
          <w:rFonts w:asciiTheme="majorHAnsi" w:hAnsiTheme="majorHAnsi" w:cstheme="majorHAnsi"/>
        </w:rPr>
        <w:t xml:space="preserve"> </w:t>
      </w:r>
      <w:proofErr w:type="spellStart"/>
      <w:r w:rsidRPr="00C71841">
        <w:rPr>
          <w:rFonts w:asciiTheme="majorHAnsi" w:hAnsiTheme="majorHAnsi" w:cstheme="majorHAnsi"/>
        </w:rPr>
        <w:t>appearance</w:t>
      </w:r>
      <w:proofErr w:type="spellEnd"/>
    </w:p>
    <w:p w14:paraId="4003DEE4" w14:textId="77777777" w:rsidR="00C71841" w:rsidRPr="00EF1AF3" w:rsidRDefault="00C71841" w:rsidP="00C71841">
      <w:pPr>
        <w:numPr>
          <w:ilvl w:val="0"/>
          <w:numId w:val="27"/>
        </w:numPr>
        <w:spacing w:line="240" w:lineRule="auto"/>
        <w:ind w:left="567" w:hanging="283"/>
        <w:jc w:val="both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in some cases, larger veins can be seen that are located retroperitoneally and therefore do not belong to the "intestinal veins" (e.g. the testicular vein)</w:t>
      </w:r>
    </w:p>
    <w:p w14:paraId="6F8AB335" w14:textId="77777777" w:rsidR="00C71841" w:rsidRPr="00EF1AF3" w:rsidRDefault="00C71841" w:rsidP="00C71841">
      <w:pPr>
        <w:numPr>
          <w:ilvl w:val="0"/>
          <w:numId w:val="27"/>
        </w:numPr>
        <w:spacing w:line="240" w:lineRule="auto"/>
        <w:ind w:left="567" w:hanging="283"/>
        <w:jc w:val="both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risk of confusion with arteries: arteries usually have a whiter color and appear stiffer</w:t>
      </w:r>
    </w:p>
    <w:p w14:paraId="3709E50D" w14:textId="77777777" w:rsidR="00C71841" w:rsidRPr="00EF1AF3" w:rsidRDefault="00C71841" w:rsidP="00C71841">
      <w:pPr>
        <w:numPr>
          <w:ilvl w:val="0"/>
          <w:numId w:val="27"/>
        </w:numPr>
        <w:spacing w:line="240" w:lineRule="auto"/>
        <w:ind w:left="567" w:hanging="283"/>
        <w:jc w:val="both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in case of doubt it can be helpful to identify the vein at the moment of clipping in order to recognize it at an earlier stage</w:t>
      </w:r>
    </w:p>
    <w:p w14:paraId="11A4F3AD" w14:textId="77777777" w:rsidR="00C71841" w:rsidRPr="00EF1AF3" w:rsidRDefault="00C71841" w:rsidP="00C71841">
      <w:pPr>
        <w:spacing w:line="240" w:lineRule="auto"/>
        <w:ind w:left="1440"/>
        <w:rPr>
          <w:rFonts w:asciiTheme="majorHAnsi" w:hAnsiTheme="majorHAnsi" w:cstheme="majorHAnsi"/>
          <w:lang w:val="en-US"/>
        </w:rPr>
      </w:pPr>
    </w:p>
    <w:p w14:paraId="4A8BCA5D" w14:textId="6BF74077" w:rsidR="003932F4" w:rsidRPr="00EF1AF3" w:rsidRDefault="00EF1AF3" w:rsidP="00EF1AF3">
      <w:pPr>
        <w:spacing w:line="240" w:lineRule="auto"/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lastRenderedPageBreak/>
        <w:t>Liver</w:t>
      </w:r>
      <w:proofErr w:type="spellEnd"/>
      <w:r>
        <w:rPr>
          <w:rFonts w:asciiTheme="majorHAnsi" w:hAnsiTheme="majorHAnsi" w:cstheme="majorHAnsi"/>
          <w:b/>
        </w:rPr>
        <w:t>:</w:t>
      </w:r>
    </w:p>
    <w:p w14:paraId="6FDF3C68" w14:textId="77777777" w:rsidR="003932F4" w:rsidRPr="00EF1AF3" w:rsidRDefault="003F4B4E" w:rsidP="00EF1AF3">
      <w:pPr>
        <w:pStyle w:val="Listenabsatz"/>
        <w:numPr>
          <w:ilvl w:val="0"/>
          <w:numId w:val="19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varying structure possible (cirrhosis, metastases, …)</w:t>
      </w:r>
    </w:p>
    <w:p w14:paraId="621D4DD3" w14:textId="6C343285" w:rsidR="003932F4" w:rsidRPr="00EF1AF3" w:rsidRDefault="003F4B4E" w:rsidP="00EF1AF3">
      <w:pPr>
        <w:pStyle w:val="Listenabsatz"/>
        <w:numPr>
          <w:ilvl w:val="0"/>
          <w:numId w:val="19"/>
        </w:numPr>
        <w:spacing w:line="240" w:lineRule="auto"/>
        <w:ind w:left="567" w:hanging="283"/>
        <w:rPr>
          <w:rFonts w:asciiTheme="majorHAnsi" w:hAnsiTheme="majorHAnsi" w:cstheme="majorHAnsi"/>
        </w:rPr>
      </w:pPr>
      <w:proofErr w:type="spellStart"/>
      <w:r w:rsidRPr="00EF1AF3">
        <w:rPr>
          <w:rFonts w:asciiTheme="majorHAnsi" w:hAnsiTheme="majorHAnsi" w:cstheme="majorHAnsi"/>
        </w:rPr>
        <w:t>avoid</w:t>
      </w:r>
      <w:proofErr w:type="spellEnd"/>
      <w:r w:rsidRPr="00EF1AF3">
        <w:rPr>
          <w:rFonts w:asciiTheme="majorHAnsi" w:hAnsiTheme="majorHAnsi" w:cstheme="majorHAnsi"/>
        </w:rPr>
        <w:t xml:space="preserve"> </w:t>
      </w:r>
      <w:proofErr w:type="spellStart"/>
      <w:r w:rsidRPr="00EF1AF3">
        <w:rPr>
          <w:rFonts w:asciiTheme="majorHAnsi" w:hAnsiTheme="majorHAnsi" w:cstheme="majorHAnsi"/>
        </w:rPr>
        <w:t>marking</w:t>
      </w:r>
      <w:proofErr w:type="spellEnd"/>
      <w:r w:rsidRPr="00EF1AF3">
        <w:rPr>
          <w:rFonts w:asciiTheme="majorHAnsi" w:hAnsiTheme="majorHAnsi" w:cstheme="majorHAnsi"/>
        </w:rPr>
        <w:t xml:space="preserve"> </w:t>
      </w:r>
      <w:proofErr w:type="spellStart"/>
      <w:r w:rsidR="00EF414E">
        <w:rPr>
          <w:rFonts w:asciiTheme="majorHAnsi" w:hAnsiTheme="majorHAnsi" w:cstheme="majorHAnsi"/>
        </w:rPr>
        <w:t>the</w:t>
      </w:r>
      <w:proofErr w:type="spellEnd"/>
      <w:r w:rsidR="00EF414E">
        <w:rPr>
          <w:rFonts w:asciiTheme="majorHAnsi" w:hAnsiTheme="majorHAnsi" w:cstheme="majorHAnsi"/>
        </w:rPr>
        <w:t xml:space="preserve"> </w:t>
      </w:r>
      <w:proofErr w:type="spellStart"/>
      <w:r w:rsidRPr="00EF1AF3">
        <w:rPr>
          <w:rFonts w:asciiTheme="majorHAnsi" w:hAnsiTheme="majorHAnsi" w:cstheme="majorHAnsi"/>
        </w:rPr>
        <w:t>gal</w:t>
      </w:r>
      <w:r w:rsidR="00EF414E">
        <w:rPr>
          <w:rFonts w:asciiTheme="majorHAnsi" w:hAnsiTheme="majorHAnsi" w:cstheme="majorHAnsi"/>
        </w:rPr>
        <w:t>l</w:t>
      </w:r>
      <w:bookmarkStart w:id="0" w:name="_GoBack"/>
      <w:bookmarkEnd w:id="0"/>
      <w:r w:rsidRPr="00EF1AF3">
        <w:rPr>
          <w:rFonts w:asciiTheme="majorHAnsi" w:hAnsiTheme="majorHAnsi" w:cstheme="majorHAnsi"/>
        </w:rPr>
        <w:t>bladder</w:t>
      </w:r>
      <w:proofErr w:type="spellEnd"/>
      <w:r w:rsidRPr="00EF1AF3">
        <w:rPr>
          <w:rFonts w:asciiTheme="majorHAnsi" w:hAnsiTheme="majorHAnsi" w:cstheme="majorHAnsi"/>
        </w:rPr>
        <w:t xml:space="preserve"> </w:t>
      </w:r>
    </w:p>
    <w:p w14:paraId="193F9529" w14:textId="77777777" w:rsidR="003932F4" w:rsidRPr="00EF1AF3" w:rsidRDefault="003F4B4E" w:rsidP="00EF1AF3">
      <w:pPr>
        <w:pStyle w:val="Listenabsatz"/>
        <w:numPr>
          <w:ilvl w:val="0"/>
          <w:numId w:val="19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if the liver or its margins are in the shadow, marking is demanding, but there is almost always a line visible where the liver ends</w:t>
      </w:r>
    </w:p>
    <w:p w14:paraId="79D40393" w14:textId="03FA2554" w:rsidR="003932F4" w:rsidRPr="00EF1AF3" w:rsidRDefault="003932F4" w:rsidP="00C71841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44C01F1D" w14:textId="77777777" w:rsidR="00C71841" w:rsidRDefault="00C71841" w:rsidP="00C71841">
      <w:pPr>
        <w:spacing w:line="240" w:lineRule="auto"/>
        <w:rPr>
          <w:rFonts w:asciiTheme="majorHAnsi" w:hAnsiTheme="majorHAnsi" w:cstheme="majorHAnsi"/>
          <w:lang w:val="en-GB"/>
        </w:rPr>
      </w:pPr>
      <w:r w:rsidRPr="00EF1AF3">
        <w:rPr>
          <w:rFonts w:asciiTheme="majorHAnsi" w:hAnsiTheme="majorHAnsi" w:cstheme="majorHAnsi"/>
          <w:b/>
          <w:lang w:val="en-GB"/>
        </w:rPr>
        <w:t>Pancreas:</w:t>
      </w:r>
    </w:p>
    <w:p w14:paraId="19768004" w14:textId="77777777" w:rsidR="00C71841" w:rsidRPr="00EF1AF3" w:rsidRDefault="00C71841" w:rsidP="00C71841">
      <w:pPr>
        <w:pStyle w:val="Listenabsatz"/>
        <w:numPr>
          <w:ilvl w:val="0"/>
          <w:numId w:val="20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typical structure: white to light pink, lobular structure in surrounding adipose tissue</w:t>
      </w:r>
    </w:p>
    <w:p w14:paraId="7219E32E" w14:textId="77777777" w:rsidR="00C71841" w:rsidRPr="00EF1AF3" w:rsidRDefault="00C71841" w:rsidP="00C71841">
      <w:pPr>
        <w:numPr>
          <w:ilvl w:val="0"/>
          <w:numId w:val="20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it’s almost always necessary to mark several spots</w:t>
      </w:r>
    </w:p>
    <w:p w14:paraId="662D51B9" w14:textId="77777777" w:rsidR="00C71841" w:rsidRPr="00EF1AF3" w:rsidRDefault="00C71841" w:rsidP="00C71841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0DD483F4" w14:textId="77777777" w:rsidR="00C71841" w:rsidRPr="00C71841" w:rsidRDefault="00C71841" w:rsidP="00C71841">
      <w:pPr>
        <w:spacing w:line="240" w:lineRule="auto"/>
        <w:rPr>
          <w:rFonts w:asciiTheme="majorHAnsi" w:hAnsiTheme="majorHAnsi" w:cstheme="majorHAnsi"/>
          <w:b/>
          <w:lang w:val="en-GB"/>
        </w:rPr>
      </w:pPr>
      <w:r w:rsidRPr="00C71841">
        <w:rPr>
          <w:rFonts w:asciiTheme="majorHAnsi" w:hAnsiTheme="majorHAnsi" w:cstheme="majorHAnsi"/>
          <w:b/>
          <w:color w:val="000000"/>
          <w:lang w:val="en-GB"/>
        </w:rPr>
        <w:t>Small intestine:</w:t>
      </w:r>
      <w:r w:rsidRPr="00C71841">
        <w:rPr>
          <w:rFonts w:asciiTheme="majorHAnsi" w:hAnsiTheme="majorHAnsi" w:cstheme="majorHAnsi"/>
          <w:b/>
          <w:lang w:val="en-GB"/>
        </w:rPr>
        <w:tab/>
      </w:r>
    </w:p>
    <w:p w14:paraId="2CD6EB87" w14:textId="77777777" w:rsidR="00C71841" w:rsidRDefault="00C71841" w:rsidP="00C71841">
      <w:pPr>
        <w:pStyle w:val="Listenabsatz"/>
        <w:numPr>
          <w:ilvl w:val="0"/>
          <w:numId w:val="32"/>
        </w:numPr>
        <w:spacing w:line="240" w:lineRule="auto"/>
        <w:ind w:left="567" w:hanging="436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 xml:space="preserve">risk of confusion with colon: </w:t>
      </w:r>
    </w:p>
    <w:p w14:paraId="4C16633F" w14:textId="77777777" w:rsidR="00C71841" w:rsidRPr="00C71841" w:rsidRDefault="00C71841" w:rsidP="00C71841">
      <w:pPr>
        <w:pStyle w:val="Listenabsatz"/>
        <w:numPr>
          <w:ilvl w:val="1"/>
          <w:numId w:val="33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>small bowel usually is narrower, lighter in color and smoother than large intestine</w:t>
      </w:r>
    </w:p>
    <w:p w14:paraId="11EA537D" w14:textId="77777777" w:rsidR="00C71841" w:rsidRPr="00C71841" w:rsidRDefault="00C71841" w:rsidP="00C71841">
      <w:pPr>
        <w:pStyle w:val="Listenabsatz"/>
        <w:numPr>
          <w:ilvl w:val="1"/>
          <w:numId w:val="33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 xml:space="preserve">does not have appendices </w:t>
      </w:r>
      <w:proofErr w:type="spellStart"/>
      <w:r w:rsidRPr="00C71841">
        <w:rPr>
          <w:rFonts w:asciiTheme="majorHAnsi" w:hAnsiTheme="majorHAnsi" w:cstheme="majorHAnsi"/>
          <w:lang w:val="en-US"/>
        </w:rPr>
        <w:t>epiploicae</w:t>
      </w:r>
      <w:proofErr w:type="spellEnd"/>
      <w:r w:rsidRPr="00C71841">
        <w:rPr>
          <w:rFonts w:asciiTheme="majorHAnsi" w:hAnsiTheme="majorHAnsi" w:cstheme="majorHAnsi"/>
          <w:lang w:val="en-US"/>
        </w:rPr>
        <w:t xml:space="preserve">, </w:t>
      </w:r>
      <w:proofErr w:type="spellStart"/>
      <w:r w:rsidRPr="00C71841">
        <w:rPr>
          <w:rFonts w:asciiTheme="majorHAnsi" w:hAnsiTheme="majorHAnsi" w:cstheme="majorHAnsi"/>
          <w:lang w:val="en-US"/>
        </w:rPr>
        <w:t>haustra</w:t>
      </w:r>
      <w:proofErr w:type="spellEnd"/>
      <w:r w:rsidRPr="00C71841">
        <w:rPr>
          <w:rFonts w:asciiTheme="majorHAnsi" w:hAnsiTheme="majorHAnsi" w:cstheme="majorHAnsi"/>
          <w:lang w:val="en-US"/>
        </w:rPr>
        <w:t xml:space="preserve">, </w:t>
      </w:r>
      <w:proofErr w:type="spellStart"/>
      <w:r w:rsidRPr="00C71841">
        <w:rPr>
          <w:rFonts w:asciiTheme="majorHAnsi" w:hAnsiTheme="majorHAnsi" w:cstheme="majorHAnsi"/>
          <w:lang w:val="en-US"/>
        </w:rPr>
        <w:t>taeniae</w:t>
      </w:r>
      <w:proofErr w:type="spellEnd"/>
    </w:p>
    <w:p w14:paraId="65918F97" w14:textId="77777777" w:rsidR="00C71841" w:rsidRPr="00C71841" w:rsidRDefault="00C71841" w:rsidP="00C71841">
      <w:pPr>
        <w:pStyle w:val="Listenabsatz"/>
        <w:numPr>
          <w:ilvl w:val="1"/>
          <w:numId w:val="33"/>
        </w:numPr>
        <w:spacing w:line="240" w:lineRule="auto"/>
        <w:ind w:left="1134" w:hanging="283"/>
        <w:rPr>
          <w:rFonts w:asciiTheme="majorHAnsi" w:hAnsiTheme="majorHAnsi" w:cstheme="majorHAnsi"/>
          <w:lang w:val="en-GB"/>
        </w:rPr>
      </w:pPr>
      <w:r w:rsidRPr="00C71841">
        <w:rPr>
          <w:rFonts w:asciiTheme="majorHAnsi" w:hAnsiTheme="majorHAnsi" w:cstheme="majorHAnsi"/>
          <w:lang w:val="en-GB"/>
        </w:rPr>
        <w:t xml:space="preserve">peristalsis can resemble </w:t>
      </w:r>
      <w:proofErr w:type="spellStart"/>
      <w:r w:rsidRPr="00C71841">
        <w:rPr>
          <w:rFonts w:asciiTheme="majorHAnsi" w:hAnsiTheme="majorHAnsi" w:cstheme="majorHAnsi"/>
          <w:lang w:val="en-GB"/>
        </w:rPr>
        <w:t>haustra</w:t>
      </w:r>
      <w:proofErr w:type="spellEnd"/>
    </w:p>
    <w:p w14:paraId="1C3E8201" w14:textId="77777777" w:rsidR="00C71841" w:rsidRPr="00EF1AF3" w:rsidRDefault="00C71841" w:rsidP="00C71841">
      <w:pPr>
        <w:spacing w:line="240" w:lineRule="auto"/>
        <w:ind w:left="567" w:hanging="436"/>
        <w:rPr>
          <w:rFonts w:asciiTheme="majorHAnsi" w:hAnsiTheme="majorHAnsi" w:cstheme="majorHAnsi"/>
          <w:lang w:val="en-US"/>
        </w:rPr>
      </w:pPr>
    </w:p>
    <w:p w14:paraId="559A1C35" w14:textId="60F28113" w:rsidR="003932F4" w:rsidRPr="00EF1AF3" w:rsidRDefault="00EF1AF3" w:rsidP="00EF1AF3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Spleen:</w:t>
      </w:r>
    </w:p>
    <w:p w14:paraId="1438F632" w14:textId="77777777" w:rsidR="003932F4" w:rsidRPr="00EF1AF3" w:rsidRDefault="003F4B4E" w:rsidP="00EF1AF3">
      <w:pPr>
        <w:pStyle w:val="Listenabsatz"/>
        <w:numPr>
          <w:ilvl w:val="0"/>
          <w:numId w:val="21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 xml:space="preserve">if it is located within a fluid accumulation, special attention is required when determining the margins </w:t>
      </w:r>
    </w:p>
    <w:p w14:paraId="5D890CA2" w14:textId="77777777" w:rsidR="003932F4" w:rsidRPr="00EF1AF3" w:rsidRDefault="003932F4" w:rsidP="00EF1AF3">
      <w:pPr>
        <w:spacing w:line="240" w:lineRule="auto"/>
        <w:ind w:left="1440"/>
        <w:rPr>
          <w:rFonts w:asciiTheme="majorHAnsi" w:hAnsiTheme="majorHAnsi" w:cstheme="majorHAnsi"/>
          <w:lang w:val="en-GB"/>
        </w:rPr>
      </w:pPr>
    </w:p>
    <w:p w14:paraId="12898C4C" w14:textId="77777777" w:rsidR="00C71841" w:rsidRPr="00EF1AF3" w:rsidRDefault="00C71841" w:rsidP="00C71841">
      <w:pPr>
        <w:spacing w:line="240" w:lineRule="auto"/>
        <w:rPr>
          <w:rFonts w:asciiTheme="majorHAnsi" w:hAnsiTheme="majorHAnsi" w:cstheme="majorHAnsi"/>
          <w:b/>
          <w:lang w:val="en-GB"/>
        </w:rPr>
      </w:pPr>
      <w:r w:rsidRPr="00EF1AF3">
        <w:rPr>
          <w:rFonts w:asciiTheme="majorHAnsi" w:hAnsiTheme="majorHAnsi" w:cstheme="majorHAnsi"/>
          <w:b/>
          <w:lang w:val="en-GB"/>
        </w:rPr>
        <w:t>Stomach:</w:t>
      </w:r>
    </w:p>
    <w:p w14:paraId="41D7FF4C" w14:textId="77777777" w:rsidR="00C71841" w:rsidRPr="00EF1AF3" w:rsidRDefault="00C71841" w:rsidP="00C71841">
      <w:pPr>
        <w:pStyle w:val="Listenabsatz"/>
        <w:numPr>
          <w:ilvl w:val="0"/>
          <w:numId w:val="18"/>
        </w:numPr>
        <w:spacing w:line="240" w:lineRule="auto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distinction against colon: the stomach is</w:t>
      </w:r>
    </w:p>
    <w:p w14:paraId="1669EF96" w14:textId="77777777" w:rsidR="00C71841" w:rsidRPr="00EF1AF3" w:rsidRDefault="00C71841" w:rsidP="00C71841">
      <w:pPr>
        <w:numPr>
          <w:ilvl w:val="1"/>
          <w:numId w:val="34"/>
        </w:numPr>
        <w:spacing w:line="240" w:lineRule="auto"/>
        <w:ind w:left="1134" w:hanging="283"/>
        <w:rPr>
          <w:rFonts w:asciiTheme="majorHAnsi" w:hAnsiTheme="majorHAnsi" w:cstheme="majorHAnsi"/>
        </w:rPr>
      </w:pPr>
      <w:proofErr w:type="spellStart"/>
      <w:r w:rsidRPr="00EF1AF3">
        <w:rPr>
          <w:rFonts w:asciiTheme="majorHAnsi" w:hAnsiTheme="majorHAnsi" w:cstheme="majorHAnsi"/>
        </w:rPr>
        <w:t>lighter</w:t>
      </w:r>
      <w:proofErr w:type="spellEnd"/>
      <w:r w:rsidRPr="00EF1AF3">
        <w:rPr>
          <w:rFonts w:asciiTheme="majorHAnsi" w:hAnsiTheme="majorHAnsi" w:cstheme="majorHAnsi"/>
        </w:rPr>
        <w:t xml:space="preserve"> in </w:t>
      </w:r>
      <w:proofErr w:type="spellStart"/>
      <w:r w:rsidRPr="00EF1AF3">
        <w:rPr>
          <w:rFonts w:asciiTheme="majorHAnsi" w:hAnsiTheme="majorHAnsi" w:cstheme="majorHAnsi"/>
        </w:rPr>
        <w:t>color</w:t>
      </w:r>
      <w:proofErr w:type="spellEnd"/>
      <w:r w:rsidRPr="00EF1AF3">
        <w:rPr>
          <w:rFonts w:asciiTheme="majorHAnsi" w:hAnsiTheme="majorHAnsi" w:cstheme="majorHAnsi"/>
        </w:rPr>
        <w:t>,</w:t>
      </w:r>
    </w:p>
    <w:p w14:paraId="79191352" w14:textId="77777777" w:rsidR="00C71841" w:rsidRPr="00EF1AF3" w:rsidRDefault="00C71841" w:rsidP="00C71841">
      <w:pPr>
        <w:numPr>
          <w:ilvl w:val="1"/>
          <w:numId w:val="34"/>
        </w:numPr>
        <w:spacing w:line="240" w:lineRule="auto"/>
        <w:ind w:left="1134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has no taeniae, haustra, appendices epiploicae</w:t>
      </w:r>
    </w:p>
    <w:p w14:paraId="52073C14" w14:textId="77777777" w:rsidR="00C71841" w:rsidRPr="00EF1AF3" w:rsidRDefault="00C71841" w:rsidP="00C71841">
      <w:pPr>
        <w:pStyle w:val="Listenabsatz"/>
        <w:numPr>
          <w:ilvl w:val="0"/>
          <w:numId w:val="18"/>
        </w:numPr>
        <w:spacing w:line="240" w:lineRule="auto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distinction against gallbladder: stomach has no tight connection to the liver</w:t>
      </w:r>
    </w:p>
    <w:p w14:paraId="7A98BEE0" w14:textId="77777777" w:rsidR="00C71841" w:rsidRPr="00EF1AF3" w:rsidRDefault="00C71841" w:rsidP="00C71841">
      <w:pPr>
        <w:pStyle w:val="Listenabsatz"/>
        <w:numPr>
          <w:ilvl w:val="0"/>
          <w:numId w:val="18"/>
        </w:numPr>
        <w:spacing w:line="240" w:lineRule="auto"/>
        <w:rPr>
          <w:rFonts w:asciiTheme="majorHAnsi" w:eastAsia="Times New Roman" w:hAnsiTheme="majorHAnsi" w:cstheme="majorHAnsi"/>
          <w:color w:val="000000" w:themeColor="text1"/>
          <w:lang w:val="en-US"/>
        </w:rPr>
      </w:pPr>
      <w:r>
        <w:rPr>
          <w:rFonts w:asciiTheme="majorHAnsi" w:eastAsia="Times New Roman" w:hAnsiTheme="majorHAnsi" w:cstheme="majorHAnsi"/>
          <w:color w:val="000000" w:themeColor="text1"/>
          <w:spacing w:val="3"/>
          <w:shd w:val="clear" w:color="auto" w:fill="FFFFFF"/>
          <w:lang w:val="en-US"/>
        </w:rPr>
        <w:t>avoid marking</w:t>
      </w:r>
      <w:r w:rsidRPr="00EF1AF3">
        <w:rPr>
          <w:rFonts w:asciiTheme="majorHAnsi" w:eastAsia="Times New Roman" w:hAnsiTheme="majorHAnsi" w:cstheme="majorHAnsi"/>
          <w:color w:val="000000" w:themeColor="text1"/>
          <w:spacing w:val="3"/>
          <w:shd w:val="clear" w:color="auto" w:fill="FFFFFF"/>
          <w:lang w:val="en-US"/>
        </w:rPr>
        <w:t xml:space="preserve"> large alimentary vessels (small vessels should be marked)</w:t>
      </w:r>
    </w:p>
    <w:p w14:paraId="50DFA1FE" w14:textId="77777777" w:rsidR="00C71841" w:rsidRPr="00EF1AF3" w:rsidRDefault="00C71841" w:rsidP="00C71841">
      <w:pPr>
        <w:spacing w:line="240" w:lineRule="auto"/>
        <w:rPr>
          <w:rFonts w:asciiTheme="majorHAnsi" w:hAnsiTheme="majorHAnsi" w:cstheme="majorHAnsi"/>
          <w:lang w:val="en-US"/>
        </w:rPr>
      </w:pPr>
    </w:p>
    <w:p w14:paraId="4FA8CE37" w14:textId="35C91321" w:rsidR="003932F4" w:rsidRPr="00EF1AF3" w:rsidRDefault="00EF1AF3" w:rsidP="00EF1AF3">
      <w:pPr>
        <w:spacing w:line="240" w:lineRule="auto"/>
        <w:rPr>
          <w:rFonts w:asciiTheme="majorHAnsi" w:hAnsiTheme="majorHAnsi" w:cstheme="majorHAnsi"/>
          <w:lang w:val="en-GB"/>
        </w:rPr>
      </w:pPr>
      <w:r w:rsidRPr="00EF1AF3">
        <w:rPr>
          <w:rFonts w:asciiTheme="majorHAnsi" w:hAnsiTheme="majorHAnsi" w:cstheme="majorHAnsi"/>
          <w:b/>
          <w:lang w:val="en-GB"/>
        </w:rPr>
        <w:t>U</w:t>
      </w:r>
      <w:r w:rsidR="003F4B4E" w:rsidRPr="00EF1AF3">
        <w:rPr>
          <w:rFonts w:asciiTheme="majorHAnsi" w:hAnsiTheme="majorHAnsi" w:cstheme="majorHAnsi"/>
          <w:b/>
          <w:lang w:val="en-GB"/>
        </w:rPr>
        <w:t>reter:</w:t>
      </w:r>
      <w:r w:rsidR="003F4B4E" w:rsidRPr="00EF1AF3">
        <w:rPr>
          <w:rFonts w:asciiTheme="majorHAnsi" w:hAnsiTheme="majorHAnsi" w:cstheme="majorHAnsi"/>
          <w:lang w:val="en-GB"/>
        </w:rPr>
        <w:t xml:space="preserve"> </w:t>
      </w:r>
    </w:p>
    <w:p w14:paraId="19FBF1B8" w14:textId="77777777" w:rsidR="003932F4" w:rsidRPr="00EF1AF3" w:rsidRDefault="003F4B4E" w:rsidP="00EF1AF3">
      <w:pPr>
        <w:pStyle w:val="Listenabsatz"/>
        <w:numPr>
          <w:ilvl w:val="0"/>
          <w:numId w:val="22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sometimes peristaltic movement can be visible on the images</w:t>
      </w:r>
    </w:p>
    <w:p w14:paraId="7174E7B3" w14:textId="77777777" w:rsidR="003932F4" w:rsidRPr="00EF1AF3" w:rsidRDefault="003F4B4E" w:rsidP="00EF1AF3">
      <w:pPr>
        <w:pStyle w:val="Listenabsatz"/>
        <w:numPr>
          <w:ilvl w:val="0"/>
          <w:numId w:val="22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vascular pattern on the ureter can help in retrieval</w:t>
      </w:r>
    </w:p>
    <w:p w14:paraId="2CE99F49" w14:textId="77777777" w:rsidR="003932F4" w:rsidRPr="00EF1AF3" w:rsidRDefault="003F4B4E" w:rsidP="00EF1AF3">
      <w:pPr>
        <w:pStyle w:val="Listenabsatz"/>
        <w:numPr>
          <w:ilvl w:val="0"/>
          <w:numId w:val="22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risk of confusion with the tendon of the iliopsoas muscle: tendon is whiter, more iridescent, more fibrous and usually lies on dark red muscle</w:t>
      </w:r>
    </w:p>
    <w:p w14:paraId="199084AB" w14:textId="77777777" w:rsidR="003932F4" w:rsidRPr="00EF1AF3" w:rsidRDefault="003F4B4E" w:rsidP="00EF1AF3">
      <w:pPr>
        <w:pStyle w:val="Listenabsatz"/>
        <w:numPr>
          <w:ilvl w:val="0"/>
          <w:numId w:val="22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EF1AF3">
        <w:rPr>
          <w:rFonts w:asciiTheme="majorHAnsi" w:hAnsiTheme="majorHAnsi" w:cstheme="majorHAnsi"/>
          <w:lang w:val="en-US"/>
        </w:rPr>
        <w:t>risk of confusion with arteries: often distinguishable by the localization and clipping of the artery in the course; ureter appears softer and is usually whiter</w:t>
      </w:r>
    </w:p>
    <w:p w14:paraId="18AF86E1" w14:textId="77777777" w:rsidR="003932F4" w:rsidRPr="00EF1AF3" w:rsidRDefault="003932F4" w:rsidP="00EF1AF3">
      <w:pPr>
        <w:spacing w:line="240" w:lineRule="auto"/>
        <w:rPr>
          <w:rFonts w:asciiTheme="majorHAnsi" w:hAnsiTheme="majorHAnsi" w:cstheme="majorHAnsi"/>
          <w:lang w:val="en-US"/>
        </w:rPr>
      </w:pPr>
    </w:p>
    <w:p w14:paraId="6DF8EB57" w14:textId="17256DA4" w:rsidR="003932F4" w:rsidRPr="00EF1AF3" w:rsidRDefault="00C71841" w:rsidP="00EF1AF3">
      <w:pPr>
        <w:spacing w:line="240" w:lineRule="auto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b/>
          <w:color w:val="000000"/>
        </w:rPr>
        <w:t>V</w:t>
      </w:r>
      <w:r w:rsidR="003F4B4E" w:rsidRPr="00EF1AF3">
        <w:rPr>
          <w:rFonts w:asciiTheme="majorHAnsi" w:hAnsiTheme="majorHAnsi" w:cstheme="majorHAnsi"/>
          <w:b/>
          <w:color w:val="000000"/>
        </w:rPr>
        <w:t>esicular</w:t>
      </w:r>
      <w:proofErr w:type="spellEnd"/>
      <w:r w:rsidR="003F4B4E" w:rsidRPr="00EF1AF3">
        <w:rPr>
          <w:rFonts w:asciiTheme="majorHAnsi" w:hAnsiTheme="majorHAnsi" w:cstheme="majorHAnsi"/>
          <w:b/>
          <w:color w:val="000000"/>
        </w:rPr>
        <w:t xml:space="preserve"> </w:t>
      </w:r>
      <w:proofErr w:type="spellStart"/>
      <w:r w:rsidR="003F4B4E" w:rsidRPr="00EF1AF3">
        <w:rPr>
          <w:rFonts w:asciiTheme="majorHAnsi" w:hAnsiTheme="majorHAnsi" w:cstheme="majorHAnsi"/>
          <w:b/>
          <w:color w:val="000000"/>
        </w:rPr>
        <w:t>glands</w:t>
      </w:r>
      <w:proofErr w:type="spellEnd"/>
      <w:r w:rsidR="003F4B4E" w:rsidRPr="00EF1AF3">
        <w:rPr>
          <w:rFonts w:asciiTheme="majorHAnsi" w:hAnsiTheme="majorHAnsi" w:cstheme="majorHAnsi"/>
          <w:b/>
          <w:color w:val="000000"/>
        </w:rPr>
        <w:t>:</w:t>
      </w:r>
    </w:p>
    <w:p w14:paraId="016968F6" w14:textId="47199617" w:rsidR="003932F4" w:rsidRPr="00C71841" w:rsidRDefault="00C71841" w:rsidP="00C71841">
      <w:pPr>
        <w:pStyle w:val="Listenabsatz"/>
        <w:numPr>
          <w:ilvl w:val="0"/>
          <w:numId w:val="25"/>
        </w:numPr>
        <w:spacing w:line="240" w:lineRule="auto"/>
        <w:ind w:left="567" w:hanging="283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color</w:t>
      </w:r>
      <w:proofErr w:type="spellEnd"/>
      <w:r>
        <w:rPr>
          <w:rFonts w:asciiTheme="majorHAnsi" w:hAnsiTheme="majorHAnsi" w:cstheme="majorHAnsi"/>
        </w:rPr>
        <w:t xml:space="preserve">: </w:t>
      </w:r>
      <w:proofErr w:type="spellStart"/>
      <w:r>
        <w:rPr>
          <w:rFonts w:asciiTheme="majorHAnsi" w:hAnsiTheme="majorHAnsi" w:cstheme="majorHAnsi"/>
        </w:rPr>
        <w:t>white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3F4B4E" w:rsidRPr="00C71841">
        <w:rPr>
          <w:rFonts w:asciiTheme="majorHAnsi" w:hAnsiTheme="majorHAnsi" w:cstheme="majorHAnsi"/>
        </w:rPr>
        <w:t>to</w:t>
      </w:r>
      <w:proofErr w:type="spellEnd"/>
      <w:r w:rsidR="003F4B4E" w:rsidRPr="00C71841">
        <w:rPr>
          <w:rFonts w:asciiTheme="majorHAnsi" w:hAnsiTheme="majorHAnsi" w:cstheme="majorHAnsi"/>
        </w:rPr>
        <w:t xml:space="preserve"> pink </w:t>
      </w:r>
    </w:p>
    <w:p w14:paraId="43EC5EB0" w14:textId="0BD3ABFA" w:rsidR="003932F4" w:rsidRPr="00C71841" w:rsidRDefault="003F4B4E" w:rsidP="00C71841">
      <w:pPr>
        <w:pStyle w:val="Listenabsatz"/>
        <w:numPr>
          <w:ilvl w:val="0"/>
          <w:numId w:val="25"/>
        </w:numPr>
        <w:spacing w:line="240" w:lineRule="auto"/>
        <w:ind w:left="567" w:hanging="283"/>
        <w:rPr>
          <w:rFonts w:asciiTheme="majorHAnsi" w:hAnsiTheme="majorHAnsi" w:cstheme="majorHAnsi"/>
          <w:lang w:val="en-US"/>
        </w:rPr>
      </w:pPr>
      <w:r w:rsidRPr="00C71841">
        <w:rPr>
          <w:rFonts w:asciiTheme="majorHAnsi" w:hAnsiTheme="majorHAnsi" w:cstheme="majorHAnsi"/>
          <w:lang w:val="en-US"/>
        </w:rPr>
        <w:t xml:space="preserve">when the exposure is being started, sometimes only very small areas are visible, you can </w:t>
      </w:r>
      <w:r w:rsidR="00C71841">
        <w:rPr>
          <w:rFonts w:asciiTheme="majorHAnsi" w:hAnsiTheme="majorHAnsi" w:cstheme="majorHAnsi"/>
          <w:lang w:val="en-US"/>
        </w:rPr>
        <w:t xml:space="preserve">skip </w:t>
      </w:r>
      <w:r w:rsidRPr="00C71841">
        <w:rPr>
          <w:rFonts w:asciiTheme="majorHAnsi" w:hAnsiTheme="majorHAnsi" w:cstheme="majorHAnsi"/>
          <w:lang w:val="en-US"/>
        </w:rPr>
        <w:t>a few images</w:t>
      </w:r>
      <w:r w:rsidR="00C71841">
        <w:rPr>
          <w:rFonts w:asciiTheme="majorHAnsi" w:hAnsiTheme="majorHAnsi" w:cstheme="majorHAnsi"/>
          <w:lang w:val="en-US"/>
        </w:rPr>
        <w:t xml:space="preserve"> ahead</w:t>
      </w:r>
      <w:r w:rsidRPr="00C71841">
        <w:rPr>
          <w:rFonts w:asciiTheme="majorHAnsi" w:hAnsiTheme="majorHAnsi" w:cstheme="majorHAnsi"/>
          <w:lang w:val="en-US"/>
        </w:rPr>
        <w:t xml:space="preserve"> to detect the correct area</w:t>
      </w:r>
    </w:p>
    <w:p w14:paraId="4A68137E" w14:textId="77777777" w:rsidR="00C71841" w:rsidRDefault="00C71841" w:rsidP="00C71841">
      <w:pPr>
        <w:spacing w:line="240" w:lineRule="auto"/>
        <w:rPr>
          <w:rFonts w:asciiTheme="majorHAnsi" w:hAnsiTheme="majorHAnsi" w:cstheme="majorHAnsi"/>
          <w:b/>
          <w:lang w:val="en-US"/>
        </w:rPr>
      </w:pPr>
      <w:bookmarkStart w:id="1" w:name="_369226xq344c" w:colFirst="0" w:colLast="0"/>
      <w:bookmarkEnd w:id="1"/>
    </w:p>
    <w:p w14:paraId="0024E00F" w14:textId="77777777" w:rsidR="00C71841" w:rsidRPr="00EF1AF3" w:rsidRDefault="00C71841">
      <w:pPr>
        <w:spacing w:line="240" w:lineRule="auto"/>
        <w:ind w:left="567" w:hanging="436"/>
        <w:rPr>
          <w:rFonts w:asciiTheme="majorHAnsi" w:hAnsiTheme="majorHAnsi" w:cstheme="majorHAnsi"/>
          <w:lang w:val="en-US"/>
        </w:rPr>
      </w:pPr>
    </w:p>
    <w:sectPr w:rsidR="00C71841" w:rsidRPr="00EF1AF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1A9C"/>
    <w:multiLevelType w:val="multilevel"/>
    <w:tmpl w:val="A540F42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5A37C52"/>
    <w:multiLevelType w:val="hybridMultilevel"/>
    <w:tmpl w:val="5C5C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946AF"/>
    <w:multiLevelType w:val="multilevel"/>
    <w:tmpl w:val="BDA62F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1EB243D"/>
    <w:multiLevelType w:val="hybridMultilevel"/>
    <w:tmpl w:val="F4C007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53794D"/>
    <w:multiLevelType w:val="hybridMultilevel"/>
    <w:tmpl w:val="80A25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AE169A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D5B63"/>
    <w:multiLevelType w:val="multilevel"/>
    <w:tmpl w:val="56F0BEE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A224C77"/>
    <w:multiLevelType w:val="hybridMultilevel"/>
    <w:tmpl w:val="7D0EFD2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9F0067"/>
    <w:multiLevelType w:val="multilevel"/>
    <w:tmpl w:val="5812188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—"/>
      <w:lvlJc w:val="left"/>
      <w:pPr>
        <w:ind w:left="2160" w:hanging="360"/>
      </w:pPr>
      <w:rPr>
        <w:rFonts w:ascii="Calibri" w:hAnsi="Calibri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25962754"/>
    <w:multiLevelType w:val="hybridMultilevel"/>
    <w:tmpl w:val="EE1EA8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95633F"/>
    <w:multiLevelType w:val="multilevel"/>
    <w:tmpl w:val="714E5CA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99504F4"/>
    <w:multiLevelType w:val="hybridMultilevel"/>
    <w:tmpl w:val="68EA5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B0870"/>
    <w:multiLevelType w:val="multilevel"/>
    <w:tmpl w:val="CAA4949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2BAA5CFB"/>
    <w:multiLevelType w:val="hybridMultilevel"/>
    <w:tmpl w:val="AEEE7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26288"/>
    <w:multiLevelType w:val="hybridMultilevel"/>
    <w:tmpl w:val="A76E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A6292"/>
    <w:multiLevelType w:val="multilevel"/>
    <w:tmpl w:val="AF3E740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3B376789"/>
    <w:multiLevelType w:val="hybridMultilevel"/>
    <w:tmpl w:val="8EF265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09975CE"/>
    <w:multiLevelType w:val="multilevel"/>
    <w:tmpl w:val="41746ED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43FE3090"/>
    <w:multiLevelType w:val="hybridMultilevel"/>
    <w:tmpl w:val="63320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57484"/>
    <w:multiLevelType w:val="multilevel"/>
    <w:tmpl w:val="9BCA2F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—"/>
      <w:lvlJc w:val="left"/>
      <w:pPr>
        <w:ind w:left="2160" w:hanging="360"/>
      </w:pPr>
      <w:rPr>
        <w:rFonts w:ascii="Calibri" w:hAnsi="Calibri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551FD8"/>
    <w:multiLevelType w:val="hybridMultilevel"/>
    <w:tmpl w:val="957E7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002D0"/>
    <w:multiLevelType w:val="hybridMultilevel"/>
    <w:tmpl w:val="4300AC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98768F6"/>
    <w:multiLevelType w:val="hybridMultilevel"/>
    <w:tmpl w:val="08CCC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6136E"/>
    <w:multiLevelType w:val="multilevel"/>
    <w:tmpl w:val="46F215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5F6A2E3C"/>
    <w:multiLevelType w:val="hybridMultilevel"/>
    <w:tmpl w:val="EB629EF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0363339"/>
    <w:multiLevelType w:val="multilevel"/>
    <w:tmpl w:val="AF92FF0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5" w15:restartNumberingAfterBreak="0">
    <w:nsid w:val="61582D3E"/>
    <w:multiLevelType w:val="multilevel"/>
    <w:tmpl w:val="A540F42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29C4EB7"/>
    <w:multiLevelType w:val="multilevel"/>
    <w:tmpl w:val="2FB0F34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—"/>
      <w:lvlJc w:val="left"/>
      <w:pPr>
        <w:ind w:left="2160" w:hanging="360"/>
      </w:pPr>
      <w:rPr>
        <w:rFonts w:ascii="Calibri" w:hAnsi="Calibri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64735916"/>
    <w:multiLevelType w:val="multilevel"/>
    <w:tmpl w:val="F154C4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55960C9"/>
    <w:multiLevelType w:val="multilevel"/>
    <w:tmpl w:val="B64620F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9" w15:restartNumberingAfterBreak="0">
    <w:nsid w:val="68E573D9"/>
    <w:multiLevelType w:val="multilevel"/>
    <w:tmpl w:val="479EDDA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69A40782"/>
    <w:multiLevelType w:val="hybridMultilevel"/>
    <w:tmpl w:val="60341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E6E0D"/>
    <w:multiLevelType w:val="hybridMultilevel"/>
    <w:tmpl w:val="6D3C12C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F3E453D"/>
    <w:multiLevelType w:val="multilevel"/>
    <w:tmpl w:val="DEA6099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3" w15:restartNumberingAfterBreak="0">
    <w:nsid w:val="7FA36325"/>
    <w:multiLevelType w:val="hybridMultilevel"/>
    <w:tmpl w:val="AEBCF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6"/>
  </w:num>
  <w:num w:numId="4">
    <w:abstractNumId w:val="27"/>
  </w:num>
  <w:num w:numId="5">
    <w:abstractNumId w:val="11"/>
  </w:num>
  <w:num w:numId="6">
    <w:abstractNumId w:val="28"/>
  </w:num>
  <w:num w:numId="7">
    <w:abstractNumId w:val="14"/>
  </w:num>
  <w:num w:numId="8">
    <w:abstractNumId w:val="29"/>
  </w:num>
  <w:num w:numId="9">
    <w:abstractNumId w:val="22"/>
  </w:num>
  <w:num w:numId="10">
    <w:abstractNumId w:val="25"/>
  </w:num>
  <w:num w:numId="11">
    <w:abstractNumId w:val="32"/>
  </w:num>
  <w:num w:numId="12">
    <w:abstractNumId w:val="2"/>
  </w:num>
  <w:num w:numId="13">
    <w:abstractNumId w:val="0"/>
  </w:num>
  <w:num w:numId="14">
    <w:abstractNumId w:val="18"/>
  </w:num>
  <w:num w:numId="15">
    <w:abstractNumId w:val="26"/>
  </w:num>
  <w:num w:numId="16">
    <w:abstractNumId w:val="13"/>
  </w:num>
  <w:num w:numId="17">
    <w:abstractNumId w:val="9"/>
  </w:num>
  <w:num w:numId="18">
    <w:abstractNumId w:val="30"/>
  </w:num>
  <w:num w:numId="19">
    <w:abstractNumId w:val="20"/>
  </w:num>
  <w:num w:numId="20">
    <w:abstractNumId w:val="19"/>
  </w:num>
  <w:num w:numId="21">
    <w:abstractNumId w:val="23"/>
  </w:num>
  <w:num w:numId="22">
    <w:abstractNumId w:val="31"/>
  </w:num>
  <w:num w:numId="23">
    <w:abstractNumId w:val="8"/>
  </w:num>
  <w:num w:numId="24">
    <w:abstractNumId w:val="6"/>
  </w:num>
  <w:num w:numId="25">
    <w:abstractNumId w:val="3"/>
  </w:num>
  <w:num w:numId="26">
    <w:abstractNumId w:val="15"/>
  </w:num>
  <w:num w:numId="27">
    <w:abstractNumId w:val="10"/>
  </w:num>
  <w:num w:numId="28">
    <w:abstractNumId w:val="1"/>
  </w:num>
  <w:num w:numId="29">
    <w:abstractNumId w:val="21"/>
  </w:num>
  <w:num w:numId="30">
    <w:abstractNumId w:val="12"/>
  </w:num>
  <w:num w:numId="31">
    <w:abstractNumId w:val="33"/>
  </w:num>
  <w:num w:numId="32">
    <w:abstractNumId w:val="17"/>
  </w:num>
  <w:num w:numId="33">
    <w:abstractNumId w:val="4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F4"/>
    <w:rsid w:val="003932F4"/>
    <w:rsid w:val="003F4B4E"/>
    <w:rsid w:val="00593D45"/>
    <w:rsid w:val="00910891"/>
    <w:rsid w:val="00C71841"/>
    <w:rsid w:val="00EC34F3"/>
    <w:rsid w:val="00EF1AF3"/>
    <w:rsid w:val="00EF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BCC3"/>
  <w15:docId w15:val="{16ACB198-3F2E-4648-829A-336B57A3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Listenabsatz">
    <w:name w:val="List Paragraph"/>
    <w:basedOn w:val="Standard"/>
    <w:uiPriority w:val="34"/>
    <w:qFormat/>
    <w:rsid w:val="003F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Kolbinger, Fiona</dc:creator>
  <cp:lastModifiedBy>Kolbinger, Fiona</cp:lastModifiedBy>
  <cp:revision>2</cp:revision>
  <dcterms:created xsi:type="dcterms:W3CDTF">2022-11-11T11:20:00Z</dcterms:created>
  <dcterms:modified xsi:type="dcterms:W3CDTF">2022-11-11T11:20:00Z</dcterms:modified>
</cp:coreProperties>
</file>