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414E0" w14:textId="55A02E9D" w:rsidR="00806843" w:rsidRDefault="00806843" w:rsidP="00806843">
      <w:pPr>
        <w:pStyle w:val="Title"/>
        <w:jc w:val="center"/>
      </w:pPr>
      <w:bookmarkStart w:id="0" w:name="_4mblhvvaoxej" w:colFirst="0" w:colLast="0"/>
      <w:bookmarkEnd w:id="0"/>
      <w:r>
        <w:t>Supplementary Figures for</w:t>
      </w:r>
    </w:p>
    <w:p w14:paraId="242F8FA5" w14:textId="60158F4E" w:rsidR="00806843" w:rsidRDefault="00806843" w:rsidP="00806843">
      <w:pPr>
        <w:pStyle w:val="Title"/>
        <w:jc w:val="center"/>
      </w:pPr>
      <w:r>
        <w:t>A harmonized resource of integrated prostate cancer clinical, -</w:t>
      </w:r>
      <w:proofErr w:type="spellStart"/>
      <w:r>
        <w:t>omic</w:t>
      </w:r>
      <w:proofErr w:type="spellEnd"/>
      <w:r>
        <w:t>, and signature features</w:t>
      </w:r>
    </w:p>
    <w:p w14:paraId="4FA684E8" w14:textId="77777777" w:rsidR="00806843" w:rsidRDefault="00806843" w:rsidP="00806843">
      <w:pPr>
        <w:spacing w:line="240" w:lineRule="auto"/>
      </w:pPr>
      <w:r>
        <w:t xml:space="preserve"> </w:t>
      </w:r>
    </w:p>
    <w:p w14:paraId="42459B90" w14:textId="77777777" w:rsidR="00806843" w:rsidRDefault="00806843" w:rsidP="00806843">
      <w:pPr>
        <w:spacing w:line="240" w:lineRule="auto"/>
        <w:rPr>
          <w:vertAlign w:val="superscript"/>
        </w:rPr>
      </w:pPr>
      <w:proofErr w:type="spellStart"/>
      <w:r>
        <w:t>Teemu</w:t>
      </w:r>
      <w:proofErr w:type="spellEnd"/>
      <w:r>
        <w:t xml:space="preserve"> D. Laajala</w:t>
      </w:r>
      <w:r>
        <w:rPr>
          <w:vertAlign w:val="superscript"/>
        </w:rPr>
        <w:t>1,2</w:t>
      </w:r>
      <w:r>
        <w:t>, Varsha Sreekanth</w:t>
      </w:r>
      <w:r>
        <w:rPr>
          <w:vertAlign w:val="superscript"/>
        </w:rPr>
        <w:t>2</w:t>
      </w:r>
      <w:r>
        <w:t>, Alex Soupir</w:t>
      </w:r>
      <w:r>
        <w:rPr>
          <w:vertAlign w:val="superscript"/>
        </w:rPr>
        <w:t>3</w:t>
      </w:r>
      <w:r>
        <w:t>, Jordan Creed</w:t>
      </w:r>
      <w:r>
        <w:rPr>
          <w:vertAlign w:val="superscript"/>
        </w:rPr>
        <w:t>3</w:t>
      </w:r>
      <w:r>
        <w:t>, Anni S. Halkola</w:t>
      </w:r>
      <w:r w:rsidRPr="00806843">
        <w:rPr>
          <w:vertAlign w:val="superscript"/>
        </w:rPr>
        <w:t>1</w:t>
      </w:r>
      <w:r>
        <w:t>, Federico C.F. Calboli</w:t>
      </w:r>
      <w:r>
        <w:rPr>
          <w:vertAlign w:val="superscript"/>
        </w:rPr>
        <w:t>1,4</w:t>
      </w:r>
      <w:r>
        <w:t xml:space="preserve">, </w:t>
      </w:r>
      <w:proofErr w:type="spellStart"/>
      <w:r>
        <w:rPr>
          <w:highlight w:val="white"/>
        </w:rPr>
        <w:t>Kalaimathy</w:t>
      </w:r>
      <w:proofErr w:type="spellEnd"/>
      <w:r>
        <w:rPr>
          <w:highlight w:val="white"/>
        </w:rPr>
        <w:t xml:space="preserve"> Singaravelu</w:t>
      </w:r>
      <w:r>
        <w:rPr>
          <w:vertAlign w:val="superscript"/>
        </w:rPr>
        <w:t>1</w:t>
      </w:r>
      <w:r>
        <w:rPr>
          <w:highlight w:val="white"/>
        </w:rPr>
        <w:t>,</w:t>
      </w:r>
      <w:r>
        <w:t xml:space="preserve"> Michael V. Orman</w:t>
      </w:r>
      <w:r>
        <w:rPr>
          <w:vertAlign w:val="superscript"/>
        </w:rPr>
        <w:t>2</w:t>
      </w:r>
      <w:r>
        <w:t>, Christelle Colin-Leitzinger</w:t>
      </w:r>
      <w:r>
        <w:rPr>
          <w:vertAlign w:val="superscript"/>
        </w:rPr>
        <w:t>3</w:t>
      </w:r>
      <w:r>
        <w:t>, Travis Gerke</w:t>
      </w:r>
      <w:r>
        <w:rPr>
          <w:vertAlign w:val="superscript"/>
        </w:rPr>
        <w:t>5</w:t>
      </w:r>
      <w:r>
        <w:t>, Brooke L. Fridley</w:t>
      </w:r>
      <w:proofErr w:type="gramStart"/>
      <w:r>
        <w:rPr>
          <w:vertAlign w:val="superscript"/>
        </w:rPr>
        <w:t>3,*</w:t>
      </w:r>
      <w:proofErr w:type="gramEnd"/>
      <w:r>
        <w:t xml:space="preserve">, </w:t>
      </w:r>
      <w:proofErr w:type="spellStart"/>
      <w:r>
        <w:t>Svitlana</w:t>
      </w:r>
      <w:proofErr w:type="spellEnd"/>
      <w:r>
        <w:t xml:space="preserve"> Tyekucheva</w:t>
      </w:r>
      <w:r>
        <w:rPr>
          <w:vertAlign w:val="superscript"/>
        </w:rPr>
        <w:t>6,*</w:t>
      </w:r>
      <w:r>
        <w:t>, James C. Costello</w:t>
      </w:r>
      <w:r>
        <w:rPr>
          <w:vertAlign w:val="superscript"/>
        </w:rPr>
        <w:t>2,7,*</w:t>
      </w:r>
    </w:p>
    <w:p w14:paraId="036DB0A4" w14:textId="77777777" w:rsidR="00806843" w:rsidRDefault="00806843" w:rsidP="00806843">
      <w:pPr>
        <w:spacing w:line="240" w:lineRule="auto"/>
      </w:pPr>
    </w:p>
    <w:p w14:paraId="221E4870" w14:textId="77777777" w:rsidR="00806843" w:rsidRDefault="00806843" w:rsidP="00806843">
      <w:pPr>
        <w:spacing w:line="240" w:lineRule="auto"/>
      </w:pPr>
      <w:r>
        <w:rPr>
          <w:vertAlign w:val="superscript"/>
        </w:rPr>
        <w:t>1</w:t>
      </w:r>
      <w:r>
        <w:t>Department of Mathematics and Statistics, University of Turku, Turku, Finland</w:t>
      </w:r>
    </w:p>
    <w:p w14:paraId="7ECDC7C0" w14:textId="77777777" w:rsidR="00806843" w:rsidRDefault="00806843" w:rsidP="00806843">
      <w:pPr>
        <w:spacing w:line="240" w:lineRule="auto"/>
      </w:pPr>
      <w:r>
        <w:rPr>
          <w:vertAlign w:val="superscript"/>
        </w:rPr>
        <w:t>2</w:t>
      </w:r>
      <w:r>
        <w:t>Department of Pharmacology, University of Colorado Anschutz Medical Campus, Aurora, CO, USA</w:t>
      </w:r>
    </w:p>
    <w:p w14:paraId="37751380" w14:textId="77777777" w:rsidR="00806843" w:rsidRDefault="00806843" w:rsidP="00806843">
      <w:pPr>
        <w:spacing w:line="240" w:lineRule="auto"/>
      </w:pPr>
      <w:r>
        <w:rPr>
          <w:vertAlign w:val="superscript"/>
        </w:rPr>
        <w:t>3</w:t>
      </w:r>
      <w:r>
        <w:t>Department of Biostatistics and Bioinformatics, Moffitt Cancer Center, Tampa, FL, USA</w:t>
      </w:r>
    </w:p>
    <w:p w14:paraId="2179EDFE" w14:textId="77777777" w:rsidR="00806843" w:rsidRDefault="00806843" w:rsidP="00806843">
      <w:r>
        <w:rPr>
          <w:vertAlign w:val="superscript"/>
        </w:rPr>
        <w:t>4</w:t>
      </w:r>
      <w:r>
        <w:t xml:space="preserve">Natural Resources Institute Finland (Luke), F-31600, </w:t>
      </w:r>
      <w:proofErr w:type="spellStart"/>
      <w:r>
        <w:t>Jokioinen</w:t>
      </w:r>
      <w:proofErr w:type="spellEnd"/>
      <w:r>
        <w:t>, Finland</w:t>
      </w:r>
    </w:p>
    <w:p w14:paraId="5DABF09B" w14:textId="77777777" w:rsidR="00806843" w:rsidRDefault="00806843" w:rsidP="00806843">
      <w:pPr>
        <w:spacing w:line="240" w:lineRule="auto"/>
        <w:rPr>
          <w:vertAlign w:val="superscript"/>
        </w:rPr>
      </w:pPr>
      <w:r>
        <w:rPr>
          <w:vertAlign w:val="superscript"/>
        </w:rPr>
        <w:t>5</w:t>
      </w:r>
      <w:r>
        <w:t>Department of Cancer Epidemiology, Moffitt Cancer Center, Tampa, FL, USA</w:t>
      </w:r>
    </w:p>
    <w:p w14:paraId="283A4127" w14:textId="77777777" w:rsidR="00806843" w:rsidRDefault="00806843" w:rsidP="00806843">
      <w:r>
        <w:rPr>
          <w:vertAlign w:val="superscript"/>
        </w:rPr>
        <w:t>6</w:t>
      </w:r>
      <w:r>
        <w:t>Department of Data Science, Dana-Farber Cancer Institute; Department of Biostatistics, Harvard T.H. Chan School of Public Health, Boston, MA, USA</w:t>
      </w:r>
    </w:p>
    <w:p w14:paraId="5DE23CA6" w14:textId="77777777" w:rsidR="00806843" w:rsidRDefault="00806843" w:rsidP="00806843">
      <w:pPr>
        <w:spacing w:line="240" w:lineRule="auto"/>
      </w:pPr>
      <w:r>
        <w:rPr>
          <w:vertAlign w:val="superscript"/>
        </w:rPr>
        <w:t>7</w:t>
      </w:r>
      <w:r>
        <w:t>University of Colorado Cancer Center, University of Colorado Anschutz Medical Campus, Aurora, CO, USA</w:t>
      </w:r>
    </w:p>
    <w:p w14:paraId="4B3D9115" w14:textId="77777777" w:rsidR="00806843" w:rsidRDefault="00806843" w:rsidP="00806843"/>
    <w:p w14:paraId="13F3B83C" w14:textId="77777777" w:rsidR="00806843" w:rsidRDefault="00806843" w:rsidP="00806843"/>
    <w:p w14:paraId="07EF94F7" w14:textId="77777777" w:rsidR="00806843" w:rsidRDefault="00806843" w:rsidP="00806843">
      <w:pPr>
        <w:spacing w:line="240" w:lineRule="auto"/>
      </w:pPr>
    </w:p>
    <w:p w14:paraId="0D327FEE" w14:textId="77777777" w:rsidR="00806843" w:rsidRDefault="00806843" w:rsidP="00806843">
      <w:pPr>
        <w:spacing w:line="240" w:lineRule="auto"/>
      </w:pPr>
      <w:r>
        <w:t>*These authors jointly supervised this work</w:t>
      </w:r>
    </w:p>
    <w:p w14:paraId="656289C7" w14:textId="77777777" w:rsidR="00806843" w:rsidRDefault="00806843" w:rsidP="00806843">
      <w:pPr>
        <w:spacing w:line="240" w:lineRule="auto"/>
      </w:pPr>
    </w:p>
    <w:p w14:paraId="104C799A" w14:textId="77777777" w:rsidR="00806843" w:rsidRDefault="00806843" w:rsidP="00806843">
      <w:pPr>
        <w:spacing w:line="240" w:lineRule="auto"/>
      </w:pPr>
      <w:r>
        <w:t xml:space="preserve">Corresponding authors: </w:t>
      </w:r>
      <w:proofErr w:type="spellStart"/>
      <w:r>
        <w:t>Teemu</w:t>
      </w:r>
      <w:proofErr w:type="spellEnd"/>
      <w:r>
        <w:t xml:space="preserve"> D </w:t>
      </w:r>
      <w:proofErr w:type="spellStart"/>
      <w:r>
        <w:t>Laajala</w:t>
      </w:r>
      <w:proofErr w:type="spellEnd"/>
      <w:r>
        <w:t xml:space="preserve"> (</w:t>
      </w:r>
      <w:hyperlink r:id="rId4">
        <w:r>
          <w:rPr>
            <w:u w:val="single"/>
          </w:rPr>
          <w:t>teelaa@utu.fi</w:t>
        </w:r>
      </w:hyperlink>
      <w:r>
        <w:t xml:space="preserve">), </w:t>
      </w:r>
      <w:proofErr w:type="spellStart"/>
      <w:r>
        <w:t>Svitlana</w:t>
      </w:r>
      <w:proofErr w:type="spellEnd"/>
      <w:r>
        <w:t xml:space="preserve"> </w:t>
      </w:r>
      <w:proofErr w:type="spellStart"/>
      <w:r>
        <w:t>Tyekucheva</w:t>
      </w:r>
      <w:proofErr w:type="spellEnd"/>
      <w:r>
        <w:t xml:space="preserve"> (</w:t>
      </w:r>
      <w:hyperlink r:id="rId5">
        <w:r>
          <w:rPr>
            <w:u w:val="single"/>
          </w:rPr>
          <w:t>svitlana@jimmy.harvard.edu</w:t>
        </w:r>
      </w:hyperlink>
      <w:r>
        <w:t>), and James C Costello (</w:t>
      </w:r>
      <w:hyperlink r:id="rId6">
        <w:r>
          <w:rPr>
            <w:u w:val="single"/>
          </w:rPr>
          <w:t>james.costello@cuanschutz.edu</w:t>
        </w:r>
      </w:hyperlink>
      <w:r>
        <w:t>)</w:t>
      </w:r>
    </w:p>
    <w:p w14:paraId="42828FAD" w14:textId="50221D92" w:rsidR="00806843" w:rsidRDefault="00806843">
      <w:pPr>
        <w:spacing w:line="240" w:lineRule="auto"/>
      </w:pPr>
      <w:r>
        <w:br w:type="page"/>
      </w:r>
    </w:p>
    <w:p w14:paraId="2DEA7D29" w14:textId="77777777" w:rsidR="00806843" w:rsidRPr="00806843" w:rsidRDefault="00806843" w:rsidP="0080684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6843">
        <w:rPr>
          <w:rFonts w:eastAsia="Times New Roman"/>
          <w:b/>
          <w:bCs/>
          <w:color w:val="000000"/>
          <w:lang w:val="en-US"/>
        </w:rPr>
        <w:lastRenderedPageBreak/>
        <w:t>Supplementary Figures</w:t>
      </w:r>
    </w:p>
    <w:p w14:paraId="17D06736" w14:textId="33E88B13" w:rsidR="00806843" w:rsidRPr="00806843" w:rsidRDefault="00806843" w:rsidP="0080684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6843">
        <w:rPr>
          <w:noProof/>
        </w:rPr>
        <w:drawing>
          <wp:inline distT="0" distB="0" distL="0" distR="0" wp14:anchorId="1BD9A6DC" wp14:editId="58A59865">
            <wp:extent cx="4839569" cy="67183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569" cy="671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449E0" w14:textId="5FCDBAFE" w:rsidR="00806843" w:rsidRPr="00806843" w:rsidRDefault="00806843" w:rsidP="0080684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6843">
        <w:rPr>
          <w:rFonts w:eastAsia="Times New Roman"/>
          <w:b/>
          <w:bCs/>
          <w:color w:val="000000"/>
          <w:lang w:val="en-US"/>
        </w:rPr>
        <w:t>Figure S1</w:t>
      </w:r>
      <w:r w:rsidRPr="00806843">
        <w:rPr>
          <w:rFonts w:eastAsia="Times New Roman"/>
          <w:color w:val="000000"/>
          <w:lang w:val="en-US"/>
        </w:rPr>
        <w:t xml:space="preserve">: </w:t>
      </w:r>
      <w:r w:rsidRPr="00806843">
        <w:rPr>
          <w:rFonts w:eastAsia="Times New Roman"/>
          <w:b/>
          <w:bCs/>
          <w:color w:val="000000"/>
          <w:lang w:val="en-US"/>
        </w:rPr>
        <w:t xml:space="preserve">Workflow of the </w:t>
      </w:r>
      <w:proofErr w:type="spellStart"/>
      <w:r w:rsidRPr="00806843">
        <w:rPr>
          <w:rFonts w:eastAsia="Times New Roman"/>
          <w:b/>
          <w:bCs/>
          <w:i/>
          <w:iCs/>
          <w:color w:val="000000"/>
          <w:lang w:val="en-US"/>
        </w:rPr>
        <w:t>curatedPCaData</w:t>
      </w:r>
      <w:proofErr w:type="spellEnd"/>
      <w:r w:rsidRPr="00806843">
        <w:rPr>
          <w:rFonts w:eastAsia="Times New Roman"/>
          <w:b/>
          <w:bCs/>
          <w:color w:val="000000"/>
          <w:lang w:val="en-US"/>
        </w:rPr>
        <w:t xml:space="preserve"> </w:t>
      </w:r>
      <w:proofErr w:type="spellStart"/>
      <w:r w:rsidRPr="00806843">
        <w:rPr>
          <w:rFonts w:eastAsia="Times New Roman"/>
          <w:b/>
          <w:bCs/>
          <w:color w:val="000000"/>
          <w:lang w:val="en-US"/>
        </w:rPr>
        <w:t>MultiAssayExperiment</w:t>
      </w:r>
      <w:proofErr w:type="spellEnd"/>
      <w:r w:rsidRPr="00806843">
        <w:rPr>
          <w:rFonts w:eastAsia="Times New Roman"/>
          <w:b/>
          <w:bCs/>
          <w:color w:val="000000"/>
          <w:lang w:val="en-US"/>
        </w:rPr>
        <w:t>-object generation.</w:t>
      </w:r>
      <w:r w:rsidRPr="00806843">
        <w:rPr>
          <w:rFonts w:eastAsia="Times New Roman"/>
          <w:color w:val="000000"/>
          <w:lang w:val="en-US"/>
        </w:rPr>
        <w:t xml:space="preserve"> </w:t>
      </w:r>
      <w:r w:rsidR="00F96080">
        <w:rPr>
          <w:rFonts w:eastAsia="Times New Roman"/>
          <w:b/>
          <w:bCs/>
          <w:color w:val="000000"/>
          <w:lang w:val="en-US"/>
        </w:rPr>
        <w:t>a</w:t>
      </w:r>
      <w:r w:rsidRPr="00806843">
        <w:rPr>
          <w:rFonts w:eastAsia="Times New Roman"/>
          <w:color w:val="000000"/>
          <w:lang w:val="en-US"/>
        </w:rPr>
        <w:t xml:space="preserve">) Primary raw data is extracted mainly using the </w:t>
      </w:r>
      <w:proofErr w:type="spellStart"/>
      <w:r w:rsidRPr="00806843">
        <w:rPr>
          <w:rFonts w:eastAsia="Times New Roman"/>
          <w:color w:val="000000"/>
          <w:lang w:val="en-US"/>
        </w:rPr>
        <w:t>GEOquery</w:t>
      </w:r>
      <w:proofErr w:type="spellEnd"/>
      <w:r w:rsidRPr="00806843">
        <w:rPr>
          <w:rFonts w:eastAsia="Times New Roman"/>
          <w:color w:val="000000"/>
          <w:lang w:val="en-US"/>
        </w:rPr>
        <w:t xml:space="preserve"> and </w:t>
      </w:r>
      <w:proofErr w:type="spellStart"/>
      <w:r w:rsidRPr="00806843">
        <w:rPr>
          <w:rFonts w:eastAsia="Times New Roman"/>
          <w:color w:val="000000"/>
          <w:lang w:val="en-US"/>
        </w:rPr>
        <w:t>cBioPortalData</w:t>
      </w:r>
      <w:proofErr w:type="spellEnd"/>
      <w:r w:rsidRPr="00806843">
        <w:rPr>
          <w:rFonts w:eastAsia="Times New Roman"/>
          <w:color w:val="000000"/>
          <w:lang w:val="en-US"/>
        </w:rPr>
        <w:t xml:space="preserve"> packages. Raw data are processed according to latest annotations with the help of </w:t>
      </w:r>
      <w:proofErr w:type="spellStart"/>
      <w:r w:rsidRPr="00806843">
        <w:rPr>
          <w:rFonts w:eastAsia="Times New Roman"/>
          <w:color w:val="000000"/>
          <w:lang w:val="en-US"/>
        </w:rPr>
        <w:t>biomaRt</w:t>
      </w:r>
      <w:proofErr w:type="spellEnd"/>
      <w:r w:rsidRPr="00806843">
        <w:rPr>
          <w:rFonts w:eastAsia="Times New Roman"/>
          <w:color w:val="000000"/>
          <w:lang w:val="en-US"/>
        </w:rPr>
        <w:t xml:space="preserve"> and assay-specific packages, and then processed using </w:t>
      </w:r>
      <w:proofErr w:type="spellStart"/>
      <w:r w:rsidRPr="00806843">
        <w:rPr>
          <w:rFonts w:eastAsia="Times New Roman"/>
          <w:color w:val="000000"/>
          <w:lang w:val="en-US"/>
        </w:rPr>
        <w:t>affy</w:t>
      </w:r>
      <w:proofErr w:type="spellEnd"/>
      <w:r w:rsidRPr="00806843">
        <w:rPr>
          <w:rFonts w:eastAsia="Times New Roman"/>
          <w:color w:val="000000"/>
          <w:lang w:val="en-US"/>
        </w:rPr>
        <w:t xml:space="preserve">, oligo, </w:t>
      </w:r>
      <w:proofErr w:type="spellStart"/>
      <w:r w:rsidRPr="00806843">
        <w:rPr>
          <w:rFonts w:eastAsia="Times New Roman"/>
          <w:color w:val="000000"/>
          <w:lang w:val="en-US"/>
        </w:rPr>
        <w:t>limma</w:t>
      </w:r>
      <w:proofErr w:type="spellEnd"/>
      <w:r w:rsidRPr="00806843">
        <w:rPr>
          <w:rFonts w:eastAsia="Times New Roman"/>
          <w:color w:val="000000"/>
          <w:lang w:val="en-US"/>
        </w:rPr>
        <w:t xml:space="preserve">, and </w:t>
      </w:r>
      <w:proofErr w:type="spellStart"/>
      <w:r w:rsidRPr="00806843">
        <w:rPr>
          <w:rFonts w:eastAsia="Times New Roman"/>
          <w:color w:val="000000"/>
          <w:lang w:val="en-US"/>
        </w:rPr>
        <w:t>rCGH</w:t>
      </w:r>
      <w:proofErr w:type="spellEnd"/>
      <w:r w:rsidRPr="00806843">
        <w:rPr>
          <w:rFonts w:eastAsia="Times New Roman"/>
          <w:color w:val="000000"/>
          <w:lang w:val="en-US"/>
        </w:rPr>
        <w:t xml:space="preserve"> packages where appropriate; </w:t>
      </w:r>
      <w:r w:rsidR="00F96080">
        <w:rPr>
          <w:rFonts w:eastAsia="Times New Roman"/>
          <w:b/>
          <w:bCs/>
          <w:color w:val="000000"/>
          <w:lang w:val="en-US"/>
        </w:rPr>
        <w:t>b</w:t>
      </w:r>
      <w:r w:rsidRPr="00806843">
        <w:rPr>
          <w:rFonts w:eastAsia="Times New Roman"/>
          <w:color w:val="000000"/>
          <w:lang w:val="en-US"/>
        </w:rPr>
        <w:t>)</w:t>
      </w:r>
      <w:r>
        <w:rPr>
          <w:rFonts w:eastAsia="Times New Roman"/>
          <w:color w:val="000000"/>
          <w:lang w:val="en-US"/>
        </w:rPr>
        <w:t xml:space="preserve"> Key data </w:t>
      </w:r>
      <w:proofErr w:type="spellStart"/>
      <w:r>
        <w:rPr>
          <w:rFonts w:eastAsia="Times New Roman"/>
          <w:color w:val="000000"/>
          <w:lang w:val="en-US"/>
        </w:rPr>
        <w:t>compoents</w:t>
      </w:r>
      <w:proofErr w:type="spellEnd"/>
      <w:r>
        <w:rPr>
          <w:rFonts w:eastAsia="Times New Roman"/>
          <w:color w:val="000000"/>
          <w:lang w:val="en-US"/>
        </w:rPr>
        <w:t xml:space="preserve"> are stored via the </w:t>
      </w:r>
      <w:proofErr w:type="spellStart"/>
      <w:r w:rsidRPr="00806843">
        <w:rPr>
          <w:rFonts w:eastAsia="Times New Roman"/>
          <w:i/>
          <w:iCs/>
          <w:color w:val="000000"/>
          <w:lang w:val="en-US"/>
        </w:rPr>
        <w:t>ExperimentHub</w:t>
      </w:r>
      <w:proofErr w:type="spellEnd"/>
      <w:r>
        <w:rPr>
          <w:rFonts w:eastAsia="Times New Roman"/>
          <w:color w:val="000000"/>
          <w:lang w:val="en-US"/>
        </w:rPr>
        <w:t xml:space="preserve"> web storage service and downloaded or stored locally. From </w:t>
      </w:r>
      <w:proofErr w:type="spellStart"/>
      <w:r w:rsidRPr="00806843">
        <w:rPr>
          <w:rFonts w:eastAsia="Times New Roman"/>
          <w:i/>
          <w:iCs/>
          <w:color w:val="000000"/>
          <w:lang w:val="en-US"/>
        </w:rPr>
        <w:t>ExperimentHub</w:t>
      </w:r>
      <w:proofErr w:type="spellEnd"/>
      <w:r>
        <w:rPr>
          <w:rFonts w:eastAsia="Times New Roman"/>
          <w:color w:val="000000"/>
          <w:lang w:val="en-US"/>
        </w:rPr>
        <w:t xml:space="preserve">, </w:t>
      </w:r>
      <w:r w:rsidRPr="00806843">
        <w:rPr>
          <w:rFonts w:eastAsia="Times New Roman"/>
          <w:color w:val="000000"/>
          <w:lang w:val="en-US"/>
        </w:rPr>
        <w:t xml:space="preserve">MAE-object is constructed while providing access to the primary data (GEX, CNA, and MUT), offering derived variables (decompositions and scores), and corresponding clinical metadata (MAE </w:t>
      </w:r>
      <w:proofErr w:type="spellStart"/>
      <w:r w:rsidRPr="00806843">
        <w:rPr>
          <w:rFonts w:eastAsia="Times New Roman"/>
          <w:color w:val="000000"/>
          <w:lang w:val="en-US"/>
        </w:rPr>
        <w:t>colData</w:t>
      </w:r>
      <w:proofErr w:type="spellEnd"/>
      <w:r w:rsidRPr="00806843">
        <w:rPr>
          <w:rFonts w:eastAsia="Times New Roman"/>
          <w:color w:val="000000"/>
          <w:lang w:val="en-US"/>
        </w:rPr>
        <w:t>-slot)</w:t>
      </w:r>
    </w:p>
    <w:p w14:paraId="7262E63F" w14:textId="77777777" w:rsidR="00806843" w:rsidRPr="00806843" w:rsidRDefault="00806843" w:rsidP="0080684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727F0DA" w14:textId="57E29C0E" w:rsidR="00806843" w:rsidRPr="00806843" w:rsidRDefault="00806843" w:rsidP="0080684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6843">
        <w:rPr>
          <w:noProof/>
        </w:rPr>
        <w:drawing>
          <wp:inline distT="0" distB="0" distL="0" distR="0" wp14:anchorId="07E316B3" wp14:editId="363AE5FD">
            <wp:extent cx="5927767" cy="419417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67" cy="419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FBFAD" w14:textId="6CD89087" w:rsidR="00806843" w:rsidRPr="00806843" w:rsidRDefault="00806843" w:rsidP="0080684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06843">
        <w:rPr>
          <w:rFonts w:eastAsia="Times New Roman"/>
          <w:b/>
          <w:bCs/>
          <w:color w:val="000000"/>
          <w:lang w:val="en-US"/>
        </w:rPr>
        <w:t>Figure S2</w:t>
      </w:r>
      <w:r w:rsidRPr="00806843">
        <w:rPr>
          <w:rFonts w:eastAsia="Times New Roman"/>
          <w:color w:val="000000"/>
          <w:lang w:val="en-US"/>
        </w:rPr>
        <w:t xml:space="preserve">: </w:t>
      </w:r>
      <w:r w:rsidRPr="00806843">
        <w:rPr>
          <w:rFonts w:eastAsia="Times New Roman"/>
          <w:b/>
          <w:bCs/>
          <w:color w:val="000000"/>
          <w:lang w:val="en-US"/>
        </w:rPr>
        <w:t>Impact of Gene Missingness on Risk and AR Score Reliability</w:t>
      </w:r>
      <w:r w:rsidRPr="00806843">
        <w:rPr>
          <w:rFonts w:eastAsia="Times New Roman"/>
          <w:color w:val="000000"/>
          <w:lang w:val="en-US"/>
        </w:rPr>
        <w:t xml:space="preserve">. Prostate risk scores and AR score were benchmarked using datasets from the </w:t>
      </w:r>
      <w:proofErr w:type="spellStart"/>
      <w:r w:rsidRPr="00806843">
        <w:rPr>
          <w:rFonts w:eastAsia="Times New Roman"/>
          <w:i/>
          <w:iCs/>
          <w:color w:val="000000"/>
          <w:lang w:val="en-US"/>
        </w:rPr>
        <w:t>curatedPCaData</w:t>
      </w:r>
      <w:proofErr w:type="spellEnd"/>
      <w:r w:rsidRPr="00806843">
        <w:rPr>
          <w:rFonts w:eastAsia="Times New Roman"/>
          <w:color w:val="000000"/>
          <w:lang w:val="en-US"/>
        </w:rPr>
        <w:t xml:space="preserve"> package to determine how missing genes impacted their reliability. The number of trials </w:t>
      </w:r>
      <w:proofErr w:type="gramStart"/>
      <w:r w:rsidRPr="00806843">
        <w:rPr>
          <w:rFonts w:eastAsia="Times New Roman"/>
          <w:color w:val="000000"/>
          <w:lang w:val="en-US"/>
        </w:rPr>
        <w:t>are</w:t>
      </w:r>
      <w:proofErr w:type="gramEnd"/>
      <w:r w:rsidRPr="00806843">
        <w:rPr>
          <w:rFonts w:eastAsia="Times New Roman"/>
          <w:color w:val="000000"/>
          <w:lang w:val="en-US"/>
        </w:rPr>
        <w:t xml:space="preserve"> listed at the bottom of each figure panel. </w:t>
      </w:r>
      <w:r w:rsidR="00F96080">
        <w:rPr>
          <w:rFonts w:eastAsia="Times New Roman"/>
          <w:b/>
          <w:bCs/>
          <w:color w:val="000000"/>
          <w:lang w:val="en-US"/>
        </w:rPr>
        <w:t>a</w:t>
      </w:r>
      <w:r w:rsidRPr="00806843">
        <w:rPr>
          <w:rFonts w:eastAsia="Times New Roman"/>
          <w:color w:val="000000"/>
          <w:lang w:val="en-US"/>
        </w:rPr>
        <w:t xml:space="preserve">) TCGA was used to assess Oncotype DX risk score removing between 1 and 5 genes. </w:t>
      </w:r>
      <w:r w:rsidR="00F96080">
        <w:rPr>
          <w:rFonts w:eastAsia="Times New Roman"/>
          <w:b/>
          <w:bCs/>
          <w:color w:val="000000"/>
          <w:lang w:val="en-US"/>
        </w:rPr>
        <w:t>b</w:t>
      </w:r>
      <w:r w:rsidRPr="00806843">
        <w:rPr>
          <w:rFonts w:eastAsia="Times New Roman"/>
          <w:color w:val="000000"/>
          <w:lang w:val="en-US"/>
        </w:rPr>
        <w:t xml:space="preserve">) </w:t>
      </w:r>
      <w:proofErr w:type="spellStart"/>
      <w:r w:rsidRPr="00806843">
        <w:rPr>
          <w:rFonts w:eastAsia="Times New Roman"/>
          <w:color w:val="000000"/>
          <w:lang w:val="en-US"/>
        </w:rPr>
        <w:t>Kunderfranco</w:t>
      </w:r>
      <w:proofErr w:type="spellEnd"/>
      <w:r w:rsidRPr="00806843">
        <w:rPr>
          <w:rFonts w:eastAsia="Times New Roman"/>
          <w:color w:val="000000"/>
          <w:lang w:val="en-US"/>
        </w:rPr>
        <w:t xml:space="preserve"> et al. was used to assess </w:t>
      </w:r>
      <w:proofErr w:type="spellStart"/>
      <w:r w:rsidRPr="00806843">
        <w:rPr>
          <w:rFonts w:eastAsia="Times New Roman"/>
          <w:color w:val="000000"/>
          <w:lang w:val="en-US"/>
        </w:rPr>
        <w:t>Prolaris</w:t>
      </w:r>
      <w:proofErr w:type="spellEnd"/>
      <w:r w:rsidRPr="00806843">
        <w:rPr>
          <w:rFonts w:eastAsia="Times New Roman"/>
          <w:color w:val="000000"/>
          <w:lang w:val="en-US"/>
        </w:rPr>
        <w:t xml:space="preserve"> risk score by removing between 1 and 10 genes. TCGA was leveraged to assess gene removal for </w:t>
      </w:r>
      <w:r w:rsidR="00F96080">
        <w:rPr>
          <w:rFonts w:eastAsia="Times New Roman"/>
          <w:b/>
          <w:bCs/>
          <w:color w:val="000000"/>
          <w:lang w:val="en-US"/>
        </w:rPr>
        <w:t>c</w:t>
      </w:r>
      <w:r w:rsidRPr="00806843">
        <w:rPr>
          <w:rFonts w:eastAsia="Times New Roman"/>
          <w:color w:val="000000"/>
          <w:lang w:val="en-US"/>
        </w:rPr>
        <w:t xml:space="preserve">) Decipher (1-5 genes) and </w:t>
      </w:r>
      <w:r w:rsidR="00F96080">
        <w:rPr>
          <w:rFonts w:eastAsia="Times New Roman"/>
          <w:b/>
          <w:bCs/>
          <w:color w:val="000000"/>
          <w:lang w:val="en-US"/>
        </w:rPr>
        <w:t>d</w:t>
      </w:r>
      <w:r w:rsidRPr="00806843">
        <w:rPr>
          <w:rFonts w:eastAsia="Times New Roman"/>
          <w:color w:val="000000"/>
          <w:lang w:val="en-US"/>
        </w:rPr>
        <w:t>) Androgen Receptor (1-10 genes).</w:t>
      </w:r>
    </w:p>
    <w:p w14:paraId="38791994" w14:textId="77777777" w:rsidR="00806843" w:rsidRPr="00806843" w:rsidRDefault="00806843" w:rsidP="0080684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7D55BA1" w14:textId="77777777" w:rsidR="00806843" w:rsidRDefault="00806843"/>
    <w:sectPr w:rsidR="00806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43"/>
    <w:rsid w:val="0066093A"/>
    <w:rsid w:val="00806843"/>
    <w:rsid w:val="00956D87"/>
    <w:rsid w:val="00C541C2"/>
    <w:rsid w:val="00F9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D88E0B"/>
  <w15:chartTrackingRefBased/>
  <w15:docId w15:val="{EEC56191-E448-2D4F-89E8-AC45936F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843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06843"/>
    <w:pPr>
      <w:keepNext/>
      <w:keepLines/>
      <w:spacing w:line="240" w:lineRule="auto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06843"/>
    <w:rPr>
      <w:rFonts w:ascii="Arial" w:eastAsia="Arial" w:hAnsi="Arial" w:cs="Arial"/>
      <w:b/>
      <w:kern w:val="0"/>
      <w:sz w:val="28"/>
      <w:szCs w:val="28"/>
      <w:lang w:val="e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06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mes.costello@cuanschutz.edu" TargetMode="External"/><Relationship Id="rId5" Type="http://schemas.openxmlformats.org/officeDocument/2006/relationships/hyperlink" Target="mailto:svitlana@jimmy.harvard.ed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teelaa@utu.f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Costello, James C</dc:creator>
  <cp:keywords/>
  <dc:description/>
  <cp:lastModifiedBy>Microsoft Office User</cp:lastModifiedBy>
  <cp:revision>5</cp:revision>
  <cp:lastPrinted>2023-06-06T02:26:00Z</cp:lastPrinted>
  <dcterms:created xsi:type="dcterms:W3CDTF">2023-06-06T02:17:00Z</dcterms:created>
  <dcterms:modified xsi:type="dcterms:W3CDTF">2023-06-16T05:47:00Z</dcterms:modified>
</cp:coreProperties>
</file>