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1104" w:rsidRDefault="00BC1104" w:rsidP="00BC1104">
      <w:pPr>
        <w:pStyle w:val="Caption"/>
        <w:keepNext/>
      </w:pPr>
      <w:r>
        <w:t xml:space="preserve">Table </w:t>
      </w:r>
      <w:r w:rsidR="006F7745">
        <w:t>S</w:t>
      </w:r>
      <w:r>
        <w:fldChar w:fldCharType="begin"/>
      </w:r>
      <w:r>
        <w:instrText xml:space="preserve"> SEQ Supplementary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>. Positive and negative biomarker outcome set of each health problem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07"/>
        <w:gridCol w:w="973"/>
        <w:gridCol w:w="3245"/>
        <w:gridCol w:w="378"/>
        <w:gridCol w:w="2935"/>
        <w:gridCol w:w="386"/>
      </w:tblGrid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b/>
                <w:bCs/>
                <w:color w:val="000000"/>
                <w:sz w:val="10"/>
                <w:szCs w:val="10"/>
              </w:rPr>
            </w:pPr>
            <w:proofErr w:type="spellStart"/>
            <w:r w:rsidRPr="004315A9">
              <w:rPr>
                <w:rFonts w:eastAsia="Times New Roman" w:cs="Calibri"/>
                <w:b/>
                <w:bCs/>
                <w:color w:val="000000"/>
                <w:sz w:val="10"/>
                <w:szCs w:val="10"/>
              </w:rPr>
              <w:t>health_problem</w:t>
            </w:r>
            <w:proofErr w:type="spellEnd"/>
          </w:p>
          <w:p w:rsidR="00BC1104" w:rsidRPr="004315A9" w:rsidRDefault="00BC1104" w:rsidP="00AF5B59">
            <w:pPr>
              <w:jc w:val="left"/>
              <w:rPr>
                <w:rFonts w:eastAsia="Times New Roman" w:cs="Calibri"/>
                <w:b/>
                <w:bCs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b/>
                <w:bCs/>
                <w:color w:val="000000"/>
                <w:sz w:val="10"/>
                <w:szCs w:val="10"/>
              </w:rPr>
              <w:t>_mesh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b/>
                <w:bCs/>
                <w:color w:val="000000"/>
                <w:sz w:val="10"/>
                <w:szCs w:val="10"/>
              </w:rPr>
            </w:pPr>
            <w:proofErr w:type="spellStart"/>
            <w:r w:rsidRPr="004315A9">
              <w:rPr>
                <w:rFonts w:eastAsia="Times New Roman" w:cs="Calibri"/>
                <w:b/>
                <w:bCs/>
                <w:color w:val="000000"/>
                <w:sz w:val="10"/>
                <w:szCs w:val="10"/>
              </w:rPr>
              <w:t>health_problem_title</w:t>
            </w:r>
            <w:proofErr w:type="spellEnd"/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b/>
                <w:bCs/>
                <w:color w:val="000000"/>
                <w:sz w:val="10"/>
                <w:szCs w:val="10"/>
              </w:rPr>
            </w:pPr>
            <w:proofErr w:type="spellStart"/>
            <w:r w:rsidRPr="004315A9">
              <w:rPr>
                <w:rFonts w:eastAsia="Times New Roman" w:cs="Calibri"/>
                <w:b/>
                <w:bCs/>
                <w:color w:val="000000"/>
                <w:sz w:val="10"/>
                <w:szCs w:val="10"/>
              </w:rPr>
              <w:t>outcome_title</w:t>
            </w:r>
            <w:proofErr w:type="spellEnd"/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b/>
                <w:bCs/>
                <w:color w:val="000000"/>
                <w:sz w:val="10"/>
                <w:szCs w:val="10"/>
              </w:rPr>
            </w:pPr>
            <w:proofErr w:type="spellStart"/>
            <w:r w:rsidRPr="004315A9">
              <w:rPr>
                <w:rFonts w:eastAsia="Times New Roman" w:cs="Calibri"/>
                <w:b/>
                <w:bCs/>
                <w:color w:val="000000"/>
                <w:sz w:val="10"/>
                <w:szCs w:val="10"/>
              </w:rPr>
              <w:t>positive_num</w:t>
            </w:r>
            <w:proofErr w:type="spellEnd"/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b/>
                <w:bCs/>
                <w:color w:val="000000"/>
                <w:sz w:val="10"/>
                <w:szCs w:val="10"/>
              </w:rPr>
            </w:pPr>
            <w:proofErr w:type="spellStart"/>
            <w:r w:rsidRPr="004315A9">
              <w:rPr>
                <w:rFonts w:eastAsia="Times New Roman" w:cs="Calibri"/>
                <w:b/>
                <w:bCs/>
                <w:color w:val="000000"/>
                <w:sz w:val="10"/>
                <w:szCs w:val="10"/>
              </w:rPr>
              <w:t>outcome_title</w:t>
            </w:r>
            <w:proofErr w:type="spellEnd"/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b/>
                <w:bCs/>
                <w:color w:val="000000"/>
                <w:sz w:val="10"/>
                <w:szCs w:val="10"/>
              </w:rPr>
            </w:pPr>
            <w:proofErr w:type="spellStart"/>
            <w:r w:rsidRPr="004315A9">
              <w:rPr>
                <w:rFonts w:eastAsia="Times New Roman" w:cs="Calibri"/>
                <w:b/>
                <w:bCs/>
                <w:color w:val="000000"/>
                <w:sz w:val="10"/>
                <w:szCs w:val="10"/>
              </w:rPr>
              <w:t>negative_num</w:t>
            </w:r>
            <w:proofErr w:type="spellEnd"/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C01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Infections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Geometric Mean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Titer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of Serotype-specific Opsonophagocytic Activity (OPA) Following Vaccination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With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Separate V114 Lots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45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Percentage of Participant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With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Normal Alanine Aminotransferase (ALT) Levels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40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C01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Infections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Percentage of Participants Achieving the Serotype-specific Pneumococcal Immunoglobulin G (IgG) Antibody Threshold Value of ≥0.35 µg/mL for the 13 Common Serotypes in V114 and Prevnar 13™: 1 Month Post Vaccination 3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26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Percentage of Participants Who Were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HBeAg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Negative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33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C01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Infections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Ratio to Baseline in Renal Biomarkers-Urine and Serum Beta-2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Microglobulin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(B2M), Urine Albumin/Creatinine, Urine B2M/Urine Creatinine, Urine Phosphate, Urine Protein/Creatinine, Urine RBP 4 and Urine RBP 4/Urine Creatinine at Weeks 24, 48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22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HBsAg Levels at Weeks 4, 8, 16, 28, 40, 52, 64, 76, 88, and 100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31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C01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Infections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Serotype-specific Opsonophagocytic Activity (OPA) Geometric Mean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Titers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(GMTs) 1 Month After Vaccination for 12 Common Serotypes in 13vPnC/23vPS Group Relative to 23vPS Group and 23vPS/23vPS Group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21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Serotype-specific Geometric Mean Concentration of IgG Antibody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21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C01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Infections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Comparison of Serotype-specific Geometric Mean Concentration of IgG Antibody Response 4 Weeks After a 3-dose Primary Series to 4 Weeks After a Booster Dose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Hepatitis B Virus Deoxyribonucleic Acid (HBV DNA) Levels at Weeks 4, 8, 16, 28, 40, 52, 64, 76, 88, and 100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19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C04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Neoplasms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Progression-Free Survival (PFS)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PFS in Subgroups That Were Defined by Germline PDGFRB Polymorphisms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48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C04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Neoplasms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AUC(0-2h) of [6R]-5,10-methylene-THF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OS in Subgroups That Were Defined by Germline PDGFRB Polymorphisms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46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C04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Neoplasms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AUC(0-2h) of [6S]-5-THF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PFS in Subgroups That Were Defined by RNA Expression Profile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35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C04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Neoplasms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AUC(0-2h) of [6SR]-5-formyl-THF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Overall Survival (OS) in Subgroups That Were Defined by Germline VEGFR2 Polymorphisms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24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C04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Neoplasms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AUC(Last) of [6R]-5,10-methylene-THF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PFS in Subgroups That Were Defined by Germline VEGFR2 Polymorphisms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22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C05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Musculoskeletal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Serum Uric Acid Levels at Day 1, Day 3, Day 7, Day 11, Day 14 and Follow-up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44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Plasma Levels of Hypoxanthine at Day 1, Day 7, Day 14, and at Follow-up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36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C05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Musculoskeletal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Erythrocyte Sedimentation Rate (ESR) at Weeks 2, 4, 8, 12, 16, 20, 24, 32, 40, 48, and 52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27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Current Pain During the Hospital Stay Assessed by the Pain NRS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26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C05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Musculoskeletal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C-reactive Protein (CRP) at Weeks 2, 4, 8, 12, 16, 20, 24, 32, 40, 48, and 52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24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Predictive Biomarkers: Amyloid A, Chemokine (C-C Motif) Ligand 17, Chemokine (C-X-C Motif) Ligand 13, Interleukin 6, Macrophage-Derived Chemokine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26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C05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Musculoskeletal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Plasma Levels of Xanthine at Day 1, Day 7, Day 14, and at Follow-up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22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Plasma Levels of Xanthine at Day 1, Day 7, Day 14, and at Follow-up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20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C05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Musculoskeletal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Percent Change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From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Baseline in Serum Urate Levels at Week 28.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13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C-Reactive Protein (CRP) at Weeks 1, 2, 4, 8, 12 and 16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18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C06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Digestive System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Change From Baseline in Quantitative Hepatitis B Surface Antigen (Log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qHBsAg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) Over Time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17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Percentage of Participant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With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Normal Alanine Aminotransferase (ALT) Levels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40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C06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Digestive System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Hepatitis B Virus Deoxyribonucleic Acid (HBV DNA) Levels at Weeks 4, 8, 16, 28, 40, 52, 64, 76, 88, and 100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14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Percentage of Participants Who Were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HBeAg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Negative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33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C06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Digestive System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Absolute Change in Percent Predicted Forced Expiratory Volume in 1 Second (ppFEV1)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HBsAg Levels at Weeks 4, 8, 16, 28, 40, 52, 64, 76, 88, and 100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31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C06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Digestive System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Progression Free Survival (PFS)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Hepatitis B Virus Deoxyribonucleic Acid (HBV DNA) Levels at Weeks 4, 8, 16, 28, 40, 52, 64, 76, 88, and 100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19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C06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Digestive System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AUC(0-2h) of [6R]-5,10-methylene-THF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Progression Free Survival (PFS)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6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C07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Stomatognathic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proofErr w:type="spellStart"/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AUCgly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(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0-90) for Test Zinc-IPMP, Test Zinc Non-IPMP, Positive Control, Non-SLS Negative Control and SLS Negative Control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Anti-</w:t>
            </w:r>
            <w:proofErr w:type="spellStart"/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S.Pneumoniae</w:t>
            </w:r>
            <w:proofErr w:type="spellEnd"/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Antibody Concentration in US Sub-cohort of Pooled MMR Groups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12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C07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Stomatognathic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Enamel Fluoride Uptake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proofErr w:type="spellStart"/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AUClive:Dead</w:t>
            </w:r>
            <w:proofErr w:type="spellEnd"/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(0-90) for Test Zinc-IPMP, Test Zinc Non-IPMP, Positive Control, Non-SLS Negative Control and SLS Negative Control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10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C07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Stomatognathic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proofErr w:type="spellStart"/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AUCregrowth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(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0-90) for Test Zinc-IPMP, Test Zinc Non-IPMP, Positive Control, Non-SLS Negative Control and SLS Negative Control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proofErr w:type="spellStart"/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AUCregrowth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(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0-90) for Test Zinc-IPMP, Test Zinc Non-IPMP, Positive Control, Non-SLS Negative Control and SLS Negative Control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6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C07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Stomatognathic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Adjusted Mean Percent Net Erosion Resistance (NER) of Enamel Specimens Exposed to Test Dentifrice + Test MR Relative to: 1) Test Dentifrice+ Sterile Water Rinse 2) Reference Dentifrice+ Sterile Water Rinse 3) Placebo Dentifrice+ Sterile Water Rinse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proofErr w:type="spellStart"/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AUCgly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(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0-90) for Test Zinc-IPMP, Test Zinc Non-IPMP, Positive Control, Non-SLS Negative Control and SLS Negative Control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C07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Stomatognathic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Adjusted Mean Percentage Surface Microhardness (SMH) Recovery of Enamel Specimens Exposed to Test Dentifrice + Test MR Relative to: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1)Test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Dentifrice+Sterile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Water Rinse 2)Reference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Dentifrice+Sterile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Water Rinse 3)Placebo Dentifrice+ Sterile Water Rinse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Number of Participants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With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Unplanned Breaks in Cisplatin Chemotherapy Treatment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C08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Respiratory Tract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Geometric Mean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Titer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of Serotype-specific Opsonophagocytic Activity (OPA) Following Vaccination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With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Separate V114 Lots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45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Specific Imaging Airway Volume (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siVaw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), Measured at FRC and TLC Scan Conditions, Presented in Longitudinal and Scan Trimmed Scan Types, Measured in 5 Lobes and 5 Regions at Screening, Day 12 and Day 28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100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C08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Respiratory Tract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Fraction of Exhaled Nitric Oxide (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FeNO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) Over Time Following the Cessation of Repeat Dose Treatment With FF/VI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34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Change From Baseline in Imaging Airways Volume: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iVaw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, Measured at FRC and TLC Scan Conditions, Presented in Longitudinal and Scan Trimmed Scan Types, Measured in 5 Lobes and 5 Regions at Screening, Day 12 and Day 28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100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C08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Respiratory Tract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Morning and Evening Peak Expiratory Flow Rate (PEF) Over 26 and 52 Weeks of Treatment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28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Change From Baseline in Imaging Airways Resistance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(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iRaw</w:t>
            </w:r>
            <w:proofErr w:type="spellEnd"/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) Measured at FRC and TLC Scan Conditions, Presented in Scan Trimmed Scan Types, Measured in 5 Lobes and 5 Regions at Screening, Day 12 and Day 28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60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C08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Respiratory Tract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Comparison of Serotype-specific Geometric Mean Concentration of IgG Antibody Response 4 Weeks After a 3-dose Primary Series to 4 Weeks After a Booster Dose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Change From Baseline in Imaging Specific Airways Resistance: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siRaw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Measured at FRC and TLC Scan Conditions, Presented in Scan Trimmed Scan Types, Measured in 5 Lobes and 5 Regions at Screening, Day 12 and Day 28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60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C08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Respiratory Tract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Comparison of Serotype-specific Geometric Mean Concentration of IgG Antibody Response 4 Weeks After a Booster Dose to One Year After a Booster Dose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PFS in Subgroups That Were Defined by Germline PDGFRB Polymorphisms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48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C09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Otorhinolaryngologic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Change From Baseline in HDM-specific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IgE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Levels at Week 8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AM and PM Peak Expiratory Flow Rate (PEFR)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11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C09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Otorhinolaryngologic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Pain Intensity (PI) as Rated on a 6-point VRS by the Patient at 0.5, 1, 2 and 3 Hours After the First Lozenge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Forced Expiratory Volume in One Second (FEV1)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C09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Otorhinolaryngologic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the Effect of Squeezable Bottle and Syringe on Clinical Effectiveness in Sinusitis Children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Forced Vital Capacity (FVC)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C09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Otorhinolaryngologic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Percentage of Participants Who Discontinued Study Drug Due to an Adverse Event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Forced Expiratory Flow (FEF) Between 25% and 75% of the Vital Capacity (FEF25%-75%)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C09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Otorhinolaryngologic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Total Nasal Airflow on Day 8 Measured Using Active Anterior Rhinomanometry (AAR)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24-hour Urinary Free Cortisol Level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C10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Nervous System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CSF IL-6, sTREM2, HMGB1, Albumin, IgG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Geometric Mean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Titers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(GMTs) of Meningococcal Serogroups A, C, Y, And W Antibodies Following Vaccination With 3 Lots of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MenACYW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Conjugate Vaccine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12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C10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Nervous System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ITP: Number of Combined Unique Active (CUA) Lesions, New or Enlarging Time Constant 2 (T2) Lesions, and New or Persisting Time Constant 1 (T1) Gadolinium Enhanced (Gd+) Lesions Per Participant Per Scan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Percentage of Participants Achieving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hSBA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Vaccine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Seroresponse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for Meningococcal Serogroups A, C, Y And W Following Vaccination With 3 Lots of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MenACYW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Conjugate Vaccine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10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C10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Nervous System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Mean Blood Flow Velocity in Middle Cerebral Artery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Incidence of Non-delirium Complications After Surgery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8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C10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Nervous System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Total Cumulative Prednisone Dose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Peak Work (in Watts/kg) During Exercise Testing at Week 12 in Part 1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7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lastRenderedPageBreak/>
              <w:t>C10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Nervous System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Statistically Significant Change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From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Baseline to 12 Week Endpoint in Laboratory Measures - Chloride, High Density Lipoprotein, Sodium, and Triglycerides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Respiratory Function Tests to Characterize the Degree of Involvement of Respiratory Muscles.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C11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Eye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Distribution of Change in Visual Acuity (Letters) From Baseline to 1 Year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Percentage of Ranibizumab Re-injections Received Over 28 and 52 Weeks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10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C11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Eye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Ex Vivo Total Cholesterol Uptake at Day 30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GA Area in Complement Factor I (CFI) Positive and Negative Participants at Week 48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7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C11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Eye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Mean Number of Macular Laser Treatments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From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Baseline Through Months 24 and 36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Percentage of Participants Avoiding a Loss of ≥15, ≥10, or ≥5 Letters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From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the Baseline BCVA in the Study Eye Averaged Over Weeks 40, 44, and 48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6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C11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Eye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Visual Acuity (VA): Double Masked Phase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Distribution of Change in Visual Acuity (Letters) From Baseline to 1 Year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C11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Eye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Central Retinal Thickness (CRT) at Week 52 as Assessed on Optical Coherence Tomography (OCT) - LOCF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Loss of Visual Acuity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C12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Urogenital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Secondary Efficacy Endpoints - Vaginal Mucosa Assessment (Vaginal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Color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)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Systolic, Diastolic and Mean Blood Pressure at Week 0, 3, 6, 12, and 16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12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C12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Urogenital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to Day 90 in Serum Potassium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Blastocyst Quality, Intention-to-treat (ITT) Analysis Set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7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C12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Urogenital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eGFR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Creatinine Clearance (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CrCl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) in the Immediate Post-transplant Period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6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C12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Urogenital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Progression-Free Survival (PFS)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Pharmacokinetics: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AUC(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0-∞) of Tadalafil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6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C12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Urogenital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Percent Change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From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Baseline to 12 Week Endpoint in High-Density Lipoprotein Cholesterol (HDL-C) and Low-Density Lipoprotein Cholesterol (LDL-C)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to 12 Week Endpoint in Total Cholesterol and Triglycerides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5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C13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Female Urogenital Diseases and Pregnancy Complications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Secondary Efficacy Endpoints - Vaginal Mucosa Assessment (Vaginal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Color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)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Systolic, Diastolic and Mean Blood Pressure at Week 0, 3, 6, 12, and 16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12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C13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Female Urogenital Diseases and Pregnancy Complications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to Day 90 in Serum Potassium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Blastocyst Quality, Intention-to-treat (ITT) Analysis Set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7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C13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Female Urogenital Diseases and Pregnancy Complications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eGFR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Creatinine Clearance (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CrCl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) in the Immediate Post-transplant Period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6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C13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Female Urogenital Diseases and Pregnancy Complications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AURORA 1 Baseline (i.e., Month 0) in Urine Protein to Creatinine Ratio (UPCR)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Progression Free Survival (PFS)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5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C13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Female Urogenital Diseases and Pregnancy Complications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AURORA 1 Baseline (i.e., Month 0) in Urine Protein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to Day 90 in eGFR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5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C14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Cardiovascular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Daytime (6am to 10 pm) Mean Systolic Blood Pressure Measured by Ambulatory Blood Pressure Monitoring.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27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Inflammatory Mediator Levels, Interleukin-1b, Interleukin 6 and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Tumor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Necrosis Factor (TNF) (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pg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/ml)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14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C14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Cardiovascular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Daytime (6am to 10 pm) Mean Diastolic Blood Pressure Measured by Ambulatory Blood Pressure Monitoring.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24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Mean Ambulatory Blood Pressure During the Final 2, 4, and 6 Hours of the Dosing Interval at Week 4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12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C14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Cardiovascular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the Trough (22-24-hr) Mean Diastolic Blood Pressure Measured by Ambulatory Blood Pressure Monitoring.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23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Plasma Concentration of Serum N-terminal Pro-Brain Natriuretic Peptide (NT-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proBNP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) at Months 5, 9, 13, 17, 21, 25, 29, 33, 37, 42, 48 and Final Visit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12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C14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Cardiovascular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the Trough (22-24-hr) Mean Systolic Blood Pressure Measured by Ambulatory Blood Pressure Monitoring.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22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Urine Albumin-to-Creatinine Ratio at Months 5, 9, 13, 17, 21, 25, 29, 33, 37, 42, 48 and Final Visit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12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C14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Cardiovascular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Change From Baseline in the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Nighttime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(12 am to 6 am) Mean Systolic Blood Pressure Measured by Ambulatory Blood Pressure Monitoring.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22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Change From Baseline in the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Nighttime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(12 am to 6 am) Mean Diastolic Blood Pressure Measured by Ambulatory Blood Pressure Monitoring.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11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C15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Hemic and Lymphatic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Mean Change in Ferritin and Hepcidin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From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Baseline to the End of the Primary Efficacy Period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Mean Change in Iron and Total Iron Binding Capacity (TIBC) From Baseline to the End of the Primary Efficacy Period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7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C15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Hemic and Lymphatic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Change From Baseline in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Hematocrit</w:t>
            </w:r>
            <w:proofErr w:type="spellEnd"/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Mean Change in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Hematocrit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and Reticulocytes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From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Baseline to the End of the Primary Efficacy Period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6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C15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Hemic and Lymphatic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Summary of Subgroup Analyses for Kaplan-Meier Estimates for Time to Death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From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Any Cause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Reticulocyte Count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6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C15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Hemic and Lymphatic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Mean Change in Red Blood Cell (RBC) Count and Absolute Reticulocyte Count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From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Baseline to the End of the Primary Efficacy Period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Progression-free Survival (PFS)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5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C15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Hemic and Lymphatic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Mean Change in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Hemoglobin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(Hb) Levels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From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Pre-treatment to the End of the Primary Efficacy Period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Summary of Subgroup Analyses for Kaplan-Meier Estimates for Time to Death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From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Any Cause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5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C16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Congenital, Hereditary, and Neonatal Diseases and Abnormalities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Serum Uric Acid Levels at Day 1, Day 3, Day 7, Day 11, Day 14 and Follow-up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44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Plasma Levels of Hypoxanthine at Day 1, Day 7, Day 14, and at Follow-up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36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C16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Congenital, Hereditary, and Neonatal Diseases and Abnormalities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Plasma Levels of Xanthine at Day 1, Day 7, Day 14, and at Follow-up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22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Plasma Levels of Xanthine at Day 1, Day 7, Day 14, and at Follow-up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20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C16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Congenital, Hereditary, and Neonatal Diseases and Abnormalities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Percent Change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From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Baseline in Serum Urate Levels at Week 28.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13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Fraction of Inspired Oxygen (FiO2) (Percent) During the First 24 h and up to Day 7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11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C16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Congenital, Hereditary, and Neonatal Diseases and Abnormalities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Percent Change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From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Baseline in Serum Urate Levels at Final Visit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13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Oxygen Requirement and Ventilatory Support -- SpO2/FiO2 Ratio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10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C16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Congenital, Hereditary, and Neonatal Diseases and Abnormalities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Absolute Change in Percent Predicted Forced Expiratory Volume in 1 Second (ppFEV1)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Peak Work (in Watts/kg) During Exercise Testing at Week 12 in Part 1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7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C17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Skin and Connective Tissue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Erythrocyte Sedimentation Rate (ESR) at Weeks 2, 4, 8, 12, 16, 20, 24, 32, 40, 48, and 52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27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Predictive Biomarkers: Amyloid A, Chemokine (C-C Motif) Ligand 17, Chemokine (C-X-C Motif) Ligand 13, Interleukin 6, Macrophage-Derived Chemokine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26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C17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Skin and Connective Tissue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C-reactive Protein (CRP) at Weeks 2, 4, 8, 12, 16, 20, 24, 32, 40, 48, and 52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24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C-Reactive Protein (CRP) at Weeks 1, 2, 4, 8, 12 and 16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18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C17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Skin and Connective Tissue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Percentage Body Surface Area at Week 2, 4, 8 and 12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Flow Cytometry: 6 Colour TB Natural Killer (NK) Panel- CD16+CD56+, CD19, CD3, CD3+CD4+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16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C17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Skin and Connective Tissue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Percentage of Participants Achieving Investigator's Global Assessment (IGA) Response of Clear (0) or Almost Clear (1) and a Reduction of Greater Than or Equal to (&gt;=) 2 Points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From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Baseline at Weeks 12, 16, 28, 40, and 52: Double-blind Period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Predictive Biomarkers: Chitinase 3 Like 1, Matrix Metalloproteinase 3 (MMP-3)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14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C17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Skin and Connective Tissue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Percentage of Participants Achieving Patient Global Assessment (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PtGA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) Response of 'Clear (0)' or 'Almost Clear (1)' and Greater Than or Equal to 2 Points Improvement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From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Baseline at Weeks 12, 16, 28, 40 and 52: Double-blind Period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Flow Cytometry: CD16+ Monocyte Panel: CD14-HLA-DR+CD11cbr+CD123-, CD14br+CD16+, CD14br+CD16-, CD14lo+CD16br+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14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C18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Nutritional and Metabolic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Serum Uric Acid Levels at Day 1, Day 3, Day 7, Day 11, Day 14 and Follow-up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44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7-Point Self-Monitored Blood Glucose (SMBG) Profiles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53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lastRenderedPageBreak/>
              <w:t>C18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Nutritional and Metabolic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Fasting Plasma Glucose (FPG)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34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Fasting Lipid Profile (Triglycerides/Cholesterol)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39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C18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Nutritional and Metabolic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Carbon Monoxide Diffusion Capacity (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DLco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)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27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Plasma Levels of Hypoxanthine at Day 1, Day 7, Day 14, and at Follow-up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36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C18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Nutritional and Metabolic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Fasting Plasma Glucose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22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Carbon Monoxide Diffusion Capacity (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DLco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)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26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C18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Nutritional and Metabolic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Plasma Levels of Xanthine at Day 1, Day 7, Day 14, and at Follow-up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22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ADDENDUM: Insulin Dose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22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C19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Endocrine System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Fasting Plasma Glucose (FPG)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34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7-Point Self-Monitored Blood Glucose (SMBG) Profiles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53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C19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Endocrine System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Carbon Monoxide Diffusion Capacity (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DLco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)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27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Carbon Monoxide Diffusion Capacity (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DLco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)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26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C19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Endocrine System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Fasting Plasma Glucose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22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ADDENDUM: Insulin Dose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22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C19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Endocrine System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Percent Change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From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Baseline in ANGPTL3, TC, LDL-C, HDL-C, VLDL-C, Non-HDL-C,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ApoB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(ApoB-48, ApoB-100),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ApoCIII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,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ApoAI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, FFA, and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Lp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(a) at Primary Analysis Time Point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Fasting Plasma Glucose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21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C19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Endocrine System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Forced Expiratory Volume in One Second (FEV1)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19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INITIATION: 7-point Self-monitored Plasma Glucose (SMPG) Profiles and Postprandial Excursions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20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C20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Immune System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Fraction of Exhaled Nitric Oxide (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FeNO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) Over Time Following the Cessation of Repeat Dose Treatment With FF/VI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34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Peak Expiratory Flow (PEF) During Treatment and Following Cessation of Repeat Dose Treatment With FF/VI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30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C20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Immune System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Morning and Evening Peak Expiratory Flow Rate (PEF) Over 26 and 52 Weeks of Treatment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28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Predictive Biomarkers: Amyloid A, Chemokine (C-C Motif) Ligand 17, Chemokine (C-X-C Motif) Ligand 13, Interleukin 6, Macrophage-Derived Chemokine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26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C20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Immune System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Erythrocyte Sedimentation Rate (ESR) at Weeks 2, 4, 8, 12, 16, 20, 24, 32, 40, 48, and 52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27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C-Reactive Protein (CRP) at Weeks 1, 2, 4, 8, 12 and 16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18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C20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Immune System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C-reactive Protein (CRP) at Weeks 2, 4, 8, 12, 16, 20, 24, 32, 40, 48, and 52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24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7-Point Self-Monitored Blood Glucose (SMBG) Profiles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18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C20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Immune System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Ratio to Baseline in Renal Biomarkers-Urine and Serum Beta-2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Microglobulin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(B2M), Urine Albumin/Creatinine, Urine B2M/Urine Creatinine, Urine Phosphate, Urine Protein/Creatinine, Urine RBP 4 and Urine RBP 4/Urine Creatinine at Weeks 24, 48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22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Flow Cytometry: 6 Colour TB Natural Killer (NK) Panel- CD16+CD56+, CD19, CD3, CD3+CD4+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16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C23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Pathological Conditions, Signs and Symptoms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Cumulative Percentage of Participants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With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Treatment Failure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72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Cumulative Percentage of Participants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With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Treatment Failure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46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C23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Pathological Conditions, Signs and Symptoms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Pain Intensity Difference (PID)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47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in Fasting Lipid Profile (Triglycerides/Cholesterol)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39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C23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Pathological Conditions, Signs and Symptoms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Time-weighted Sum of Pain Intensity Difference (SPID)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18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Pain Intensity Difference (PID)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20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C23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Pathological Conditions, Signs and Symptoms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Percentage of Participants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With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Treatment Failure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Non-opioid Rescue Medication - Ibuprofen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16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C23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Pathological Conditions, Signs and Symptoms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Time to Treatment Failure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Non-opioid Rescue Medication - Paracetamol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15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C24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Occupational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Total Sleep Time Measured by Actigraphy (Nights 6-7)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Latency to Persistent Sleep Over a 2-night Average Measured by Polysomnography (Nights 6-7)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C24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Occupational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Sleep Efficiency Measured by Actigraphy (Nights 6-7)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Latency to Persistent Sleep Over a 2-night Average Measured by Polysomnography (Nights 13-14)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C24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Occupational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Sleep Latency Measured by Actigraphy (Nights 6-7)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Total Sleep Time Over a 2-night Average Measured by Polysomnography (Nights 6-7)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C24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Occupational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Sleep Time Measured by Actigraphy (Nights 6-7)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Total Sleep Time Over a 2-night Average Measured by Polysomnography (Nights 13-14)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C24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Occupational Diseases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Sleep Time Measured by Actigraphy (Nights 13-14)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Sleep Efficiency Over a 2-night Average Measured by Polysomnography (0-3 Hours) (Nights 6-7)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C25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Chemically-Induced Disorders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Percent Medication Adherence at 3-month Follow-up Assessment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Percentage of Days Used Drugs or Alcohol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C25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Chemically-Induced Disorders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Clinician-assessed Depression Rating at 3 Month Follow-up Assessment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Length of Hospital Stay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C25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Chemically-Induced Disorders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CD4+ Lymphocyte Count at 12-month Follow-up Assessment.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Assessment of Bioequivalence of Prototype Mini Lozenges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With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Nicorette Mini Lozenge by Measuring Area Under the Plasma Concentration Versus Time Curve From Time Zero to Time t (AUC [0-t])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C25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Chemically-Induced Disorders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in Serum 3a-androstanediol Glucuronide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Assessment of Bioequivalence of Prototype Mini Lozenges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With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Nicorette Mini Lozenge by Measuring Area Under the Plasma Concentration Versus Time Curve Calculated From Time Zero to Infinity (AUC [(0-inf])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C25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Chemically-Induced Disorders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Time to First Rescue-free Laxation (Following the First Dose of Study Drug).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Percent Abstinent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From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Tobacco at Week 32 (7 Day Point Prevalence)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C26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Wounds and Injuries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Sum of Pain Intensity Difference at Rest and on Weight Bearing Over 6 Hours on Day 1 and Over 2 Hours on Day 3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Sum of Pain Intensity Difference at Rest and on Weight Bearing Over 6 Hours on Day 1 and Over 2 Hours on Day 3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9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C26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Wounds and Injuries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Number of Patients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With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Cutaneous Bacterial Load After Surgery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Sum of Pain Intensity Difference (SPID) on Weight Bearing Over 3 Days (SPID WB0-3)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C26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Wounds and Injuries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Degree of Filling of the Lesion by Repair Tissue at 12 Months Through MRI.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Sum of Ankle Pain Intensity Difference on Weight Bearing Over 24 Hours After Dose 1 (SPID WB24)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3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C26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Wounds and Injuries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The Difference in Total Bacterial Counts Measured in Colony Forming Units (CFU) as Determined by Quantitative PCR Analysis.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Sum of Pain Intensity Difference at Rest Over 24 Hours on Day 1 (SPID R24)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2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C26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Wounds and Injuries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Number of Inpatient Operating Room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Debridements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in Surgically Dehisced Wounds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Local Dynamic Stability (Knee During Turning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With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the Prosthesis on the Inside of the Turn)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F03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Mental Disorders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Secondary Efficacy Endpoints - Vaginal Mucosa Assessment (Vaginal </w:t>
            </w:r>
            <w:proofErr w:type="spell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Color</w:t>
            </w:r>
            <w:proofErr w:type="spell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)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Vital Signs: Systolic and Diastolic Blood Pressure Levels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12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F03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Mental Disorders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CSF IL-6, sTREM2, HMGB1, Albumin, IgG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Mean Change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From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Baseline (CFB) at Day 21 in Neurocognitive Function as Determined by Central Nervous System Vital Signs (CNS-VS) Test Battery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9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F03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Mental Disorders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Percent Change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From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Baseline to 12 Week Endpoint in High-Density Lipoprotein Cholesterol (HDL-C) and Low-Density Lipoprotein Cholesterol (LDL-C)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Mean Change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From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Baseline (CFB) at Day 84 in Neurocognitive Function as Determined by Central Nervous System Vital Signs (CNS-VS) Test Battery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9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F03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Mental Disorders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Change From Baseline to 12 Week Endpoint in Fasting Lipid Parameters Including Lipoprotein Subclasses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Incidence of Non-delirium Complications After Surgery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8</w:t>
            </w:r>
          </w:p>
        </w:tc>
      </w:tr>
      <w:tr w:rsidR="00BC1104" w:rsidRPr="004315A9" w:rsidTr="00AF5B59">
        <w:trPr>
          <w:trHeight w:val="20"/>
        </w:trPr>
        <w:tc>
          <w:tcPr>
            <w:tcW w:w="678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F03</w:t>
            </w:r>
          </w:p>
        </w:tc>
        <w:tc>
          <w:tcPr>
            <w:tcW w:w="151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Mental Disorders</w:t>
            </w:r>
          </w:p>
        </w:tc>
        <w:tc>
          <w:tcPr>
            <w:tcW w:w="1946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Target Engagement Assays: Change From Baseline in Filamin A (FLNA) Linkages to alpha7 Nicotinic Acetylcholine Receptor (alpha7nAChR) and Toll-like Receptor 4 (TLR4) in Subject Lymphocytes</w:t>
            </w:r>
          </w:p>
        </w:tc>
        <w:tc>
          <w:tcPr>
            <w:tcW w:w="228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1765" w:type="pct"/>
            <w:noWrap/>
            <w:vAlign w:val="center"/>
            <w:hideMark/>
          </w:tcPr>
          <w:p w:rsidR="00BC1104" w:rsidRPr="004315A9" w:rsidRDefault="00BC1104" w:rsidP="00AF5B59">
            <w:pPr>
              <w:jc w:val="left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Median Baseline and Change </w:t>
            </w:r>
            <w:proofErr w:type="gramStart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From</w:t>
            </w:r>
            <w:proofErr w:type="gramEnd"/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 xml:space="preserve"> Baseline in Body Mass Index (BMI) During Phase 3</w:t>
            </w:r>
          </w:p>
        </w:tc>
        <w:tc>
          <w:tcPr>
            <w:tcW w:w="232" w:type="pct"/>
            <w:noWrap/>
            <w:vAlign w:val="center"/>
            <w:hideMark/>
          </w:tcPr>
          <w:p w:rsidR="00BC1104" w:rsidRPr="004315A9" w:rsidRDefault="00BC1104" w:rsidP="00AF5B59">
            <w:pPr>
              <w:jc w:val="center"/>
              <w:rPr>
                <w:rFonts w:eastAsia="Times New Roman" w:cs="Calibri"/>
                <w:color w:val="000000"/>
                <w:sz w:val="10"/>
                <w:szCs w:val="10"/>
              </w:rPr>
            </w:pPr>
            <w:r w:rsidRPr="004315A9">
              <w:rPr>
                <w:rFonts w:eastAsia="Times New Roman" w:cs="Calibri"/>
                <w:color w:val="000000"/>
                <w:sz w:val="10"/>
                <w:szCs w:val="10"/>
              </w:rPr>
              <w:t>6</w:t>
            </w:r>
          </w:p>
        </w:tc>
      </w:tr>
    </w:tbl>
    <w:p w:rsidR="003F71D0" w:rsidRDefault="003F71D0"/>
    <w:sectPr w:rsidR="003F71D0" w:rsidSect="00F46674">
      <w:footerReference w:type="default" r:id="rId7"/>
      <w:pgSz w:w="11906" w:h="16838"/>
      <w:pgMar w:top="1361" w:right="1786" w:bottom="1361" w:left="1786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6F2F" w:rsidRDefault="00586F2F">
      <w:r>
        <w:separator/>
      </w:r>
    </w:p>
  </w:endnote>
  <w:endnote w:type="continuationSeparator" w:id="0">
    <w:p w:rsidR="00586F2F" w:rsidRDefault="00586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8609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35CD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E35CD" w:rsidRDefault="00FE35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6F2F" w:rsidRDefault="00586F2F">
      <w:r>
        <w:separator/>
      </w:r>
    </w:p>
  </w:footnote>
  <w:footnote w:type="continuationSeparator" w:id="0">
    <w:p w:rsidR="00586F2F" w:rsidRDefault="00586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AA403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0F1743"/>
    <w:multiLevelType w:val="multilevel"/>
    <w:tmpl w:val="558E9C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043752"/>
    <w:multiLevelType w:val="hybridMultilevel"/>
    <w:tmpl w:val="F160AF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0291E"/>
    <w:multiLevelType w:val="hybridMultilevel"/>
    <w:tmpl w:val="A32C6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90C"/>
    <w:multiLevelType w:val="multilevel"/>
    <w:tmpl w:val="FD5C40C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CF08CB"/>
    <w:multiLevelType w:val="hybridMultilevel"/>
    <w:tmpl w:val="525CE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84DE0"/>
    <w:multiLevelType w:val="multilevel"/>
    <w:tmpl w:val="89DC2A2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1278BD"/>
    <w:multiLevelType w:val="hybridMultilevel"/>
    <w:tmpl w:val="BD5A95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B3E62"/>
    <w:multiLevelType w:val="hybridMultilevel"/>
    <w:tmpl w:val="A844E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E2458"/>
    <w:multiLevelType w:val="multilevel"/>
    <w:tmpl w:val="F3720E3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BC01E5"/>
    <w:multiLevelType w:val="multilevel"/>
    <w:tmpl w:val="B0A05E9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4A771A"/>
    <w:multiLevelType w:val="hybridMultilevel"/>
    <w:tmpl w:val="F15E5FF8"/>
    <w:lvl w:ilvl="0" w:tplc="7EA611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61124"/>
    <w:multiLevelType w:val="multilevel"/>
    <w:tmpl w:val="72F8F5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7B1D54"/>
    <w:multiLevelType w:val="multilevel"/>
    <w:tmpl w:val="C9EE67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38099E"/>
    <w:multiLevelType w:val="multilevel"/>
    <w:tmpl w:val="46EC4D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AD437F"/>
    <w:multiLevelType w:val="multilevel"/>
    <w:tmpl w:val="5B508A2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2D2B5C"/>
    <w:multiLevelType w:val="multilevel"/>
    <w:tmpl w:val="507060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E7280E"/>
    <w:multiLevelType w:val="multilevel"/>
    <w:tmpl w:val="B22CF61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3266EA"/>
    <w:multiLevelType w:val="hybridMultilevel"/>
    <w:tmpl w:val="2B54B1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C5E58"/>
    <w:multiLevelType w:val="multilevel"/>
    <w:tmpl w:val="456806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E33B36"/>
    <w:multiLevelType w:val="multilevel"/>
    <w:tmpl w:val="7458EE2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4B6361"/>
    <w:multiLevelType w:val="multilevel"/>
    <w:tmpl w:val="A7C6E8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BA6B23"/>
    <w:multiLevelType w:val="multilevel"/>
    <w:tmpl w:val="DBB8AE7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DA1F05"/>
    <w:multiLevelType w:val="multilevel"/>
    <w:tmpl w:val="84982F5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730016"/>
    <w:multiLevelType w:val="multilevel"/>
    <w:tmpl w:val="E032871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675320"/>
    <w:multiLevelType w:val="hybridMultilevel"/>
    <w:tmpl w:val="82F8C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B1768D"/>
    <w:multiLevelType w:val="hybridMultilevel"/>
    <w:tmpl w:val="9500BAB4"/>
    <w:lvl w:ilvl="0" w:tplc="3CEED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1AC1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1EDE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40BB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26F9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0C82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A69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6C5B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148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38D4825"/>
    <w:multiLevelType w:val="multilevel"/>
    <w:tmpl w:val="F3DCD9A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6FB4BC3"/>
    <w:multiLevelType w:val="hybridMultilevel"/>
    <w:tmpl w:val="721C0C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0E262F"/>
    <w:multiLevelType w:val="hybridMultilevel"/>
    <w:tmpl w:val="E7F89EE0"/>
    <w:lvl w:ilvl="0" w:tplc="31DE81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9871640"/>
    <w:multiLevelType w:val="multilevel"/>
    <w:tmpl w:val="7432476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B3E3C7A"/>
    <w:multiLevelType w:val="multilevel"/>
    <w:tmpl w:val="B2641E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454921"/>
    <w:multiLevelType w:val="hybridMultilevel"/>
    <w:tmpl w:val="85D6C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3B1199"/>
    <w:multiLevelType w:val="hybridMultilevel"/>
    <w:tmpl w:val="7676E6E2"/>
    <w:lvl w:ilvl="0" w:tplc="CEAE6C84">
      <w:start w:val="7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313600"/>
    <w:multiLevelType w:val="hybridMultilevel"/>
    <w:tmpl w:val="6A48A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373387"/>
    <w:multiLevelType w:val="multilevel"/>
    <w:tmpl w:val="1C5ECD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3505B4A"/>
    <w:multiLevelType w:val="multilevel"/>
    <w:tmpl w:val="C2467E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6C332D7"/>
    <w:multiLevelType w:val="multilevel"/>
    <w:tmpl w:val="2280E9C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96411EA"/>
    <w:multiLevelType w:val="multilevel"/>
    <w:tmpl w:val="CF64B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A8326E4"/>
    <w:multiLevelType w:val="multilevel"/>
    <w:tmpl w:val="56C431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6E16AA"/>
    <w:multiLevelType w:val="multilevel"/>
    <w:tmpl w:val="5BF064A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7952DB"/>
    <w:multiLevelType w:val="multilevel"/>
    <w:tmpl w:val="E6A25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319085E"/>
    <w:multiLevelType w:val="multilevel"/>
    <w:tmpl w:val="5E622C4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41964FF"/>
    <w:multiLevelType w:val="multilevel"/>
    <w:tmpl w:val="C0BED8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4486F6A"/>
    <w:multiLevelType w:val="hybridMultilevel"/>
    <w:tmpl w:val="06309B7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52D4503"/>
    <w:multiLevelType w:val="multilevel"/>
    <w:tmpl w:val="B12C789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53449E4"/>
    <w:multiLevelType w:val="multilevel"/>
    <w:tmpl w:val="EF0C1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6D37472"/>
    <w:multiLevelType w:val="multilevel"/>
    <w:tmpl w:val="2C5ACA1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04F5478"/>
    <w:multiLevelType w:val="multilevel"/>
    <w:tmpl w:val="6A245E7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5691C85"/>
    <w:multiLevelType w:val="multilevel"/>
    <w:tmpl w:val="BEC891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68D4379"/>
    <w:multiLevelType w:val="multilevel"/>
    <w:tmpl w:val="596884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A9861D9"/>
    <w:multiLevelType w:val="hybridMultilevel"/>
    <w:tmpl w:val="85D6C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6A3154"/>
    <w:multiLevelType w:val="hybridMultilevel"/>
    <w:tmpl w:val="6414CC50"/>
    <w:lvl w:ilvl="0" w:tplc="BCF6A0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F232E52"/>
    <w:multiLevelType w:val="multilevel"/>
    <w:tmpl w:val="9B70AB8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F610B24"/>
    <w:multiLevelType w:val="multilevel"/>
    <w:tmpl w:val="17BCE3D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870805">
    <w:abstractNumId w:val="33"/>
  </w:num>
  <w:num w:numId="2" w16cid:durableId="1007951027">
    <w:abstractNumId w:val="41"/>
  </w:num>
  <w:num w:numId="3" w16cid:durableId="1260022657">
    <w:abstractNumId w:val="49"/>
    <w:lvlOverride w:ilvl="0">
      <w:lvl w:ilvl="0">
        <w:numFmt w:val="decimal"/>
        <w:lvlText w:val="%1."/>
        <w:lvlJc w:val="left"/>
      </w:lvl>
    </w:lvlOverride>
  </w:num>
  <w:num w:numId="4" w16cid:durableId="958491399">
    <w:abstractNumId w:val="19"/>
    <w:lvlOverride w:ilvl="0">
      <w:lvl w:ilvl="0">
        <w:numFmt w:val="decimal"/>
        <w:lvlText w:val="%1."/>
        <w:lvlJc w:val="left"/>
      </w:lvl>
    </w:lvlOverride>
  </w:num>
  <w:num w:numId="5" w16cid:durableId="661005764">
    <w:abstractNumId w:val="21"/>
    <w:lvlOverride w:ilvl="0">
      <w:lvl w:ilvl="0">
        <w:numFmt w:val="decimal"/>
        <w:lvlText w:val="%1."/>
        <w:lvlJc w:val="left"/>
      </w:lvl>
    </w:lvlOverride>
  </w:num>
  <w:num w:numId="6" w16cid:durableId="78990527">
    <w:abstractNumId w:val="35"/>
    <w:lvlOverride w:ilvl="0">
      <w:lvl w:ilvl="0">
        <w:numFmt w:val="decimal"/>
        <w:lvlText w:val="%1."/>
        <w:lvlJc w:val="left"/>
      </w:lvl>
    </w:lvlOverride>
  </w:num>
  <w:num w:numId="7" w16cid:durableId="1481851864">
    <w:abstractNumId w:val="13"/>
    <w:lvlOverride w:ilvl="0">
      <w:lvl w:ilvl="0">
        <w:numFmt w:val="decimal"/>
        <w:lvlText w:val="%1."/>
        <w:lvlJc w:val="left"/>
      </w:lvl>
    </w:lvlOverride>
  </w:num>
  <w:num w:numId="8" w16cid:durableId="706875763">
    <w:abstractNumId w:val="12"/>
    <w:lvlOverride w:ilvl="0">
      <w:lvl w:ilvl="0">
        <w:numFmt w:val="decimal"/>
        <w:lvlText w:val="%1."/>
        <w:lvlJc w:val="left"/>
      </w:lvl>
    </w:lvlOverride>
  </w:num>
  <w:num w:numId="9" w16cid:durableId="911886991">
    <w:abstractNumId w:val="39"/>
    <w:lvlOverride w:ilvl="0">
      <w:lvl w:ilvl="0">
        <w:numFmt w:val="decimal"/>
        <w:lvlText w:val="%1."/>
        <w:lvlJc w:val="left"/>
      </w:lvl>
    </w:lvlOverride>
  </w:num>
  <w:num w:numId="10" w16cid:durableId="1320304742">
    <w:abstractNumId w:val="23"/>
    <w:lvlOverride w:ilvl="0">
      <w:lvl w:ilvl="0">
        <w:numFmt w:val="decimal"/>
        <w:lvlText w:val="%1."/>
        <w:lvlJc w:val="left"/>
      </w:lvl>
    </w:lvlOverride>
  </w:num>
  <w:num w:numId="11" w16cid:durableId="914050503">
    <w:abstractNumId w:val="9"/>
    <w:lvlOverride w:ilvl="0">
      <w:lvl w:ilvl="0">
        <w:numFmt w:val="decimal"/>
        <w:lvlText w:val="%1."/>
        <w:lvlJc w:val="left"/>
      </w:lvl>
    </w:lvlOverride>
  </w:num>
  <w:num w:numId="12" w16cid:durableId="982076364">
    <w:abstractNumId w:val="40"/>
    <w:lvlOverride w:ilvl="0">
      <w:lvl w:ilvl="0">
        <w:numFmt w:val="decimal"/>
        <w:lvlText w:val="%1."/>
        <w:lvlJc w:val="left"/>
      </w:lvl>
    </w:lvlOverride>
  </w:num>
  <w:num w:numId="13" w16cid:durableId="885138503">
    <w:abstractNumId w:val="42"/>
    <w:lvlOverride w:ilvl="0">
      <w:lvl w:ilvl="0">
        <w:numFmt w:val="decimal"/>
        <w:lvlText w:val="%1."/>
        <w:lvlJc w:val="left"/>
      </w:lvl>
    </w:lvlOverride>
  </w:num>
  <w:num w:numId="14" w16cid:durableId="1633554321">
    <w:abstractNumId w:val="53"/>
    <w:lvlOverride w:ilvl="0">
      <w:lvl w:ilvl="0">
        <w:numFmt w:val="decimal"/>
        <w:lvlText w:val="%1."/>
        <w:lvlJc w:val="left"/>
      </w:lvl>
    </w:lvlOverride>
  </w:num>
  <w:num w:numId="15" w16cid:durableId="1509903608">
    <w:abstractNumId w:val="20"/>
    <w:lvlOverride w:ilvl="0">
      <w:lvl w:ilvl="0">
        <w:numFmt w:val="decimal"/>
        <w:lvlText w:val="%1."/>
        <w:lvlJc w:val="left"/>
      </w:lvl>
    </w:lvlOverride>
  </w:num>
  <w:num w:numId="16" w16cid:durableId="1391073461">
    <w:abstractNumId w:val="30"/>
    <w:lvlOverride w:ilvl="0">
      <w:lvl w:ilvl="0">
        <w:numFmt w:val="decimal"/>
        <w:lvlText w:val="%1."/>
        <w:lvlJc w:val="left"/>
      </w:lvl>
    </w:lvlOverride>
  </w:num>
  <w:num w:numId="17" w16cid:durableId="2026858459">
    <w:abstractNumId w:val="15"/>
    <w:lvlOverride w:ilvl="0">
      <w:lvl w:ilvl="0">
        <w:numFmt w:val="decimal"/>
        <w:lvlText w:val="%1."/>
        <w:lvlJc w:val="left"/>
      </w:lvl>
    </w:lvlOverride>
  </w:num>
  <w:num w:numId="18" w16cid:durableId="699017851">
    <w:abstractNumId w:val="4"/>
    <w:lvlOverride w:ilvl="0">
      <w:lvl w:ilvl="0">
        <w:numFmt w:val="decimal"/>
        <w:lvlText w:val="%1."/>
        <w:lvlJc w:val="left"/>
      </w:lvl>
    </w:lvlOverride>
  </w:num>
  <w:num w:numId="19" w16cid:durableId="1499536805">
    <w:abstractNumId w:val="52"/>
  </w:num>
  <w:num w:numId="20" w16cid:durableId="1659843257">
    <w:abstractNumId w:val="29"/>
  </w:num>
  <w:num w:numId="21" w16cid:durableId="1896308482">
    <w:abstractNumId w:val="46"/>
  </w:num>
  <w:num w:numId="22" w16cid:durableId="758212169">
    <w:abstractNumId w:val="16"/>
    <w:lvlOverride w:ilvl="0">
      <w:lvl w:ilvl="0">
        <w:numFmt w:val="decimal"/>
        <w:lvlText w:val="%1."/>
        <w:lvlJc w:val="left"/>
      </w:lvl>
    </w:lvlOverride>
  </w:num>
  <w:num w:numId="23" w16cid:durableId="579994757">
    <w:abstractNumId w:val="50"/>
    <w:lvlOverride w:ilvl="0">
      <w:lvl w:ilvl="0">
        <w:numFmt w:val="decimal"/>
        <w:lvlText w:val="%1."/>
        <w:lvlJc w:val="left"/>
      </w:lvl>
    </w:lvlOverride>
  </w:num>
  <w:num w:numId="24" w16cid:durableId="1504468659">
    <w:abstractNumId w:val="1"/>
    <w:lvlOverride w:ilvl="0">
      <w:lvl w:ilvl="0">
        <w:numFmt w:val="decimal"/>
        <w:lvlText w:val="%1."/>
        <w:lvlJc w:val="left"/>
      </w:lvl>
    </w:lvlOverride>
  </w:num>
  <w:num w:numId="25" w16cid:durableId="1148287029">
    <w:abstractNumId w:val="31"/>
    <w:lvlOverride w:ilvl="0">
      <w:lvl w:ilvl="0">
        <w:numFmt w:val="decimal"/>
        <w:lvlText w:val="%1."/>
        <w:lvlJc w:val="left"/>
      </w:lvl>
    </w:lvlOverride>
  </w:num>
  <w:num w:numId="26" w16cid:durableId="1045176373">
    <w:abstractNumId w:val="43"/>
    <w:lvlOverride w:ilvl="0">
      <w:lvl w:ilvl="0">
        <w:numFmt w:val="decimal"/>
        <w:lvlText w:val="%1."/>
        <w:lvlJc w:val="left"/>
      </w:lvl>
    </w:lvlOverride>
  </w:num>
  <w:num w:numId="27" w16cid:durableId="302197990">
    <w:abstractNumId w:val="36"/>
    <w:lvlOverride w:ilvl="0">
      <w:lvl w:ilvl="0">
        <w:numFmt w:val="decimal"/>
        <w:lvlText w:val="%1."/>
        <w:lvlJc w:val="left"/>
      </w:lvl>
    </w:lvlOverride>
  </w:num>
  <w:num w:numId="28" w16cid:durableId="413287559">
    <w:abstractNumId w:val="54"/>
    <w:lvlOverride w:ilvl="0">
      <w:lvl w:ilvl="0">
        <w:numFmt w:val="decimal"/>
        <w:lvlText w:val="%1."/>
        <w:lvlJc w:val="left"/>
      </w:lvl>
    </w:lvlOverride>
  </w:num>
  <w:num w:numId="29" w16cid:durableId="171382628">
    <w:abstractNumId w:val="48"/>
    <w:lvlOverride w:ilvl="0">
      <w:lvl w:ilvl="0">
        <w:numFmt w:val="decimal"/>
        <w:lvlText w:val="%1."/>
        <w:lvlJc w:val="left"/>
      </w:lvl>
    </w:lvlOverride>
  </w:num>
  <w:num w:numId="30" w16cid:durableId="471756901">
    <w:abstractNumId w:val="14"/>
    <w:lvlOverride w:ilvl="0">
      <w:lvl w:ilvl="0">
        <w:numFmt w:val="decimal"/>
        <w:lvlText w:val="%1."/>
        <w:lvlJc w:val="left"/>
      </w:lvl>
    </w:lvlOverride>
  </w:num>
  <w:num w:numId="31" w16cid:durableId="876040455">
    <w:abstractNumId w:val="24"/>
    <w:lvlOverride w:ilvl="0">
      <w:lvl w:ilvl="0">
        <w:numFmt w:val="decimal"/>
        <w:lvlText w:val="%1."/>
        <w:lvlJc w:val="left"/>
      </w:lvl>
    </w:lvlOverride>
  </w:num>
  <w:num w:numId="32" w16cid:durableId="1979802764">
    <w:abstractNumId w:val="37"/>
    <w:lvlOverride w:ilvl="0">
      <w:lvl w:ilvl="0">
        <w:numFmt w:val="decimal"/>
        <w:lvlText w:val="%1."/>
        <w:lvlJc w:val="left"/>
      </w:lvl>
    </w:lvlOverride>
  </w:num>
  <w:num w:numId="33" w16cid:durableId="861169299">
    <w:abstractNumId w:val="10"/>
    <w:lvlOverride w:ilvl="0">
      <w:lvl w:ilvl="0">
        <w:numFmt w:val="decimal"/>
        <w:lvlText w:val="%1."/>
        <w:lvlJc w:val="left"/>
      </w:lvl>
    </w:lvlOverride>
  </w:num>
  <w:num w:numId="34" w16cid:durableId="61486049">
    <w:abstractNumId w:val="17"/>
    <w:lvlOverride w:ilvl="0">
      <w:lvl w:ilvl="0">
        <w:numFmt w:val="decimal"/>
        <w:lvlText w:val="%1."/>
        <w:lvlJc w:val="left"/>
      </w:lvl>
    </w:lvlOverride>
  </w:num>
  <w:num w:numId="35" w16cid:durableId="962930624">
    <w:abstractNumId w:val="27"/>
    <w:lvlOverride w:ilvl="0">
      <w:lvl w:ilvl="0">
        <w:numFmt w:val="decimal"/>
        <w:lvlText w:val="%1."/>
        <w:lvlJc w:val="left"/>
      </w:lvl>
    </w:lvlOverride>
  </w:num>
  <w:num w:numId="36" w16cid:durableId="2117090800">
    <w:abstractNumId w:val="45"/>
    <w:lvlOverride w:ilvl="0">
      <w:lvl w:ilvl="0">
        <w:numFmt w:val="decimal"/>
        <w:lvlText w:val="%1."/>
        <w:lvlJc w:val="left"/>
      </w:lvl>
    </w:lvlOverride>
  </w:num>
  <w:num w:numId="37" w16cid:durableId="212617015">
    <w:abstractNumId w:val="47"/>
    <w:lvlOverride w:ilvl="0">
      <w:lvl w:ilvl="0">
        <w:numFmt w:val="decimal"/>
        <w:lvlText w:val="%1."/>
        <w:lvlJc w:val="left"/>
      </w:lvl>
    </w:lvlOverride>
  </w:num>
  <w:num w:numId="38" w16cid:durableId="1725106862">
    <w:abstractNumId w:val="6"/>
    <w:lvlOverride w:ilvl="0">
      <w:lvl w:ilvl="0">
        <w:numFmt w:val="decimal"/>
        <w:lvlText w:val="%1."/>
        <w:lvlJc w:val="left"/>
      </w:lvl>
    </w:lvlOverride>
  </w:num>
  <w:num w:numId="39" w16cid:durableId="961109361">
    <w:abstractNumId w:val="22"/>
    <w:lvlOverride w:ilvl="0">
      <w:lvl w:ilvl="0">
        <w:numFmt w:val="decimal"/>
        <w:lvlText w:val="%1."/>
        <w:lvlJc w:val="left"/>
      </w:lvl>
    </w:lvlOverride>
  </w:num>
  <w:num w:numId="40" w16cid:durableId="1841577301">
    <w:abstractNumId w:val="44"/>
  </w:num>
  <w:num w:numId="41" w16cid:durableId="1134983660">
    <w:abstractNumId w:val="32"/>
  </w:num>
  <w:num w:numId="42" w16cid:durableId="1814980533">
    <w:abstractNumId w:val="51"/>
  </w:num>
  <w:num w:numId="43" w16cid:durableId="175193535">
    <w:abstractNumId w:val="0"/>
  </w:num>
  <w:num w:numId="44" w16cid:durableId="769398660">
    <w:abstractNumId w:val="3"/>
  </w:num>
  <w:num w:numId="45" w16cid:durableId="1524706275">
    <w:abstractNumId w:val="2"/>
  </w:num>
  <w:num w:numId="46" w16cid:durableId="1843080155">
    <w:abstractNumId w:val="28"/>
  </w:num>
  <w:num w:numId="47" w16cid:durableId="509568167">
    <w:abstractNumId w:val="18"/>
  </w:num>
  <w:num w:numId="48" w16cid:durableId="643465108">
    <w:abstractNumId w:val="7"/>
  </w:num>
  <w:num w:numId="49" w16cid:durableId="2073312470">
    <w:abstractNumId w:val="38"/>
  </w:num>
  <w:num w:numId="50" w16cid:durableId="945774202">
    <w:abstractNumId w:val="25"/>
  </w:num>
  <w:num w:numId="51" w16cid:durableId="1541161989">
    <w:abstractNumId w:val="11"/>
  </w:num>
  <w:num w:numId="52" w16cid:durableId="1960213928">
    <w:abstractNumId w:val="26"/>
  </w:num>
  <w:num w:numId="53" w16cid:durableId="1761021489">
    <w:abstractNumId w:val="8"/>
  </w:num>
  <w:num w:numId="54" w16cid:durableId="97530126">
    <w:abstractNumId w:val="34"/>
  </w:num>
  <w:num w:numId="55" w16cid:durableId="18098577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104"/>
    <w:rsid w:val="00114227"/>
    <w:rsid w:val="002C06D6"/>
    <w:rsid w:val="003F71D0"/>
    <w:rsid w:val="0042364D"/>
    <w:rsid w:val="004C2DE3"/>
    <w:rsid w:val="004D4C72"/>
    <w:rsid w:val="00501FFE"/>
    <w:rsid w:val="00567CF0"/>
    <w:rsid w:val="00586F2F"/>
    <w:rsid w:val="005B5543"/>
    <w:rsid w:val="005D0315"/>
    <w:rsid w:val="00660558"/>
    <w:rsid w:val="006F7745"/>
    <w:rsid w:val="00864EA2"/>
    <w:rsid w:val="00981B1B"/>
    <w:rsid w:val="00AD5015"/>
    <w:rsid w:val="00AF5B59"/>
    <w:rsid w:val="00B563AC"/>
    <w:rsid w:val="00BC1104"/>
    <w:rsid w:val="00EB05F9"/>
    <w:rsid w:val="00F55F06"/>
    <w:rsid w:val="00FE35CD"/>
    <w:rsid w:val="00FF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1695DBD-A9A9-2144-8142-D79E9FC3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104"/>
    <w:pPr>
      <w:jc w:val="both"/>
    </w:pPr>
    <w:rPr>
      <w:rFonts w:ascii="Calibri" w:eastAsia="SimSun" w:hAnsi="Calibri" w:cs="Times New Roman"/>
      <w:kern w:val="0"/>
      <w:sz w:val="22"/>
      <w:szCs w:val="22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C11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C11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BC11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C1104"/>
    <w:rPr>
      <w:rFonts w:ascii="Arial" w:eastAsia="SimSun" w:hAnsi="Arial" w:cs="Arial"/>
      <w:b/>
      <w:bCs/>
      <w:kern w:val="32"/>
      <w:sz w:val="32"/>
      <w:szCs w:val="32"/>
      <w:lang w:val="en-GB"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rsid w:val="00BC1104"/>
    <w:rPr>
      <w:rFonts w:ascii="Arial" w:eastAsia="SimSun" w:hAnsi="Arial" w:cs="Arial"/>
      <w:b/>
      <w:bCs/>
      <w:i/>
      <w:iCs/>
      <w:kern w:val="0"/>
      <w:sz w:val="28"/>
      <w:szCs w:val="28"/>
      <w:lang w:val="en-GB"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rsid w:val="00BC1104"/>
    <w:rPr>
      <w:rFonts w:ascii="Arial" w:eastAsia="SimSun" w:hAnsi="Arial" w:cs="Arial"/>
      <w:b/>
      <w:bCs/>
      <w:kern w:val="0"/>
      <w:sz w:val="26"/>
      <w:szCs w:val="26"/>
      <w:lang w:val="en-GB" w:eastAsia="en-GB"/>
      <w14:ligatures w14:val="none"/>
    </w:rPr>
  </w:style>
  <w:style w:type="character" w:styleId="CommentReference">
    <w:name w:val="annotation reference"/>
    <w:rsid w:val="00BC11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11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1104"/>
    <w:rPr>
      <w:rFonts w:ascii="Calibri" w:eastAsia="SimSun" w:hAnsi="Calibri" w:cs="Times New Roman"/>
      <w:kern w:val="0"/>
      <w:sz w:val="20"/>
      <w:szCs w:val="20"/>
      <w:lang w:val="en-GB" w:eastAsia="en-GB"/>
      <w14:ligatures w14:val="none"/>
    </w:rPr>
  </w:style>
  <w:style w:type="paragraph" w:styleId="BalloonText">
    <w:name w:val="Balloon Text"/>
    <w:basedOn w:val="Normal"/>
    <w:link w:val="BalloonTextChar"/>
    <w:semiHidden/>
    <w:rsid w:val="00BC11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C1104"/>
    <w:rPr>
      <w:rFonts w:ascii="Tahoma" w:eastAsia="SimSun" w:hAnsi="Tahoma" w:cs="Tahoma"/>
      <w:kern w:val="0"/>
      <w:sz w:val="16"/>
      <w:szCs w:val="16"/>
      <w:lang w:val="en-GB" w:eastAsia="en-GB"/>
      <w14:ligatures w14:val="none"/>
    </w:rPr>
  </w:style>
  <w:style w:type="character" w:styleId="Hyperlink">
    <w:name w:val="Hyperlink"/>
    <w:uiPriority w:val="99"/>
    <w:rsid w:val="00BC1104"/>
    <w:rPr>
      <w:color w:val="0000FF"/>
      <w:u w:val="single"/>
    </w:rPr>
  </w:style>
  <w:style w:type="paragraph" w:styleId="NormalWeb">
    <w:name w:val="Normal (Web)"/>
    <w:basedOn w:val="Normal"/>
    <w:uiPriority w:val="99"/>
    <w:rsid w:val="00BC1104"/>
    <w:pPr>
      <w:spacing w:before="100" w:beforeAutospacing="1" w:after="100" w:afterAutospacing="1"/>
    </w:pPr>
  </w:style>
  <w:style w:type="character" w:styleId="Strong">
    <w:name w:val="Strong"/>
    <w:qFormat/>
    <w:rsid w:val="00BC1104"/>
    <w:rPr>
      <w:b/>
      <w:bCs/>
    </w:rPr>
  </w:style>
  <w:style w:type="character" w:customStyle="1" w:styleId="journal-title">
    <w:name w:val="journal-title"/>
    <w:rsid w:val="00BC1104"/>
  </w:style>
  <w:style w:type="paragraph" w:styleId="CommentSubject">
    <w:name w:val="annotation subject"/>
    <w:basedOn w:val="CommentText"/>
    <w:next w:val="CommentText"/>
    <w:link w:val="CommentSubjectChar"/>
    <w:rsid w:val="00BC1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C1104"/>
    <w:rPr>
      <w:rFonts w:ascii="Calibri" w:eastAsia="SimSun" w:hAnsi="Calibri" w:cs="Times New Roman"/>
      <w:b/>
      <w:bCs/>
      <w:kern w:val="0"/>
      <w:sz w:val="20"/>
      <w:szCs w:val="20"/>
      <w:lang w:val="en-GB" w:eastAsia="en-GB"/>
      <w14:ligatures w14:val="none"/>
    </w:rPr>
  </w:style>
  <w:style w:type="paragraph" w:customStyle="1" w:styleId="ColorfulList-Accent11">
    <w:name w:val="Colorful List - Accent 11"/>
    <w:basedOn w:val="Normal"/>
    <w:uiPriority w:val="34"/>
    <w:qFormat/>
    <w:rsid w:val="00BC1104"/>
    <w:pPr>
      <w:ind w:left="720"/>
      <w:contextualSpacing/>
    </w:pPr>
  </w:style>
  <w:style w:type="character" w:customStyle="1" w:styleId="fn">
    <w:name w:val="fn"/>
    <w:basedOn w:val="DefaultParagraphFont"/>
    <w:rsid w:val="00BC1104"/>
  </w:style>
  <w:style w:type="character" w:customStyle="1" w:styleId="year">
    <w:name w:val="year"/>
    <w:basedOn w:val="DefaultParagraphFont"/>
    <w:rsid w:val="00BC1104"/>
  </w:style>
  <w:style w:type="character" w:styleId="FollowedHyperlink">
    <w:name w:val="FollowedHyperlink"/>
    <w:uiPriority w:val="99"/>
    <w:rsid w:val="00BC1104"/>
    <w:rPr>
      <w:color w:val="800080"/>
      <w:u w:val="single"/>
    </w:rPr>
  </w:style>
  <w:style w:type="paragraph" w:styleId="Header">
    <w:name w:val="header"/>
    <w:basedOn w:val="Normal"/>
    <w:link w:val="HeaderChar"/>
    <w:rsid w:val="00BC11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C1104"/>
    <w:rPr>
      <w:rFonts w:ascii="Calibri" w:eastAsia="SimSun" w:hAnsi="Calibri" w:cs="Times New Roman"/>
      <w:kern w:val="0"/>
      <w:sz w:val="22"/>
      <w:szCs w:val="22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rsid w:val="00BC11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104"/>
    <w:rPr>
      <w:rFonts w:ascii="Calibri" w:eastAsia="SimSun" w:hAnsi="Calibri" w:cs="Times New Roman"/>
      <w:kern w:val="0"/>
      <w:sz w:val="22"/>
      <w:szCs w:val="22"/>
      <w:lang w:val="en-GB"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BC1104"/>
    <w:rPr>
      <w:i/>
      <w:iCs/>
    </w:rPr>
  </w:style>
  <w:style w:type="paragraph" w:styleId="ListParagraph">
    <w:name w:val="List Paragraph"/>
    <w:basedOn w:val="Normal"/>
    <w:uiPriority w:val="34"/>
    <w:qFormat/>
    <w:rsid w:val="00BC1104"/>
    <w:pPr>
      <w:ind w:left="720"/>
      <w:contextualSpacing/>
    </w:pPr>
  </w:style>
  <w:style w:type="character" w:styleId="LineNumber">
    <w:name w:val="line number"/>
    <w:basedOn w:val="DefaultParagraphFont"/>
    <w:semiHidden/>
    <w:unhideWhenUsed/>
    <w:rsid w:val="00BC1104"/>
  </w:style>
  <w:style w:type="paragraph" w:styleId="Caption">
    <w:name w:val="caption"/>
    <w:basedOn w:val="Normal"/>
    <w:next w:val="Normal"/>
    <w:uiPriority w:val="35"/>
    <w:unhideWhenUsed/>
    <w:qFormat/>
    <w:rsid w:val="00BC1104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BC1104"/>
    <w:pPr>
      <w:jc w:val="center"/>
    </w:pPr>
    <w:rPr>
      <w:rFonts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C1104"/>
    <w:rPr>
      <w:rFonts w:ascii="Calibri" w:eastAsia="SimSun" w:hAnsi="Calibri" w:cs="Calibri"/>
      <w:kern w:val="0"/>
      <w:sz w:val="22"/>
      <w:szCs w:val="22"/>
      <w:lang w:val="en-GB" w:eastAsia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BC1104"/>
    <w:rPr>
      <w:rFonts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BC1104"/>
    <w:rPr>
      <w:rFonts w:ascii="Calibri" w:eastAsia="SimSun" w:hAnsi="Calibri" w:cs="Calibri"/>
      <w:kern w:val="0"/>
      <w:sz w:val="22"/>
      <w:szCs w:val="22"/>
      <w:lang w:val="en-GB" w:eastAsia="en-GB"/>
      <w14:ligatures w14:val="none"/>
    </w:rPr>
  </w:style>
  <w:style w:type="table" w:styleId="TableGrid">
    <w:name w:val="Table Grid"/>
    <w:basedOn w:val="TableNormal"/>
    <w:uiPriority w:val="39"/>
    <w:qFormat/>
    <w:rsid w:val="00BC1104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C1104"/>
    <w:pPr>
      <w:jc w:val="left"/>
    </w:pPr>
    <w:rPr>
      <w:rFonts w:asciiTheme="minorHAnsi" w:eastAsiaTheme="minorEastAsia" w:hAnsiTheme="minorHAnsi" w:cstheme="minorBidi"/>
      <w:kern w:val="2"/>
      <w:sz w:val="20"/>
      <w:szCs w:val="20"/>
      <w:lang w:eastAsia="zh-CN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1104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C1104"/>
    <w:rPr>
      <w:vertAlign w:val="superscript"/>
    </w:rPr>
  </w:style>
  <w:style w:type="paragraph" w:styleId="Revision">
    <w:name w:val="Revision"/>
    <w:hidden/>
    <w:uiPriority w:val="99"/>
    <w:semiHidden/>
    <w:rsid w:val="00BC1104"/>
    <w:rPr>
      <w:rFonts w:ascii="Calibri" w:eastAsia="SimSun" w:hAnsi="Calibri" w:cs="Times New Roman"/>
      <w:kern w:val="0"/>
      <w:sz w:val="22"/>
      <w:szCs w:val="22"/>
      <w:lang w:val="en-GB" w:eastAsia="en-GB"/>
      <w14:ligatures w14:val="none"/>
    </w:rPr>
  </w:style>
  <w:style w:type="table" w:styleId="PlainTable4">
    <w:name w:val="Plain Table 4"/>
    <w:basedOn w:val="TableNormal"/>
    <w:uiPriority w:val="44"/>
    <w:rsid w:val="00BC1104"/>
    <w:rPr>
      <w:rFonts w:ascii="Times New Roman" w:eastAsia="SimSun" w:hAnsi="Times New Roman" w:cs="Times New Roman"/>
      <w:kern w:val="0"/>
      <w:sz w:val="20"/>
      <w:szCs w:val="20"/>
      <w:lang w:val="en-GB" w:eastAsia="en-GB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BC1104"/>
    <w:rPr>
      <w:rFonts w:ascii="Times New Roman" w:eastAsia="SimSun" w:hAnsi="Times New Roman" w:cs="Times New Roman"/>
      <w:kern w:val="0"/>
      <w:sz w:val="20"/>
      <w:szCs w:val="20"/>
      <w:lang w:val="en-GB" w:eastAsia="en-GB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BC1104"/>
    <w:rPr>
      <w:rFonts w:ascii="Times New Roman" w:eastAsia="SimSu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BC1104"/>
    <w:rPr>
      <w:rFonts w:ascii="Times New Roman" w:eastAsia="SimSun" w:hAnsi="Times New Roman" w:cs="Times New Roman"/>
      <w:kern w:val="0"/>
      <w:sz w:val="20"/>
      <w:szCs w:val="20"/>
      <w:lang w:val="en-GB" w:eastAsia="en-GB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BC1104"/>
    <w:rPr>
      <w:rFonts w:ascii="Times New Roman" w:eastAsia="SimSun" w:hAnsi="Times New Roman" w:cs="Times New Roman"/>
      <w:kern w:val="0"/>
      <w:sz w:val="20"/>
      <w:szCs w:val="20"/>
      <w:lang w:val="en-GB" w:eastAsia="en-GB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BC1104"/>
    <w:rPr>
      <w:rFonts w:ascii="Times New Roman" w:eastAsia="SimSun" w:hAnsi="Times New Roman" w:cs="Times New Roman"/>
      <w:kern w:val="0"/>
      <w:sz w:val="20"/>
      <w:szCs w:val="20"/>
      <w:lang w:val="en-GB" w:eastAsia="en-GB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itle-text">
    <w:name w:val="title-text"/>
    <w:basedOn w:val="DefaultParagraphFont"/>
    <w:rsid w:val="00BC1104"/>
  </w:style>
  <w:style w:type="table" w:customStyle="1" w:styleId="PlainTable41">
    <w:name w:val="Plain Table 41"/>
    <w:basedOn w:val="TableNormal"/>
    <w:uiPriority w:val="44"/>
    <w:qFormat/>
    <w:rsid w:val="00BC1104"/>
    <w:rPr>
      <w:rFonts w:ascii="Times New Roman" w:eastAsia="SimSun" w:hAnsi="Times New Roman" w:cs="Times New Roman"/>
      <w:kern w:val="0"/>
      <w:sz w:val="20"/>
      <w:szCs w:val="20"/>
      <w:lang w:val="en-GB" w:eastAsia="en-GB"/>
      <w14:ligatures w14:val="none"/>
    </w:r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msonormal0">
    <w:name w:val="msonormal"/>
    <w:basedOn w:val="Normal"/>
    <w:rsid w:val="00BC1104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xl65">
    <w:name w:val="xl65"/>
    <w:basedOn w:val="Normal"/>
    <w:rsid w:val="00BC1104"/>
    <w:pPr>
      <w:spacing w:before="100" w:beforeAutospacing="1" w:after="100" w:afterAutospacing="1"/>
      <w:jc w:val="left"/>
    </w:pPr>
    <w:rPr>
      <w:rFonts w:eastAsia="Times New Roman" w:cs="Calibri"/>
      <w:b/>
      <w:bCs/>
      <w:sz w:val="24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BC11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3837</Words>
  <Characters>21873</Characters>
  <Application>Microsoft Office Word</Application>
  <DocSecurity>0</DocSecurity>
  <Lines>182</Lines>
  <Paragraphs>51</Paragraphs>
  <ScaleCrop>false</ScaleCrop>
  <Company/>
  <LinksUpToDate>false</LinksUpToDate>
  <CharactersWithSpaces>25659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Xuanyu Shi</dc:creator>
  <cp:keywords/>
  <dc:description/>
  <cp:lastModifiedBy>Xuanyu Shi</cp:lastModifiedBy>
  <cp:revision>4</cp:revision>
  <dcterms:created xsi:type="dcterms:W3CDTF">2023-11-26T10:02:00Z</dcterms:created>
  <dcterms:modified xsi:type="dcterms:W3CDTF">2023-12-12T14:51:00Z</dcterms:modified>
</cp:coreProperties>
</file>