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D2DAB8" w14:textId="21A3A2A6" w:rsidR="009C58A3" w:rsidRPr="00766CA1" w:rsidRDefault="00E16943" w:rsidP="00E2731C">
      <w:pPr>
        <w:spacing w:afterLines="50" w:after="156"/>
        <w:rPr>
          <w:rFonts w:ascii="Times New Roman" w:hAnsi="Times New Roman" w:cs="Times New Roman"/>
          <w:b/>
          <w:sz w:val="28"/>
        </w:rPr>
      </w:pPr>
      <w:r w:rsidRPr="00766CA1">
        <w:rPr>
          <w:rFonts w:ascii="Times New Roman" w:hAnsi="Times New Roman" w:cs="Times New Roman"/>
          <w:b/>
          <w:sz w:val="28"/>
        </w:rPr>
        <w:t xml:space="preserve">Supplementary materials for Building </w:t>
      </w:r>
      <w:r w:rsidR="00390658" w:rsidRPr="00766CA1">
        <w:rPr>
          <w:rFonts w:ascii="Times New Roman" w:hAnsi="Times New Roman" w:cs="Times New Roman"/>
          <w:b/>
          <w:sz w:val="28"/>
        </w:rPr>
        <w:t>M</w:t>
      </w:r>
      <w:r w:rsidRPr="00766CA1">
        <w:rPr>
          <w:rFonts w:ascii="Times New Roman" w:hAnsi="Times New Roman" w:cs="Times New Roman"/>
          <w:b/>
          <w:sz w:val="28"/>
        </w:rPr>
        <w:t xml:space="preserve">aterial </w:t>
      </w:r>
      <w:r w:rsidR="00390658" w:rsidRPr="00766CA1">
        <w:rPr>
          <w:rFonts w:ascii="Times New Roman" w:hAnsi="Times New Roman" w:cs="Times New Roman"/>
          <w:b/>
          <w:sz w:val="28"/>
        </w:rPr>
        <w:t>S</w:t>
      </w:r>
      <w:r w:rsidRPr="00766CA1">
        <w:rPr>
          <w:rFonts w:ascii="Times New Roman" w:hAnsi="Times New Roman" w:cs="Times New Roman"/>
          <w:b/>
          <w:sz w:val="28"/>
        </w:rPr>
        <w:t xml:space="preserve">tocks and </w:t>
      </w:r>
      <w:r w:rsidR="00390658" w:rsidRPr="00766CA1">
        <w:rPr>
          <w:rFonts w:ascii="Times New Roman" w:hAnsi="Times New Roman" w:cs="Times New Roman"/>
          <w:b/>
          <w:sz w:val="28"/>
        </w:rPr>
        <w:t>E</w:t>
      </w:r>
      <w:r w:rsidRPr="00766CA1">
        <w:rPr>
          <w:rFonts w:ascii="Times New Roman" w:hAnsi="Times New Roman" w:cs="Times New Roman"/>
          <w:b/>
          <w:sz w:val="28"/>
        </w:rPr>
        <w:t xml:space="preserve">mbodied </w:t>
      </w:r>
      <w:r w:rsidR="00390658" w:rsidRPr="00766CA1">
        <w:rPr>
          <w:rFonts w:ascii="Times New Roman" w:hAnsi="Times New Roman" w:cs="Times New Roman"/>
          <w:b/>
          <w:sz w:val="28"/>
        </w:rPr>
        <w:t>C</w:t>
      </w:r>
      <w:r w:rsidRPr="00766CA1">
        <w:rPr>
          <w:rFonts w:ascii="Times New Roman" w:hAnsi="Times New Roman" w:cs="Times New Roman"/>
          <w:b/>
          <w:sz w:val="28"/>
        </w:rPr>
        <w:t xml:space="preserve">arbon </w:t>
      </w:r>
      <w:r w:rsidR="00390658" w:rsidRPr="00766CA1">
        <w:rPr>
          <w:rFonts w:ascii="Times New Roman" w:hAnsi="Times New Roman" w:cs="Times New Roman"/>
          <w:b/>
          <w:sz w:val="28"/>
        </w:rPr>
        <w:t>D</w:t>
      </w:r>
      <w:r w:rsidRPr="00766CA1">
        <w:rPr>
          <w:rFonts w:ascii="Times New Roman" w:hAnsi="Times New Roman" w:cs="Times New Roman"/>
          <w:b/>
          <w:sz w:val="28"/>
        </w:rPr>
        <w:t xml:space="preserve">ataset for </w:t>
      </w:r>
      <w:r w:rsidR="00390658" w:rsidRPr="00766CA1">
        <w:rPr>
          <w:rFonts w:ascii="Times New Roman" w:hAnsi="Times New Roman" w:cs="Times New Roman"/>
          <w:b/>
          <w:sz w:val="28"/>
        </w:rPr>
        <w:t>T</w:t>
      </w:r>
      <w:r w:rsidRPr="00766CA1">
        <w:rPr>
          <w:rFonts w:ascii="Times New Roman" w:hAnsi="Times New Roman" w:cs="Times New Roman"/>
          <w:b/>
          <w:sz w:val="28"/>
        </w:rPr>
        <w:t xml:space="preserve">wo </w:t>
      </w:r>
      <w:r w:rsidR="00390658" w:rsidRPr="00766CA1">
        <w:rPr>
          <w:rFonts w:ascii="Times New Roman" w:hAnsi="Times New Roman" w:cs="Times New Roman"/>
          <w:b/>
          <w:sz w:val="28"/>
        </w:rPr>
        <w:t>U</w:t>
      </w:r>
      <w:r w:rsidRPr="00766CA1">
        <w:rPr>
          <w:rFonts w:ascii="Times New Roman" w:hAnsi="Times New Roman" w:cs="Times New Roman"/>
          <w:b/>
          <w:sz w:val="28"/>
        </w:rPr>
        <w:t xml:space="preserve">rban </w:t>
      </w:r>
      <w:r w:rsidR="00390658" w:rsidRPr="00766CA1">
        <w:rPr>
          <w:rFonts w:ascii="Times New Roman" w:hAnsi="Times New Roman" w:cs="Times New Roman"/>
          <w:b/>
          <w:sz w:val="28"/>
        </w:rPr>
        <w:t>A</w:t>
      </w:r>
      <w:r w:rsidRPr="00766CA1">
        <w:rPr>
          <w:rFonts w:ascii="Times New Roman" w:hAnsi="Times New Roman" w:cs="Times New Roman"/>
          <w:b/>
          <w:sz w:val="28"/>
        </w:rPr>
        <w:t>gglomerations in China from 2000 to 2020</w:t>
      </w:r>
    </w:p>
    <w:p w14:paraId="6621967D" w14:textId="77777777" w:rsidR="009C58A3" w:rsidRPr="00766CA1" w:rsidRDefault="009C58A3" w:rsidP="009C6DD3">
      <w:pPr>
        <w:spacing w:afterLines="50" w:after="156"/>
        <w:rPr>
          <w:rFonts w:ascii="Times New Roman" w:hAnsi="Times New Roman" w:cs="Times New Roman"/>
        </w:rPr>
      </w:pPr>
    </w:p>
    <w:p w14:paraId="3996E81C" w14:textId="77777777" w:rsidR="00E2731C" w:rsidRPr="00766CA1" w:rsidRDefault="00E2731C" w:rsidP="00E2731C">
      <w:pPr>
        <w:pStyle w:val="TOC"/>
        <w:rPr>
          <w:rFonts w:ascii="Times New Roman" w:hAnsi="Times New Roman" w:cs="Times New Roman"/>
          <w:color w:val="auto"/>
        </w:rPr>
      </w:pPr>
      <w:r w:rsidRPr="00766CA1">
        <w:rPr>
          <w:rFonts w:ascii="Times New Roman" w:hAnsi="Times New Roman" w:cs="Times New Roman"/>
          <w:color w:val="auto"/>
        </w:rPr>
        <w:t>Contents</w:t>
      </w:r>
    </w:p>
    <w:p w14:paraId="776A174A" w14:textId="0727B737" w:rsidR="00E2731C" w:rsidRPr="00766CA1" w:rsidRDefault="00E2731C" w:rsidP="00365B90">
      <w:pPr>
        <w:spacing w:line="360" w:lineRule="auto"/>
        <w:rPr>
          <w:rFonts w:ascii="Times New Roman" w:hAnsi="Times New Roman" w:cs="Times New Roman"/>
          <w:sz w:val="20"/>
          <w:szCs w:val="20"/>
        </w:rPr>
      </w:pPr>
      <w:r w:rsidRPr="00766CA1">
        <w:rPr>
          <w:rFonts w:ascii="Times New Roman" w:hAnsi="Times New Roman" w:cs="Times New Roman"/>
          <w:b/>
          <w:sz w:val="20"/>
          <w:szCs w:val="20"/>
        </w:rPr>
        <w:t>Table S1</w:t>
      </w:r>
      <w:r w:rsidRPr="00766CA1">
        <w:rPr>
          <w:rFonts w:ascii="Times New Roman" w:hAnsi="Times New Roman" w:cs="Times New Roman"/>
          <w:sz w:val="20"/>
          <w:szCs w:val="20"/>
        </w:rPr>
        <w:t xml:space="preserve"> Division of cell cluster in GBA and YRD </w:t>
      </w:r>
      <w:r w:rsidRPr="00766CA1">
        <w:rPr>
          <w:rFonts w:ascii="Times New Roman" w:hAnsi="Times New Roman" w:cs="Times New Roman"/>
          <w:sz w:val="20"/>
          <w:szCs w:val="20"/>
        </w:rPr>
        <w:ptab w:relativeTo="margin" w:alignment="right" w:leader="dot"/>
      </w:r>
      <w:r w:rsidRPr="00766CA1">
        <w:rPr>
          <w:rFonts w:ascii="Times New Roman" w:hAnsi="Times New Roman" w:cs="Times New Roman"/>
          <w:b/>
          <w:bCs/>
          <w:sz w:val="20"/>
          <w:szCs w:val="20"/>
        </w:rPr>
        <w:t>2</w:t>
      </w:r>
    </w:p>
    <w:p w14:paraId="3C0C57B6" w14:textId="22BAEBD5" w:rsidR="00E2731C" w:rsidRPr="00766CA1" w:rsidRDefault="00E2731C" w:rsidP="00365B90">
      <w:pPr>
        <w:spacing w:line="360" w:lineRule="auto"/>
        <w:rPr>
          <w:rFonts w:ascii="Times New Roman" w:hAnsi="Times New Roman" w:cs="Times New Roman"/>
          <w:b/>
          <w:bCs/>
          <w:sz w:val="20"/>
          <w:szCs w:val="20"/>
        </w:rPr>
      </w:pPr>
      <w:r w:rsidRPr="00766CA1">
        <w:rPr>
          <w:rFonts w:ascii="Times New Roman" w:eastAsia="宋体" w:hAnsi="Times New Roman" w:cs="Times New Roman"/>
          <w:b/>
          <w:bCs/>
          <w:sz w:val="20"/>
          <w:szCs w:val="20"/>
        </w:rPr>
        <w:t>Table S2</w:t>
      </w:r>
      <w:r w:rsidRPr="00766CA1">
        <w:rPr>
          <w:rFonts w:ascii="Times New Roman" w:eastAsia="宋体" w:hAnsi="Times New Roman" w:cs="Times New Roman"/>
          <w:sz w:val="20"/>
          <w:szCs w:val="20"/>
        </w:rPr>
        <w:t xml:space="preserve">. </w:t>
      </w:r>
      <w:r w:rsidRPr="00766CA1">
        <w:rPr>
          <w:rFonts w:ascii="Times New Roman" w:hAnsi="Times New Roman" w:cs="Times New Roman"/>
          <w:sz w:val="20"/>
          <w:szCs w:val="20"/>
        </w:rPr>
        <w:t xml:space="preserve">Proportion of residential and non-residential buildings across the three luminosity-based cell clusters </w:t>
      </w:r>
      <w:r w:rsidRPr="00766CA1">
        <w:rPr>
          <w:rFonts w:ascii="Times New Roman" w:hAnsi="Times New Roman" w:cs="Times New Roman"/>
          <w:sz w:val="20"/>
          <w:szCs w:val="20"/>
        </w:rPr>
        <w:ptab w:relativeTo="margin" w:alignment="right" w:leader="dot"/>
      </w:r>
      <w:r w:rsidRPr="00766CA1">
        <w:rPr>
          <w:rFonts w:ascii="Times New Roman" w:hAnsi="Times New Roman" w:cs="Times New Roman"/>
          <w:b/>
          <w:bCs/>
          <w:sz w:val="20"/>
          <w:szCs w:val="20"/>
        </w:rPr>
        <w:t>2</w:t>
      </w:r>
    </w:p>
    <w:p w14:paraId="6A36B542" w14:textId="4C0587A6" w:rsidR="00E2731C" w:rsidRPr="00766CA1" w:rsidRDefault="00E2731C" w:rsidP="00365B90">
      <w:pPr>
        <w:spacing w:line="360" w:lineRule="auto"/>
        <w:rPr>
          <w:rFonts w:ascii="Times New Roman" w:hAnsi="Times New Roman" w:cs="Times New Roman"/>
          <w:sz w:val="20"/>
          <w:szCs w:val="20"/>
        </w:rPr>
      </w:pPr>
      <w:r w:rsidRPr="00766CA1">
        <w:rPr>
          <w:rFonts w:ascii="Times New Roman" w:eastAsia="宋体" w:hAnsi="Times New Roman" w:cs="Times New Roman"/>
          <w:b/>
          <w:bCs/>
          <w:sz w:val="20"/>
          <w:szCs w:val="20"/>
        </w:rPr>
        <w:t>Table S3</w:t>
      </w:r>
      <w:r w:rsidRPr="00766CA1">
        <w:rPr>
          <w:rFonts w:ascii="Times New Roman" w:eastAsia="宋体" w:hAnsi="Times New Roman" w:cs="Times New Roman"/>
          <w:sz w:val="20"/>
          <w:szCs w:val="20"/>
        </w:rPr>
        <w:t xml:space="preserve">. </w:t>
      </w:r>
      <w:r w:rsidRPr="00766CA1">
        <w:rPr>
          <w:rFonts w:ascii="Times New Roman" w:hAnsi="Times New Roman" w:cs="Times New Roman"/>
          <w:sz w:val="20"/>
          <w:szCs w:val="20"/>
        </w:rPr>
        <w:t>Material intensity of for 11 construction materials across residential and non-residential building types derived from Li et al.</w:t>
      </w:r>
      <w:r w:rsidR="00D52E59">
        <w:rPr>
          <w:rFonts w:ascii="Times New Roman" w:hAnsi="Times New Roman" w:cs="Times New Roman" w:hint="eastAsia"/>
          <w:sz w:val="20"/>
          <w:szCs w:val="20"/>
        </w:rPr>
        <w:t xml:space="preserve"> </w:t>
      </w:r>
      <w:r w:rsidR="00D52E59" w:rsidRPr="00483493">
        <w:rPr>
          <w:rFonts w:ascii="Times New Roman" w:eastAsia="宋体" w:hAnsi="Times New Roman" w:cs="Times New Roman"/>
          <w:color w:val="000000" w:themeColor="text1"/>
          <w:sz w:val="18"/>
          <w:szCs w:val="18"/>
          <w14:ligatures w14:val="none"/>
        </w:rPr>
        <w:fldChar w:fldCharType="begin"/>
      </w:r>
      <w:r w:rsidR="00D52E59">
        <w:rPr>
          <w:rFonts w:ascii="Times New Roman" w:eastAsia="宋体" w:hAnsi="Times New Roman" w:cs="Times New Roman"/>
          <w:color w:val="000000" w:themeColor="text1"/>
          <w:sz w:val="18"/>
          <w:szCs w:val="18"/>
          <w14:ligatures w14:val="none"/>
        </w:rPr>
        <w:instrText xml:space="preserve"> ADDIN EN.CITE &lt;EndNote&gt;&lt;Cite ExcludeAuth="1"&gt;&lt;Author&gt;Li&lt;/Author&gt;&lt;Year&gt;2023&lt;/Year&gt;&lt;RecNum&gt;255&lt;/RecNum&gt;&lt;DisplayText&gt;&lt;style face="superscript"&gt;[1]&lt;/style&gt;&lt;/DisplayText&gt;&lt;record&gt;&lt;rec-number&gt;255&lt;/rec-number&gt;&lt;foreign-keys&gt;&lt;key app="EN" db-id="p95ezat5bwz95we90v45axeewa9evxr5exx5" timestamp="1732414079"&gt;255&lt;/key&gt;&lt;/foreign-keys&gt;&lt;ref-type name="Journal Article"&gt;17&lt;/ref-type&gt;&lt;contributors&gt;&lt;authors&gt;&lt;author&gt;Li, Xiang&lt;/author&gt;&lt;author&gt;Song, Lulu&lt;/author&gt;&lt;author&gt;Liu, Qiance&lt;/author&gt;&lt;author&gt;Ouyang, Xin&lt;/author&gt;&lt;author&gt;Mao, Ting&lt;/author&gt;&lt;author&gt;Lu, Haojie&lt;/author&gt;&lt;author&gt;Liu, Litao&lt;/author&gt;&lt;author&gt;Liu, Xiaojie&lt;/author&gt;&lt;author&gt;Chen, Weiqiang&lt;/author&gt;&lt;author&gt;Liu, Gang&lt;/author&gt;&lt;/authors&gt;&lt;/contributors&gt;&lt;titles&gt;&lt;title&gt;Product, building, and infrastructure material stocks dataset for 337 Chinese cities between 1978 and 2020&lt;/title&gt;&lt;secondary-title&gt;Scientific Data&lt;/secondary-title&gt;&lt;/titles&gt;&lt;periodical&gt;&lt;full-title&gt;Scientific Data&lt;/full-title&gt;&lt;/periodical&gt;&lt;pages&gt;228&lt;/pages&gt;&lt;volume&gt;10&lt;/volume&gt;&lt;number&gt;1&lt;/number&gt;&lt;dates&gt;&lt;year&gt;2023&lt;/year&gt;&lt;/dates&gt;&lt;isbn&gt;2052-4463&lt;/isbn&gt;&lt;urls&gt;&lt;/urls&gt;&lt;/record&gt;&lt;/Cite&gt;&lt;/EndNote&gt;</w:instrText>
      </w:r>
      <w:r w:rsidR="00D52E59" w:rsidRPr="00483493">
        <w:rPr>
          <w:rFonts w:ascii="Times New Roman" w:eastAsia="宋体" w:hAnsi="Times New Roman" w:cs="Times New Roman"/>
          <w:color w:val="000000" w:themeColor="text1"/>
          <w:sz w:val="18"/>
          <w:szCs w:val="18"/>
          <w14:ligatures w14:val="none"/>
        </w:rPr>
        <w:fldChar w:fldCharType="separate"/>
      </w:r>
      <w:r w:rsidR="00D52E59" w:rsidRPr="00E236A9">
        <w:rPr>
          <w:rFonts w:ascii="Times New Roman" w:eastAsia="宋体" w:hAnsi="Times New Roman" w:cs="Times New Roman"/>
          <w:noProof/>
          <w:color w:val="000000" w:themeColor="text1"/>
          <w:sz w:val="18"/>
          <w:szCs w:val="18"/>
          <w:vertAlign w:val="superscript"/>
          <w14:ligatures w14:val="none"/>
        </w:rPr>
        <w:t>[1]</w:t>
      </w:r>
      <w:r w:rsidR="00D52E59" w:rsidRPr="00483493">
        <w:rPr>
          <w:rFonts w:ascii="Times New Roman" w:eastAsia="宋体" w:hAnsi="Times New Roman" w:cs="Times New Roman"/>
          <w:color w:val="000000" w:themeColor="text1"/>
          <w:sz w:val="18"/>
          <w:szCs w:val="18"/>
          <w14:ligatures w14:val="none"/>
        </w:rPr>
        <w:fldChar w:fldCharType="end"/>
      </w:r>
      <w:r w:rsidR="00D52E59" w:rsidRPr="00483493">
        <w:rPr>
          <w:rFonts w:ascii="Times New Roman" w:eastAsia="宋体" w:hAnsi="Times New Roman" w:cs="Times New Roman"/>
          <w:color w:val="000000" w:themeColor="text1"/>
          <w:sz w:val="18"/>
          <w:szCs w:val="18"/>
          <w14:ligatures w14:val="none"/>
        </w:rPr>
        <w:t xml:space="preserve"> </w:t>
      </w:r>
      <w:r w:rsidRPr="00766CA1">
        <w:rPr>
          <w:rFonts w:ascii="Times New Roman" w:hAnsi="Times New Roman" w:cs="Times New Roman"/>
          <w:sz w:val="20"/>
          <w:szCs w:val="20"/>
        </w:rPr>
        <w:t>(kg/m</w:t>
      </w:r>
      <w:r w:rsidRPr="00766CA1">
        <w:rPr>
          <w:rFonts w:ascii="Times New Roman" w:hAnsi="Times New Roman" w:cs="Times New Roman"/>
          <w:sz w:val="20"/>
          <w:szCs w:val="20"/>
          <w:vertAlign w:val="superscript"/>
        </w:rPr>
        <w:t>2</w:t>
      </w:r>
      <w:r w:rsidRPr="00766CA1">
        <w:rPr>
          <w:rFonts w:ascii="Times New Roman" w:hAnsi="Times New Roman" w:cs="Times New Roman"/>
          <w:sz w:val="20"/>
          <w:szCs w:val="20"/>
        </w:rPr>
        <w:t>)</w:t>
      </w:r>
      <w:r w:rsidRPr="00766CA1">
        <w:rPr>
          <w:rFonts w:ascii="Times New Roman" w:hAnsi="Times New Roman" w:cs="Times New Roman"/>
          <w:sz w:val="20"/>
          <w:szCs w:val="20"/>
        </w:rPr>
        <w:ptab w:relativeTo="margin" w:alignment="right" w:leader="dot"/>
      </w:r>
      <w:r w:rsidR="004C38F7" w:rsidRPr="00766CA1">
        <w:rPr>
          <w:rFonts w:ascii="Times New Roman" w:hAnsi="Times New Roman" w:cs="Times New Roman"/>
          <w:b/>
          <w:bCs/>
          <w:sz w:val="20"/>
          <w:szCs w:val="20"/>
        </w:rPr>
        <w:t>2</w:t>
      </w:r>
    </w:p>
    <w:p w14:paraId="74551E77" w14:textId="64B26734" w:rsidR="004C38F7" w:rsidRPr="00766CA1" w:rsidRDefault="004C38F7" w:rsidP="00365B90">
      <w:pPr>
        <w:spacing w:line="360" w:lineRule="auto"/>
        <w:rPr>
          <w:rFonts w:ascii="Times New Roman" w:hAnsi="Times New Roman" w:cs="Times New Roman"/>
          <w:b/>
          <w:bCs/>
          <w:sz w:val="20"/>
          <w:szCs w:val="20"/>
        </w:rPr>
      </w:pPr>
      <w:r w:rsidRPr="00766CA1">
        <w:rPr>
          <w:rFonts w:ascii="Times New Roman" w:eastAsia="宋体" w:hAnsi="Times New Roman" w:cs="Times New Roman"/>
          <w:b/>
          <w:bCs/>
          <w:sz w:val="20"/>
          <w:szCs w:val="20"/>
        </w:rPr>
        <w:t>Table S4</w:t>
      </w:r>
      <w:r w:rsidRPr="00766CA1">
        <w:rPr>
          <w:rFonts w:ascii="Times New Roman" w:eastAsia="宋体" w:hAnsi="Times New Roman" w:cs="Times New Roman"/>
          <w:sz w:val="20"/>
          <w:szCs w:val="20"/>
        </w:rPr>
        <w:t>.</w:t>
      </w:r>
      <w:r w:rsidRPr="00766CA1">
        <w:rPr>
          <w:rFonts w:ascii="Times New Roman" w:hAnsi="Times New Roman" w:cs="Times New Roman"/>
          <w:sz w:val="20"/>
          <w:szCs w:val="20"/>
        </w:rPr>
        <w:t xml:space="preserve"> Carbon emission factor for different construction materials (t/t</w:t>
      </w:r>
      <w:proofErr w:type="gramStart"/>
      <w:r w:rsidRPr="00766CA1">
        <w:rPr>
          <w:rFonts w:ascii="Times New Roman" w:hAnsi="Times New Roman" w:cs="Times New Roman"/>
          <w:sz w:val="20"/>
          <w:szCs w:val="20"/>
        </w:rPr>
        <w:t>)</w:t>
      </w:r>
      <w:proofErr w:type="gramEnd"/>
      <w:r w:rsidRPr="00766CA1">
        <w:rPr>
          <w:rFonts w:ascii="Times New Roman" w:hAnsi="Times New Roman" w:cs="Times New Roman"/>
          <w:sz w:val="20"/>
          <w:szCs w:val="20"/>
        </w:rPr>
        <w:ptab w:relativeTo="margin" w:alignment="right" w:leader="dot"/>
      </w:r>
      <w:r w:rsidRPr="00766CA1">
        <w:rPr>
          <w:rFonts w:ascii="Times New Roman" w:hAnsi="Times New Roman" w:cs="Times New Roman"/>
          <w:b/>
          <w:bCs/>
          <w:sz w:val="20"/>
          <w:szCs w:val="20"/>
        </w:rPr>
        <w:t>3</w:t>
      </w:r>
    </w:p>
    <w:p w14:paraId="36BF76A0" w14:textId="3B5CF6D7" w:rsidR="00E2731C" w:rsidRPr="00766CA1" w:rsidRDefault="004C38F7" w:rsidP="00365B90">
      <w:pPr>
        <w:spacing w:line="360" w:lineRule="auto"/>
        <w:rPr>
          <w:rFonts w:ascii="Times New Roman" w:hAnsi="Times New Roman" w:cs="Times New Roman"/>
          <w:b/>
          <w:bCs/>
          <w:sz w:val="20"/>
          <w:szCs w:val="20"/>
        </w:rPr>
      </w:pPr>
      <w:r w:rsidRPr="00766CA1">
        <w:rPr>
          <w:rFonts w:ascii="Times New Roman" w:hAnsi="Times New Roman" w:cs="Times New Roman"/>
          <w:b/>
          <w:sz w:val="20"/>
          <w:szCs w:val="20"/>
        </w:rPr>
        <w:t>Validation of building volume estimation</w:t>
      </w:r>
      <w:r w:rsidRPr="00766CA1">
        <w:rPr>
          <w:rFonts w:ascii="Times New Roman" w:hAnsi="Times New Roman" w:cs="Times New Roman"/>
          <w:sz w:val="20"/>
          <w:szCs w:val="20"/>
        </w:rPr>
        <w:ptab w:relativeTo="margin" w:alignment="right" w:leader="dot"/>
      </w:r>
      <w:r w:rsidRPr="00766CA1">
        <w:rPr>
          <w:rFonts w:ascii="Times New Roman" w:hAnsi="Times New Roman" w:cs="Times New Roman"/>
          <w:b/>
          <w:bCs/>
          <w:sz w:val="20"/>
          <w:szCs w:val="20"/>
        </w:rPr>
        <w:t>3</w:t>
      </w:r>
    </w:p>
    <w:p w14:paraId="176FA482" w14:textId="5C6E5CB9" w:rsidR="00E2731C" w:rsidRPr="00766CA1" w:rsidRDefault="004C38F7" w:rsidP="00365B90">
      <w:pPr>
        <w:pStyle w:val="10"/>
        <w:spacing w:line="360" w:lineRule="auto"/>
        <w:rPr>
          <w:b/>
          <w:bCs/>
          <w:szCs w:val="20"/>
        </w:rPr>
      </w:pPr>
      <w:r w:rsidRPr="00766CA1">
        <w:rPr>
          <w:b/>
          <w:bCs/>
          <w:szCs w:val="20"/>
        </w:rPr>
        <w:t>Application scenario</w:t>
      </w:r>
      <w:r w:rsidR="002D38CA" w:rsidRPr="00766CA1">
        <w:rPr>
          <w:b/>
          <w:bCs/>
          <w:szCs w:val="20"/>
        </w:rPr>
        <w:t>s</w:t>
      </w:r>
      <w:r w:rsidR="00E2731C" w:rsidRPr="00766CA1">
        <w:rPr>
          <w:szCs w:val="20"/>
        </w:rPr>
        <w:ptab w:relativeTo="margin" w:alignment="right" w:leader="dot"/>
      </w:r>
      <w:r w:rsidRPr="00766CA1">
        <w:rPr>
          <w:b/>
          <w:bCs/>
          <w:szCs w:val="20"/>
        </w:rPr>
        <w:t>3</w:t>
      </w:r>
    </w:p>
    <w:p w14:paraId="2C00454D" w14:textId="0D74F1DE" w:rsidR="00E2731C" w:rsidRPr="00766CA1" w:rsidRDefault="0095170B" w:rsidP="00E566FE">
      <w:pPr>
        <w:rPr>
          <w:rFonts w:ascii="Times New Roman" w:hAnsi="Times New Roman" w:cs="Times New Roman"/>
        </w:rPr>
      </w:pPr>
      <w:r w:rsidRPr="00766CA1">
        <w:rPr>
          <w:rFonts w:ascii="Times New Roman" w:eastAsia="宋体" w:hAnsi="Times New Roman" w:cs="Times New Roman"/>
          <w:b/>
          <w:bCs/>
          <w:color w:val="000000"/>
          <w:kern w:val="0"/>
          <w:sz w:val="20"/>
          <w:szCs w:val="20"/>
          <w:lang w:bidi="en-US"/>
          <w14:ligatures w14:val="none"/>
        </w:rPr>
        <w:t>References</w:t>
      </w:r>
      <w:r w:rsidRPr="00766CA1">
        <w:rPr>
          <w:rFonts w:ascii="Times New Roman" w:hAnsi="Times New Roman" w:cs="Times New Roman"/>
          <w:sz w:val="20"/>
          <w:szCs w:val="20"/>
        </w:rPr>
        <w:ptab w:relativeTo="margin" w:alignment="right" w:leader="dot"/>
      </w:r>
      <w:r w:rsidR="00142F52" w:rsidRPr="00766CA1">
        <w:rPr>
          <w:rFonts w:ascii="Times New Roman" w:hAnsi="Times New Roman" w:cs="Times New Roman"/>
          <w:b/>
          <w:bCs/>
          <w:sz w:val="20"/>
          <w:szCs w:val="20"/>
        </w:rPr>
        <w:t>9</w:t>
      </w:r>
    </w:p>
    <w:p w14:paraId="25A16118" w14:textId="77777777" w:rsidR="00231CC4" w:rsidRPr="00766CA1" w:rsidRDefault="00231CC4" w:rsidP="009C6DD3">
      <w:pPr>
        <w:spacing w:afterLines="50" w:after="156"/>
        <w:rPr>
          <w:rFonts w:ascii="Times New Roman" w:hAnsi="Times New Roman" w:cs="Times New Roman"/>
        </w:rPr>
      </w:pPr>
    </w:p>
    <w:p w14:paraId="5BBBE825" w14:textId="77777777" w:rsidR="00E2731C" w:rsidRPr="00766CA1" w:rsidRDefault="00E2731C">
      <w:pPr>
        <w:widowControl/>
        <w:jc w:val="left"/>
        <w:rPr>
          <w:rFonts w:ascii="Times New Roman" w:hAnsi="Times New Roman" w:cs="Times New Roman"/>
          <w:b/>
          <w:sz w:val="18"/>
          <w:szCs w:val="18"/>
        </w:rPr>
      </w:pPr>
      <w:r w:rsidRPr="00766CA1">
        <w:rPr>
          <w:rFonts w:ascii="Times New Roman" w:hAnsi="Times New Roman" w:cs="Times New Roman"/>
          <w:b/>
          <w:sz w:val="18"/>
          <w:szCs w:val="18"/>
        </w:rPr>
        <w:br w:type="page"/>
      </w:r>
    </w:p>
    <w:p w14:paraId="02F9B73B" w14:textId="77777777" w:rsidR="004C126D" w:rsidRPr="00766CA1" w:rsidRDefault="004C126D" w:rsidP="009C6DD3">
      <w:pPr>
        <w:spacing w:afterLines="50" w:after="156"/>
        <w:rPr>
          <w:rFonts w:ascii="Times New Roman" w:hAnsi="Times New Roman" w:cs="Times New Roman"/>
        </w:rPr>
      </w:pPr>
    </w:p>
    <w:p w14:paraId="4DE36CED" w14:textId="77777777" w:rsidR="00BB5032" w:rsidRPr="00766CA1" w:rsidRDefault="00BB5032" w:rsidP="009C6DD3">
      <w:pPr>
        <w:spacing w:afterLines="50" w:after="156"/>
        <w:rPr>
          <w:rFonts w:ascii="Times New Roman" w:hAnsi="Times New Roman" w:cs="Times New Roman"/>
          <w:b/>
          <w:bCs/>
        </w:rPr>
      </w:pPr>
      <w:r w:rsidRPr="00766CA1">
        <w:rPr>
          <w:rFonts w:ascii="Times New Roman" w:hAnsi="Times New Roman" w:cs="Times New Roman"/>
          <w:b/>
          <w:bCs/>
        </w:rPr>
        <w:t>Validation of building volume estimation</w:t>
      </w:r>
    </w:p>
    <w:p w14:paraId="28D69A8A" w14:textId="77777777" w:rsidR="00BB5032" w:rsidRPr="00766CA1" w:rsidRDefault="00BB5032" w:rsidP="009C6DD3">
      <w:pPr>
        <w:spacing w:afterLines="50" w:after="156"/>
        <w:rPr>
          <w:rFonts w:ascii="Times New Roman" w:hAnsi="Times New Roman" w:cs="Times New Roman"/>
        </w:rPr>
      </w:pPr>
      <w:r w:rsidRPr="00766CA1">
        <w:rPr>
          <w:rFonts w:ascii="Times New Roman" w:hAnsi="Times New Roman" w:cs="Times New Roman"/>
        </w:rPr>
        <w:t>We employed watershed method to divide the NTL data into several BUA cells, and further classified them into three cell clusters in GBA and YRD respectively, according to their different luminous value. Then, we combined building volume with luminous value to construct building volume estimation model in each urban agglomeration respectively. We selected 7 cities for model establishing and validation, where Shanghai, Suzhou, Wuxi and Nanjing were for YRD, and Guangzhou and Shenzhen were for GBA, for the NTL data from these cities exhibit robust intensity, and the density of BUA cells is notably concentrated, which render them ideal candidates for modeling and verification purposes. Fig.3 illustrated the validation results of GBA and YRD, where the results were highly aligned with the observed data by R2 of 0.71, 0.62 and 0.60 in GBA, and 0.82, 0.74 and 0.70 in YRD. Analysis reveals that the R² values for each cluster within the YRD and GBA are notably higher, suggesting superior modeling efficacy in these two urban agglomerations.</w:t>
      </w:r>
    </w:p>
    <w:p w14:paraId="03A87A4A" w14:textId="77777777" w:rsidR="00730005" w:rsidRPr="00766CA1" w:rsidRDefault="00730005" w:rsidP="009C6DD3">
      <w:pPr>
        <w:spacing w:afterLines="50" w:after="156"/>
        <w:rPr>
          <w:rFonts w:ascii="Times New Roman" w:hAnsi="Times New Roman" w:cs="Times New Roman"/>
        </w:rPr>
      </w:pPr>
    </w:p>
    <w:p w14:paraId="27778104" w14:textId="77777777" w:rsidR="00566B83" w:rsidRPr="00766CA1" w:rsidRDefault="00566B83" w:rsidP="00566B83">
      <w:pPr>
        <w:spacing w:afterLines="50" w:after="156"/>
        <w:jc w:val="center"/>
        <w:rPr>
          <w:rFonts w:ascii="Times New Roman" w:hAnsi="Times New Roman" w:cs="Times New Roman"/>
        </w:rPr>
      </w:pPr>
      <w:proofErr w:type="gramStart"/>
      <w:r w:rsidRPr="00766CA1">
        <w:rPr>
          <w:rFonts w:ascii="Times New Roman" w:hAnsi="Times New Roman" w:cs="Times New Roman"/>
        </w:rPr>
        <w:t>Fig.S1 Parameter validation of building volume estimation model in GBA and YRD.</w:t>
      </w:r>
      <w:proofErr w:type="gramEnd"/>
    </w:p>
    <w:p w14:paraId="1329037D" w14:textId="77777777" w:rsidR="00566B83" w:rsidRPr="00766CA1" w:rsidRDefault="00566B83" w:rsidP="009C6DD3">
      <w:pPr>
        <w:spacing w:afterLines="50" w:after="156"/>
        <w:rPr>
          <w:rFonts w:ascii="Times New Roman" w:hAnsi="Times New Roman" w:cs="Times New Roman"/>
        </w:rPr>
      </w:pPr>
    </w:p>
    <w:p w14:paraId="44FA1790" w14:textId="028680E3" w:rsidR="0014020B" w:rsidRPr="00766CA1" w:rsidRDefault="0014020B" w:rsidP="0014020B">
      <w:pPr>
        <w:spacing w:afterLines="50" w:after="156"/>
        <w:rPr>
          <w:rFonts w:ascii="Times New Roman" w:hAnsi="Times New Roman" w:cs="Times New Roman"/>
          <w:b/>
          <w:bCs/>
          <w:sz w:val="24"/>
          <w:szCs w:val="24"/>
        </w:rPr>
      </w:pPr>
      <w:r w:rsidRPr="00766CA1">
        <w:rPr>
          <w:rFonts w:ascii="Times New Roman" w:hAnsi="Times New Roman" w:cs="Times New Roman"/>
          <w:b/>
          <w:bCs/>
          <w:sz w:val="24"/>
          <w:szCs w:val="24"/>
        </w:rPr>
        <w:t>Application scenarios</w:t>
      </w:r>
    </w:p>
    <w:p w14:paraId="4966CE2C" w14:textId="77777777" w:rsidR="0014020B" w:rsidRPr="007D46D1" w:rsidRDefault="0014020B" w:rsidP="0014020B">
      <w:pPr>
        <w:spacing w:afterLines="50" w:after="156"/>
        <w:rPr>
          <w:rFonts w:ascii="Times New Roman" w:hAnsi="Times New Roman" w:cs="Times New Roman"/>
          <w:szCs w:val="21"/>
        </w:rPr>
      </w:pPr>
      <w:r w:rsidRPr="007D46D1">
        <w:rPr>
          <w:rFonts w:ascii="Times New Roman" w:hAnsi="Times New Roman" w:cs="Times New Roman"/>
          <w:szCs w:val="21"/>
        </w:rPr>
        <w:t>To demonstrate the utility of our dataset, we established five scenarios that highlight its potential applications in urban planning and resource management. Scenario 1-3 focuses on the detailed examination of urban forms, layout and development types, utilizing our dataset to assess how different material uses influence urban structural evolution and sustainability. Scenario 4-5 concentrate on resource management strategies for various construction materials, exploring efficient ways to integrate environmental sustainability into urban infrastructure projects.</w:t>
      </w:r>
    </w:p>
    <w:p w14:paraId="0800462E" w14:textId="77777777" w:rsidR="0014020B" w:rsidRPr="007D46D1" w:rsidRDefault="0014020B" w:rsidP="0014020B">
      <w:pPr>
        <w:spacing w:afterLines="50" w:after="156"/>
        <w:rPr>
          <w:rFonts w:ascii="Times New Roman" w:hAnsi="Times New Roman" w:cs="Times New Roman"/>
          <w:szCs w:val="21"/>
        </w:rPr>
      </w:pPr>
      <w:r w:rsidRPr="007D46D1">
        <w:rPr>
          <w:rFonts w:ascii="Times New Roman" w:hAnsi="Times New Roman" w:cs="Times New Roman"/>
          <w:szCs w:val="21"/>
        </w:rPr>
        <w:t xml:space="preserve">Scenario 1: Identifying urban forms based on material consumption and management policy </w:t>
      </w:r>
    </w:p>
    <w:p w14:paraId="0D90FE2C" w14:textId="2038929D" w:rsidR="0014020B" w:rsidRPr="007D46D1" w:rsidRDefault="0014020B" w:rsidP="0014020B">
      <w:pPr>
        <w:spacing w:afterLines="50" w:after="156"/>
        <w:rPr>
          <w:rFonts w:ascii="Times New Roman" w:hAnsi="Times New Roman" w:cs="Times New Roman"/>
          <w:szCs w:val="21"/>
        </w:rPr>
      </w:pPr>
      <w:r w:rsidRPr="007D46D1">
        <w:rPr>
          <w:rFonts w:ascii="Times New Roman" w:hAnsi="Times New Roman" w:cs="Times New Roman"/>
          <w:szCs w:val="21"/>
        </w:rPr>
        <w:t xml:space="preserve">This scenario explores the spatial differences in material consumption across various urban areas, such as central districts and suburban sub-centers characterized by high population densities (see Fig </w:t>
      </w:r>
      <w:r w:rsidR="0067362C" w:rsidRPr="007D46D1">
        <w:rPr>
          <w:rFonts w:ascii="Times New Roman" w:hAnsi="Times New Roman" w:cs="Times New Roman"/>
          <w:szCs w:val="21"/>
        </w:rPr>
        <w:t>S2</w:t>
      </w:r>
      <w:r w:rsidRPr="007D46D1">
        <w:rPr>
          <w:rFonts w:ascii="Times New Roman" w:hAnsi="Times New Roman" w:cs="Times New Roman"/>
          <w:szCs w:val="21"/>
        </w:rPr>
        <w:t>). By examining these variations, we can elucidate the relationships among material consumption, urban development, and economic activities within cities. Such insights assist decision-makers in understanding demographic and resource distributions, thereby informing more strategic urban planning and development.</w:t>
      </w:r>
    </w:p>
    <w:p w14:paraId="04A59644" w14:textId="4CA9F41B" w:rsidR="0014020B" w:rsidRPr="007D46D1" w:rsidRDefault="0014020B" w:rsidP="000D714D">
      <w:pPr>
        <w:rPr>
          <w:rFonts w:ascii="Times New Roman" w:hAnsi="Times New Roman" w:cs="Times New Roman"/>
        </w:rPr>
      </w:pPr>
    </w:p>
    <w:p w14:paraId="23D4D3DB" w14:textId="77777777" w:rsidR="00566B83" w:rsidRPr="007D46D1" w:rsidRDefault="00566B83" w:rsidP="00566B83">
      <w:pPr>
        <w:jc w:val="center"/>
        <w:rPr>
          <w:rFonts w:ascii="Times New Roman" w:hAnsi="Times New Roman" w:cs="Times New Roman"/>
        </w:rPr>
      </w:pPr>
      <w:r w:rsidRPr="007D46D1">
        <w:rPr>
          <w:rFonts w:ascii="Times New Roman" w:hAnsi="Times New Roman" w:cs="Times New Roman"/>
        </w:rPr>
        <w:t>Fig.S2 Characterizing Urban Forms Utilizing Building MS Data</w:t>
      </w:r>
    </w:p>
    <w:p w14:paraId="64016036" w14:textId="77777777" w:rsidR="00566B83" w:rsidRPr="007D46D1" w:rsidRDefault="00566B83" w:rsidP="000D714D">
      <w:pPr>
        <w:rPr>
          <w:rFonts w:ascii="Times New Roman" w:hAnsi="Times New Roman" w:cs="Times New Roman"/>
        </w:rPr>
      </w:pPr>
    </w:p>
    <w:p w14:paraId="0F0BF875" w14:textId="7562B19B" w:rsidR="0014020B" w:rsidRPr="007D46D1" w:rsidRDefault="0014020B" w:rsidP="0014020B">
      <w:pPr>
        <w:spacing w:afterLines="50" w:after="156"/>
        <w:rPr>
          <w:rFonts w:ascii="Times New Roman" w:hAnsi="Times New Roman" w:cs="Times New Roman"/>
          <w:szCs w:val="21"/>
        </w:rPr>
      </w:pPr>
      <w:r w:rsidRPr="007D46D1">
        <w:rPr>
          <w:rFonts w:ascii="Times New Roman" w:hAnsi="Times New Roman" w:cs="Times New Roman"/>
          <w:szCs w:val="21"/>
        </w:rPr>
        <w:t xml:space="preserve">To further illustrate how policies influence urban forms, we consider the following three policy types as example (Fig </w:t>
      </w:r>
      <w:r w:rsidR="0067362C" w:rsidRPr="007D46D1">
        <w:rPr>
          <w:rFonts w:ascii="Times New Roman" w:hAnsi="Times New Roman" w:cs="Times New Roman"/>
          <w:szCs w:val="21"/>
        </w:rPr>
        <w:t>S3</w:t>
      </w:r>
      <w:r w:rsidRPr="007D46D1">
        <w:rPr>
          <w:rFonts w:ascii="Times New Roman" w:hAnsi="Times New Roman" w:cs="Times New Roman"/>
          <w:szCs w:val="21"/>
        </w:rPr>
        <w:t>)</w:t>
      </w:r>
      <w:r w:rsidRPr="007D46D1">
        <w:rPr>
          <w:rFonts w:ascii="Times New Roman" w:hAnsi="Times New Roman" w:cs="Times New Roman"/>
          <w:szCs w:val="21"/>
        </w:rPr>
        <w:t>：</w:t>
      </w:r>
    </w:p>
    <w:p w14:paraId="59475268" w14:textId="77777777" w:rsidR="0014020B" w:rsidRPr="007D46D1" w:rsidRDefault="0014020B" w:rsidP="0014020B">
      <w:pPr>
        <w:spacing w:afterLines="50" w:after="156"/>
        <w:rPr>
          <w:rFonts w:ascii="Times New Roman" w:hAnsi="Times New Roman" w:cs="Times New Roman"/>
          <w:szCs w:val="21"/>
        </w:rPr>
      </w:pPr>
      <w:r w:rsidRPr="007D46D1">
        <w:rPr>
          <w:rFonts w:ascii="Times New Roman" w:hAnsi="Times New Roman" w:cs="Times New Roman"/>
          <w:szCs w:val="21"/>
        </w:rPr>
        <w:t>(1) Economic Integration Policy</w:t>
      </w:r>
    </w:p>
    <w:p w14:paraId="20313893" w14:textId="77777777" w:rsidR="0014020B" w:rsidRPr="007D46D1" w:rsidRDefault="0014020B" w:rsidP="0014020B">
      <w:pPr>
        <w:spacing w:afterLines="50" w:after="156"/>
        <w:rPr>
          <w:rFonts w:ascii="Times New Roman" w:hAnsi="Times New Roman" w:cs="Times New Roman"/>
          <w:szCs w:val="21"/>
        </w:rPr>
      </w:pPr>
      <w:r w:rsidRPr="007D46D1">
        <w:rPr>
          <w:rFonts w:ascii="Times New Roman" w:hAnsi="Times New Roman" w:cs="Times New Roman"/>
          <w:szCs w:val="21"/>
        </w:rPr>
        <w:t xml:space="preserve">This policy fosters the development of commercial and financial hubs in city cores while </w:t>
      </w:r>
      <w:r w:rsidRPr="007D46D1">
        <w:rPr>
          <w:rFonts w:ascii="Times New Roman" w:hAnsi="Times New Roman" w:cs="Times New Roman"/>
          <w:szCs w:val="21"/>
        </w:rPr>
        <w:lastRenderedPageBreak/>
        <w:t>transforming peripheral zones into industrial and logistics parks. Such strategic zoning contributes to concentrated economic activity and optimized land use.</w:t>
      </w:r>
    </w:p>
    <w:p w14:paraId="1B541C3F" w14:textId="77777777" w:rsidR="0014020B" w:rsidRPr="007D46D1" w:rsidRDefault="0014020B" w:rsidP="0014020B">
      <w:pPr>
        <w:spacing w:afterLines="50" w:after="156"/>
        <w:rPr>
          <w:rFonts w:ascii="Times New Roman" w:hAnsi="Times New Roman" w:cs="Times New Roman"/>
          <w:szCs w:val="21"/>
        </w:rPr>
      </w:pPr>
      <w:r w:rsidRPr="007D46D1">
        <w:rPr>
          <w:rFonts w:ascii="Times New Roman" w:hAnsi="Times New Roman" w:cs="Times New Roman"/>
          <w:szCs w:val="21"/>
        </w:rPr>
        <w:t>(2) Population Control Policy</w:t>
      </w:r>
    </w:p>
    <w:p w14:paraId="04CC6340" w14:textId="77777777" w:rsidR="0014020B" w:rsidRPr="007D46D1" w:rsidRDefault="0014020B" w:rsidP="0014020B">
      <w:pPr>
        <w:spacing w:afterLines="50" w:after="156"/>
        <w:rPr>
          <w:rFonts w:ascii="Times New Roman" w:hAnsi="Times New Roman" w:cs="Times New Roman"/>
          <w:szCs w:val="21"/>
        </w:rPr>
      </w:pPr>
      <w:r w:rsidRPr="007D46D1">
        <w:rPr>
          <w:rFonts w:ascii="Times New Roman" w:hAnsi="Times New Roman" w:cs="Times New Roman"/>
          <w:szCs w:val="21"/>
        </w:rPr>
        <w:t>This policy aims to constrain urban sprawl, promoting a more efficient allocation of urban spaces and increasing residential density. It encourages the development of satellite towns and adjacent settlements, effectively dispersing the population load from metropolitan centers.</w:t>
      </w:r>
    </w:p>
    <w:p w14:paraId="300830DE" w14:textId="77777777" w:rsidR="0014020B" w:rsidRPr="007D46D1" w:rsidRDefault="0014020B" w:rsidP="0014020B">
      <w:pPr>
        <w:spacing w:afterLines="50" w:after="156"/>
        <w:rPr>
          <w:rFonts w:ascii="Times New Roman" w:hAnsi="Times New Roman" w:cs="Times New Roman"/>
          <w:szCs w:val="21"/>
        </w:rPr>
      </w:pPr>
      <w:r w:rsidRPr="007D46D1">
        <w:rPr>
          <w:rFonts w:ascii="Times New Roman" w:hAnsi="Times New Roman" w:cs="Times New Roman"/>
          <w:szCs w:val="21"/>
        </w:rPr>
        <w:t>(3) Regional Coordination Development Strategy</w:t>
      </w:r>
    </w:p>
    <w:p w14:paraId="45478B57" w14:textId="77777777" w:rsidR="0014020B" w:rsidRPr="007D46D1" w:rsidRDefault="0014020B" w:rsidP="0014020B">
      <w:pPr>
        <w:spacing w:afterLines="50" w:after="156"/>
        <w:rPr>
          <w:rFonts w:ascii="Times New Roman" w:hAnsi="Times New Roman" w:cs="Times New Roman"/>
          <w:szCs w:val="21"/>
        </w:rPr>
      </w:pPr>
      <w:r w:rsidRPr="007D46D1">
        <w:rPr>
          <w:rFonts w:ascii="Times New Roman" w:hAnsi="Times New Roman" w:cs="Times New Roman"/>
          <w:szCs w:val="21"/>
        </w:rPr>
        <w:t>This strategy uses policy incentives to direct resources towards slower-growing cities, promoting balanced regional development. It aims to stimulate rapid development in targeted areas, creating new economic hubs.</w:t>
      </w:r>
    </w:p>
    <w:p w14:paraId="64B96883" w14:textId="77777777" w:rsidR="0014020B" w:rsidRPr="007D46D1" w:rsidRDefault="0014020B" w:rsidP="0014020B">
      <w:pPr>
        <w:spacing w:afterLines="50" w:after="156"/>
        <w:rPr>
          <w:rFonts w:ascii="Times New Roman" w:hAnsi="Times New Roman" w:cs="Times New Roman"/>
        </w:rPr>
      </w:pPr>
    </w:p>
    <w:p w14:paraId="55F1C15F" w14:textId="77777777" w:rsidR="00566B83" w:rsidRPr="007D46D1" w:rsidRDefault="00566B83" w:rsidP="00566B83">
      <w:pPr>
        <w:jc w:val="center"/>
        <w:rPr>
          <w:rFonts w:ascii="Times New Roman" w:hAnsi="Times New Roman" w:cs="Times New Roman"/>
          <w:sz w:val="24"/>
        </w:rPr>
      </w:pPr>
      <w:r w:rsidRPr="007D46D1">
        <w:rPr>
          <w:rFonts w:ascii="Times New Roman" w:hAnsi="Times New Roman" w:cs="Times New Roman"/>
        </w:rPr>
        <w:t>Fig.S3 Framework for Regional Coordination Development Strategy</w:t>
      </w:r>
    </w:p>
    <w:p w14:paraId="6EA89F3C" w14:textId="77777777" w:rsidR="00566B83" w:rsidRPr="007D46D1" w:rsidRDefault="00566B83" w:rsidP="0014020B">
      <w:pPr>
        <w:spacing w:afterLines="50" w:after="156"/>
        <w:rPr>
          <w:rFonts w:ascii="Times New Roman" w:hAnsi="Times New Roman" w:cs="Times New Roman"/>
        </w:rPr>
      </w:pPr>
    </w:p>
    <w:p w14:paraId="426DB0A8" w14:textId="77777777" w:rsidR="0014020B" w:rsidRPr="007D46D1" w:rsidRDefault="0014020B" w:rsidP="0014020B">
      <w:pPr>
        <w:spacing w:afterLines="50" w:after="156"/>
        <w:rPr>
          <w:rFonts w:ascii="Times New Roman" w:hAnsi="Times New Roman" w:cs="Times New Roman"/>
        </w:rPr>
      </w:pPr>
      <w:r w:rsidRPr="007D46D1">
        <w:rPr>
          <w:rFonts w:ascii="Times New Roman" w:hAnsi="Times New Roman" w:cs="Times New Roman"/>
          <w:szCs w:val="21"/>
        </w:rPr>
        <w:t>Scenario 2: Recognition of urban layout with MS panel data</w:t>
      </w:r>
    </w:p>
    <w:p w14:paraId="051EFBF8" w14:textId="49981A8D" w:rsidR="0014020B" w:rsidRPr="007D46D1" w:rsidRDefault="0014020B" w:rsidP="0014020B">
      <w:pPr>
        <w:spacing w:afterLines="50" w:after="156"/>
        <w:rPr>
          <w:rFonts w:ascii="Times New Roman" w:eastAsia="等线" w:hAnsi="Times New Roman" w:cs="Times New Roman"/>
        </w:rPr>
      </w:pPr>
      <w:r w:rsidRPr="007D46D1">
        <w:rPr>
          <w:rFonts w:ascii="Times New Roman" w:eastAsia="等线" w:hAnsi="Times New Roman" w:cs="Times New Roman"/>
        </w:rPr>
        <w:t xml:space="preserve">This scenario applies local spatial autocorrelation analysis to 20 years of MS data, uncovering the dynamics of MS hotspots within a specified region (see Fig </w:t>
      </w:r>
      <w:r w:rsidR="0067362C" w:rsidRPr="007D46D1">
        <w:rPr>
          <w:rFonts w:ascii="Times New Roman" w:eastAsia="等线" w:hAnsi="Times New Roman" w:cs="Times New Roman"/>
        </w:rPr>
        <w:t>S4</w:t>
      </w:r>
      <w:r w:rsidRPr="007D46D1">
        <w:rPr>
          <w:rFonts w:ascii="Times New Roman" w:eastAsia="等线" w:hAnsi="Times New Roman" w:cs="Times New Roman"/>
        </w:rPr>
        <w:t>). This analysis helps pinpoint crucial zones for resource allocation, population dispersion, and environmental impact within urban regions, deepening our comprehension of the city's overarching layout and offering valuable reference for urban planners to devise urban development strategies.</w:t>
      </w:r>
    </w:p>
    <w:p w14:paraId="7E0E0B2A" w14:textId="77777777" w:rsidR="0014020B" w:rsidRPr="007D46D1" w:rsidRDefault="0014020B" w:rsidP="0014020B">
      <w:pPr>
        <w:rPr>
          <w:rFonts w:ascii="Times New Roman" w:eastAsia="等线" w:hAnsi="Times New Roman" w:cs="Times New Roman"/>
        </w:rPr>
      </w:pPr>
    </w:p>
    <w:p w14:paraId="062B919E" w14:textId="77777777" w:rsidR="00566B83" w:rsidRPr="007D46D1" w:rsidRDefault="00566B83" w:rsidP="00566B83">
      <w:pPr>
        <w:jc w:val="center"/>
        <w:rPr>
          <w:rFonts w:ascii="Times New Roman" w:eastAsia="等线" w:hAnsi="Times New Roman" w:cs="Times New Roman"/>
          <w:sz w:val="18"/>
        </w:rPr>
      </w:pPr>
      <w:proofErr w:type="gramStart"/>
      <w:r w:rsidRPr="007D46D1">
        <w:rPr>
          <w:rFonts w:ascii="Times New Roman" w:eastAsia="等线" w:hAnsi="Times New Roman" w:cs="Times New Roman"/>
        </w:rPr>
        <w:t>Fig.S4 Spatial-Temporal Dynamics of Material Stock Hotspots in the GBA (2000-2020) at Five-Year Intervals.</w:t>
      </w:r>
      <w:proofErr w:type="gramEnd"/>
    </w:p>
    <w:p w14:paraId="72822753" w14:textId="77777777" w:rsidR="00566B83" w:rsidRPr="007D46D1" w:rsidRDefault="00566B83" w:rsidP="0014020B">
      <w:pPr>
        <w:rPr>
          <w:rFonts w:ascii="Times New Roman" w:eastAsia="等线" w:hAnsi="Times New Roman" w:cs="Times New Roman"/>
        </w:rPr>
      </w:pPr>
    </w:p>
    <w:p w14:paraId="7BCF3E65" w14:textId="77777777" w:rsidR="0014020B" w:rsidRPr="007D46D1" w:rsidRDefault="0014020B" w:rsidP="0014020B">
      <w:pPr>
        <w:widowControl/>
        <w:adjustRightInd w:val="0"/>
        <w:snapToGrid w:val="0"/>
        <w:spacing w:before="240" w:after="120" w:line="360" w:lineRule="auto"/>
        <w:outlineLvl w:val="2"/>
        <w:rPr>
          <w:rFonts w:ascii="Times New Roman" w:eastAsia="等线" w:hAnsi="Times New Roman" w:cs="Times New Roman"/>
          <w:snapToGrid w:val="0"/>
          <w:color w:val="000000"/>
          <w:szCs w:val="21"/>
          <w:lang w:eastAsia="de-DE" w:bidi="en-US"/>
        </w:rPr>
      </w:pPr>
      <w:r w:rsidRPr="007D46D1">
        <w:rPr>
          <w:rFonts w:ascii="Times New Roman" w:eastAsia="等线" w:hAnsi="Times New Roman" w:cs="Times New Roman"/>
          <w:snapToGrid w:val="0"/>
          <w:color w:val="000000"/>
          <w:szCs w:val="21"/>
          <w:lang w:bidi="en-US"/>
        </w:rPr>
        <w:t xml:space="preserve">Scenario 3: </w:t>
      </w:r>
      <w:r w:rsidRPr="007D46D1">
        <w:rPr>
          <w:rFonts w:ascii="Times New Roman" w:eastAsia="等线" w:hAnsi="Times New Roman" w:cs="Times New Roman"/>
          <w:snapToGrid w:val="0"/>
          <w:color w:val="000000"/>
          <w:szCs w:val="21"/>
          <w:lang w:eastAsia="de-DE" w:bidi="en-US"/>
        </w:rPr>
        <w:t>Matching of material stock evolution</w:t>
      </w:r>
    </w:p>
    <w:p w14:paraId="5899975C" w14:textId="68BE96D2" w:rsidR="0014020B" w:rsidRPr="007D46D1" w:rsidRDefault="0014020B" w:rsidP="0014020B">
      <w:pPr>
        <w:rPr>
          <w:rFonts w:ascii="Times New Roman" w:eastAsia="等线" w:hAnsi="Times New Roman" w:cs="Times New Roman"/>
        </w:rPr>
      </w:pPr>
      <w:r w:rsidRPr="007D46D1">
        <w:rPr>
          <w:rFonts w:ascii="Times New Roman" w:eastAsia="等线" w:hAnsi="Times New Roman" w:cs="Times New Roman"/>
          <w:snapToGrid w:val="0"/>
          <w:color w:val="000000"/>
          <w:szCs w:val="21"/>
          <w:lang w:bidi="en-US"/>
        </w:rPr>
        <w:t>Local spatial autocorrelation, this scenario investigates the heterogeneity in the MS of cities within the GBA over the past two decades, influenced by varying economic development pattern and urban land use planning. By utilizing Min-Max normalization, we delineate distinct trends in MS, ECE, total GDP, and per capita GDP</w:t>
      </w:r>
      <w:r w:rsidRPr="007D46D1">
        <w:rPr>
          <w:rFonts w:ascii="Times New Roman" w:eastAsia="等线" w:hAnsi="Times New Roman" w:cs="Times New Roman"/>
          <w:szCs w:val="21"/>
        </w:rPr>
        <w:t xml:space="preserve">, depicted in Figure </w:t>
      </w:r>
      <w:r w:rsidR="0067362C" w:rsidRPr="007D46D1">
        <w:rPr>
          <w:rFonts w:ascii="Times New Roman" w:eastAsia="等线" w:hAnsi="Times New Roman" w:cs="Times New Roman"/>
          <w:szCs w:val="21"/>
        </w:rPr>
        <w:t>S5</w:t>
      </w:r>
      <w:r w:rsidRPr="007D46D1">
        <w:rPr>
          <w:rFonts w:ascii="Times New Roman" w:eastAsia="等线" w:hAnsi="Times New Roman" w:cs="Times New Roman"/>
          <w:szCs w:val="21"/>
        </w:rPr>
        <w:t xml:space="preserve">. Most cities exhibit a synchronous growth pattern between </w:t>
      </w:r>
      <w:r w:rsidRPr="007D46D1">
        <w:rPr>
          <w:rFonts w:ascii="Times New Roman" w:eastAsia="等线" w:hAnsi="Times New Roman" w:cs="Times New Roman"/>
        </w:rPr>
        <w:t xml:space="preserve">material stock and economic volume, which could be categorized into three developmental stages: </w:t>
      </w:r>
    </w:p>
    <w:p w14:paraId="17508934" w14:textId="77777777" w:rsidR="0014020B" w:rsidRPr="007D46D1" w:rsidRDefault="0014020B" w:rsidP="0014020B">
      <w:pPr>
        <w:rPr>
          <w:rFonts w:ascii="Times New Roman" w:eastAsia="等线" w:hAnsi="Times New Roman" w:cs="Times New Roman"/>
        </w:rPr>
      </w:pPr>
      <w:r w:rsidRPr="007D46D1">
        <w:rPr>
          <w:rFonts w:ascii="Times New Roman" w:eastAsia="等线" w:hAnsi="Times New Roman" w:cs="Times New Roman"/>
        </w:rPr>
        <w:t>(1) Mature and Stable Stage (Stage I):</w:t>
      </w:r>
      <w:r w:rsidRPr="007D46D1">
        <w:rPr>
          <w:rFonts w:ascii="Times New Roman" w:hAnsi="Times New Roman" w:cs="Times New Roman"/>
        </w:rPr>
        <w:t xml:space="preserve"> </w:t>
      </w:r>
      <w:r w:rsidRPr="007D46D1">
        <w:rPr>
          <w:rFonts w:ascii="Times New Roman" w:eastAsia="等线" w:hAnsi="Times New Roman" w:cs="Times New Roman"/>
        </w:rPr>
        <w:t xml:space="preserve">Characterized by equilibrium between growth rates of MS and economic output; </w:t>
      </w:r>
    </w:p>
    <w:p w14:paraId="07AC4F22" w14:textId="77777777" w:rsidR="0014020B" w:rsidRPr="007D46D1" w:rsidRDefault="0014020B" w:rsidP="0014020B">
      <w:pPr>
        <w:rPr>
          <w:rFonts w:ascii="Times New Roman" w:eastAsia="等线" w:hAnsi="Times New Roman" w:cs="Times New Roman"/>
        </w:rPr>
      </w:pPr>
      <w:r w:rsidRPr="007D46D1">
        <w:rPr>
          <w:rFonts w:ascii="Times New Roman" w:eastAsia="等线" w:hAnsi="Times New Roman" w:cs="Times New Roman"/>
        </w:rPr>
        <w:t>(2) Rapid Development Stage (Stage II):</w:t>
      </w:r>
      <w:r w:rsidRPr="007D46D1">
        <w:rPr>
          <w:rFonts w:ascii="Times New Roman" w:hAnsi="Times New Roman" w:cs="Times New Roman"/>
        </w:rPr>
        <w:t xml:space="preserve"> </w:t>
      </w:r>
      <w:r w:rsidRPr="007D46D1">
        <w:rPr>
          <w:rFonts w:ascii="Times New Roman" w:eastAsia="等线" w:hAnsi="Times New Roman" w:cs="Times New Roman"/>
        </w:rPr>
        <w:t>Marked by accelerated growth in both MS and economic metrics;</w:t>
      </w:r>
    </w:p>
    <w:p w14:paraId="78648A83" w14:textId="77777777" w:rsidR="0014020B" w:rsidRPr="007D46D1" w:rsidRDefault="0014020B" w:rsidP="0014020B">
      <w:pPr>
        <w:rPr>
          <w:rFonts w:ascii="Times New Roman" w:eastAsia="等线" w:hAnsi="Times New Roman" w:cs="Times New Roman"/>
          <w:szCs w:val="21"/>
        </w:rPr>
      </w:pPr>
      <w:r w:rsidRPr="007D46D1">
        <w:rPr>
          <w:rFonts w:ascii="Times New Roman" w:eastAsia="等线" w:hAnsi="Times New Roman" w:cs="Times New Roman"/>
        </w:rPr>
        <w:t>(3) Slow Development Stage (Stage III):</w:t>
      </w:r>
      <w:r w:rsidRPr="007D46D1">
        <w:rPr>
          <w:rFonts w:ascii="Times New Roman" w:hAnsi="Times New Roman" w:cs="Times New Roman"/>
        </w:rPr>
        <w:t xml:space="preserve"> </w:t>
      </w:r>
      <w:r w:rsidRPr="007D46D1">
        <w:rPr>
          <w:rFonts w:ascii="Times New Roman" w:eastAsia="等线" w:hAnsi="Times New Roman" w:cs="Times New Roman"/>
        </w:rPr>
        <w:t>Where the growth of MS and economic indicators decelerates.</w:t>
      </w:r>
    </w:p>
    <w:p w14:paraId="4422C883" w14:textId="77777777" w:rsidR="0014020B" w:rsidRPr="007D46D1" w:rsidRDefault="0014020B" w:rsidP="0014020B">
      <w:pPr>
        <w:rPr>
          <w:rFonts w:ascii="Times New Roman" w:eastAsia="等线" w:hAnsi="Times New Roman" w:cs="Times New Roman"/>
        </w:rPr>
      </w:pPr>
    </w:p>
    <w:p w14:paraId="17ED0BE9" w14:textId="77777777" w:rsidR="00566B83" w:rsidRPr="007D46D1" w:rsidRDefault="00566B83" w:rsidP="00566B83">
      <w:pPr>
        <w:jc w:val="center"/>
        <w:rPr>
          <w:rFonts w:ascii="Times New Roman" w:eastAsia="等线" w:hAnsi="Times New Roman" w:cs="Times New Roman"/>
        </w:rPr>
      </w:pPr>
      <w:bookmarkStart w:id="0" w:name="_Hlk192591520"/>
      <w:r w:rsidRPr="007D46D1">
        <w:rPr>
          <w:rFonts w:ascii="Times New Roman" w:eastAsia="等线" w:hAnsi="Times New Roman" w:cs="Times New Roman"/>
          <w:snapToGrid w:val="0"/>
          <w:color w:val="000000"/>
          <w:lang w:bidi="en-US"/>
        </w:rPr>
        <w:t>Fig.S5 Evolution of Key Economic and Environmental Metrics in GBA Cities</w:t>
      </w:r>
      <w:r w:rsidRPr="007D46D1">
        <w:rPr>
          <w:rFonts w:ascii="Times New Roman" w:hAnsi="Times New Roman" w:cs="Times New Roman"/>
        </w:rPr>
        <w:t xml:space="preserve"> (2000-2020).</w:t>
      </w:r>
    </w:p>
    <w:bookmarkEnd w:id="0"/>
    <w:p w14:paraId="0FE9D069" w14:textId="77777777" w:rsidR="00566B83" w:rsidRPr="007D46D1" w:rsidRDefault="00566B83" w:rsidP="0014020B">
      <w:pPr>
        <w:rPr>
          <w:rFonts w:ascii="Times New Roman" w:eastAsia="等线" w:hAnsi="Times New Roman" w:cs="Times New Roman"/>
        </w:rPr>
      </w:pPr>
    </w:p>
    <w:p w14:paraId="6978C30B" w14:textId="77777777" w:rsidR="0014020B" w:rsidRPr="007D46D1" w:rsidRDefault="0014020B" w:rsidP="0014020B">
      <w:pPr>
        <w:spacing w:afterLines="50" w:after="156"/>
        <w:rPr>
          <w:rFonts w:ascii="Times New Roman" w:hAnsi="Times New Roman" w:cs="Times New Roman"/>
          <w:szCs w:val="21"/>
        </w:rPr>
      </w:pPr>
      <w:r w:rsidRPr="007D46D1">
        <w:rPr>
          <w:rFonts w:ascii="Times New Roman" w:hAnsi="Times New Roman" w:cs="Times New Roman"/>
          <w:szCs w:val="21"/>
        </w:rPr>
        <w:lastRenderedPageBreak/>
        <w:t>Scenario 4: Regulatory framework of ECE</w:t>
      </w:r>
    </w:p>
    <w:p w14:paraId="58DF60CD" w14:textId="6DEECB58" w:rsidR="0014020B" w:rsidRPr="007D46D1" w:rsidRDefault="0014020B" w:rsidP="0014020B">
      <w:pPr>
        <w:spacing w:afterLines="50" w:after="156"/>
        <w:rPr>
          <w:rFonts w:ascii="Times New Roman" w:hAnsi="Times New Roman" w:cs="Times New Roman"/>
          <w:szCs w:val="21"/>
        </w:rPr>
      </w:pPr>
      <w:r w:rsidRPr="007D46D1">
        <w:rPr>
          <w:rFonts w:ascii="Times New Roman" w:hAnsi="Times New Roman" w:cs="Times New Roman"/>
          <w:szCs w:val="21"/>
        </w:rPr>
        <w:t xml:space="preserve">The Hong Kong Green Building Council (HKGBC) has delineated various stages of the building lifecycle to assess and regulate ECE, as illustrated in Figures </w:t>
      </w:r>
      <w:r w:rsidR="0067362C" w:rsidRPr="007D46D1">
        <w:rPr>
          <w:rFonts w:ascii="Times New Roman" w:hAnsi="Times New Roman" w:cs="Times New Roman"/>
          <w:szCs w:val="21"/>
        </w:rPr>
        <w:t>S6</w:t>
      </w:r>
      <w:r w:rsidRPr="007D46D1">
        <w:rPr>
          <w:rFonts w:ascii="Times New Roman" w:hAnsi="Times New Roman" w:cs="Times New Roman"/>
          <w:szCs w:val="21"/>
        </w:rPr>
        <w:t xml:space="preserve"> and </w:t>
      </w:r>
      <w:r w:rsidR="00370904" w:rsidRPr="007D46D1">
        <w:rPr>
          <w:rFonts w:ascii="Times New Roman" w:hAnsi="Times New Roman" w:cs="Times New Roman"/>
          <w:szCs w:val="21"/>
        </w:rPr>
        <w:t>S7</w:t>
      </w:r>
      <w:r w:rsidRPr="007D46D1">
        <w:rPr>
          <w:rFonts w:ascii="Times New Roman" w:hAnsi="Times New Roman" w:cs="Times New Roman"/>
          <w:szCs w:val="21"/>
        </w:rPr>
        <w:t xml:space="preserve">. The first stage begins with the </w:t>
      </w:r>
      <w:r w:rsidRPr="007D46D1">
        <w:rPr>
          <w:rFonts w:ascii="Times New Roman" w:hAnsi="Times New Roman" w:cs="Times New Roman"/>
          <w:b/>
          <w:bCs/>
          <w:szCs w:val="21"/>
        </w:rPr>
        <w:t>Product Stage</w:t>
      </w:r>
      <w:r w:rsidRPr="007D46D1">
        <w:rPr>
          <w:rFonts w:ascii="Times New Roman" w:hAnsi="Times New Roman" w:cs="Times New Roman"/>
          <w:szCs w:val="21"/>
        </w:rPr>
        <w:t xml:space="preserve">, involving the production and manufacturing of materials such as steel, sand, gravel, bricks, and cement. This is followed by the </w:t>
      </w:r>
      <w:r w:rsidRPr="007D46D1">
        <w:rPr>
          <w:rFonts w:ascii="Times New Roman" w:hAnsi="Times New Roman" w:cs="Times New Roman"/>
          <w:b/>
          <w:bCs/>
          <w:szCs w:val="21"/>
        </w:rPr>
        <w:t>Procure Stage</w:t>
      </w:r>
      <w:r w:rsidRPr="007D46D1">
        <w:rPr>
          <w:rFonts w:ascii="Times New Roman" w:hAnsi="Times New Roman" w:cs="Times New Roman"/>
          <w:szCs w:val="21"/>
        </w:rPr>
        <w:t xml:space="preserve">, which encompasses the transportation of materials to construction sites and the actual construction processes. The </w:t>
      </w:r>
      <w:r w:rsidRPr="007D46D1">
        <w:rPr>
          <w:rFonts w:ascii="Times New Roman" w:hAnsi="Times New Roman" w:cs="Times New Roman"/>
          <w:b/>
          <w:bCs/>
          <w:szCs w:val="21"/>
        </w:rPr>
        <w:t>In-use Stage</w:t>
      </w:r>
      <w:r w:rsidRPr="007D46D1">
        <w:rPr>
          <w:rFonts w:ascii="Times New Roman" w:hAnsi="Times New Roman" w:cs="Times New Roman"/>
          <w:szCs w:val="21"/>
        </w:rPr>
        <w:t xml:space="preserve"> covers the operational phase of buildings, and the </w:t>
      </w:r>
      <w:r w:rsidRPr="007D46D1">
        <w:rPr>
          <w:rFonts w:ascii="Times New Roman" w:hAnsi="Times New Roman" w:cs="Times New Roman"/>
          <w:b/>
          <w:bCs/>
          <w:szCs w:val="21"/>
        </w:rPr>
        <w:t>End-of-life Stage</w:t>
      </w:r>
      <w:r w:rsidRPr="007D46D1">
        <w:rPr>
          <w:rFonts w:ascii="Times New Roman" w:hAnsi="Times New Roman" w:cs="Times New Roman"/>
          <w:szCs w:val="21"/>
        </w:rPr>
        <w:t xml:space="preserve"> includes deconstruction or dismantling of buildings and the management of construction waste. Additionally, the </w:t>
      </w:r>
      <w:r w:rsidRPr="007D46D1">
        <w:rPr>
          <w:rFonts w:ascii="Times New Roman" w:hAnsi="Times New Roman" w:cs="Times New Roman"/>
          <w:b/>
          <w:bCs/>
          <w:szCs w:val="21"/>
        </w:rPr>
        <w:t>Reuse, Recycling, and Recovery Stage</w:t>
      </w:r>
      <w:r w:rsidRPr="007D46D1">
        <w:rPr>
          <w:rFonts w:ascii="Times New Roman" w:hAnsi="Times New Roman" w:cs="Times New Roman"/>
          <w:szCs w:val="21"/>
        </w:rPr>
        <w:t xml:space="preserve"> focuses on the sustainable management of waste generated during demolition. Analyzing the carbon footprint across these stages enables the industry to implement sustainable policies to mitigate the environmental impacts of construction.</w:t>
      </w:r>
    </w:p>
    <w:p w14:paraId="207943AE" w14:textId="1735DA32" w:rsidR="0014020B" w:rsidRPr="007D46D1" w:rsidRDefault="0014020B" w:rsidP="000D714D">
      <w:pPr>
        <w:rPr>
          <w:rFonts w:ascii="Times New Roman" w:hAnsi="Times New Roman" w:cs="Times New Roman"/>
        </w:rPr>
      </w:pPr>
    </w:p>
    <w:p w14:paraId="3672D309" w14:textId="77777777" w:rsidR="00566B83" w:rsidRPr="007D46D1" w:rsidRDefault="00566B83" w:rsidP="00566B83">
      <w:pPr>
        <w:jc w:val="center"/>
        <w:rPr>
          <w:rFonts w:ascii="Times New Roman" w:hAnsi="Times New Roman" w:cs="Times New Roman"/>
        </w:rPr>
      </w:pPr>
      <w:r w:rsidRPr="007D46D1">
        <w:rPr>
          <w:rFonts w:ascii="Times New Roman" w:hAnsi="Times New Roman" w:cs="Times New Roman"/>
        </w:rPr>
        <w:t>Fig.S6 Regulatory Framework for Managing Embodied Carbon Emissions (ECE)</w:t>
      </w:r>
    </w:p>
    <w:p w14:paraId="0F5E79C9" w14:textId="77777777" w:rsidR="00566B83" w:rsidRPr="007D46D1" w:rsidRDefault="00566B83" w:rsidP="000D714D">
      <w:pPr>
        <w:rPr>
          <w:rFonts w:ascii="Times New Roman" w:hAnsi="Times New Roman" w:cs="Times New Roman"/>
        </w:rPr>
      </w:pPr>
    </w:p>
    <w:p w14:paraId="6FDB9861" w14:textId="77777777" w:rsidR="00566B83" w:rsidRPr="007D46D1" w:rsidRDefault="00566B83" w:rsidP="00566B83">
      <w:pPr>
        <w:jc w:val="center"/>
        <w:rPr>
          <w:rFonts w:ascii="Times New Roman" w:hAnsi="Times New Roman" w:cs="Times New Roman"/>
        </w:rPr>
      </w:pPr>
      <w:r w:rsidRPr="007D46D1">
        <w:rPr>
          <w:rFonts w:ascii="Times New Roman" w:hAnsi="Times New Roman" w:cs="Times New Roman"/>
        </w:rPr>
        <w:t>Fig.S7 Lifecycle Stages and the Flow of Construction Materials</w:t>
      </w:r>
    </w:p>
    <w:p w14:paraId="7C58A5BF" w14:textId="77777777" w:rsidR="00566B83" w:rsidRPr="007D46D1" w:rsidRDefault="00566B83" w:rsidP="000D714D">
      <w:pPr>
        <w:rPr>
          <w:rFonts w:ascii="Times New Roman" w:hAnsi="Times New Roman" w:cs="Times New Roman"/>
        </w:rPr>
      </w:pPr>
    </w:p>
    <w:p w14:paraId="066E5420" w14:textId="77777777" w:rsidR="0014020B" w:rsidRPr="007D46D1" w:rsidRDefault="0014020B" w:rsidP="0014020B">
      <w:pPr>
        <w:spacing w:afterLines="50" w:after="156"/>
        <w:rPr>
          <w:rFonts w:ascii="Times New Roman" w:hAnsi="Times New Roman" w:cs="Times New Roman"/>
          <w:szCs w:val="21"/>
        </w:rPr>
      </w:pPr>
      <w:bookmarkStart w:id="1" w:name="OLE_LINK1"/>
      <w:bookmarkStart w:id="2" w:name="OLE_LINK2"/>
      <w:r w:rsidRPr="007D46D1">
        <w:rPr>
          <w:rFonts w:ascii="Times New Roman" w:hAnsi="Times New Roman" w:cs="Times New Roman"/>
          <w:szCs w:val="21"/>
        </w:rPr>
        <w:t xml:space="preserve">Scenario 5: Resource management of urban waste </w:t>
      </w:r>
    </w:p>
    <w:p w14:paraId="519E0666" w14:textId="307591D0" w:rsidR="0014020B" w:rsidRPr="007D46D1" w:rsidRDefault="0014020B" w:rsidP="0014020B">
      <w:pPr>
        <w:spacing w:afterLines="50" w:after="156"/>
        <w:rPr>
          <w:rFonts w:ascii="Times New Roman" w:hAnsi="Times New Roman" w:cs="Times New Roman"/>
          <w:szCs w:val="21"/>
        </w:rPr>
      </w:pPr>
      <w:r w:rsidRPr="007D46D1">
        <w:rPr>
          <w:rFonts w:ascii="Times New Roman" w:hAnsi="Times New Roman" w:cs="Times New Roman"/>
          <w:szCs w:val="21"/>
        </w:rPr>
        <w:t xml:space="preserve">Utilizing the MS database detailed in this manuscript, we can conduct predictive analytics for construction waste, formulating strategic management recommendations and intervention strategies (see Fig </w:t>
      </w:r>
      <w:r w:rsidR="00370904" w:rsidRPr="007D46D1">
        <w:rPr>
          <w:rFonts w:ascii="Times New Roman" w:hAnsi="Times New Roman" w:cs="Times New Roman"/>
          <w:szCs w:val="21"/>
        </w:rPr>
        <w:t>S8</w:t>
      </w:r>
      <w:r w:rsidRPr="007D46D1">
        <w:rPr>
          <w:rFonts w:ascii="Times New Roman" w:hAnsi="Times New Roman" w:cs="Times New Roman"/>
          <w:szCs w:val="21"/>
        </w:rPr>
        <w:t>). By assessing building lifespan and age within the region, it becomes feasible to estimate the annual generation rate of construction waste</w:t>
      </w:r>
      <w:r w:rsidRPr="007D46D1">
        <w:rPr>
          <w:rFonts w:ascii="Times New Roman" w:hAnsi="Times New Roman" w:cs="Times New Roman"/>
        </w:rPr>
        <w:t xml:space="preserve">, </w:t>
      </w:r>
      <w:r w:rsidRPr="007D46D1">
        <w:rPr>
          <w:rFonts w:ascii="Times New Roman" w:hAnsi="Times New Roman" w:cs="Times New Roman"/>
          <w:szCs w:val="21"/>
        </w:rPr>
        <w:t>as detailed in our previous research</w:t>
      </w:r>
      <w:r w:rsidR="00DA5C0F" w:rsidRPr="007D46D1">
        <w:rPr>
          <w:rFonts w:ascii="Times New Roman" w:hAnsi="Times New Roman" w:cs="Times New Roman"/>
          <w:szCs w:val="21"/>
        </w:rPr>
        <w:t xml:space="preserve"> </w:t>
      </w:r>
      <w:r w:rsidR="00DA5C0F" w:rsidRPr="007D46D1">
        <w:rPr>
          <w:rFonts w:ascii="Times New Roman" w:hAnsi="Times New Roman" w:cs="Times New Roman"/>
          <w:szCs w:val="21"/>
        </w:rPr>
        <w:fldChar w:fldCharType="begin"/>
      </w:r>
      <w:r w:rsidR="00D52E59">
        <w:rPr>
          <w:rFonts w:ascii="Times New Roman" w:hAnsi="Times New Roman" w:cs="Times New Roman"/>
          <w:szCs w:val="21"/>
        </w:rPr>
        <w:instrText xml:space="preserve"> ADDIN EN.CITE &lt;EndNote&gt;&lt;Cite&gt;&lt;Author&gt;Liang&lt;/Author&gt;&lt;Year&gt;2024&lt;/Year&gt;&lt;RecNum&gt;445&lt;/RecNum&gt;&lt;DisplayText&gt;&lt;style face="superscript"&gt;[2]&lt;/style&gt;&lt;/DisplayText&gt;&lt;record&gt;&lt;rec-number&gt;445&lt;/rec-number&gt;&lt;foreign-keys&gt;&lt;key app="EN" db-id="p95ezat5bwz95we90v45axeewa9evxr5exx5" timestamp="1747376510"&gt;445&lt;/key&gt;&lt;/foreign-keys&gt;&lt;ref-type name="Journal Article"&gt;17&lt;/ref-type&gt;&lt;contributors&gt;&lt;authors&gt;&lt;author&gt;Liang, Hanwei&lt;/author&gt;&lt;author&gt;Liu, Hui&lt;/author&gt;&lt;author&gt;Bian, Xin&lt;/author&gt;&lt;author&gt;Wang, Yuxuan&lt;/author&gt;&lt;author&gt;Dong, Liang&lt;/author&gt;&lt;/authors&gt;&lt;/contributors&gt;&lt;titles&gt;&lt;title&gt;Supporting zero-waste building: A novel spatial explicit material flow analysis model for construction waste&lt;/title&gt;&lt;secondary-title&gt;Journal of Cleaner Production&lt;/secondary-title&gt;&lt;/titles&gt;&lt;periodical&gt;&lt;full-title&gt;Journal of cleaner production&lt;/full-title&gt;&lt;/periodical&gt;&lt;pages&gt;142369&lt;/pages&gt;&lt;volume&gt;456&lt;/volume&gt;&lt;dates&gt;&lt;year&gt;2024&lt;/year&gt;&lt;/dates&gt;&lt;isbn&gt;0959-6526&lt;/isbn&gt;&lt;urls&gt;&lt;/urls&gt;&lt;/record&gt;&lt;/Cite&gt;&lt;/EndNote&gt;</w:instrText>
      </w:r>
      <w:r w:rsidR="00DA5C0F" w:rsidRPr="007D46D1">
        <w:rPr>
          <w:rFonts w:ascii="Times New Roman" w:hAnsi="Times New Roman" w:cs="Times New Roman"/>
          <w:szCs w:val="21"/>
        </w:rPr>
        <w:fldChar w:fldCharType="separate"/>
      </w:r>
      <w:r w:rsidR="00D52E59" w:rsidRPr="00D52E59">
        <w:rPr>
          <w:rFonts w:ascii="Times New Roman" w:hAnsi="Times New Roman" w:cs="Times New Roman"/>
          <w:noProof/>
          <w:szCs w:val="21"/>
          <w:vertAlign w:val="superscript"/>
        </w:rPr>
        <w:t>[2]</w:t>
      </w:r>
      <w:r w:rsidR="00DA5C0F" w:rsidRPr="007D46D1">
        <w:rPr>
          <w:rFonts w:ascii="Times New Roman" w:hAnsi="Times New Roman" w:cs="Times New Roman"/>
          <w:szCs w:val="21"/>
        </w:rPr>
        <w:fldChar w:fldCharType="end"/>
      </w:r>
      <w:r w:rsidRPr="007D46D1">
        <w:rPr>
          <w:rFonts w:ascii="Times New Roman" w:hAnsi="Times New Roman" w:cs="Times New Roman"/>
          <w:szCs w:val="21"/>
        </w:rPr>
        <w:t xml:space="preserve">. Combined with the urban building MS datasets, it becomes possible to ascertain the volume of construction waste across regions. Subsequently, by analyzing the spatial distribution patterns of the construction waste, policymakers can perform cross-regional and spatial analyses, enforce </w:t>
      </w:r>
      <w:bookmarkStart w:id="3" w:name="OLE_LINK3"/>
      <w:r w:rsidRPr="007D46D1">
        <w:rPr>
          <w:rFonts w:ascii="Times New Roman" w:hAnsi="Times New Roman" w:cs="Times New Roman"/>
          <w:szCs w:val="21"/>
        </w:rPr>
        <w:t>granular management</w:t>
      </w:r>
      <w:bookmarkEnd w:id="3"/>
      <w:r w:rsidRPr="007D46D1">
        <w:rPr>
          <w:rFonts w:ascii="Times New Roman" w:hAnsi="Times New Roman" w:cs="Times New Roman"/>
          <w:szCs w:val="21"/>
        </w:rPr>
        <w:t xml:space="preserve"> practices, and formulate strategies that promote a circular economy.</w:t>
      </w:r>
    </w:p>
    <w:p w14:paraId="3668486D" w14:textId="77777777" w:rsidR="0014020B" w:rsidRPr="007D46D1" w:rsidRDefault="0014020B" w:rsidP="0014020B">
      <w:pPr>
        <w:spacing w:afterLines="50" w:after="156"/>
        <w:rPr>
          <w:rFonts w:ascii="Times New Roman" w:hAnsi="Times New Roman" w:cs="Times New Roman"/>
          <w:szCs w:val="21"/>
        </w:rPr>
      </w:pPr>
    </w:p>
    <w:p w14:paraId="3AEA0AA4" w14:textId="77777777" w:rsidR="00566B83" w:rsidRPr="007D46D1" w:rsidRDefault="00566B83" w:rsidP="00566B83">
      <w:pPr>
        <w:jc w:val="center"/>
        <w:rPr>
          <w:rFonts w:ascii="Times New Roman" w:hAnsi="Times New Roman" w:cs="Times New Roman"/>
        </w:rPr>
      </w:pPr>
      <w:r w:rsidRPr="007D46D1">
        <w:rPr>
          <w:rFonts w:ascii="Times New Roman" w:hAnsi="Times New Roman" w:cs="Times New Roman"/>
        </w:rPr>
        <w:t>Fig.S8 Spatial Distribution of Demolition Waste in GBA and YRD (2000-2020)</w:t>
      </w:r>
    </w:p>
    <w:p w14:paraId="633F7301" w14:textId="77777777" w:rsidR="00566B83" w:rsidRPr="00766CA1" w:rsidRDefault="00566B83" w:rsidP="0014020B">
      <w:pPr>
        <w:spacing w:afterLines="50" w:after="156"/>
        <w:rPr>
          <w:rFonts w:ascii="Times New Roman" w:hAnsi="Times New Roman" w:cs="Times New Roman"/>
          <w:szCs w:val="21"/>
        </w:rPr>
      </w:pPr>
    </w:p>
    <w:bookmarkEnd w:id="1"/>
    <w:bookmarkEnd w:id="2"/>
    <w:p w14:paraId="258F65C7" w14:textId="4502CADA" w:rsidR="00DB7AE4" w:rsidRPr="00766CA1" w:rsidRDefault="00D818F1">
      <w:pPr>
        <w:spacing w:afterLines="50" w:after="156"/>
        <w:rPr>
          <w:rFonts w:ascii="Times New Roman" w:hAnsi="Times New Roman" w:cs="Times New Roman"/>
          <w:b/>
          <w:sz w:val="28"/>
        </w:rPr>
      </w:pPr>
      <w:r w:rsidRPr="00766CA1">
        <w:rPr>
          <w:rFonts w:ascii="Times New Roman" w:hAnsi="Times New Roman" w:cs="Times New Roman"/>
          <w:b/>
          <w:sz w:val="28"/>
        </w:rPr>
        <w:t>Reference</w:t>
      </w:r>
    </w:p>
    <w:p w14:paraId="3646C9B7" w14:textId="77777777" w:rsidR="00D52E59" w:rsidRPr="00D52E59" w:rsidRDefault="00DB7AE4" w:rsidP="00D52E59">
      <w:pPr>
        <w:pStyle w:val="EndNoteBibliography"/>
        <w:ind w:left="720" w:hanging="720"/>
        <w:rPr>
          <w:rFonts w:ascii="Times New Roman" w:hAnsi="Times New Roman" w:cs="Times New Roman"/>
        </w:rPr>
      </w:pPr>
      <w:r w:rsidRPr="00D52E59">
        <w:rPr>
          <w:rFonts w:ascii="Times New Roman" w:eastAsia="DengXian" w:hAnsi="Times New Roman" w:cs="Times New Roman"/>
        </w:rPr>
        <w:fldChar w:fldCharType="begin"/>
      </w:r>
      <w:r w:rsidRPr="00D52E59">
        <w:rPr>
          <w:rFonts w:ascii="Times New Roman" w:hAnsi="Times New Roman" w:cs="Times New Roman"/>
        </w:rPr>
        <w:instrText xml:space="preserve"> ADDIN EN.REFLIST </w:instrText>
      </w:r>
      <w:r w:rsidRPr="00D52E59">
        <w:rPr>
          <w:rFonts w:ascii="Times New Roman" w:eastAsia="DengXian" w:hAnsi="Times New Roman" w:cs="Times New Roman"/>
        </w:rPr>
        <w:fldChar w:fldCharType="separate"/>
      </w:r>
      <w:r w:rsidR="00D52E59" w:rsidRPr="00D52E59">
        <w:rPr>
          <w:rFonts w:ascii="Times New Roman" w:hAnsi="Times New Roman" w:cs="Times New Roman"/>
        </w:rPr>
        <w:t>[1]</w:t>
      </w:r>
      <w:r w:rsidR="00D52E59" w:rsidRPr="00D52E59">
        <w:rPr>
          <w:rFonts w:ascii="Times New Roman" w:hAnsi="Times New Roman" w:cs="Times New Roman"/>
        </w:rPr>
        <w:tab/>
        <w:t>LI X, SONG L, LIU Q, et al. Product, building, and infrastructure material stocks dataset for 337 Chinese cities between 1978 and 2020 [J]. Scientific Data, 2023, 10(1): 228.</w:t>
      </w:r>
    </w:p>
    <w:p w14:paraId="7B0F5631" w14:textId="77777777" w:rsidR="00D52E59" w:rsidRPr="00D52E59" w:rsidRDefault="00D52E59" w:rsidP="00D52E59">
      <w:pPr>
        <w:pStyle w:val="EndNoteBibliography"/>
        <w:ind w:left="720" w:hanging="720"/>
        <w:rPr>
          <w:rFonts w:ascii="Times New Roman" w:hAnsi="Times New Roman" w:cs="Times New Roman"/>
        </w:rPr>
      </w:pPr>
      <w:r w:rsidRPr="00D52E59">
        <w:rPr>
          <w:rFonts w:ascii="Times New Roman" w:hAnsi="Times New Roman" w:cs="Times New Roman"/>
        </w:rPr>
        <w:t>[2]</w:t>
      </w:r>
      <w:r w:rsidRPr="00D52E59">
        <w:rPr>
          <w:rFonts w:ascii="Times New Roman" w:hAnsi="Times New Roman" w:cs="Times New Roman"/>
        </w:rPr>
        <w:tab/>
        <w:t>LIANG H, LIU H, BIAN X, et al. Supporting zero-waste building: A novel spatial explicit material flow analysis model for construction waste [J]. Journal of Cleaner Production, 2024, 456: 142369.</w:t>
      </w:r>
    </w:p>
    <w:p w14:paraId="35610817" w14:textId="49AFDF1E" w:rsidR="00D818F1" w:rsidRPr="00766CA1" w:rsidRDefault="00DB7AE4">
      <w:pPr>
        <w:spacing w:afterLines="50" w:after="156"/>
        <w:rPr>
          <w:rFonts w:ascii="Times New Roman" w:hAnsi="Times New Roman" w:cs="Times New Roman"/>
        </w:rPr>
      </w:pPr>
      <w:r w:rsidRPr="00D52E59">
        <w:rPr>
          <w:rFonts w:ascii="Times New Roman" w:hAnsi="Times New Roman" w:cs="Times New Roman"/>
        </w:rPr>
        <w:fldChar w:fldCharType="end"/>
      </w:r>
      <w:bookmarkStart w:id="4" w:name="_GoBack"/>
      <w:bookmarkEnd w:id="4"/>
    </w:p>
    <w:sectPr w:rsidR="00D818F1" w:rsidRPr="00766CA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B696CD" w14:textId="77777777" w:rsidR="00C471CA" w:rsidRDefault="00C471CA" w:rsidP="00231CC4">
      <w:r>
        <w:separator/>
      </w:r>
    </w:p>
  </w:endnote>
  <w:endnote w:type="continuationSeparator" w:id="0">
    <w:p w14:paraId="2FF7F2A7" w14:textId="77777777" w:rsidR="00C471CA" w:rsidRDefault="00C471CA" w:rsidP="00231C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7DBA65" w14:textId="77777777" w:rsidR="00C471CA" w:rsidRDefault="00C471CA" w:rsidP="00231CC4">
      <w:r>
        <w:separator/>
      </w:r>
    </w:p>
  </w:footnote>
  <w:footnote w:type="continuationSeparator" w:id="0">
    <w:p w14:paraId="5572BA7B" w14:textId="77777777" w:rsidR="00C471CA" w:rsidRDefault="00C471CA" w:rsidP="00231C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hinese Std GBT7714 (numeric)&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95ezat5bwz95we90v45axeewa9evxr5exx5&quot;&gt;文献汇总2&lt;record-ids&gt;&lt;item&gt;255&lt;/item&gt;&lt;item&gt;445&lt;/item&gt;&lt;/record-ids&gt;&lt;/item&gt;&lt;/Libraries&gt;"/>
  </w:docVars>
  <w:rsids>
    <w:rsidRoot w:val="00206F0A"/>
    <w:rsid w:val="000010E1"/>
    <w:rsid w:val="00011559"/>
    <w:rsid w:val="000217C2"/>
    <w:rsid w:val="00036F9D"/>
    <w:rsid w:val="000A555C"/>
    <w:rsid w:val="000D714D"/>
    <w:rsid w:val="000F0AFB"/>
    <w:rsid w:val="001128AE"/>
    <w:rsid w:val="0014020B"/>
    <w:rsid w:val="00142F52"/>
    <w:rsid w:val="00174624"/>
    <w:rsid w:val="001F03DC"/>
    <w:rsid w:val="00206F0A"/>
    <w:rsid w:val="00231CC4"/>
    <w:rsid w:val="00264BD3"/>
    <w:rsid w:val="00267F8D"/>
    <w:rsid w:val="002B26FA"/>
    <w:rsid w:val="002D299C"/>
    <w:rsid w:val="002D38CA"/>
    <w:rsid w:val="0031543D"/>
    <w:rsid w:val="00330C1B"/>
    <w:rsid w:val="00342710"/>
    <w:rsid w:val="00365B90"/>
    <w:rsid w:val="00370904"/>
    <w:rsid w:val="00390658"/>
    <w:rsid w:val="003F2635"/>
    <w:rsid w:val="0041126C"/>
    <w:rsid w:val="004536F3"/>
    <w:rsid w:val="0046247A"/>
    <w:rsid w:val="004648F1"/>
    <w:rsid w:val="004670DA"/>
    <w:rsid w:val="00483493"/>
    <w:rsid w:val="00492F0E"/>
    <w:rsid w:val="004B52D1"/>
    <w:rsid w:val="004C126D"/>
    <w:rsid w:val="004C38F7"/>
    <w:rsid w:val="004C7B81"/>
    <w:rsid w:val="004D3C17"/>
    <w:rsid w:val="004F570E"/>
    <w:rsid w:val="0050452E"/>
    <w:rsid w:val="00522755"/>
    <w:rsid w:val="00523D56"/>
    <w:rsid w:val="00551527"/>
    <w:rsid w:val="00566B83"/>
    <w:rsid w:val="00597640"/>
    <w:rsid w:val="005A28FB"/>
    <w:rsid w:val="005C7946"/>
    <w:rsid w:val="005D383F"/>
    <w:rsid w:val="00665A45"/>
    <w:rsid w:val="0067362C"/>
    <w:rsid w:val="00683187"/>
    <w:rsid w:val="00700EB5"/>
    <w:rsid w:val="00730005"/>
    <w:rsid w:val="007302FD"/>
    <w:rsid w:val="00737A56"/>
    <w:rsid w:val="00766CA1"/>
    <w:rsid w:val="007B162A"/>
    <w:rsid w:val="007D46D1"/>
    <w:rsid w:val="0084186D"/>
    <w:rsid w:val="00841E2D"/>
    <w:rsid w:val="008B6E2E"/>
    <w:rsid w:val="00907E0D"/>
    <w:rsid w:val="00921EA7"/>
    <w:rsid w:val="00931ED7"/>
    <w:rsid w:val="0095170B"/>
    <w:rsid w:val="009B45AD"/>
    <w:rsid w:val="009C58A3"/>
    <w:rsid w:val="009C6DD3"/>
    <w:rsid w:val="00A06CB8"/>
    <w:rsid w:val="00A621D6"/>
    <w:rsid w:val="00AB5ACA"/>
    <w:rsid w:val="00AD74F7"/>
    <w:rsid w:val="00AF6099"/>
    <w:rsid w:val="00B0646E"/>
    <w:rsid w:val="00B07A7D"/>
    <w:rsid w:val="00B25A31"/>
    <w:rsid w:val="00BB5032"/>
    <w:rsid w:val="00BC5DED"/>
    <w:rsid w:val="00C325B6"/>
    <w:rsid w:val="00C471CA"/>
    <w:rsid w:val="00C67641"/>
    <w:rsid w:val="00C82FD6"/>
    <w:rsid w:val="00C90BAE"/>
    <w:rsid w:val="00CB2485"/>
    <w:rsid w:val="00CB55FE"/>
    <w:rsid w:val="00D01B44"/>
    <w:rsid w:val="00D15FA4"/>
    <w:rsid w:val="00D24A60"/>
    <w:rsid w:val="00D47AA4"/>
    <w:rsid w:val="00D52E59"/>
    <w:rsid w:val="00D71BF8"/>
    <w:rsid w:val="00D818F1"/>
    <w:rsid w:val="00D819A2"/>
    <w:rsid w:val="00D82B3E"/>
    <w:rsid w:val="00DA5C0F"/>
    <w:rsid w:val="00DB4F5E"/>
    <w:rsid w:val="00DB7AE4"/>
    <w:rsid w:val="00DD5A75"/>
    <w:rsid w:val="00DE206F"/>
    <w:rsid w:val="00DE44C3"/>
    <w:rsid w:val="00E16943"/>
    <w:rsid w:val="00E2731C"/>
    <w:rsid w:val="00E35C07"/>
    <w:rsid w:val="00E35DC0"/>
    <w:rsid w:val="00E53009"/>
    <w:rsid w:val="00E566FE"/>
    <w:rsid w:val="00F25DCD"/>
    <w:rsid w:val="00F8055F"/>
    <w:rsid w:val="00FA3C65"/>
    <w:rsid w:val="00FB4F5C"/>
    <w:rsid w:val="00FC79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16C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E2731C"/>
    <w:pPr>
      <w:keepNext/>
      <w:keepLines/>
      <w:spacing w:before="340" w:after="330" w:line="578" w:lineRule="auto"/>
      <w:outlineLvl w:val="0"/>
    </w:pPr>
    <w:rPr>
      <w:b/>
      <w:bCs/>
      <w:kern w:val="44"/>
      <w:sz w:val="44"/>
      <w:szCs w:val="44"/>
    </w:rPr>
  </w:style>
  <w:style w:type="paragraph" w:styleId="3">
    <w:name w:val="heading 3"/>
    <w:basedOn w:val="a"/>
    <w:next w:val="a"/>
    <w:link w:val="3Char"/>
    <w:uiPriority w:val="9"/>
    <w:unhideWhenUsed/>
    <w:qFormat/>
    <w:rsid w:val="00231CC4"/>
    <w:pPr>
      <w:keepNext/>
      <w:keepLines/>
      <w:spacing w:before="260" w:after="260" w:line="416" w:lineRule="auto"/>
      <w:outlineLvl w:val="2"/>
    </w:pPr>
    <w:rPr>
      <w:rFonts w:ascii="Times New Roman" w:eastAsia="宋体" w:hAnsi="Times New Roman" w:cs="Times New Roman"/>
      <w:b/>
      <w:bCs/>
      <w:sz w:val="32"/>
      <w:szCs w:val="32"/>
      <w14:ligatures w14:val="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31CC4"/>
    <w:pPr>
      <w:tabs>
        <w:tab w:val="center" w:pos="4153"/>
        <w:tab w:val="right" w:pos="8306"/>
      </w:tabs>
      <w:snapToGrid w:val="0"/>
      <w:jc w:val="center"/>
    </w:pPr>
    <w:rPr>
      <w:sz w:val="18"/>
      <w:szCs w:val="18"/>
    </w:rPr>
  </w:style>
  <w:style w:type="character" w:customStyle="1" w:styleId="Char">
    <w:name w:val="页眉 Char"/>
    <w:basedOn w:val="a0"/>
    <w:link w:val="a3"/>
    <w:uiPriority w:val="99"/>
    <w:rsid w:val="00231CC4"/>
    <w:rPr>
      <w:sz w:val="18"/>
      <w:szCs w:val="18"/>
    </w:rPr>
  </w:style>
  <w:style w:type="paragraph" w:styleId="a4">
    <w:name w:val="footer"/>
    <w:basedOn w:val="a"/>
    <w:link w:val="Char0"/>
    <w:uiPriority w:val="99"/>
    <w:unhideWhenUsed/>
    <w:rsid w:val="00231CC4"/>
    <w:pPr>
      <w:tabs>
        <w:tab w:val="center" w:pos="4153"/>
        <w:tab w:val="right" w:pos="8306"/>
      </w:tabs>
      <w:snapToGrid w:val="0"/>
      <w:jc w:val="left"/>
    </w:pPr>
    <w:rPr>
      <w:sz w:val="18"/>
      <w:szCs w:val="18"/>
    </w:rPr>
  </w:style>
  <w:style w:type="character" w:customStyle="1" w:styleId="Char0">
    <w:name w:val="页脚 Char"/>
    <w:basedOn w:val="a0"/>
    <w:link w:val="a4"/>
    <w:uiPriority w:val="99"/>
    <w:rsid w:val="00231CC4"/>
    <w:rPr>
      <w:sz w:val="18"/>
      <w:szCs w:val="18"/>
    </w:rPr>
  </w:style>
  <w:style w:type="character" w:customStyle="1" w:styleId="3Char">
    <w:name w:val="标题 3 Char"/>
    <w:basedOn w:val="a0"/>
    <w:link w:val="3"/>
    <w:uiPriority w:val="9"/>
    <w:rsid w:val="00231CC4"/>
    <w:rPr>
      <w:rFonts w:ascii="Times New Roman" w:eastAsia="宋体" w:hAnsi="Times New Roman" w:cs="Times New Roman"/>
      <w:b/>
      <w:bCs/>
      <w:sz w:val="32"/>
      <w:szCs w:val="32"/>
      <w14:ligatures w14:val="none"/>
    </w:rPr>
  </w:style>
  <w:style w:type="paragraph" w:customStyle="1" w:styleId="MTDisplayEquation">
    <w:name w:val="MTDisplayEquation"/>
    <w:basedOn w:val="a"/>
    <w:next w:val="a"/>
    <w:link w:val="MTDisplayEquation0"/>
    <w:rsid w:val="00231CC4"/>
    <w:pPr>
      <w:tabs>
        <w:tab w:val="center" w:pos="4160"/>
        <w:tab w:val="right" w:pos="8300"/>
      </w:tabs>
      <w:jc w:val="center"/>
    </w:pPr>
    <w:rPr>
      <w:rFonts w:ascii="Times New Roman" w:eastAsia="宋体" w:hAnsi="Times New Roman" w:cs="Times New Roman"/>
      <w:sz w:val="28"/>
      <w:szCs w:val="28"/>
      <w:vertAlign w:val="subscript"/>
      <w14:ligatures w14:val="none"/>
    </w:rPr>
  </w:style>
  <w:style w:type="character" w:customStyle="1" w:styleId="MTDisplayEquation0">
    <w:name w:val="MTDisplayEquation 字符"/>
    <w:basedOn w:val="a0"/>
    <w:link w:val="MTDisplayEquation"/>
    <w:rsid w:val="00231CC4"/>
    <w:rPr>
      <w:rFonts w:ascii="Times New Roman" w:eastAsia="宋体" w:hAnsi="Times New Roman" w:cs="Times New Roman"/>
      <w:sz w:val="28"/>
      <w:szCs w:val="28"/>
      <w:vertAlign w:val="subscript"/>
      <w14:ligatures w14:val="none"/>
    </w:rPr>
  </w:style>
  <w:style w:type="paragraph" w:styleId="a5">
    <w:name w:val="Balloon Text"/>
    <w:basedOn w:val="a"/>
    <w:link w:val="Char1"/>
    <w:uiPriority w:val="99"/>
    <w:semiHidden/>
    <w:unhideWhenUsed/>
    <w:rsid w:val="004F570E"/>
    <w:rPr>
      <w:sz w:val="18"/>
      <w:szCs w:val="18"/>
    </w:rPr>
  </w:style>
  <w:style w:type="character" w:customStyle="1" w:styleId="Char1">
    <w:name w:val="批注框文本 Char"/>
    <w:basedOn w:val="a0"/>
    <w:link w:val="a5"/>
    <w:uiPriority w:val="99"/>
    <w:semiHidden/>
    <w:rsid w:val="004F570E"/>
    <w:rPr>
      <w:sz w:val="18"/>
      <w:szCs w:val="18"/>
    </w:rPr>
  </w:style>
  <w:style w:type="table" w:styleId="a6">
    <w:name w:val="Table Grid"/>
    <w:uiPriority w:val="59"/>
    <w:qFormat/>
    <w:rsid w:val="00C82FD6"/>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EndNoteBibliographyTitle">
    <w:name w:val="EndNote Bibliography Title"/>
    <w:basedOn w:val="a"/>
    <w:link w:val="EndNoteBibliographyTitleChar"/>
    <w:rsid w:val="00DB7AE4"/>
    <w:pPr>
      <w:jc w:val="center"/>
    </w:pPr>
    <w:rPr>
      <w:rFonts w:ascii="等线" w:eastAsia="等线" w:hAnsi="等线"/>
      <w:noProof/>
      <w:sz w:val="20"/>
    </w:rPr>
  </w:style>
  <w:style w:type="character" w:customStyle="1" w:styleId="EndNoteBibliographyTitleChar">
    <w:name w:val="EndNote Bibliography Title Char"/>
    <w:basedOn w:val="a0"/>
    <w:link w:val="EndNoteBibliographyTitle"/>
    <w:rsid w:val="00DB7AE4"/>
    <w:rPr>
      <w:rFonts w:ascii="等线" w:eastAsia="等线" w:hAnsi="等线"/>
      <w:noProof/>
      <w:sz w:val="20"/>
    </w:rPr>
  </w:style>
  <w:style w:type="paragraph" w:customStyle="1" w:styleId="EndNoteBibliography">
    <w:name w:val="EndNote Bibliography"/>
    <w:basedOn w:val="a"/>
    <w:link w:val="EndNoteBibliographyChar"/>
    <w:rsid w:val="00DB7AE4"/>
    <w:rPr>
      <w:rFonts w:ascii="等线" w:eastAsia="等线" w:hAnsi="等线"/>
      <w:noProof/>
      <w:sz w:val="20"/>
    </w:rPr>
  </w:style>
  <w:style w:type="character" w:customStyle="1" w:styleId="EndNoteBibliographyChar">
    <w:name w:val="EndNote Bibliography Char"/>
    <w:basedOn w:val="a0"/>
    <w:link w:val="EndNoteBibliography"/>
    <w:rsid w:val="00DB7AE4"/>
    <w:rPr>
      <w:rFonts w:ascii="等线" w:eastAsia="等线" w:hAnsi="等线"/>
      <w:noProof/>
      <w:sz w:val="20"/>
    </w:rPr>
  </w:style>
  <w:style w:type="paragraph" w:styleId="10">
    <w:name w:val="toc 1"/>
    <w:basedOn w:val="a"/>
    <w:next w:val="a"/>
    <w:autoRedefine/>
    <w:uiPriority w:val="39"/>
    <w:unhideWhenUsed/>
    <w:rsid w:val="00E2731C"/>
    <w:pPr>
      <w:widowControl/>
      <w:snapToGrid w:val="0"/>
      <w:spacing w:after="100" w:line="256" w:lineRule="auto"/>
      <w:jc w:val="left"/>
    </w:pPr>
    <w:rPr>
      <w:rFonts w:ascii="Times New Roman" w:eastAsia="宋体" w:hAnsi="Times New Roman" w:cs="Times New Roman"/>
      <w:color w:val="000000"/>
      <w:kern w:val="0"/>
      <w:sz w:val="20"/>
      <w:szCs w:val="21"/>
      <w:lang w:bidi="en-US"/>
      <w14:ligatures w14:val="none"/>
    </w:rPr>
  </w:style>
  <w:style w:type="character" w:customStyle="1" w:styleId="1Char">
    <w:name w:val="标题 1 Char"/>
    <w:basedOn w:val="a0"/>
    <w:link w:val="1"/>
    <w:uiPriority w:val="9"/>
    <w:rsid w:val="00E2731C"/>
    <w:rPr>
      <w:b/>
      <w:bCs/>
      <w:kern w:val="44"/>
      <w:sz w:val="44"/>
      <w:szCs w:val="44"/>
    </w:rPr>
  </w:style>
  <w:style w:type="paragraph" w:styleId="TOC">
    <w:name w:val="TOC Heading"/>
    <w:basedOn w:val="1"/>
    <w:next w:val="a"/>
    <w:uiPriority w:val="39"/>
    <w:semiHidden/>
    <w:unhideWhenUsed/>
    <w:qFormat/>
    <w:rsid w:val="00E2731C"/>
    <w:pPr>
      <w:widowControl/>
      <w:spacing w:before="240" w:after="0" w:line="256"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E2731C"/>
    <w:pPr>
      <w:keepNext/>
      <w:keepLines/>
      <w:spacing w:before="340" w:after="330" w:line="578" w:lineRule="auto"/>
      <w:outlineLvl w:val="0"/>
    </w:pPr>
    <w:rPr>
      <w:b/>
      <w:bCs/>
      <w:kern w:val="44"/>
      <w:sz w:val="44"/>
      <w:szCs w:val="44"/>
    </w:rPr>
  </w:style>
  <w:style w:type="paragraph" w:styleId="3">
    <w:name w:val="heading 3"/>
    <w:basedOn w:val="a"/>
    <w:next w:val="a"/>
    <w:link w:val="3Char"/>
    <w:uiPriority w:val="9"/>
    <w:unhideWhenUsed/>
    <w:qFormat/>
    <w:rsid w:val="00231CC4"/>
    <w:pPr>
      <w:keepNext/>
      <w:keepLines/>
      <w:spacing w:before="260" w:after="260" w:line="416" w:lineRule="auto"/>
      <w:outlineLvl w:val="2"/>
    </w:pPr>
    <w:rPr>
      <w:rFonts w:ascii="Times New Roman" w:eastAsia="宋体" w:hAnsi="Times New Roman" w:cs="Times New Roman"/>
      <w:b/>
      <w:bCs/>
      <w:sz w:val="32"/>
      <w:szCs w:val="32"/>
      <w14:ligatures w14:val="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31CC4"/>
    <w:pPr>
      <w:tabs>
        <w:tab w:val="center" w:pos="4153"/>
        <w:tab w:val="right" w:pos="8306"/>
      </w:tabs>
      <w:snapToGrid w:val="0"/>
      <w:jc w:val="center"/>
    </w:pPr>
    <w:rPr>
      <w:sz w:val="18"/>
      <w:szCs w:val="18"/>
    </w:rPr>
  </w:style>
  <w:style w:type="character" w:customStyle="1" w:styleId="Char">
    <w:name w:val="页眉 Char"/>
    <w:basedOn w:val="a0"/>
    <w:link w:val="a3"/>
    <w:uiPriority w:val="99"/>
    <w:rsid w:val="00231CC4"/>
    <w:rPr>
      <w:sz w:val="18"/>
      <w:szCs w:val="18"/>
    </w:rPr>
  </w:style>
  <w:style w:type="paragraph" w:styleId="a4">
    <w:name w:val="footer"/>
    <w:basedOn w:val="a"/>
    <w:link w:val="Char0"/>
    <w:uiPriority w:val="99"/>
    <w:unhideWhenUsed/>
    <w:rsid w:val="00231CC4"/>
    <w:pPr>
      <w:tabs>
        <w:tab w:val="center" w:pos="4153"/>
        <w:tab w:val="right" w:pos="8306"/>
      </w:tabs>
      <w:snapToGrid w:val="0"/>
      <w:jc w:val="left"/>
    </w:pPr>
    <w:rPr>
      <w:sz w:val="18"/>
      <w:szCs w:val="18"/>
    </w:rPr>
  </w:style>
  <w:style w:type="character" w:customStyle="1" w:styleId="Char0">
    <w:name w:val="页脚 Char"/>
    <w:basedOn w:val="a0"/>
    <w:link w:val="a4"/>
    <w:uiPriority w:val="99"/>
    <w:rsid w:val="00231CC4"/>
    <w:rPr>
      <w:sz w:val="18"/>
      <w:szCs w:val="18"/>
    </w:rPr>
  </w:style>
  <w:style w:type="character" w:customStyle="1" w:styleId="3Char">
    <w:name w:val="标题 3 Char"/>
    <w:basedOn w:val="a0"/>
    <w:link w:val="3"/>
    <w:uiPriority w:val="9"/>
    <w:rsid w:val="00231CC4"/>
    <w:rPr>
      <w:rFonts w:ascii="Times New Roman" w:eastAsia="宋体" w:hAnsi="Times New Roman" w:cs="Times New Roman"/>
      <w:b/>
      <w:bCs/>
      <w:sz w:val="32"/>
      <w:szCs w:val="32"/>
      <w14:ligatures w14:val="none"/>
    </w:rPr>
  </w:style>
  <w:style w:type="paragraph" w:customStyle="1" w:styleId="MTDisplayEquation">
    <w:name w:val="MTDisplayEquation"/>
    <w:basedOn w:val="a"/>
    <w:next w:val="a"/>
    <w:link w:val="MTDisplayEquation0"/>
    <w:rsid w:val="00231CC4"/>
    <w:pPr>
      <w:tabs>
        <w:tab w:val="center" w:pos="4160"/>
        <w:tab w:val="right" w:pos="8300"/>
      </w:tabs>
      <w:jc w:val="center"/>
    </w:pPr>
    <w:rPr>
      <w:rFonts w:ascii="Times New Roman" w:eastAsia="宋体" w:hAnsi="Times New Roman" w:cs="Times New Roman"/>
      <w:sz w:val="28"/>
      <w:szCs w:val="28"/>
      <w:vertAlign w:val="subscript"/>
      <w14:ligatures w14:val="none"/>
    </w:rPr>
  </w:style>
  <w:style w:type="character" w:customStyle="1" w:styleId="MTDisplayEquation0">
    <w:name w:val="MTDisplayEquation 字符"/>
    <w:basedOn w:val="a0"/>
    <w:link w:val="MTDisplayEquation"/>
    <w:rsid w:val="00231CC4"/>
    <w:rPr>
      <w:rFonts w:ascii="Times New Roman" w:eastAsia="宋体" w:hAnsi="Times New Roman" w:cs="Times New Roman"/>
      <w:sz w:val="28"/>
      <w:szCs w:val="28"/>
      <w:vertAlign w:val="subscript"/>
      <w14:ligatures w14:val="none"/>
    </w:rPr>
  </w:style>
  <w:style w:type="paragraph" w:styleId="a5">
    <w:name w:val="Balloon Text"/>
    <w:basedOn w:val="a"/>
    <w:link w:val="Char1"/>
    <w:uiPriority w:val="99"/>
    <w:semiHidden/>
    <w:unhideWhenUsed/>
    <w:rsid w:val="004F570E"/>
    <w:rPr>
      <w:sz w:val="18"/>
      <w:szCs w:val="18"/>
    </w:rPr>
  </w:style>
  <w:style w:type="character" w:customStyle="1" w:styleId="Char1">
    <w:name w:val="批注框文本 Char"/>
    <w:basedOn w:val="a0"/>
    <w:link w:val="a5"/>
    <w:uiPriority w:val="99"/>
    <w:semiHidden/>
    <w:rsid w:val="004F570E"/>
    <w:rPr>
      <w:sz w:val="18"/>
      <w:szCs w:val="18"/>
    </w:rPr>
  </w:style>
  <w:style w:type="table" w:styleId="a6">
    <w:name w:val="Table Grid"/>
    <w:uiPriority w:val="59"/>
    <w:qFormat/>
    <w:rsid w:val="00C82FD6"/>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EndNoteBibliographyTitle">
    <w:name w:val="EndNote Bibliography Title"/>
    <w:basedOn w:val="a"/>
    <w:link w:val="EndNoteBibliographyTitleChar"/>
    <w:rsid w:val="00DB7AE4"/>
    <w:pPr>
      <w:jc w:val="center"/>
    </w:pPr>
    <w:rPr>
      <w:rFonts w:ascii="等线" w:eastAsia="等线" w:hAnsi="等线"/>
      <w:noProof/>
      <w:sz w:val="20"/>
    </w:rPr>
  </w:style>
  <w:style w:type="character" w:customStyle="1" w:styleId="EndNoteBibliographyTitleChar">
    <w:name w:val="EndNote Bibliography Title Char"/>
    <w:basedOn w:val="a0"/>
    <w:link w:val="EndNoteBibliographyTitle"/>
    <w:rsid w:val="00DB7AE4"/>
    <w:rPr>
      <w:rFonts w:ascii="等线" w:eastAsia="等线" w:hAnsi="等线"/>
      <w:noProof/>
      <w:sz w:val="20"/>
    </w:rPr>
  </w:style>
  <w:style w:type="paragraph" w:customStyle="1" w:styleId="EndNoteBibliography">
    <w:name w:val="EndNote Bibliography"/>
    <w:basedOn w:val="a"/>
    <w:link w:val="EndNoteBibliographyChar"/>
    <w:rsid w:val="00DB7AE4"/>
    <w:rPr>
      <w:rFonts w:ascii="等线" w:eastAsia="等线" w:hAnsi="等线"/>
      <w:noProof/>
      <w:sz w:val="20"/>
    </w:rPr>
  </w:style>
  <w:style w:type="character" w:customStyle="1" w:styleId="EndNoteBibliographyChar">
    <w:name w:val="EndNote Bibliography Char"/>
    <w:basedOn w:val="a0"/>
    <w:link w:val="EndNoteBibliography"/>
    <w:rsid w:val="00DB7AE4"/>
    <w:rPr>
      <w:rFonts w:ascii="等线" w:eastAsia="等线" w:hAnsi="等线"/>
      <w:noProof/>
      <w:sz w:val="20"/>
    </w:rPr>
  </w:style>
  <w:style w:type="paragraph" w:styleId="10">
    <w:name w:val="toc 1"/>
    <w:basedOn w:val="a"/>
    <w:next w:val="a"/>
    <w:autoRedefine/>
    <w:uiPriority w:val="39"/>
    <w:unhideWhenUsed/>
    <w:rsid w:val="00E2731C"/>
    <w:pPr>
      <w:widowControl/>
      <w:snapToGrid w:val="0"/>
      <w:spacing w:after="100" w:line="256" w:lineRule="auto"/>
      <w:jc w:val="left"/>
    </w:pPr>
    <w:rPr>
      <w:rFonts w:ascii="Times New Roman" w:eastAsia="宋体" w:hAnsi="Times New Roman" w:cs="Times New Roman"/>
      <w:color w:val="000000"/>
      <w:kern w:val="0"/>
      <w:sz w:val="20"/>
      <w:szCs w:val="21"/>
      <w:lang w:bidi="en-US"/>
      <w14:ligatures w14:val="none"/>
    </w:rPr>
  </w:style>
  <w:style w:type="character" w:customStyle="1" w:styleId="1Char">
    <w:name w:val="标题 1 Char"/>
    <w:basedOn w:val="a0"/>
    <w:link w:val="1"/>
    <w:uiPriority w:val="9"/>
    <w:rsid w:val="00E2731C"/>
    <w:rPr>
      <w:b/>
      <w:bCs/>
      <w:kern w:val="44"/>
      <w:sz w:val="44"/>
      <w:szCs w:val="44"/>
    </w:rPr>
  </w:style>
  <w:style w:type="paragraph" w:styleId="TOC">
    <w:name w:val="TOC Heading"/>
    <w:basedOn w:val="1"/>
    <w:next w:val="a"/>
    <w:uiPriority w:val="39"/>
    <w:semiHidden/>
    <w:unhideWhenUsed/>
    <w:qFormat/>
    <w:rsid w:val="00E2731C"/>
    <w:pPr>
      <w:widowControl/>
      <w:spacing w:before="240" w:after="0" w:line="256"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1515</Words>
  <Characters>8641</Characters>
  <Application>Microsoft Office Word</Application>
  <DocSecurity>0</DocSecurity>
  <Lines>72</Lines>
  <Paragraphs>20</Paragraphs>
  <ScaleCrop>false</ScaleCrop>
  <Company/>
  <LinksUpToDate>false</LinksUpToDate>
  <CharactersWithSpaces>10136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Xin Bian</dc:creator>
  <cp:lastModifiedBy>user</cp:lastModifiedBy>
  <cp:revision>10</cp:revision>
  <dcterms:created xsi:type="dcterms:W3CDTF">2025-05-08T04:24:00Z</dcterms:created>
  <dcterms:modified xsi:type="dcterms:W3CDTF">2025-05-26T07:33:00Z</dcterms:modified>
</cp:coreProperties>
</file>