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413A20">
      <w:pPr>
        <w:jc w:val="center"/>
      </w:pPr>
      <w:bookmarkStart w:id="0" w:name="_GoBack"/>
      <w:bookmarkEnd w:id="0"/>
      <w:r>
        <w:drawing>
          <wp:inline distT="0" distB="0" distL="0" distR="0">
            <wp:extent cx="7919720" cy="3697605"/>
            <wp:effectExtent l="0" t="0" r="508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20000" cy="3697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A9CA72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Fig. S1 Length distribution of PacBio HiFi reads and Nanopore ultra-long reads for the </w:t>
      </w:r>
      <w:r>
        <w:rPr>
          <w:i/>
          <w:iCs/>
          <w:sz w:val="22"/>
          <w:szCs w:val="22"/>
        </w:rPr>
        <w:t>M. dahurica</w:t>
      </w:r>
      <w:r>
        <w:rPr>
          <w:sz w:val="22"/>
          <w:szCs w:val="22"/>
        </w:rPr>
        <w:t xml:space="preserve"> genome.</w:t>
      </w:r>
    </w:p>
    <w:p w14:paraId="3D6BCA76">
      <w:pPr>
        <w:jc w:val="center"/>
      </w:pPr>
    </w:p>
    <w:p w14:paraId="575890A8">
      <w:pPr>
        <w:jc w:val="center"/>
      </w:pPr>
    </w:p>
    <w:p w14:paraId="350A077B">
      <w:pPr>
        <w:jc w:val="center"/>
        <w:sectPr>
          <w:headerReference r:id="rId3" w:type="default"/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2B9EF3BE">
      <w:pPr>
        <w:jc w:val="center"/>
      </w:pPr>
    </w:p>
    <w:p w14:paraId="16F65EB1">
      <w:pPr>
        <w:jc w:val="center"/>
        <w:rPr>
          <w:b/>
          <w:bCs/>
        </w:rPr>
      </w:pPr>
      <w:r>
        <w:drawing>
          <wp:inline distT="0" distB="0" distL="0" distR="0">
            <wp:extent cx="5274310" cy="5117465"/>
            <wp:effectExtent l="0" t="0" r="2540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117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AA0ACA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Fig. S2 The venn diagram of annotation results of five databases for </w:t>
      </w:r>
      <w:r>
        <w:rPr>
          <w:i/>
          <w:iCs/>
          <w:sz w:val="22"/>
          <w:szCs w:val="22"/>
        </w:rPr>
        <w:t>M. dahurica</w:t>
      </w:r>
      <w:r>
        <w:rPr>
          <w:sz w:val="22"/>
          <w:szCs w:val="22"/>
        </w:rPr>
        <w:t xml:space="preserve"> genome.</w:t>
      </w:r>
    </w:p>
    <w:p w14:paraId="7301C7BA">
      <w:pPr>
        <w:jc w:val="center"/>
      </w:pPr>
    </w:p>
    <w:p w14:paraId="5227E4F7"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73DA2E4"/>
    <w:p w14:paraId="5798E5D4">
      <w:pPr>
        <w:jc w:val="center"/>
      </w:pPr>
    </w:p>
    <w:p w14:paraId="304F3FA5">
      <w:pPr>
        <w:jc w:val="center"/>
      </w:pPr>
      <w:r>
        <w:drawing>
          <wp:inline distT="0" distB="0" distL="0" distR="0">
            <wp:extent cx="8863330" cy="368173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681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5BBA68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Fig. S3. Kmer distribution of different copy numbers in the assembled sequence of </w:t>
      </w:r>
      <w:r>
        <w:rPr>
          <w:i/>
          <w:iCs/>
          <w:sz w:val="22"/>
          <w:szCs w:val="22"/>
        </w:rPr>
        <w:t>M. dahurica</w:t>
      </w:r>
      <w:r>
        <w:rPr>
          <w:sz w:val="22"/>
          <w:szCs w:val="22"/>
        </w:rPr>
        <w:t xml:space="preserve"> genome. </w:t>
      </w:r>
    </w:p>
    <w:p w14:paraId="16B6C988">
      <w:pPr>
        <w:jc w:val="center"/>
        <w:rPr>
          <w:sz w:val="22"/>
          <w:szCs w:val="22"/>
        </w:rPr>
      </w:pPr>
      <w:r>
        <w:rPr>
          <w:sz w:val="22"/>
          <w:szCs w:val="22"/>
        </w:rPr>
        <w:t>A. Short read length data. B.</w:t>
      </w:r>
      <w:r>
        <w:rPr>
          <w:rFonts w:eastAsia="等线"/>
          <w:color w:val="000000"/>
          <w:kern w:val="0"/>
          <w:sz w:val="22"/>
          <w:szCs w:val="22"/>
        </w:rPr>
        <w:t xml:space="preserve"> PacBio HiFi</w:t>
      </w:r>
      <w:r>
        <w:rPr>
          <w:sz w:val="22"/>
          <w:szCs w:val="22"/>
        </w:rPr>
        <w:t xml:space="preserve"> read length data.</w:t>
      </w:r>
    </w:p>
    <w:p w14:paraId="5D7D6E3A">
      <w:pPr>
        <w:jc w:val="center"/>
      </w:pPr>
    </w:p>
    <w:p w14:paraId="2F188DD3">
      <w:pPr>
        <w:jc w:val="center"/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tbl>
      <w:tblPr>
        <w:tblStyle w:val="19"/>
        <w:tblW w:w="949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0"/>
        <w:gridCol w:w="1950"/>
        <w:gridCol w:w="1710"/>
        <w:gridCol w:w="2080"/>
        <w:gridCol w:w="1710"/>
      </w:tblGrid>
      <w:tr w14:paraId="7E4719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4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E59C9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Table S1. Statistics of Hi-C data alignment against the initial genome assembly.</w:t>
            </w:r>
          </w:p>
        </w:tc>
      </w:tr>
      <w:tr w14:paraId="6F1E50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04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8A69D20">
            <w:pPr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Mapping Category</w:t>
            </w:r>
          </w:p>
        </w:tc>
        <w:tc>
          <w:tcPr>
            <w:tcW w:w="3660" w:type="dxa"/>
            <w:gridSpan w:val="2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E68F4A">
            <w:pPr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Read 1</w:t>
            </w:r>
          </w:p>
        </w:tc>
        <w:tc>
          <w:tcPr>
            <w:tcW w:w="3790" w:type="dxa"/>
            <w:gridSpan w:val="2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1412B3">
            <w:pPr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Read 2</w:t>
            </w:r>
          </w:p>
        </w:tc>
      </w:tr>
      <w:tr w14:paraId="1E3964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04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79140763">
            <w:pPr>
              <w:rPr>
                <w:rFonts w:eastAsia="等线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06C5914">
            <w:pPr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Number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7A20E56">
            <w:pPr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Percentage (%)</w:t>
            </w:r>
          </w:p>
        </w:tc>
        <w:tc>
          <w:tcPr>
            <w:tcW w:w="208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F0CCA51">
            <w:pPr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Number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8BA4D6E">
            <w:pPr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Percentage (%)</w:t>
            </w:r>
          </w:p>
        </w:tc>
      </w:tr>
      <w:tr w14:paraId="705680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04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C41B4A">
            <w:pPr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Unique Alignments</w:t>
            </w:r>
          </w:p>
        </w:tc>
        <w:tc>
          <w:tcPr>
            <w:tcW w:w="195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57A7AB">
            <w:pPr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519,564,779</w:t>
            </w:r>
          </w:p>
        </w:tc>
        <w:tc>
          <w:tcPr>
            <w:tcW w:w="171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C83764">
            <w:pPr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48.81</w:t>
            </w:r>
          </w:p>
        </w:tc>
        <w:tc>
          <w:tcPr>
            <w:tcW w:w="208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01E34D">
            <w:pPr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488,537,226</w:t>
            </w:r>
          </w:p>
        </w:tc>
        <w:tc>
          <w:tcPr>
            <w:tcW w:w="171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79D113">
            <w:pPr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45.89</w:t>
            </w:r>
          </w:p>
        </w:tc>
      </w:tr>
      <w:tr w14:paraId="132057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7B2466">
            <w:pPr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Multiple Alignments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304761">
            <w:pPr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271,592,315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2F2469">
            <w:pPr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25.51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94B79F">
            <w:pPr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271,690,704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5522AF">
            <w:pPr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25.52</w:t>
            </w:r>
          </w:p>
        </w:tc>
      </w:tr>
      <w:tr w14:paraId="3BA08A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D6726D">
            <w:pPr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Too short to align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F09696">
            <w:pPr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7,146,056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CDF445">
            <w:pPr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0.67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20FDF8">
            <w:pPr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7,357,472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BBD329">
            <w:pPr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0.69</w:t>
            </w:r>
          </w:p>
        </w:tc>
      </w:tr>
      <w:tr w14:paraId="4BE800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00BD24">
            <w:pPr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Failed To Align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64CE84">
            <w:pPr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266,262,553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537FE2">
            <w:pPr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25.01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5DEA73">
            <w:pPr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296,980,301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F82673">
            <w:pPr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27.9</w:t>
            </w:r>
          </w:p>
        </w:tc>
      </w:tr>
      <w:tr w14:paraId="41B39E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04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E66A448">
            <w:pPr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Paired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2B929D5">
            <w:pPr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376,114,417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486BBC0">
            <w:pPr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35.33</w:t>
            </w:r>
          </w:p>
        </w:tc>
        <w:tc>
          <w:tcPr>
            <w:tcW w:w="208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FDD99C0">
            <w:pPr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376,114,417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3605543">
            <w:pPr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35.33</w:t>
            </w:r>
          </w:p>
        </w:tc>
      </w:tr>
    </w:tbl>
    <w:p w14:paraId="24AC241C">
      <w:pPr>
        <w:jc w:val="center"/>
      </w:pPr>
    </w:p>
    <w:p w14:paraId="0AB418CE">
      <w:pPr>
        <w:jc w:val="center"/>
      </w:pPr>
    </w:p>
    <w:tbl>
      <w:tblPr>
        <w:tblStyle w:val="19"/>
        <w:tblW w:w="992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4"/>
        <w:gridCol w:w="1989"/>
        <w:gridCol w:w="2127"/>
        <w:gridCol w:w="2693"/>
      </w:tblGrid>
      <w:tr w14:paraId="662228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99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A939FB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Table S2. Statistics of Hi-C interaction pair classification and filtration for the </w:t>
            </w:r>
            <w:r>
              <w:rPr>
                <w:rFonts w:eastAsia="等线"/>
                <w:i/>
                <w:iCs/>
                <w:color w:val="000000"/>
                <w:kern w:val="0"/>
                <w:sz w:val="22"/>
                <w:szCs w:val="22"/>
              </w:rPr>
              <w:t>M. dahurica</w:t>
            </w: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 genome assembly.</w:t>
            </w:r>
          </w:p>
        </w:tc>
      </w:tr>
      <w:tr w14:paraId="14A024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1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786F948">
            <w:pPr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Category</w:t>
            </w:r>
          </w:p>
        </w:tc>
        <w:tc>
          <w:tcPr>
            <w:tcW w:w="198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0162C2E">
            <w:pPr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Di-Tag Count</w:t>
            </w:r>
          </w:p>
        </w:tc>
        <w:tc>
          <w:tcPr>
            <w:tcW w:w="212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DA99F34">
            <w:pPr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Percent in Paired (%)</w:t>
            </w:r>
          </w:p>
        </w:tc>
        <w:tc>
          <w:tcPr>
            <w:tcW w:w="269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F4D5419">
            <w:pPr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Percent in Total Reads(%)</w:t>
            </w:r>
          </w:p>
        </w:tc>
      </w:tr>
      <w:tr w14:paraId="2F9750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A4AE58">
            <w:pPr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Same Circularised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C14520">
            <w:pPr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433,097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85D0B1">
            <w:pPr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0.12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A3D7B7">
            <w:pPr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0.04</w:t>
            </w:r>
          </w:p>
        </w:tc>
      </w:tr>
      <w:tr w14:paraId="203A09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07D4C8">
            <w:pPr>
              <w:rPr>
                <w:rFonts w:eastAsia="等线"/>
                <w:color w:val="091F30"/>
                <w:kern w:val="0"/>
                <w:sz w:val="21"/>
                <w:szCs w:val="21"/>
              </w:rPr>
            </w:pPr>
            <w:r>
              <w:rPr>
                <w:rFonts w:eastAsia="等线"/>
                <w:color w:val="091F30"/>
                <w:kern w:val="0"/>
                <w:sz w:val="21"/>
                <w:szCs w:val="21"/>
              </w:rPr>
              <w:t>Same Fragment Dangling Ends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7AEA33">
            <w:pPr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9,332,871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7795CC">
            <w:pPr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2.48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BA82D5">
            <w:pPr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0.88</w:t>
            </w:r>
          </w:p>
        </w:tc>
      </w:tr>
      <w:tr w14:paraId="5F2451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87C76D">
            <w:pPr>
              <w:rPr>
                <w:rFonts w:eastAsia="等线"/>
                <w:color w:val="091F30"/>
                <w:kern w:val="0"/>
                <w:sz w:val="21"/>
                <w:szCs w:val="21"/>
              </w:rPr>
            </w:pPr>
            <w:r>
              <w:rPr>
                <w:rFonts w:eastAsia="等线"/>
                <w:color w:val="091F30"/>
                <w:kern w:val="0"/>
                <w:sz w:val="21"/>
                <w:szCs w:val="21"/>
              </w:rPr>
              <w:t>Same Fragment Internal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FA88FA">
            <w:pPr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91,300,767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659359">
            <w:pPr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24.27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D27D79">
            <w:pPr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8.58</w:t>
            </w:r>
          </w:p>
        </w:tc>
      </w:tr>
      <w:tr w14:paraId="44285C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44F0EE">
            <w:pPr>
              <w:rPr>
                <w:rFonts w:eastAsia="等线"/>
                <w:color w:val="091F30"/>
                <w:kern w:val="0"/>
                <w:sz w:val="21"/>
                <w:szCs w:val="21"/>
              </w:rPr>
            </w:pPr>
            <w:r>
              <w:rPr>
                <w:rFonts w:eastAsia="等线"/>
                <w:color w:val="091F30"/>
                <w:kern w:val="0"/>
                <w:sz w:val="21"/>
                <w:szCs w:val="21"/>
              </w:rPr>
              <w:t>Re-ligation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DB9235">
            <w:pPr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14,445,877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84DA7E">
            <w:pPr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3.84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BEC215">
            <w:pPr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1.36</w:t>
            </w:r>
          </w:p>
        </w:tc>
      </w:tr>
      <w:tr w14:paraId="2F00B2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7EB3AB">
            <w:pPr>
              <w:rPr>
                <w:rFonts w:eastAsia="等线"/>
                <w:color w:val="091F30"/>
                <w:kern w:val="0"/>
                <w:sz w:val="21"/>
                <w:szCs w:val="21"/>
              </w:rPr>
            </w:pPr>
            <w:r>
              <w:rPr>
                <w:rFonts w:eastAsia="等线"/>
                <w:color w:val="091F30"/>
                <w:kern w:val="0"/>
                <w:sz w:val="21"/>
                <w:szCs w:val="21"/>
              </w:rPr>
              <w:t>Contiguous Sequence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BF81DC">
            <w:pPr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E5AD7D">
            <w:pPr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3D62B6">
            <w:pPr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0</w:t>
            </w:r>
          </w:p>
        </w:tc>
      </w:tr>
      <w:tr w14:paraId="252B34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D9A9F6">
            <w:pPr>
              <w:rPr>
                <w:rFonts w:eastAsia="等线"/>
                <w:color w:val="091F30"/>
                <w:kern w:val="0"/>
                <w:sz w:val="21"/>
                <w:szCs w:val="21"/>
              </w:rPr>
            </w:pPr>
            <w:r>
              <w:rPr>
                <w:rFonts w:eastAsia="等线"/>
                <w:color w:val="091F30"/>
                <w:kern w:val="0"/>
                <w:sz w:val="21"/>
                <w:szCs w:val="21"/>
              </w:rPr>
              <w:t>Wrong Size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5A239F">
            <w:pPr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15821F">
            <w:pPr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2DC6AB">
            <w:pPr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0</w:t>
            </w:r>
          </w:p>
        </w:tc>
      </w:tr>
      <w:tr w14:paraId="54DD17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91F280">
            <w:pPr>
              <w:rPr>
                <w:rFonts w:eastAsia="等线"/>
                <w:color w:val="091F30"/>
                <w:kern w:val="0"/>
                <w:sz w:val="21"/>
                <w:szCs w:val="21"/>
              </w:rPr>
            </w:pPr>
            <w:r>
              <w:rPr>
                <w:rFonts w:eastAsia="等线"/>
                <w:color w:val="091F30"/>
                <w:kern w:val="0"/>
                <w:sz w:val="21"/>
                <w:szCs w:val="21"/>
              </w:rPr>
              <w:t>Invalid Pairs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10DDCF">
            <w:pPr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115,512,612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1A28B6">
            <w:pPr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30.71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98B824">
            <w:pPr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10.85</w:t>
            </w:r>
          </w:p>
        </w:tc>
      </w:tr>
      <w:tr w14:paraId="25FDA0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E4A59F">
            <w:pPr>
              <w:rPr>
                <w:rFonts w:eastAsia="等线"/>
                <w:color w:val="091F30"/>
                <w:kern w:val="0"/>
                <w:sz w:val="21"/>
                <w:szCs w:val="21"/>
              </w:rPr>
            </w:pPr>
            <w:r>
              <w:rPr>
                <w:rFonts w:eastAsia="等线"/>
                <w:color w:val="091F30"/>
                <w:kern w:val="0"/>
                <w:sz w:val="21"/>
                <w:szCs w:val="21"/>
              </w:rPr>
              <w:t>Valid Pairs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B2972F">
            <w:pPr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18,728,919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5EB86C">
            <w:pPr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4.98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D5D29E">
            <w:pPr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1.76</w:t>
            </w:r>
          </w:p>
        </w:tc>
      </w:tr>
      <w:tr w14:paraId="0A103C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11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E0476E6">
            <w:pPr>
              <w:rPr>
                <w:rFonts w:eastAsia="等线"/>
                <w:color w:val="091F30"/>
                <w:kern w:val="0"/>
                <w:sz w:val="21"/>
                <w:szCs w:val="21"/>
              </w:rPr>
            </w:pPr>
            <w:r>
              <w:rPr>
                <w:rFonts w:eastAsia="等线"/>
                <w:color w:val="091F30"/>
                <w:kern w:val="0"/>
                <w:sz w:val="21"/>
                <w:szCs w:val="21"/>
              </w:rPr>
              <w:t>Valid Pairs (de-duplication)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C520D56">
            <w:pPr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18,673,445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2D69224">
            <w:pPr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4.96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CB154D6">
            <w:pPr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/>
                <w:color w:val="000000"/>
                <w:kern w:val="0"/>
                <w:sz w:val="21"/>
                <w:szCs w:val="21"/>
              </w:rPr>
              <w:t>1.75</w:t>
            </w:r>
          </w:p>
        </w:tc>
      </w:tr>
    </w:tbl>
    <w:p w14:paraId="32CC06E8">
      <w:pPr>
        <w:jc w:val="center"/>
      </w:pPr>
    </w:p>
    <w:p w14:paraId="0E97BDCA">
      <w:pPr>
        <w:jc w:val="center"/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138E59C3">
      <w:pPr>
        <w:jc w:val="center"/>
      </w:pPr>
    </w:p>
    <w:tbl>
      <w:tblPr>
        <w:tblStyle w:val="19"/>
        <w:tblW w:w="1194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0"/>
        <w:gridCol w:w="1520"/>
        <w:gridCol w:w="1059"/>
        <w:gridCol w:w="1316"/>
        <w:gridCol w:w="1316"/>
        <w:gridCol w:w="1520"/>
        <w:gridCol w:w="1059"/>
        <w:gridCol w:w="1206"/>
        <w:gridCol w:w="1206"/>
      </w:tblGrid>
      <w:tr w14:paraId="0EDA50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9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57B5D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Table S3. Statistics of assembled genomic sequences.</w:t>
            </w:r>
          </w:p>
        </w:tc>
      </w:tr>
      <w:tr w14:paraId="0EA2FB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85368DB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Genome version</w:t>
            </w:r>
          </w:p>
        </w:tc>
        <w:tc>
          <w:tcPr>
            <w:tcW w:w="152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2EA80E2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Sequence length (bp)</w:t>
            </w:r>
          </w:p>
        </w:tc>
        <w:tc>
          <w:tcPr>
            <w:tcW w:w="9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95F4A72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Sequence number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7B7EA48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N50 (bp)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5A39118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N90 (bp)</w:t>
            </w:r>
          </w:p>
        </w:tc>
        <w:tc>
          <w:tcPr>
            <w:tcW w:w="152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F01FD65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Sequence length (bp)</w:t>
            </w:r>
          </w:p>
        </w:tc>
        <w:tc>
          <w:tcPr>
            <w:tcW w:w="99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A62BD98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Sequence number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9104903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N50 (bp)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0CDB4EF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N90 (bp)</w:t>
            </w:r>
          </w:p>
        </w:tc>
      </w:tr>
      <w:tr w14:paraId="0F3946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B030F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Initial genome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0106C6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3,064,501,230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DE034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964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EF18D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80,428,856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56CB7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9,014,469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86EB1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3,064,501,230 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B3758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964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709E8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80,428,856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3C214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9,014,469 </w:t>
            </w:r>
          </w:p>
        </w:tc>
      </w:tr>
      <w:tr w14:paraId="5B92AE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4596F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Anchored genome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7B9C9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3,059,450,514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F3248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847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A8BAF6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151,057,683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196229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111,576,553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77CDD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3,059,439,114 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DE614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961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06529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71,714,700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58BD7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9,083,269 </w:t>
            </w:r>
          </w:p>
        </w:tc>
      </w:tr>
      <w:tr w14:paraId="668335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D31DC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Anchored chromosome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E7926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2,858,007,457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A7170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19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E85DD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152,563,522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2679E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130,484,637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0E0DD0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2,858,001,657 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4B03E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77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9FF88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74,024,000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CE969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18,280,908 </w:t>
            </w:r>
          </w:p>
        </w:tc>
      </w:tr>
      <w:tr w14:paraId="7FD543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23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2A0310C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Free sequence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686790A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201,443,057 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FDE731C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828 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3F2EA64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553,869 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916C36A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86,861 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9537F1E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201,437,457 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34071EC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884 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A5F4445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521,122 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3CB0D97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81,726 </w:t>
            </w:r>
          </w:p>
        </w:tc>
      </w:tr>
    </w:tbl>
    <w:p w14:paraId="1D658522">
      <w:pPr>
        <w:jc w:val="center"/>
      </w:pPr>
    </w:p>
    <w:p w14:paraId="095D4347">
      <w:pPr>
        <w:jc w:val="center"/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05B63DE0">
      <w:pPr>
        <w:jc w:val="center"/>
      </w:pPr>
    </w:p>
    <w:tbl>
      <w:tblPr>
        <w:tblStyle w:val="19"/>
        <w:tblW w:w="1122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8"/>
        <w:gridCol w:w="1489"/>
        <w:gridCol w:w="1481"/>
        <w:gridCol w:w="1630"/>
        <w:gridCol w:w="2570"/>
        <w:gridCol w:w="2570"/>
      </w:tblGrid>
      <w:tr w14:paraId="01E05E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122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1677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Table S4. Chromosome-level assembly statistics and telomere identification in </w:t>
            </w:r>
            <w:r>
              <w:rPr>
                <w:i/>
                <w:iCs/>
                <w:sz w:val="22"/>
                <w:szCs w:val="22"/>
              </w:rPr>
              <w:t>M. dahurica</w:t>
            </w:r>
            <w:r>
              <w:rPr>
                <w:sz w:val="22"/>
                <w:szCs w:val="22"/>
              </w:rPr>
              <w:t>.</w:t>
            </w:r>
          </w:p>
        </w:tc>
      </w:tr>
      <w:tr w14:paraId="0214CE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48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78A6F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Chromosomes</w:t>
            </w:r>
          </w:p>
        </w:tc>
        <w:tc>
          <w:tcPr>
            <w:tcW w:w="148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4D797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Length (bp)</w:t>
            </w:r>
          </w:p>
        </w:tc>
        <w:tc>
          <w:tcPr>
            <w:tcW w:w="148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DE169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Number of contigs</w:t>
            </w:r>
          </w:p>
        </w:tc>
        <w:tc>
          <w:tcPr>
            <w:tcW w:w="16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B91E9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Number of gaps</w:t>
            </w:r>
          </w:p>
        </w:tc>
        <w:tc>
          <w:tcPr>
            <w:tcW w:w="257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7C1FD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Number of telomeres (Front)</w:t>
            </w:r>
          </w:p>
        </w:tc>
        <w:tc>
          <w:tcPr>
            <w:tcW w:w="257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835C6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Number of telomeres (End)</w:t>
            </w:r>
          </w:p>
        </w:tc>
      </w:tr>
      <w:tr w14:paraId="1AC3BB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14F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chr1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D68E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199,977,113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25C3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A01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A43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2DAF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14:paraId="40367E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17B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chr2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9CB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188,648,379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2E4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F3F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118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</w:t>
            </w: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85B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14:paraId="65BB28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7D1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chr3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78A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181,079,874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A15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BEA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626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</w:t>
            </w: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104F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598</w:t>
            </w:r>
          </w:p>
        </w:tc>
      </w:tr>
      <w:tr w14:paraId="306CE1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443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chr4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ABA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172,474,927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C4A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2D7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75F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628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14:paraId="36D55B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1FF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chr5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698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166,067,045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26F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337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6F3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337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1,976</w:t>
            </w:r>
          </w:p>
        </w:tc>
      </w:tr>
      <w:tr w14:paraId="22CCE7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CB7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chr6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84B3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157,365,540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DA87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F0F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CF2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C1A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</w:t>
            </w:r>
          </w:p>
        </w:tc>
      </w:tr>
      <w:tr w14:paraId="149EAC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D31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chr7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3C8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154,577,346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267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F91C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A76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2,865</w:t>
            </w: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D7D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2,653</w:t>
            </w:r>
          </w:p>
        </w:tc>
      </w:tr>
      <w:tr w14:paraId="01A58A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3B5E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chr8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488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153,232,083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38C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410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3DEF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</w:t>
            </w: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CE4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2,294</w:t>
            </w:r>
          </w:p>
        </w:tc>
      </w:tr>
      <w:tr w14:paraId="595619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C74E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chr9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8F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152,678,332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CDB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E2A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776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</w:t>
            </w: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5F3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14:paraId="565E75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CEE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chr10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254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151,152,916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73F3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138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CD3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DB5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3,055</w:t>
            </w:r>
          </w:p>
        </w:tc>
      </w:tr>
      <w:tr w14:paraId="450C4C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AF5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chr11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012F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138,893,480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F4C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70B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A1F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3,198</w:t>
            </w: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4F0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14:paraId="074747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919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chr12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A3A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138,898,721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294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874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0B5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E2D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2,392</w:t>
            </w:r>
          </w:p>
        </w:tc>
      </w:tr>
      <w:tr w14:paraId="2CD796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9674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chr13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896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139,205,371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C30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7DA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327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289</w:t>
            </w: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CCFB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14:paraId="2FE99A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32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chr14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FC3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137,871,030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BD20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594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3E9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5A4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14:paraId="5965A4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0C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chr15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7B4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137,273,996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E57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636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6D6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</w:t>
            </w: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E9F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2,623</w:t>
            </w:r>
          </w:p>
        </w:tc>
      </w:tr>
      <w:tr w14:paraId="05EB00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2A5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chr16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588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133,867,103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D3E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0A4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C3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</w:t>
            </w: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9C3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14:paraId="0455C4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555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chr17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8CC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130,459,036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555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F0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02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3D3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14:paraId="2D79D7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DCA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chr18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19D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116,490,694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118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CA7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54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3A02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</w:t>
            </w:r>
          </w:p>
        </w:tc>
      </w:tr>
      <w:tr w14:paraId="07EBDC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48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64632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chr19</w:t>
            </w:r>
          </w:p>
        </w:tc>
        <w:tc>
          <w:tcPr>
            <w:tcW w:w="148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E060D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111,571,151</w:t>
            </w:r>
          </w:p>
        </w:tc>
        <w:tc>
          <w:tcPr>
            <w:tcW w:w="148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93BC0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3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449DB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57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0763E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57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34D4F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2,094</w:t>
            </w:r>
          </w:p>
        </w:tc>
      </w:tr>
    </w:tbl>
    <w:p w14:paraId="61336CE3">
      <w:pPr>
        <w:jc w:val="center"/>
      </w:pPr>
    </w:p>
    <w:p w14:paraId="4CCFECC4">
      <w:pPr>
        <w:jc w:val="center"/>
      </w:pPr>
    </w:p>
    <w:p w14:paraId="222F3A7B">
      <w:pPr>
        <w:jc w:val="center"/>
      </w:pPr>
    </w:p>
    <w:tbl>
      <w:tblPr>
        <w:tblStyle w:val="19"/>
        <w:tblW w:w="1037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0"/>
        <w:gridCol w:w="3903"/>
        <w:gridCol w:w="3137"/>
      </w:tblGrid>
      <w:tr w14:paraId="6E5EE1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0370" w:type="dxa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D973F29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Table S5. Classification and statistics of repeat sequences in the </w:t>
            </w:r>
            <w:r>
              <w:rPr>
                <w:rFonts w:eastAsia="等线"/>
                <w:i/>
                <w:iCs/>
                <w:color w:val="000000"/>
                <w:kern w:val="0"/>
                <w:sz w:val="22"/>
                <w:szCs w:val="22"/>
              </w:rPr>
              <w:t>M. dahurica</w:t>
            </w: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 genome.</w:t>
            </w:r>
          </w:p>
        </w:tc>
      </w:tr>
      <w:tr w14:paraId="2B5EEC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3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90C7AB6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Type</w:t>
            </w:r>
          </w:p>
        </w:tc>
        <w:tc>
          <w:tcPr>
            <w:tcW w:w="390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ECC6943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Repeat Size (bp)</w:t>
            </w:r>
          </w:p>
        </w:tc>
        <w:tc>
          <w:tcPr>
            <w:tcW w:w="313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2EF24AE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% of genome</w:t>
            </w:r>
          </w:p>
        </w:tc>
      </w:tr>
      <w:tr w14:paraId="20F5D2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3459B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Trf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23EB2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527,435,689</w:t>
            </w:r>
          </w:p>
        </w:tc>
        <w:tc>
          <w:tcPr>
            <w:tcW w:w="3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C2860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18.43</w:t>
            </w:r>
          </w:p>
        </w:tc>
      </w:tr>
      <w:tr w14:paraId="491A54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95A5C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Repeatmasker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C3771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259,987,059</w:t>
            </w:r>
          </w:p>
        </w:tc>
        <w:tc>
          <w:tcPr>
            <w:tcW w:w="3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7B07D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9.08</w:t>
            </w:r>
          </w:p>
        </w:tc>
      </w:tr>
      <w:tr w14:paraId="15FA0E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B8D36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Proteinmask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50A8A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205,677,808</w:t>
            </w:r>
          </w:p>
        </w:tc>
        <w:tc>
          <w:tcPr>
            <w:tcW w:w="3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21346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7.19</w:t>
            </w:r>
          </w:p>
        </w:tc>
      </w:tr>
      <w:tr w14:paraId="11B47B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40182">
            <w:pPr>
              <w:jc w:val="center"/>
              <w:rPr>
                <w:rFonts w:eastAsia="等线"/>
                <w:i/>
                <w:iCs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i/>
                <w:iCs/>
                <w:color w:val="000000"/>
                <w:kern w:val="0"/>
                <w:sz w:val="22"/>
                <w:szCs w:val="22"/>
              </w:rPr>
              <w:t>De novo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AA806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1,626,251,520</w:t>
            </w:r>
          </w:p>
        </w:tc>
        <w:tc>
          <w:tcPr>
            <w:tcW w:w="3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CD92E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56.82</w:t>
            </w:r>
          </w:p>
        </w:tc>
      </w:tr>
      <w:tr w14:paraId="7DB4A7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33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40102C3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Total</w:t>
            </w:r>
          </w:p>
        </w:tc>
        <w:tc>
          <w:tcPr>
            <w:tcW w:w="390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5D3CA22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1,978,139,542</w:t>
            </w:r>
          </w:p>
        </w:tc>
        <w:tc>
          <w:tcPr>
            <w:tcW w:w="313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8FE4547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69.11</w:t>
            </w:r>
          </w:p>
        </w:tc>
      </w:tr>
    </w:tbl>
    <w:p w14:paraId="122939FB">
      <w:pPr>
        <w:jc w:val="center"/>
      </w:pPr>
    </w:p>
    <w:p w14:paraId="73278CA7">
      <w:pPr>
        <w:jc w:val="center"/>
      </w:pPr>
    </w:p>
    <w:p w14:paraId="2E2E6C9E">
      <w:pPr>
        <w:jc w:val="center"/>
      </w:pPr>
    </w:p>
    <w:tbl>
      <w:tblPr>
        <w:tblStyle w:val="19"/>
        <w:tblW w:w="1063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9"/>
        <w:gridCol w:w="1048"/>
        <w:gridCol w:w="1247"/>
        <w:gridCol w:w="1441"/>
        <w:gridCol w:w="1122"/>
        <w:gridCol w:w="1431"/>
        <w:gridCol w:w="1491"/>
        <w:gridCol w:w="1343"/>
      </w:tblGrid>
      <w:tr w14:paraId="740DAD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6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79B4D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Table S6. Blast-based taxonomic origin assessment of the genome assembly.</w:t>
            </w:r>
          </w:p>
        </w:tc>
      </w:tr>
      <w:tr w14:paraId="2919A6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5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BCE3007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Genus</w:t>
            </w:r>
          </w:p>
        </w:tc>
        <w:tc>
          <w:tcPr>
            <w:tcW w:w="104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01561C5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Kingdom</w:t>
            </w:r>
          </w:p>
        </w:tc>
        <w:tc>
          <w:tcPr>
            <w:tcW w:w="1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F54AB9F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Blast number</w:t>
            </w:r>
          </w:p>
        </w:tc>
        <w:tc>
          <w:tcPr>
            <w:tcW w:w="14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E489933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Genome split number</w:t>
            </w:r>
          </w:p>
        </w:tc>
        <w:tc>
          <w:tcPr>
            <w:tcW w:w="112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22A1A57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Hit number</w:t>
            </w:r>
          </w:p>
        </w:tc>
        <w:tc>
          <w:tcPr>
            <w:tcW w:w="143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44122CC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Percentage of genome (%)</w:t>
            </w:r>
          </w:p>
        </w:tc>
        <w:tc>
          <w:tcPr>
            <w:tcW w:w="149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1E09F83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Percentage of hits (%)</w:t>
            </w:r>
          </w:p>
        </w:tc>
        <w:tc>
          <w:tcPr>
            <w:tcW w:w="13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154464C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Median identity (%)</w:t>
            </w:r>
          </w:p>
        </w:tc>
      </w:tr>
      <w:tr w14:paraId="7D73A8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435C2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Sinohyriopsis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F490A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Metazoa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1DE3E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36,180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7FA05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286,227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F5148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91,702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E0B3A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12.64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18245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39.45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F4E83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82.18</w:t>
            </w:r>
          </w:p>
        </w:tc>
      </w:tr>
      <w:tr w14:paraId="36BAF0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60078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Eretmochelys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CD56F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Metazoa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4D500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4,903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C1407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286,227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91EC5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91,702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E3751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1.71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D10C3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5.35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91016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90.48</w:t>
            </w:r>
          </w:p>
        </w:tc>
      </w:tr>
      <w:tr w14:paraId="782BEC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C871B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Amblema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7DDC4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Metazoa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938291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4,182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4D0C3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286,227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9ABBF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91,702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E8F3C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1.46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59CA44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4.56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B14189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81.93</w:t>
            </w:r>
          </w:p>
        </w:tc>
      </w:tr>
      <w:tr w14:paraId="15B4B7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8F7C5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Chrysemys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61E02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Metazoa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9D340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3685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9EB48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286,227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414DD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91,702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1536D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1.29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A6114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4.02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B0611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93.17</w:t>
            </w:r>
          </w:p>
        </w:tc>
      </w:tr>
      <w:tr w14:paraId="740695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50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0E35278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Margaritifera</w:t>
            </w:r>
          </w:p>
        </w:tc>
        <w:tc>
          <w:tcPr>
            <w:tcW w:w="104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BDFB6BC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Metazoa</w:t>
            </w:r>
          </w:p>
        </w:tc>
        <w:tc>
          <w:tcPr>
            <w:tcW w:w="124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0722EC7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2529</w:t>
            </w:r>
          </w:p>
        </w:tc>
        <w:tc>
          <w:tcPr>
            <w:tcW w:w="144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7795207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286,227</w:t>
            </w:r>
          </w:p>
        </w:tc>
        <w:tc>
          <w:tcPr>
            <w:tcW w:w="112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44C7FD4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91,702</w:t>
            </w:r>
          </w:p>
        </w:tc>
        <w:tc>
          <w:tcPr>
            <w:tcW w:w="143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5D0C514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0.88</w:t>
            </w:r>
          </w:p>
        </w:tc>
        <w:tc>
          <w:tcPr>
            <w:tcW w:w="149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5255AAC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2.76</w:t>
            </w:r>
          </w:p>
        </w:tc>
        <w:tc>
          <w:tcPr>
            <w:tcW w:w="134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5143A20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99.34</w:t>
            </w:r>
          </w:p>
        </w:tc>
      </w:tr>
    </w:tbl>
    <w:p w14:paraId="3A9A5464">
      <w:pPr>
        <w:jc w:val="center"/>
      </w:pPr>
    </w:p>
    <w:p w14:paraId="35E76C80">
      <w:pPr>
        <w:jc w:val="center"/>
      </w:pPr>
    </w:p>
    <w:p w14:paraId="768AE43A">
      <w:pPr>
        <w:jc w:val="center"/>
      </w:pPr>
    </w:p>
    <w:p w14:paraId="601EC886">
      <w:pPr>
        <w:jc w:val="center"/>
      </w:pPr>
    </w:p>
    <w:p w14:paraId="472F3098">
      <w:pPr>
        <w:jc w:val="center"/>
      </w:pPr>
    </w:p>
    <w:tbl>
      <w:tblPr>
        <w:tblStyle w:val="19"/>
        <w:tblW w:w="1127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0"/>
        <w:gridCol w:w="1390"/>
        <w:gridCol w:w="1685"/>
        <w:gridCol w:w="1265"/>
        <w:gridCol w:w="1390"/>
        <w:gridCol w:w="1059"/>
        <w:gridCol w:w="1156"/>
        <w:gridCol w:w="1156"/>
      </w:tblGrid>
      <w:tr w14:paraId="63278D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271" w:type="dxa"/>
            <w:gridSpan w:val="8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38AE95D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Table S7. Mapping statistics of multi-platform sequencing reads against the </w:t>
            </w:r>
            <w:r>
              <w:rPr>
                <w:rFonts w:eastAsia="等线"/>
                <w:i/>
                <w:iCs/>
                <w:color w:val="000000"/>
                <w:kern w:val="0"/>
                <w:sz w:val="22"/>
                <w:szCs w:val="22"/>
              </w:rPr>
              <w:t>M. dahurica</w:t>
            </w: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 genome assembly.</w:t>
            </w:r>
          </w:p>
        </w:tc>
      </w:tr>
      <w:tr w14:paraId="27E9CB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217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F692CA4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Reads type</w:t>
            </w:r>
          </w:p>
        </w:tc>
        <w:tc>
          <w:tcPr>
            <w:tcW w:w="139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0E28991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Mapping rate (%)</w:t>
            </w:r>
          </w:p>
        </w:tc>
        <w:tc>
          <w:tcPr>
            <w:tcW w:w="16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DC42811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Paired mapping rate (%)</w:t>
            </w:r>
          </w:p>
        </w:tc>
        <w:tc>
          <w:tcPr>
            <w:tcW w:w="126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941C3FB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Average depth (X)</w:t>
            </w:r>
          </w:p>
        </w:tc>
        <w:tc>
          <w:tcPr>
            <w:tcW w:w="139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B08552E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Coverage (%)</w:t>
            </w:r>
          </w:p>
        </w:tc>
        <w:tc>
          <w:tcPr>
            <w:tcW w:w="10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9B89189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Coverage </w:t>
            </w: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(≥4X, %)</w:t>
            </w:r>
          </w:p>
        </w:tc>
        <w:tc>
          <w:tcPr>
            <w:tcW w:w="115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8B42E14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Coverage </w:t>
            </w: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(≥10X, %)</w:t>
            </w:r>
          </w:p>
        </w:tc>
        <w:tc>
          <w:tcPr>
            <w:tcW w:w="115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3589219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Coverage</w:t>
            </w: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(≥20X, %)</w:t>
            </w:r>
          </w:p>
        </w:tc>
      </w:tr>
      <w:tr w14:paraId="447698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17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963D9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Illumina short reads</w:t>
            </w:r>
          </w:p>
        </w:tc>
        <w:tc>
          <w:tcPr>
            <w:tcW w:w="139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866FC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99.83</w:t>
            </w:r>
          </w:p>
        </w:tc>
        <w:tc>
          <w:tcPr>
            <w:tcW w:w="168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37B48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96.46</w:t>
            </w:r>
          </w:p>
        </w:tc>
        <w:tc>
          <w:tcPr>
            <w:tcW w:w="126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D59AB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139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5BDCE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99.91</w:t>
            </w:r>
          </w:p>
        </w:tc>
        <w:tc>
          <w:tcPr>
            <w:tcW w:w="1059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F42A7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99.63</w:t>
            </w:r>
          </w:p>
        </w:tc>
        <w:tc>
          <w:tcPr>
            <w:tcW w:w="115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CF110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98.83</w:t>
            </w:r>
          </w:p>
        </w:tc>
        <w:tc>
          <w:tcPr>
            <w:tcW w:w="115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8B7F9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96.83</w:t>
            </w:r>
          </w:p>
        </w:tc>
      </w:tr>
      <w:tr w14:paraId="427DCA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35D2D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PacBio HiFi reads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A3AE6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99.94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826231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DED6F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87.03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A89EC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99.97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DA1155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99.96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7A141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99.95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1F701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99.89</w:t>
            </w:r>
          </w:p>
        </w:tc>
      </w:tr>
      <w:tr w14:paraId="642FA9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17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ED3BC88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ONT ultra-long reads</w:t>
            </w:r>
          </w:p>
        </w:tc>
        <w:tc>
          <w:tcPr>
            <w:tcW w:w="139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BF4AE22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98.01</w:t>
            </w:r>
          </w:p>
        </w:tc>
        <w:tc>
          <w:tcPr>
            <w:tcW w:w="168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4C92A98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473AD56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36.25</w:t>
            </w:r>
          </w:p>
        </w:tc>
        <w:tc>
          <w:tcPr>
            <w:tcW w:w="139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4CD84D9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B6E530B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99.98</w:t>
            </w:r>
          </w:p>
        </w:tc>
        <w:tc>
          <w:tcPr>
            <w:tcW w:w="115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274C184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99.86</w:t>
            </w:r>
          </w:p>
        </w:tc>
        <w:tc>
          <w:tcPr>
            <w:tcW w:w="115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4308373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96.7</w:t>
            </w:r>
          </w:p>
        </w:tc>
      </w:tr>
    </w:tbl>
    <w:p w14:paraId="4D040B5E">
      <w:pPr>
        <w:jc w:val="center"/>
      </w:pPr>
    </w:p>
    <w:p w14:paraId="7ECD75C1">
      <w:pPr>
        <w:jc w:val="center"/>
      </w:pPr>
    </w:p>
    <w:p w14:paraId="444368B7">
      <w:pPr>
        <w:jc w:val="center"/>
      </w:pPr>
    </w:p>
    <w:tbl>
      <w:tblPr>
        <w:tblStyle w:val="19"/>
        <w:tblW w:w="947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5"/>
        <w:gridCol w:w="1467"/>
        <w:gridCol w:w="2087"/>
        <w:gridCol w:w="1201"/>
        <w:gridCol w:w="1831"/>
      </w:tblGrid>
      <w:tr w14:paraId="7AB96A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803E0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Table S8. The consensus quality (QV) assessment of </w:t>
            </w:r>
            <w:r>
              <w:rPr>
                <w:rFonts w:eastAsia="等线"/>
                <w:i/>
                <w:iCs/>
                <w:color w:val="000000"/>
                <w:kern w:val="0"/>
                <w:sz w:val="22"/>
                <w:szCs w:val="22"/>
              </w:rPr>
              <w:t>M. dahurica</w:t>
            </w: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 genome.</w:t>
            </w:r>
          </w:p>
        </w:tc>
      </w:tr>
      <w:tr w14:paraId="7A4235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8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63612A6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Reads type</w:t>
            </w:r>
          </w:p>
        </w:tc>
        <w:tc>
          <w:tcPr>
            <w:tcW w:w="146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37645CB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K_asm</w:t>
            </w:r>
          </w:p>
        </w:tc>
        <w:tc>
          <w:tcPr>
            <w:tcW w:w="208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B604E44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K_total</w:t>
            </w:r>
          </w:p>
        </w:tc>
        <w:tc>
          <w:tcPr>
            <w:tcW w:w="120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8A77885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QV</w:t>
            </w:r>
          </w:p>
        </w:tc>
        <w:tc>
          <w:tcPr>
            <w:tcW w:w="183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C75CDD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Error rate</w:t>
            </w:r>
          </w:p>
        </w:tc>
      </w:tr>
      <w:tr w14:paraId="73E687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A6117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Illumina short reads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B9388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1,331,767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7C2FE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2,862,168,685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0440B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46.5439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F3590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2.21621e-05</w:t>
            </w:r>
          </w:p>
        </w:tc>
      </w:tr>
      <w:tr w14:paraId="2E04E0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88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DE6C162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PacBio HiFi reads</w:t>
            </w:r>
          </w:p>
        </w:tc>
        <w:tc>
          <w:tcPr>
            <w:tcW w:w="146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895AEFB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233,969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166C00E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2,862,168,685</w:t>
            </w:r>
          </w:p>
        </w:tc>
        <w:tc>
          <w:tcPr>
            <w:tcW w:w="120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DE2B001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54.0974</w:t>
            </w:r>
          </w:p>
        </w:tc>
        <w:tc>
          <w:tcPr>
            <w:tcW w:w="183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C86E4D1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3.89E-06</w:t>
            </w:r>
          </w:p>
        </w:tc>
      </w:tr>
    </w:tbl>
    <w:p w14:paraId="1F22962B">
      <w:pPr>
        <w:jc w:val="center"/>
      </w:pPr>
    </w:p>
    <w:p w14:paraId="389B15CD">
      <w:pPr>
        <w:jc w:val="center"/>
      </w:pPr>
    </w:p>
    <w:p w14:paraId="0CAC77F0">
      <w:pPr>
        <w:jc w:val="center"/>
      </w:pPr>
    </w:p>
    <w:tbl>
      <w:tblPr>
        <w:tblStyle w:val="19"/>
        <w:tblW w:w="1307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4"/>
        <w:gridCol w:w="2616"/>
        <w:gridCol w:w="2720"/>
        <w:gridCol w:w="2667"/>
        <w:gridCol w:w="2773"/>
      </w:tblGrid>
      <w:tr w14:paraId="45B701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30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7C254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Table S9. Homozygous and heterozygous rates of assembly for </w:t>
            </w:r>
            <w:r>
              <w:rPr>
                <w:rFonts w:eastAsia="等线"/>
                <w:i/>
                <w:iCs/>
                <w:color w:val="000000"/>
                <w:kern w:val="0"/>
                <w:sz w:val="22"/>
                <w:szCs w:val="22"/>
              </w:rPr>
              <w:t>M. dahurica</w:t>
            </w: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 genome.</w:t>
            </w:r>
          </w:p>
        </w:tc>
      </w:tr>
      <w:tr w14:paraId="31ED8D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29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8C48EB8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Sample name</w:t>
            </w:r>
          </w:p>
        </w:tc>
        <w:tc>
          <w:tcPr>
            <w:tcW w:w="261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7A3D74D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Homozygous SNP rate (%)</w:t>
            </w:r>
          </w:p>
        </w:tc>
        <w:tc>
          <w:tcPr>
            <w:tcW w:w="272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387701F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Homozygous InDel rate (%)</w:t>
            </w:r>
          </w:p>
        </w:tc>
        <w:tc>
          <w:tcPr>
            <w:tcW w:w="266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DE55C95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Heterozygous SNP rate (%)</w:t>
            </w:r>
          </w:p>
        </w:tc>
        <w:tc>
          <w:tcPr>
            <w:tcW w:w="277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31D9BC4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Heterozygous InDel rate (%)</w:t>
            </w:r>
          </w:p>
        </w:tc>
      </w:tr>
      <w:tr w14:paraId="4FFE89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29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16075F9">
            <w:pPr>
              <w:jc w:val="center"/>
              <w:rPr>
                <w:rFonts w:eastAsia="等线"/>
                <w:i/>
                <w:iCs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i/>
                <w:iCs/>
                <w:color w:val="000000"/>
                <w:kern w:val="0"/>
                <w:sz w:val="22"/>
                <w:szCs w:val="22"/>
              </w:rPr>
              <w:t>Margaritiana dahurica</w:t>
            </w:r>
          </w:p>
        </w:tc>
        <w:tc>
          <w:tcPr>
            <w:tcW w:w="261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C9A824F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272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E85FB05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0.001</w:t>
            </w:r>
          </w:p>
        </w:tc>
        <w:tc>
          <w:tcPr>
            <w:tcW w:w="266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4FBF0F7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0.056</w:t>
            </w:r>
          </w:p>
        </w:tc>
        <w:tc>
          <w:tcPr>
            <w:tcW w:w="277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0582134">
            <w:pPr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0.019</w:t>
            </w:r>
          </w:p>
        </w:tc>
      </w:tr>
    </w:tbl>
    <w:p w14:paraId="2EA4F988">
      <w:pPr>
        <w:jc w:val="center"/>
      </w:pPr>
    </w:p>
    <w:p w14:paraId="1E830264">
      <w:pPr>
        <w:jc w:val="center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083099">
    <w:pPr>
      <w:pStyle w:val="12"/>
    </w:pPr>
    <w:r>
      <w:rPr>
        <w:sz w:val="24"/>
        <w:szCs w:val="24"/>
      </w:rPr>
      <w:t>Supplementary Materials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453"/>
    <w:rsid w:val="0002114E"/>
    <w:rsid w:val="0002173C"/>
    <w:rsid w:val="00051014"/>
    <w:rsid w:val="0008548C"/>
    <w:rsid w:val="000B0A2D"/>
    <w:rsid w:val="000D2215"/>
    <w:rsid w:val="000E625C"/>
    <w:rsid w:val="00117453"/>
    <w:rsid w:val="0012398C"/>
    <w:rsid w:val="00191EF2"/>
    <w:rsid w:val="00194CFD"/>
    <w:rsid w:val="001D429E"/>
    <w:rsid w:val="00204B76"/>
    <w:rsid w:val="0021390A"/>
    <w:rsid w:val="00265C1B"/>
    <w:rsid w:val="002764C3"/>
    <w:rsid w:val="002861EA"/>
    <w:rsid w:val="002F449B"/>
    <w:rsid w:val="00312F79"/>
    <w:rsid w:val="00325AF6"/>
    <w:rsid w:val="004D4370"/>
    <w:rsid w:val="004D77FE"/>
    <w:rsid w:val="004E49D8"/>
    <w:rsid w:val="005479DC"/>
    <w:rsid w:val="005556E5"/>
    <w:rsid w:val="005630BF"/>
    <w:rsid w:val="005811D1"/>
    <w:rsid w:val="005A3526"/>
    <w:rsid w:val="005A55C2"/>
    <w:rsid w:val="005C0A07"/>
    <w:rsid w:val="005C5753"/>
    <w:rsid w:val="005D4B85"/>
    <w:rsid w:val="00603D84"/>
    <w:rsid w:val="00605614"/>
    <w:rsid w:val="006953B5"/>
    <w:rsid w:val="006B4466"/>
    <w:rsid w:val="00707E92"/>
    <w:rsid w:val="00751A90"/>
    <w:rsid w:val="00770DDD"/>
    <w:rsid w:val="007A089E"/>
    <w:rsid w:val="007B0CFC"/>
    <w:rsid w:val="007D6B2A"/>
    <w:rsid w:val="008163B6"/>
    <w:rsid w:val="00904671"/>
    <w:rsid w:val="0095104B"/>
    <w:rsid w:val="009A4C47"/>
    <w:rsid w:val="009C3C6C"/>
    <w:rsid w:val="009C466A"/>
    <w:rsid w:val="009E3BE5"/>
    <w:rsid w:val="00A36B71"/>
    <w:rsid w:val="00A74AD5"/>
    <w:rsid w:val="00A8704F"/>
    <w:rsid w:val="00A9789F"/>
    <w:rsid w:val="00AD5B46"/>
    <w:rsid w:val="00B00171"/>
    <w:rsid w:val="00B132E9"/>
    <w:rsid w:val="00B23280"/>
    <w:rsid w:val="00B30169"/>
    <w:rsid w:val="00BA7E81"/>
    <w:rsid w:val="00BB2AFE"/>
    <w:rsid w:val="00BF6AC9"/>
    <w:rsid w:val="00C02D85"/>
    <w:rsid w:val="00C35A71"/>
    <w:rsid w:val="00C4050C"/>
    <w:rsid w:val="00C67D11"/>
    <w:rsid w:val="00C875E7"/>
    <w:rsid w:val="00CD04E8"/>
    <w:rsid w:val="00D0378F"/>
    <w:rsid w:val="00DA76DF"/>
    <w:rsid w:val="00DF2737"/>
    <w:rsid w:val="00E14F20"/>
    <w:rsid w:val="00E557DD"/>
    <w:rsid w:val="00ED2DC3"/>
    <w:rsid w:val="00ED4D6B"/>
    <w:rsid w:val="00EF6689"/>
    <w:rsid w:val="00EF67D3"/>
    <w:rsid w:val="00F15730"/>
    <w:rsid w:val="00F15C59"/>
    <w:rsid w:val="00F2614B"/>
    <w:rsid w:val="00F515F5"/>
    <w:rsid w:val="00F70B5C"/>
    <w:rsid w:val="00F80AE6"/>
    <w:rsid w:val="00FB610E"/>
    <w:rsid w:val="00FD024A"/>
    <w:rsid w:val="00FD380F"/>
    <w:rsid w:val="44BF1219"/>
    <w:rsid w:val="466D1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kern w:val="2"/>
      <w:lang w:val="en-US" w:eastAsia="zh-CN" w:bidi="ar-SA"/>
    </w:rPr>
  </w:style>
  <w:style w:type="paragraph" w:styleId="2">
    <w:name w:val="heading 1"/>
    <w:basedOn w:val="1"/>
    <w:next w:val="1"/>
    <w:link w:val="25"/>
    <w:qFormat/>
    <w:uiPriority w:val="0"/>
    <w:pPr>
      <w:keepNext/>
      <w:keepLines/>
      <w:widowControl w:val="0"/>
      <w:spacing w:before="340" w:after="330" w:line="360" w:lineRule="auto"/>
      <w:jc w:val="both"/>
      <w:outlineLvl w:val="0"/>
    </w:pPr>
    <w:rPr>
      <w:rFonts w:eastAsia="黑体"/>
      <w:b/>
      <w:bCs/>
      <w:kern w:val="44"/>
      <w:sz w:val="28"/>
      <w:szCs w:val="44"/>
    </w:rPr>
  </w:style>
  <w:style w:type="paragraph" w:styleId="3">
    <w:name w:val="heading 2"/>
    <w:basedOn w:val="1"/>
    <w:next w:val="1"/>
    <w:link w:val="26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27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8"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20">
    <w:name w:val="Default Paragraph Font"/>
    <w:semiHidden/>
    <w:unhideWhenUsed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Document Map"/>
    <w:basedOn w:val="1"/>
    <w:link w:val="36"/>
    <w:semiHidden/>
    <w:qFormat/>
    <w:uiPriority w:val="0"/>
    <w:pPr>
      <w:shd w:val="clear" w:color="auto" w:fill="000080"/>
    </w:pPr>
  </w:style>
  <w:style w:type="paragraph" w:styleId="7">
    <w:name w:val="annotation text"/>
    <w:basedOn w:val="1"/>
    <w:link w:val="33"/>
    <w:semiHidden/>
    <w:qFormat/>
    <w:uiPriority w:val="0"/>
  </w:style>
  <w:style w:type="paragraph" w:styleId="8">
    <w:name w:val="toc 3"/>
    <w:basedOn w:val="1"/>
    <w:next w:val="1"/>
    <w:qFormat/>
    <w:uiPriority w:val="39"/>
    <w:pPr>
      <w:tabs>
        <w:tab w:val="right" w:leader="dot" w:pos="9402"/>
      </w:tabs>
      <w:ind w:firstLine="420" w:firstLineChars="200"/>
    </w:pPr>
    <w:rPr>
      <w:kern w:val="0"/>
      <w:szCs w:val="21"/>
    </w:rPr>
  </w:style>
  <w:style w:type="paragraph" w:styleId="9">
    <w:name w:val="Plain Text"/>
    <w:basedOn w:val="1"/>
    <w:link w:val="37"/>
    <w:qFormat/>
    <w:uiPriority w:val="0"/>
    <w:pPr>
      <w:spacing w:before="100" w:beforeAutospacing="1" w:after="100" w:afterAutospacing="1"/>
    </w:pPr>
    <w:rPr>
      <w:rFonts w:ascii="宋体" w:hAnsi="宋体" w:cs="宋体"/>
      <w:kern w:val="0"/>
      <w:sz w:val="24"/>
    </w:rPr>
  </w:style>
  <w:style w:type="paragraph" w:styleId="10">
    <w:name w:val="Balloon Text"/>
    <w:basedOn w:val="1"/>
    <w:link w:val="39"/>
    <w:semiHidden/>
    <w:qFormat/>
    <w:uiPriority w:val="0"/>
    <w:rPr>
      <w:sz w:val="18"/>
      <w:szCs w:val="18"/>
    </w:rPr>
  </w:style>
  <w:style w:type="paragraph" w:styleId="11">
    <w:name w:val="footer"/>
    <w:basedOn w:val="1"/>
    <w:link w:val="34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2">
    <w:name w:val="header"/>
    <w:basedOn w:val="1"/>
    <w:link w:val="2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toc 1"/>
    <w:basedOn w:val="1"/>
    <w:next w:val="1"/>
    <w:qFormat/>
    <w:uiPriority w:val="39"/>
    <w:pPr>
      <w:tabs>
        <w:tab w:val="right" w:leader="dot" w:pos="9402"/>
      </w:tabs>
      <w:spacing w:line="360" w:lineRule="auto"/>
    </w:pPr>
    <w:rPr>
      <w:kern w:val="0"/>
      <w:sz w:val="24"/>
      <w:szCs w:val="21"/>
    </w:rPr>
  </w:style>
  <w:style w:type="paragraph" w:styleId="14">
    <w:name w:val="toc 4"/>
    <w:basedOn w:val="1"/>
    <w:next w:val="1"/>
    <w:autoRedefine/>
    <w:qFormat/>
    <w:uiPriority w:val="39"/>
    <w:pPr>
      <w:ind w:left="1260" w:leftChars="600"/>
    </w:pPr>
  </w:style>
  <w:style w:type="paragraph" w:styleId="15">
    <w:name w:val="Subtitle"/>
    <w:basedOn w:val="1"/>
    <w:next w:val="1"/>
    <w:link w:val="35"/>
    <w:qFormat/>
    <w:uiPriority w:val="0"/>
    <w:pPr>
      <w:spacing w:before="240" w:after="60" w:line="312" w:lineRule="auto"/>
      <w:jc w:val="center"/>
      <w:outlineLvl w:val="1"/>
    </w:pPr>
    <w:rPr>
      <w:rFonts w:ascii="等线 Light" w:hAnsi="等线 Light"/>
      <w:b/>
      <w:bCs/>
      <w:kern w:val="28"/>
      <w:sz w:val="32"/>
      <w:szCs w:val="32"/>
    </w:rPr>
  </w:style>
  <w:style w:type="paragraph" w:styleId="16">
    <w:name w:val="toc 2"/>
    <w:basedOn w:val="1"/>
    <w:next w:val="1"/>
    <w:qFormat/>
    <w:uiPriority w:val="39"/>
    <w:pPr>
      <w:tabs>
        <w:tab w:val="right" w:leader="dot" w:pos="9402"/>
      </w:tabs>
      <w:spacing w:line="360" w:lineRule="auto"/>
      <w:ind w:left="420" w:leftChars="200"/>
    </w:pPr>
    <w:rPr>
      <w:rFonts w:ascii="宋体" w:hAnsi="宋体"/>
      <w:szCs w:val="21"/>
    </w:rPr>
  </w:style>
  <w:style w:type="paragraph" w:styleId="17">
    <w:name w:val="Normal (Web)"/>
    <w:basedOn w:val="1"/>
    <w:qFormat/>
    <w:uiPriority w:val="0"/>
    <w:pPr>
      <w:spacing w:before="100" w:beforeAutospacing="1" w:after="100" w:afterAutospacing="1"/>
    </w:pPr>
    <w:rPr>
      <w:rFonts w:ascii="宋体" w:hAnsi="宋体"/>
      <w:kern w:val="0"/>
      <w:sz w:val="24"/>
    </w:rPr>
  </w:style>
  <w:style w:type="paragraph" w:styleId="18">
    <w:name w:val="annotation subject"/>
    <w:basedOn w:val="7"/>
    <w:next w:val="7"/>
    <w:link w:val="38"/>
    <w:semiHidden/>
    <w:qFormat/>
    <w:uiPriority w:val="0"/>
    <w:rPr>
      <w:b/>
      <w:bCs/>
    </w:rPr>
  </w:style>
  <w:style w:type="character" w:styleId="21">
    <w:name w:val="page number"/>
    <w:basedOn w:val="20"/>
    <w:qFormat/>
    <w:uiPriority w:val="0"/>
  </w:style>
  <w:style w:type="character" w:styleId="22">
    <w:name w:val="Hyperlink"/>
    <w:qFormat/>
    <w:uiPriority w:val="99"/>
    <w:rPr>
      <w:color w:val="0000FF"/>
      <w:u w:val="single"/>
    </w:rPr>
  </w:style>
  <w:style w:type="character" w:styleId="23">
    <w:name w:val="annotation reference"/>
    <w:semiHidden/>
    <w:qFormat/>
    <w:uiPriority w:val="0"/>
    <w:rPr>
      <w:sz w:val="21"/>
      <w:szCs w:val="21"/>
    </w:rPr>
  </w:style>
  <w:style w:type="character" w:customStyle="1" w:styleId="24">
    <w:name w:val="页眉 字符"/>
    <w:link w:val="12"/>
    <w:qFormat/>
    <w:uiPriority w:val="0"/>
    <w:rPr>
      <w:sz w:val="18"/>
      <w:szCs w:val="18"/>
    </w:rPr>
  </w:style>
  <w:style w:type="character" w:customStyle="1" w:styleId="25">
    <w:name w:val="标题 1 字符"/>
    <w:basedOn w:val="20"/>
    <w:link w:val="2"/>
    <w:qFormat/>
    <w:uiPriority w:val="0"/>
    <w:rPr>
      <w:rFonts w:eastAsia="黑体"/>
      <w:b/>
      <w:bCs/>
      <w:kern w:val="44"/>
      <w:sz w:val="28"/>
      <w:szCs w:val="44"/>
    </w:rPr>
  </w:style>
  <w:style w:type="character" w:customStyle="1" w:styleId="26">
    <w:name w:val="标题 2 字符"/>
    <w:basedOn w:val="20"/>
    <w:link w:val="3"/>
    <w:qFormat/>
    <w:uiPriority w:val="0"/>
    <w:rPr>
      <w:rFonts w:ascii="Arial" w:hAnsi="Arial" w:eastAsia="黑体" w:cs="Times New Roman"/>
      <w:b/>
      <w:bCs/>
      <w:sz w:val="32"/>
      <w:szCs w:val="32"/>
    </w:rPr>
  </w:style>
  <w:style w:type="character" w:customStyle="1" w:styleId="27">
    <w:name w:val="标题 3 字符"/>
    <w:basedOn w:val="20"/>
    <w:link w:val="4"/>
    <w:qFormat/>
    <w:uiPriority w:val="0"/>
    <w:rPr>
      <w:rFonts w:cs="Times New Roman"/>
      <w:b/>
      <w:bCs/>
      <w:sz w:val="32"/>
      <w:szCs w:val="32"/>
    </w:rPr>
  </w:style>
  <w:style w:type="character" w:customStyle="1" w:styleId="28">
    <w:name w:val="标题 4 字符"/>
    <w:basedOn w:val="20"/>
    <w:link w:val="5"/>
    <w:qFormat/>
    <w:uiPriority w:val="0"/>
    <w:rPr>
      <w:rFonts w:ascii="Arial" w:hAnsi="Arial" w:eastAsia="黑体" w:cs="Times New Roman"/>
      <w:b/>
      <w:bCs/>
      <w:sz w:val="28"/>
      <w:szCs w:val="28"/>
    </w:rPr>
  </w:style>
  <w:style w:type="paragraph" w:customStyle="1" w:styleId="29">
    <w:name w:val="内容正文4号宋体"/>
    <w:basedOn w:val="1"/>
    <w:link w:val="30"/>
    <w:qFormat/>
    <w:uiPriority w:val="0"/>
    <w:pPr>
      <w:ind w:firstLine="200" w:firstLineChars="200"/>
    </w:pPr>
    <w:rPr>
      <w:sz w:val="28"/>
    </w:rPr>
  </w:style>
  <w:style w:type="character" w:customStyle="1" w:styleId="30">
    <w:name w:val="内容正文4号宋体 字符"/>
    <w:link w:val="29"/>
    <w:qFormat/>
    <w:uiPriority w:val="0"/>
    <w:rPr>
      <w:sz w:val="28"/>
    </w:rPr>
  </w:style>
  <w:style w:type="paragraph" w:customStyle="1" w:styleId="31">
    <w:name w:val="Char Char Char Char"/>
    <w:basedOn w:val="1"/>
    <w:qFormat/>
    <w:uiPriority w:val="0"/>
    <w:pPr>
      <w:tabs>
        <w:tab w:val="left" w:pos="0"/>
      </w:tabs>
      <w:ind w:firstLine="420"/>
    </w:pPr>
    <w:rPr>
      <w:rFonts w:ascii="Tahoma" w:hAnsi="Tahoma"/>
      <w:b/>
      <w:szCs w:val="21"/>
    </w:rPr>
  </w:style>
  <w:style w:type="paragraph" w:customStyle="1" w:styleId="32">
    <w:name w:val="Char"/>
    <w:basedOn w:val="1"/>
    <w:qFormat/>
    <w:uiPriority w:val="0"/>
    <w:pPr>
      <w:spacing w:after="160" w:line="240" w:lineRule="exact"/>
    </w:pPr>
    <w:rPr>
      <w:rFonts w:ascii="Arial" w:hAnsi="Arial" w:eastAsia="Times New Roman" w:cs="Verdana"/>
      <w:b/>
      <w:kern w:val="0"/>
      <w:sz w:val="24"/>
      <w:lang w:eastAsia="en-US"/>
    </w:rPr>
  </w:style>
  <w:style w:type="character" w:customStyle="1" w:styleId="33">
    <w:name w:val="批注文字 字符"/>
    <w:basedOn w:val="20"/>
    <w:link w:val="7"/>
    <w:semiHidden/>
    <w:qFormat/>
    <w:uiPriority w:val="0"/>
    <w:rPr>
      <w:rFonts w:cs="Times New Roman"/>
      <w:sz w:val="21"/>
    </w:rPr>
  </w:style>
  <w:style w:type="character" w:customStyle="1" w:styleId="34">
    <w:name w:val="页脚 字符"/>
    <w:basedOn w:val="20"/>
    <w:link w:val="11"/>
    <w:qFormat/>
    <w:uiPriority w:val="0"/>
    <w:rPr>
      <w:rFonts w:cs="Times New Roman"/>
      <w:sz w:val="18"/>
      <w:szCs w:val="18"/>
    </w:rPr>
  </w:style>
  <w:style w:type="character" w:customStyle="1" w:styleId="35">
    <w:name w:val="副标题 字符"/>
    <w:link w:val="15"/>
    <w:qFormat/>
    <w:uiPriority w:val="0"/>
    <w:rPr>
      <w:rFonts w:ascii="等线 Light" w:hAnsi="等线 Light" w:cs="Times New Roman"/>
      <w:b/>
      <w:bCs/>
      <w:kern w:val="28"/>
      <w:sz w:val="32"/>
      <w:szCs w:val="32"/>
    </w:rPr>
  </w:style>
  <w:style w:type="character" w:customStyle="1" w:styleId="36">
    <w:name w:val="文档结构图 字符"/>
    <w:basedOn w:val="20"/>
    <w:link w:val="6"/>
    <w:semiHidden/>
    <w:qFormat/>
    <w:uiPriority w:val="0"/>
    <w:rPr>
      <w:rFonts w:cs="Times New Roman"/>
      <w:sz w:val="21"/>
      <w:shd w:val="clear" w:color="auto" w:fill="000080"/>
    </w:rPr>
  </w:style>
  <w:style w:type="character" w:customStyle="1" w:styleId="37">
    <w:name w:val="纯文本 字符"/>
    <w:link w:val="9"/>
    <w:qFormat/>
    <w:uiPriority w:val="0"/>
    <w:rPr>
      <w:rFonts w:ascii="宋体" w:hAnsi="宋体" w:cs="宋体"/>
      <w:kern w:val="0"/>
    </w:rPr>
  </w:style>
  <w:style w:type="character" w:customStyle="1" w:styleId="38">
    <w:name w:val="批注主题 字符"/>
    <w:basedOn w:val="33"/>
    <w:link w:val="18"/>
    <w:semiHidden/>
    <w:qFormat/>
    <w:uiPriority w:val="0"/>
    <w:rPr>
      <w:rFonts w:cs="Times New Roman"/>
      <w:b/>
      <w:bCs/>
      <w:sz w:val="21"/>
    </w:rPr>
  </w:style>
  <w:style w:type="character" w:customStyle="1" w:styleId="39">
    <w:name w:val="批注框文本 字符"/>
    <w:basedOn w:val="20"/>
    <w:link w:val="10"/>
    <w:semiHidden/>
    <w:qFormat/>
    <w:uiPriority w:val="0"/>
    <w:rPr>
      <w:rFonts w:cs="Times New Roman"/>
      <w:sz w:val="18"/>
      <w:szCs w:val="18"/>
    </w:rPr>
  </w:style>
  <w:style w:type="paragraph" w:customStyle="1" w:styleId="40">
    <w:name w:val="TOC 标题1"/>
    <w:basedOn w:val="2"/>
    <w:next w:val="1"/>
    <w:unhideWhenUsed/>
    <w:qFormat/>
    <w:uiPriority w:val="39"/>
    <w:pPr>
      <w:widowControl/>
      <w:spacing w:before="240" w:after="0"/>
      <w:jc w:val="center"/>
      <w:outlineLvl w:val="9"/>
    </w:pPr>
    <w:rPr>
      <w:rFonts w:ascii="等线 Light" w:hAnsi="等线 Light"/>
      <w:b w:val="0"/>
      <w:bCs w:val="0"/>
      <w:kern w:val="0"/>
      <w:szCs w:val="32"/>
    </w:rPr>
  </w:style>
  <w:style w:type="paragraph" w:customStyle="1" w:styleId="41">
    <w:name w:val="a正文小四宋体"/>
    <w:basedOn w:val="1"/>
    <w:link w:val="42"/>
    <w:qFormat/>
    <w:uiPriority w:val="0"/>
    <w:pPr>
      <w:widowControl w:val="0"/>
      <w:wordWrap w:val="0"/>
      <w:ind w:firstLine="200" w:firstLineChars="200"/>
      <w:jc w:val="both"/>
    </w:pPr>
    <w:rPr>
      <w:sz w:val="28"/>
      <w:szCs w:val="24"/>
    </w:rPr>
  </w:style>
  <w:style w:type="character" w:customStyle="1" w:styleId="42">
    <w:name w:val="a正文小四宋体 字符"/>
    <w:basedOn w:val="20"/>
    <w:link w:val="41"/>
    <w:qFormat/>
    <w:uiPriority w:val="0"/>
    <w:rPr>
      <w:sz w:val="28"/>
      <w:szCs w:val="24"/>
    </w:rPr>
  </w:style>
  <w:style w:type="paragraph" w:customStyle="1" w:styleId="43">
    <w:name w:val="table_Pic_title"/>
    <w:basedOn w:val="1"/>
    <w:link w:val="44"/>
    <w:qFormat/>
    <w:uiPriority w:val="0"/>
    <w:pPr>
      <w:widowControl w:val="0"/>
      <w:wordWrap w:val="0"/>
      <w:ind w:firstLine="560" w:firstLineChars="200"/>
      <w:jc w:val="center"/>
    </w:pPr>
    <w:rPr>
      <w:rFonts w:eastAsia="楷体"/>
      <w:sz w:val="22"/>
      <w:szCs w:val="24"/>
    </w:rPr>
  </w:style>
  <w:style w:type="character" w:customStyle="1" w:styleId="44">
    <w:name w:val="table_Pic_title 字符"/>
    <w:basedOn w:val="20"/>
    <w:link w:val="43"/>
    <w:qFormat/>
    <w:uiPriority w:val="0"/>
    <w:rPr>
      <w:rFonts w:eastAsia="楷体"/>
      <w:sz w:val="2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34445D-523D-44AA-B966-3C704A41C01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590</Words>
  <Characters>3239</Characters>
  <Lines>30</Lines>
  <Paragraphs>8</Paragraphs>
  <TotalTime>735</TotalTime>
  <ScaleCrop>false</ScaleCrop>
  <LinksUpToDate>false</LinksUpToDate>
  <CharactersWithSpaces>3509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2026-04-18T22:18:00Z</dcterms:created>
  <dc:creator>Chuan Liu</dc:creator>
  <cp:lastModifiedBy>刘宇停</cp:lastModifiedBy>
  <dcterms:modified xsi:type="dcterms:W3CDTF">2026-05-18T01:33:53Z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eyJoZGlkIjoiNjhjOThmNDRjZTRkOTdhYzhlMWYxYjYwODZhYjc2MjciLCJ1c2VySWQiOiI1ODA5MzY3NzkifQ==</vt:lpwstr>
  </property>
  <property fmtid="{D5CDD505-2E9C-101B-9397-08002B2CF9AE}" pid="3" name="KSOProductBuildVer">
    <vt:lpwstr>2052-12.1.0.25865</vt:lpwstr>
  </property>
  <property fmtid="{D5CDD505-2E9C-101B-9397-08002B2CF9AE}" pid="4" name="ICV">
    <vt:lpwstr>AA0E891D8C1B4D39A928993F37985587_13</vt:lpwstr>
  </property>
</Properties>
</file>