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E3B09" w14:textId="434A37B0" w:rsidR="00A955F3" w:rsidRPr="004C0ECD" w:rsidRDefault="00A955F3" w:rsidP="00A955F3">
      <w:pPr>
        <w:spacing w:line="360" w:lineRule="auto"/>
        <w:rPr>
          <w:rFonts w:asciiTheme="majorBidi" w:hAnsiTheme="majorBidi" w:cstheme="majorBidi"/>
          <w:szCs w:val="21"/>
        </w:rPr>
      </w:pPr>
      <w:r>
        <w:rPr>
          <w:rFonts w:asciiTheme="majorBidi" w:hAnsiTheme="majorBidi" w:cstheme="majorBidi" w:hint="eastAsia"/>
          <w:b/>
          <w:bCs/>
          <w:szCs w:val="21"/>
        </w:rPr>
        <w:t xml:space="preserve">Supplementary </w:t>
      </w:r>
      <w:r w:rsidRPr="004C0ECD">
        <w:rPr>
          <w:rFonts w:asciiTheme="majorBidi" w:hAnsiTheme="majorBidi" w:cstheme="majorBidi"/>
          <w:b/>
          <w:bCs/>
          <w:szCs w:val="21"/>
        </w:rPr>
        <w:t xml:space="preserve">Fig. </w:t>
      </w:r>
      <w:r>
        <w:rPr>
          <w:rFonts w:asciiTheme="majorBidi" w:hAnsiTheme="majorBidi" w:cstheme="majorBidi" w:hint="eastAsia"/>
          <w:b/>
          <w:bCs/>
          <w:szCs w:val="21"/>
        </w:rPr>
        <w:t>S1</w:t>
      </w:r>
      <w:r w:rsidRPr="004C0ECD">
        <w:rPr>
          <w:rFonts w:asciiTheme="majorBidi" w:hAnsiTheme="majorBidi" w:cstheme="majorBidi"/>
          <w:b/>
          <w:bCs/>
          <w:szCs w:val="21"/>
        </w:rPr>
        <w:t xml:space="preserve">. Comparative distribution of orthologous gene clusters among 14 representative fungal species. </w:t>
      </w:r>
      <w:r w:rsidRPr="004C0ECD">
        <w:rPr>
          <w:rFonts w:asciiTheme="majorBidi" w:hAnsiTheme="majorBidi" w:cstheme="majorBidi"/>
          <w:szCs w:val="21"/>
        </w:rPr>
        <w:t>Stacked bars represented the proportion of shared single-copy orthologs (1:1:1), shared multi-copy orthologs (N:N:N), species-specific genes, and other unassigned orthologs, displaying a highly conserved core-genome architecture accompanied by distinct lineage-specific diversification.</w:t>
      </w:r>
    </w:p>
    <w:p w14:paraId="672BAFF8" w14:textId="530E791D" w:rsidR="00A955F3" w:rsidRPr="004C0ECD" w:rsidRDefault="00A955F3" w:rsidP="00A955F3">
      <w:pPr>
        <w:spacing w:line="360" w:lineRule="auto"/>
        <w:rPr>
          <w:rFonts w:asciiTheme="majorBidi" w:hAnsiTheme="majorBidi" w:cstheme="majorBidi"/>
          <w:szCs w:val="21"/>
        </w:rPr>
      </w:pPr>
      <w:r>
        <w:rPr>
          <w:rFonts w:asciiTheme="majorBidi" w:hAnsiTheme="majorBidi" w:cstheme="majorBidi"/>
          <w:noProof/>
          <w:szCs w:val="21"/>
        </w:rPr>
        <w:drawing>
          <wp:inline distT="0" distB="0" distL="0" distR="0" wp14:anchorId="6D4927AC" wp14:editId="5AF54554">
            <wp:extent cx="5274310" cy="4219575"/>
            <wp:effectExtent l="0" t="0" r="2540" b="9525"/>
            <wp:docPr id="21005800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80024" name="图片 2100580024"/>
                    <pic:cNvPicPr/>
                  </pic:nvPicPr>
                  <pic:blipFill>
                    <a:blip r:embed="rId6"/>
                    <a:stretch>
                      <a:fillRect/>
                    </a:stretch>
                  </pic:blipFill>
                  <pic:spPr>
                    <a:xfrm>
                      <a:off x="0" y="0"/>
                      <a:ext cx="5274310" cy="4219575"/>
                    </a:xfrm>
                    <a:prstGeom prst="rect">
                      <a:avLst/>
                    </a:prstGeom>
                  </pic:spPr>
                </pic:pic>
              </a:graphicData>
            </a:graphic>
          </wp:inline>
        </w:drawing>
      </w:r>
    </w:p>
    <w:p w14:paraId="5E67FF1C" w14:textId="77777777" w:rsidR="00A955F3" w:rsidRDefault="00A955F3">
      <w:pPr>
        <w:widowControl/>
        <w:jc w:val="left"/>
        <w:rPr>
          <w:rFonts w:asciiTheme="majorBidi" w:hAnsiTheme="majorBidi" w:cstheme="majorBidi"/>
          <w:b/>
          <w:bCs/>
          <w:szCs w:val="21"/>
        </w:rPr>
      </w:pPr>
      <w:r>
        <w:rPr>
          <w:rFonts w:asciiTheme="majorBidi" w:hAnsiTheme="majorBidi" w:cstheme="majorBidi"/>
          <w:b/>
          <w:bCs/>
          <w:szCs w:val="21"/>
        </w:rPr>
        <w:br w:type="page"/>
      </w:r>
    </w:p>
    <w:p w14:paraId="32012BD7" w14:textId="77777777" w:rsidR="00046CD8" w:rsidRDefault="00A955F3" w:rsidP="00046CD8">
      <w:pPr>
        <w:spacing w:line="360" w:lineRule="auto"/>
        <w:rPr>
          <w:rFonts w:asciiTheme="majorBidi" w:hAnsiTheme="majorBidi" w:cstheme="majorBidi"/>
          <w:szCs w:val="21"/>
        </w:rPr>
      </w:pPr>
      <w:r>
        <w:rPr>
          <w:rFonts w:asciiTheme="majorBidi" w:hAnsiTheme="majorBidi" w:cstheme="majorBidi" w:hint="eastAsia"/>
          <w:b/>
          <w:bCs/>
          <w:szCs w:val="21"/>
        </w:rPr>
        <w:lastRenderedPageBreak/>
        <w:t xml:space="preserve">Supplementary </w:t>
      </w:r>
      <w:r w:rsidRPr="004C0ECD">
        <w:rPr>
          <w:rFonts w:asciiTheme="majorBidi" w:hAnsiTheme="majorBidi" w:cstheme="majorBidi"/>
          <w:b/>
          <w:bCs/>
          <w:szCs w:val="21"/>
        </w:rPr>
        <w:t xml:space="preserve">Fig. </w:t>
      </w:r>
      <w:r>
        <w:rPr>
          <w:rFonts w:asciiTheme="majorBidi" w:hAnsiTheme="majorBidi" w:cstheme="majorBidi" w:hint="eastAsia"/>
          <w:b/>
          <w:bCs/>
          <w:szCs w:val="21"/>
        </w:rPr>
        <w:t>S2</w:t>
      </w:r>
      <w:r w:rsidRPr="004C0ECD">
        <w:rPr>
          <w:rFonts w:asciiTheme="majorBidi" w:hAnsiTheme="majorBidi" w:cstheme="majorBidi"/>
          <w:b/>
          <w:bCs/>
          <w:szCs w:val="21"/>
        </w:rPr>
        <w:t xml:space="preserve">. </w:t>
      </w:r>
      <w:r w:rsidR="00046CD8" w:rsidRPr="00046CD8">
        <w:rPr>
          <w:rFonts w:asciiTheme="majorBidi" w:hAnsiTheme="majorBidi" w:cstheme="majorBidi"/>
          <w:b/>
          <w:bCs/>
          <w:szCs w:val="21"/>
        </w:rPr>
        <w:t xml:space="preserve">Time-calibrated phylogeny and gene-family evolution of 14 representative fungal species. </w:t>
      </w:r>
      <w:r w:rsidR="00046CD8" w:rsidRPr="00046CD8">
        <w:rPr>
          <w:rFonts w:asciiTheme="majorBidi" w:hAnsiTheme="majorBidi" w:cstheme="majorBidi"/>
          <w:szCs w:val="21"/>
        </w:rPr>
        <w:t>The phylogenetic tree was reconstructed using 3,041 strict single-copy orthologous genes. Numbers in square brackets at internal nodes indicate the estimated 95% highest posterior density (HPD) intervals of divergence times in million years ago (Mya). Numbers shown next to each lineage indicate the numbers of expanded (red) and contracted (black) gene families, respectively.</w:t>
      </w:r>
    </w:p>
    <w:p w14:paraId="3D8C06A2" w14:textId="43B47D99" w:rsidR="00A955F3" w:rsidRPr="004C0ECD" w:rsidRDefault="00046CD8" w:rsidP="00046CD8">
      <w:pPr>
        <w:spacing w:line="360" w:lineRule="auto"/>
        <w:rPr>
          <w:rFonts w:asciiTheme="majorBidi" w:hAnsiTheme="majorBidi" w:cstheme="majorBidi"/>
          <w:szCs w:val="21"/>
        </w:rPr>
      </w:pPr>
      <w:r>
        <w:rPr>
          <w:rFonts w:asciiTheme="majorBidi" w:hAnsiTheme="majorBidi" w:cstheme="majorBidi"/>
          <w:noProof/>
          <w:szCs w:val="21"/>
        </w:rPr>
        <w:drawing>
          <wp:inline distT="0" distB="0" distL="0" distR="0" wp14:anchorId="7E432C72" wp14:editId="3026FE27">
            <wp:extent cx="5274310" cy="4293235"/>
            <wp:effectExtent l="0" t="0" r="2540" b="0"/>
            <wp:docPr id="8087421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742178" name="图片 808742178"/>
                    <pic:cNvPicPr/>
                  </pic:nvPicPr>
                  <pic:blipFill>
                    <a:blip r:embed="rId7"/>
                    <a:stretch>
                      <a:fillRect/>
                    </a:stretch>
                  </pic:blipFill>
                  <pic:spPr>
                    <a:xfrm>
                      <a:off x="0" y="0"/>
                      <a:ext cx="5274310" cy="4293235"/>
                    </a:xfrm>
                    <a:prstGeom prst="rect">
                      <a:avLst/>
                    </a:prstGeom>
                  </pic:spPr>
                </pic:pic>
              </a:graphicData>
            </a:graphic>
          </wp:inline>
        </w:drawing>
      </w:r>
    </w:p>
    <w:p w14:paraId="244F0575" w14:textId="77777777" w:rsidR="00A955F3" w:rsidRDefault="00A955F3">
      <w:pPr>
        <w:widowControl/>
        <w:jc w:val="left"/>
        <w:rPr>
          <w:rFonts w:asciiTheme="majorBidi" w:hAnsiTheme="majorBidi" w:cstheme="majorBidi"/>
          <w:b/>
          <w:bCs/>
          <w:szCs w:val="21"/>
        </w:rPr>
      </w:pPr>
      <w:r>
        <w:rPr>
          <w:rFonts w:asciiTheme="majorBidi" w:hAnsiTheme="majorBidi" w:cstheme="majorBidi"/>
          <w:b/>
          <w:bCs/>
          <w:szCs w:val="21"/>
        </w:rPr>
        <w:br w:type="page"/>
      </w:r>
    </w:p>
    <w:p w14:paraId="3FE73BA9" w14:textId="56B2CC28" w:rsidR="00A955F3" w:rsidRPr="004C0ECD" w:rsidRDefault="00A955F3" w:rsidP="00A955F3">
      <w:pPr>
        <w:spacing w:line="360" w:lineRule="auto"/>
        <w:rPr>
          <w:rFonts w:asciiTheme="majorBidi" w:hAnsiTheme="majorBidi" w:cstheme="majorBidi"/>
          <w:szCs w:val="21"/>
        </w:rPr>
      </w:pPr>
      <w:r>
        <w:rPr>
          <w:rFonts w:asciiTheme="majorBidi" w:hAnsiTheme="majorBidi" w:cstheme="majorBidi" w:hint="eastAsia"/>
          <w:b/>
          <w:bCs/>
          <w:szCs w:val="21"/>
        </w:rPr>
        <w:lastRenderedPageBreak/>
        <w:t xml:space="preserve">Supplementary </w:t>
      </w:r>
      <w:r w:rsidRPr="004C0ECD">
        <w:rPr>
          <w:rFonts w:asciiTheme="majorBidi" w:hAnsiTheme="majorBidi" w:cstheme="majorBidi"/>
          <w:b/>
          <w:bCs/>
          <w:szCs w:val="21"/>
        </w:rPr>
        <w:t xml:space="preserve">Fig. </w:t>
      </w:r>
      <w:r>
        <w:rPr>
          <w:rFonts w:asciiTheme="majorBidi" w:hAnsiTheme="majorBidi" w:cstheme="majorBidi" w:hint="eastAsia"/>
          <w:b/>
          <w:bCs/>
          <w:szCs w:val="21"/>
        </w:rPr>
        <w:t>S3</w:t>
      </w:r>
      <w:r w:rsidRPr="004C0ECD">
        <w:rPr>
          <w:rFonts w:asciiTheme="majorBidi" w:hAnsiTheme="majorBidi" w:cstheme="majorBidi"/>
          <w:b/>
          <w:bCs/>
          <w:szCs w:val="21"/>
        </w:rPr>
        <w:t xml:space="preserve">. Fifteen significantly expanded gene families in </w:t>
      </w:r>
      <w:r w:rsidRPr="004C0ECD">
        <w:rPr>
          <w:rFonts w:asciiTheme="majorBidi" w:hAnsiTheme="majorBidi" w:cstheme="majorBidi"/>
          <w:b/>
          <w:bCs/>
          <w:i/>
          <w:iCs/>
          <w:szCs w:val="21"/>
        </w:rPr>
        <w:t>F. avenaceum</w:t>
      </w:r>
      <w:r w:rsidRPr="004C0ECD">
        <w:rPr>
          <w:rFonts w:asciiTheme="majorBidi" w:hAnsiTheme="majorBidi" w:cstheme="majorBidi"/>
          <w:b/>
          <w:bCs/>
          <w:szCs w:val="21"/>
        </w:rPr>
        <w:t xml:space="preserve"> genome. </w:t>
      </w:r>
      <w:r w:rsidRPr="004C0ECD">
        <w:rPr>
          <w:rFonts w:asciiTheme="majorBidi" w:hAnsiTheme="majorBidi" w:cstheme="majorBidi"/>
          <w:szCs w:val="21"/>
        </w:rPr>
        <w:t>The y axis denoted the copy number of each gene family, while the x axis listed these gene families. Each orange bar represented the copy number of a corresponding gene family, and the numerical values were marked above each bar to indicate the specific count.</w:t>
      </w:r>
    </w:p>
    <w:p w14:paraId="24E88ED3" w14:textId="17849A2C" w:rsidR="00A955F3" w:rsidRPr="004C0ECD" w:rsidRDefault="001766F7" w:rsidP="00A955F3">
      <w:pPr>
        <w:spacing w:line="360" w:lineRule="auto"/>
        <w:rPr>
          <w:rFonts w:asciiTheme="majorBidi" w:hAnsiTheme="majorBidi" w:cstheme="majorBidi"/>
          <w:szCs w:val="21"/>
        </w:rPr>
      </w:pPr>
      <w:r>
        <w:rPr>
          <w:rFonts w:asciiTheme="majorBidi" w:hAnsiTheme="majorBidi" w:cstheme="majorBidi"/>
          <w:noProof/>
          <w:szCs w:val="21"/>
        </w:rPr>
        <w:drawing>
          <wp:inline distT="0" distB="0" distL="0" distR="0" wp14:anchorId="551B428E" wp14:editId="4DC52B20">
            <wp:extent cx="5274310" cy="2987040"/>
            <wp:effectExtent l="0" t="0" r="2540" b="3810"/>
            <wp:docPr id="13612269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226910" name="图片 1361226910"/>
                    <pic:cNvPicPr/>
                  </pic:nvPicPr>
                  <pic:blipFill>
                    <a:blip r:embed="rId8"/>
                    <a:stretch>
                      <a:fillRect/>
                    </a:stretch>
                  </pic:blipFill>
                  <pic:spPr>
                    <a:xfrm>
                      <a:off x="0" y="0"/>
                      <a:ext cx="5274310" cy="2987040"/>
                    </a:xfrm>
                    <a:prstGeom prst="rect">
                      <a:avLst/>
                    </a:prstGeom>
                  </pic:spPr>
                </pic:pic>
              </a:graphicData>
            </a:graphic>
          </wp:inline>
        </w:drawing>
      </w:r>
    </w:p>
    <w:p w14:paraId="06D3DD8A" w14:textId="77777777" w:rsidR="00A955F3" w:rsidRDefault="00A955F3">
      <w:pPr>
        <w:widowControl/>
        <w:jc w:val="left"/>
        <w:rPr>
          <w:rFonts w:asciiTheme="majorBidi" w:hAnsiTheme="majorBidi" w:cstheme="majorBidi"/>
          <w:b/>
          <w:bCs/>
          <w:szCs w:val="21"/>
        </w:rPr>
      </w:pPr>
      <w:r>
        <w:rPr>
          <w:rFonts w:asciiTheme="majorBidi" w:hAnsiTheme="majorBidi" w:cstheme="majorBidi"/>
          <w:b/>
          <w:bCs/>
          <w:szCs w:val="21"/>
        </w:rPr>
        <w:br w:type="page"/>
      </w:r>
    </w:p>
    <w:p w14:paraId="08BBF29F" w14:textId="136B1850" w:rsidR="00A955F3" w:rsidRPr="004C0ECD" w:rsidRDefault="00A955F3" w:rsidP="00A955F3">
      <w:pPr>
        <w:spacing w:line="360" w:lineRule="auto"/>
        <w:rPr>
          <w:rFonts w:asciiTheme="majorBidi" w:hAnsiTheme="majorBidi" w:cstheme="majorBidi"/>
          <w:szCs w:val="21"/>
        </w:rPr>
      </w:pPr>
      <w:r>
        <w:rPr>
          <w:rFonts w:asciiTheme="majorBidi" w:hAnsiTheme="majorBidi" w:cstheme="majorBidi" w:hint="eastAsia"/>
          <w:b/>
          <w:bCs/>
          <w:szCs w:val="21"/>
        </w:rPr>
        <w:lastRenderedPageBreak/>
        <w:t xml:space="preserve">Supplementary </w:t>
      </w:r>
      <w:r w:rsidRPr="004C0ECD">
        <w:rPr>
          <w:rFonts w:asciiTheme="majorBidi" w:hAnsiTheme="majorBidi" w:cstheme="majorBidi"/>
          <w:b/>
          <w:bCs/>
          <w:szCs w:val="21"/>
        </w:rPr>
        <w:t xml:space="preserve">Fig. </w:t>
      </w:r>
      <w:r>
        <w:rPr>
          <w:rFonts w:asciiTheme="majorBidi" w:hAnsiTheme="majorBidi" w:cstheme="majorBidi" w:hint="eastAsia"/>
          <w:b/>
          <w:bCs/>
          <w:szCs w:val="21"/>
        </w:rPr>
        <w:t>4</w:t>
      </w:r>
      <w:r w:rsidRPr="004C0ECD">
        <w:rPr>
          <w:rFonts w:asciiTheme="majorBidi" w:hAnsiTheme="majorBidi" w:cstheme="majorBidi"/>
          <w:b/>
          <w:bCs/>
          <w:szCs w:val="21"/>
        </w:rPr>
        <w:t xml:space="preserve">. GO enrichment analysis of dramatically expanded gene families in </w:t>
      </w:r>
      <w:r w:rsidRPr="004C0ECD">
        <w:rPr>
          <w:rFonts w:asciiTheme="majorBidi" w:hAnsiTheme="majorBidi" w:cstheme="majorBidi"/>
          <w:b/>
          <w:bCs/>
          <w:i/>
          <w:iCs/>
          <w:szCs w:val="21"/>
        </w:rPr>
        <w:t>F. avenaceum</w:t>
      </w:r>
      <w:r w:rsidRPr="004C0ECD">
        <w:rPr>
          <w:rFonts w:asciiTheme="majorBidi" w:hAnsiTheme="majorBidi" w:cstheme="majorBidi"/>
          <w:b/>
          <w:bCs/>
          <w:szCs w:val="21"/>
        </w:rPr>
        <w:t xml:space="preserve">. </w:t>
      </w:r>
      <w:r w:rsidRPr="004C0ECD">
        <w:rPr>
          <w:rFonts w:asciiTheme="majorBidi" w:hAnsiTheme="majorBidi" w:cstheme="majorBidi"/>
          <w:szCs w:val="21"/>
        </w:rPr>
        <w:t>Bubble plot illustrated the robust enrichment of GO terms predominantly clustered in molecular functions associated with active detoxification metabolism, stress adaptation, and environmental sensing.</w:t>
      </w:r>
    </w:p>
    <w:p w14:paraId="2D57798E" w14:textId="55004618" w:rsidR="00A955F3" w:rsidRPr="004C0ECD" w:rsidRDefault="00A955F3" w:rsidP="00A955F3">
      <w:pPr>
        <w:spacing w:line="360" w:lineRule="auto"/>
        <w:rPr>
          <w:rFonts w:asciiTheme="majorBidi" w:hAnsiTheme="majorBidi" w:cstheme="majorBidi"/>
          <w:szCs w:val="21"/>
        </w:rPr>
      </w:pPr>
      <w:r>
        <w:rPr>
          <w:rFonts w:asciiTheme="majorBidi" w:hAnsiTheme="majorBidi" w:cstheme="majorBidi"/>
          <w:noProof/>
          <w:szCs w:val="21"/>
        </w:rPr>
        <w:drawing>
          <wp:inline distT="0" distB="0" distL="0" distR="0" wp14:anchorId="068DF9AA" wp14:editId="7D5C010E">
            <wp:extent cx="5274310" cy="3498215"/>
            <wp:effectExtent l="0" t="0" r="2540" b="6985"/>
            <wp:docPr id="153100075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000759" name="图片 1531000759"/>
                    <pic:cNvPicPr/>
                  </pic:nvPicPr>
                  <pic:blipFill>
                    <a:blip r:embed="rId9"/>
                    <a:stretch>
                      <a:fillRect/>
                    </a:stretch>
                  </pic:blipFill>
                  <pic:spPr>
                    <a:xfrm>
                      <a:off x="0" y="0"/>
                      <a:ext cx="5274310" cy="3498215"/>
                    </a:xfrm>
                    <a:prstGeom prst="rect">
                      <a:avLst/>
                    </a:prstGeom>
                  </pic:spPr>
                </pic:pic>
              </a:graphicData>
            </a:graphic>
          </wp:inline>
        </w:drawing>
      </w:r>
    </w:p>
    <w:p w14:paraId="4543372B" w14:textId="77777777" w:rsidR="00A955F3" w:rsidRDefault="00A955F3">
      <w:pPr>
        <w:widowControl/>
        <w:jc w:val="left"/>
        <w:rPr>
          <w:rFonts w:asciiTheme="majorBidi" w:hAnsiTheme="majorBidi" w:cstheme="majorBidi"/>
          <w:b/>
          <w:bCs/>
          <w:szCs w:val="21"/>
        </w:rPr>
      </w:pPr>
      <w:r>
        <w:rPr>
          <w:rFonts w:asciiTheme="majorBidi" w:hAnsiTheme="majorBidi" w:cstheme="majorBidi"/>
          <w:b/>
          <w:bCs/>
          <w:szCs w:val="21"/>
        </w:rPr>
        <w:br w:type="page"/>
      </w:r>
    </w:p>
    <w:p w14:paraId="0FDF147B" w14:textId="712F7909" w:rsidR="00A955F3" w:rsidRPr="004C0ECD" w:rsidRDefault="00A955F3" w:rsidP="00A955F3">
      <w:pPr>
        <w:spacing w:line="360" w:lineRule="auto"/>
        <w:rPr>
          <w:rFonts w:asciiTheme="majorBidi" w:hAnsiTheme="majorBidi" w:cstheme="majorBidi"/>
          <w:b/>
          <w:bCs/>
          <w:szCs w:val="21"/>
        </w:rPr>
      </w:pPr>
      <w:r>
        <w:rPr>
          <w:rFonts w:asciiTheme="majorBidi" w:hAnsiTheme="majorBidi" w:cstheme="majorBidi" w:hint="eastAsia"/>
          <w:b/>
          <w:bCs/>
          <w:szCs w:val="21"/>
        </w:rPr>
        <w:lastRenderedPageBreak/>
        <w:t xml:space="preserve">Supplementary </w:t>
      </w:r>
      <w:r w:rsidRPr="004C0ECD">
        <w:rPr>
          <w:rFonts w:asciiTheme="majorBidi" w:hAnsiTheme="majorBidi" w:cstheme="majorBidi"/>
          <w:b/>
          <w:bCs/>
          <w:szCs w:val="21"/>
        </w:rPr>
        <w:t xml:space="preserve">Fig. </w:t>
      </w:r>
      <w:r>
        <w:rPr>
          <w:rFonts w:asciiTheme="majorBidi" w:hAnsiTheme="majorBidi" w:cstheme="majorBidi" w:hint="eastAsia"/>
          <w:b/>
          <w:bCs/>
          <w:szCs w:val="21"/>
        </w:rPr>
        <w:t>5</w:t>
      </w:r>
      <w:r w:rsidRPr="004C0ECD">
        <w:rPr>
          <w:rFonts w:asciiTheme="majorBidi" w:hAnsiTheme="majorBidi" w:cstheme="majorBidi"/>
          <w:b/>
          <w:bCs/>
          <w:szCs w:val="21"/>
        </w:rPr>
        <w:t xml:space="preserve">. KEGG enrichment analysis of dramatically expanded gene families in </w:t>
      </w:r>
      <w:r w:rsidRPr="004C0ECD">
        <w:rPr>
          <w:rFonts w:asciiTheme="majorBidi" w:hAnsiTheme="majorBidi" w:cstheme="majorBidi"/>
          <w:b/>
          <w:bCs/>
          <w:i/>
          <w:iCs/>
          <w:szCs w:val="21"/>
        </w:rPr>
        <w:t>F. avenaceum</w:t>
      </w:r>
      <w:r w:rsidRPr="004C0ECD">
        <w:rPr>
          <w:rFonts w:asciiTheme="majorBidi" w:hAnsiTheme="majorBidi" w:cstheme="majorBidi"/>
          <w:b/>
          <w:bCs/>
          <w:szCs w:val="21"/>
        </w:rPr>
        <w:t xml:space="preserve">. </w:t>
      </w:r>
      <w:r w:rsidRPr="004C0ECD">
        <w:rPr>
          <w:rFonts w:asciiTheme="majorBidi" w:hAnsiTheme="majorBidi" w:cstheme="majorBidi"/>
          <w:szCs w:val="21"/>
        </w:rPr>
        <w:t xml:space="preserve">Scatter plot depicting KEGG pathway enrichment mappings of significantly expanded gene repertoires, revealing striking biosynthetic upregulation in cytochromes P450 arrays and primary metabolic pathways. In both plots, the size of the circles reflected the number of genes assigned to the term, and the color gradient corresponds to adjusted </w:t>
      </w:r>
      <w:r w:rsidRPr="004C0ECD">
        <w:rPr>
          <w:rFonts w:asciiTheme="majorBidi" w:hAnsiTheme="majorBidi" w:cstheme="majorBidi"/>
          <w:i/>
          <w:iCs/>
          <w:szCs w:val="21"/>
        </w:rPr>
        <w:t>P</w:t>
      </w:r>
      <w:r w:rsidRPr="004C0ECD">
        <w:rPr>
          <w:rFonts w:asciiTheme="majorBidi" w:hAnsiTheme="majorBidi" w:cstheme="majorBidi"/>
          <w:szCs w:val="21"/>
        </w:rPr>
        <w:t>-values.</w:t>
      </w:r>
    </w:p>
    <w:p w14:paraId="475F669D" w14:textId="5588B0FA" w:rsidR="00EE3553" w:rsidRPr="00A955F3" w:rsidRDefault="00A955F3">
      <w:pPr>
        <w:rPr>
          <w:rFonts w:asciiTheme="majorBidi" w:hAnsiTheme="majorBidi" w:cstheme="majorBidi"/>
        </w:rPr>
      </w:pPr>
      <w:r>
        <w:rPr>
          <w:rFonts w:asciiTheme="majorBidi" w:hAnsiTheme="majorBidi" w:cstheme="majorBidi"/>
          <w:noProof/>
        </w:rPr>
        <w:drawing>
          <wp:inline distT="0" distB="0" distL="0" distR="0" wp14:anchorId="77FA4EE5" wp14:editId="70A6EFC7">
            <wp:extent cx="5274310" cy="4615180"/>
            <wp:effectExtent l="0" t="0" r="2540" b="0"/>
            <wp:docPr id="380980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8084" name="图片 38098084"/>
                    <pic:cNvPicPr/>
                  </pic:nvPicPr>
                  <pic:blipFill>
                    <a:blip r:embed="rId10"/>
                    <a:stretch>
                      <a:fillRect/>
                    </a:stretch>
                  </pic:blipFill>
                  <pic:spPr>
                    <a:xfrm>
                      <a:off x="0" y="0"/>
                      <a:ext cx="5274310" cy="4615180"/>
                    </a:xfrm>
                    <a:prstGeom prst="rect">
                      <a:avLst/>
                    </a:prstGeom>
                  </pic:spPr>
                </pic:pic>
              </a:graphicData>
            </a:graphic>
          </wp:inline>
        </w:drawing>
      </w:r>
    </w:p>
    <w:sectPr w:rsidR="00EE3553" w:rsidRPr="00A955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5B83F" w14:textId="77777777" w:rsidR="009B70FA" w:rsidRDefault="009B70FA" w:rsidP="00EE3553">
      <w:pPr>
        <w:rPr>
          <w:rFonts w:hint="eastAsia"/>
        </w:rPr>
      </w:pPr>
      <w:r>
        <w:separator/>
      </w:r>
    </w:p>
  </w:endnote>
  <w:endnote w:type="continuationSeparator" w:id="0">
    <w:p w14:paraId="40D2D9A8" w14:textId="77777777" w:rsidR="009B70FA" w:rsidRDefault="009B70FA" w:rsidP="00EE355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EAF88" w14:textId="77777777" w:rsidR="009B70FA" w:rsidRDefault="009B70FA" w:rsidP="00EE3553">
      <w:pPr>
        <w:rPr>
          <w:rFonts w:hint="eastAsia"/>
        </w:rPr>
      </w:pPr>
      <w:r>
        <w:separator/>
      </w:r>
    </w:p>
  </w:footnote>
  <w:footnote w:type="continuationSeparator" w:id="0">
    <w:p w14:paraId="6269EBD8" w14:textId="77777777" w:rsidR="009B70FA" w:rsidRDefault="009B70FA" w:rsidP="00EE355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30"/>
    <w:rsid w:val="00046CD8"/>
    <w:rsid w:val="000E5354"/>
    <w:rsid w:val="001766F7"/>
    <w:rsid w:val="002A0678"/>
    <w:rsid w:val="002E2D0F"/>
    <w:rsid w:val="00592A30"/>
    <w:rsid w:val="007E094B"/>
    <w:rsid w:val="007F6BFF"/>
    <w:rsid w:val="009B2C97"/>
    <w:rsid w:val="009B70FA"/>
    <w:rsid w:val="00A35880"/>
    <w:rsid w:val="00A955F3"/>
    <w:rsid w:val="00AE210D"/>
    <w:rsid w:val="00C13089"/>
    <w:rsid w:val="00CD198D"/>
    <w:rsid w:val="00D67FFE"/>
    <w:rsid w:val="00E93A29"/>
    <w:rsid w:val="00EE3553"/>
    <w:rsid w:val="00F11A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6175C4"/>
  <w14:defaultImageDpi w14:val="32767"/>
  <w15:chartTrackingRefBased/>
  <w15:docId w15:val="{0DC67ACC-0DE7-43EB-97A8-4E35DC47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5F3"/>
    <w:pPr>
      <w:widowControl w:val="0"/>
      <w:jc w:val="both"/>
    </w:pPr>
  </w:style>
  <w:style w:type="paragraph" w:styleId="1">
    <w:name w:val="heading 1"/>
    <w:basedOn w:val="a"/>
    <w:next w:val="a"/>
    <w:link w:val="10"/>
    <w:uiPriority w:val="9"/>
    <w:qFormat/>
    <w:rsid w:val="00592A30"/>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92A30"/>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92A30"/>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92A3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92A30"/>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592A3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92A3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92A3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92A30"/>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92A30"/>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92A30"/>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92A30"/>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92A30"/>
    <w:rPr>
      <w:rFonts w:cstheme="majorBidi"/>
      <w:color w:val="0F4761" w:themeColor="accent1" w:themeShade="BF"/>
      <w:sz w:val="28"/>
      <w:szCs w:val="28"/>
    </w:rPr>
  </w:style>
  <w:style w:type="character" w:customStyle="1" w:styleId="50">
    <w:name w:val="标题 5 字符"/>
    <w:basedOn w:val="a0"/>
    <w:link w:val="5"/>
    <w:uiPriority w:val="9"/>
    <w:semiHidden/>
    <w:rsid w:val="00592A30"/>
    <w:rPr>
      <w:rFonts w:cstheme="majorBidi"/>
      <w:color w:val="0F4761" w:themeColor="accent1" w:themeShade="BF"/>
      <w:sz w:val="24"/>
      <w:szCs w:val="24"/>
    </w:rPr>
  </w:style>
  <w:style w:type="character" w:customStyle="1" w:styleId="60">
    <w:name w:val="标题 6 字符"/>
    <w:basedOn w:val="a0"/>
    <w:link w:val="6"/>
    <w:uiPriority w:val="9"/>
    <w:semiHidden/>
    <w:rsid w:val="00592A30"/>
    <w:rPr>
      <w:rFonts w:cstheme="majorBidi"/>
      <w:b/>
      <w:bCs/>
      <w:color w:val="0F4761" w:themeColor="accent1" w:themeShade="BF"/>
    </w:rPr>
  </w:style>
  <w:style w:type="character" w:customStyle="1" w:styleId="70">
    <w:name w:val="标题 7 字符"/>
    <w:basedOn w:val="a0"/>
    <w:link w:val="7"/>
    <w:uiPriority w:val="9"/>
    <w:semiHidden/>
    <w:rsid w:val="00592A30"/>
    <w:rPr>
      <w:rFonts w:cstheme="majorBidi"/>
      <w:b/>
      <w:bCs/>
      <w:color w:val="595959" w:themeColor="text1" w:themeTint="A6"/>
    </w:rPr>
  </w:style>
  <w:style w:type="character" w:customStyle="1" w:styleId="80">
    <w:name w:val="标题 8 字符"/>
    <w:basedOn w:val="a0"/>
    <w:link w:val="8"/>
    <w:uiPriority w:val="9"/>
    <w:semiHidden/>
    <w:rsid w:val="00592A30"/>
    <w:rPr>
      <w:rFonts w:cstheme="majorBidi"/>
      <w:color w:val="595959" w:themeColor="text1" w:themeTint="A6"/>
    </w:rPr>
  </w:style>
  <w:style w:type="character" w:customStyle="1" w:styleId="90">
    <w:name w:val="标题 9 字符"/>
    <w:basedOn w:val="a0"/>
    <w:link w:val="9"/>
    <w:uiPriority w:val="9"/>
    <w:semiHidden/>
    <w:rsid w:val="00592A30"/>
    <w:rPr>
      <w:rFonts w:eastAsiaTheme="majorEastAsia" w:cstheme="majorBidi"/>
      <w:color w:val="595959" w:themeColor="text1" w:themeTint="A6"/>
    </w:rPr>
  </w:style>
  <w:style w:type="paragraph" w:styleId="a3">
    <w:name w:val="Title"/>
    <w:basedOn w:val="a"/>
    <w:next w:val="a"/>
    <w:link w:val="a4"/>
    <w:uiPriority w:val="10"/>
    <w:qFormat/>
    <w:rsid w:val="00592A3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92A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2A3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92A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2A30"/>
    <w:pPr>
      <w:spacing w:before="160" w:after="160"/>
      <w:jc w:val="center"/>
    </w:pPr>
    <w:rPr>
      <w:i/>
      <w:iCs/>
      <w:color w:val="404040" w:themeColor="text1" w:themeTint="BF"/>
    </w:rPr>
  </w:style>
  <w:style w:type="character" w:customStyle="1" w:styleId="a8">
    <w:name w:val="引用 字符"/>
    <w:basedOn w:val="a0"/>
    <w:link w:val="a7"/>
    <w:uiPriority w:val="29"/>
    <w:rsid w:val="00592A30"/>
    <w:rPr>
      <w:i/>
      <w:iCs/>
      <w:color w:val="404040" w:themeColor="text1" w:themeTint="BF"/>
    </w:rPr>
  </w:style>
  <w:style w:type="paragraph" w:styleId="a9">
    <w:name w:val="List Paragraph"/>
    <w:basedOn w:val="a"/>
    <w:uiPriority w:val="34"/>
    <w:qFormat/>
    <w:rsid w:val="00592A30"/>
    <w:pPr>
      <w:ind w:left="720"/>
      <w:contextualSpacing/>
    </w:pPr>
  </w:style>
  <w:style w:type="character" w:styleId="aa">
    <w:name w:val="Intense Emphasis"/>
    <w:basedOn w:val="a0"/>
    <w:uiPriority w:val="21"/>
    <w:qFormat/>
    <w:rsid w:val="00592A30"/>
    <w:rPr>
      <w:i/>
      <w:iCs/>
      <w:color w:val="0F4761" w:themeColor="accent1" w:themeShade="BF"/>
    </w:rPr>
  </w:style>
  <w:style w:type="paragraph" w:styleId="ab">
    <w:name w:val="Intense Quote"/>
    <w:basedOn w:val="a"/>
    <w:next w:val="a"/>
    <w:link w:val="ac"/>
    <w:uiPriority w:val="30"/>
    <w:qFormat/>
    <w:rsid w:val="00592A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92A30"/>
    <w:rPr>
      <w:i/>
      <w:iCs/>
      <w:color w:val="0F4761" w:themeColor="accent1" w:themeShade="BF"/>
    </w:rPr>
  </w:style>
  <w:style w:type="character" w:styleId="ad">
    <w:name w:val="Intense Reference"/>
    <w:basedOn w:val="a0"/>
    <w:uiPriority w:val="32"/>
    <w:qFormat/>
    <w:rsid w:val="00592A30"/>
    <w:rPr>
      <w:b/>
      <w:bCs/>
      <w:smallCaps/>
      <w:color w:val="0F4761" w:themeColor="accent1" w:themeShade="BF"/>
      <w:spacing w:val="5"/>
    </w:rPr>
  </w:style>
  <w:style w:type="paragraph" w:styleId="ae">
    <w:name w:val="header"/>
    <w:basedOn w:val="a"/>
    <w:link w:val="af"/>
    <w:uiPriority w:val="99"/>
    <w:unhideWhenUsed/>
    <w:rsid w:val="00EE3553"/>
    <w:pPr>
      <w:tabs>
        <w:tab w:val="center" w:pos="4153"/>
        <w:tab w:val="right" w:pos="8306"/>
      </w:tabs>
      <w:snapToGrid w:val="0"/>
      <w:jc w:val="center"/>
    </w:pPr>
    <w:rPr>
      <w:sz w:val="18"/>
      <w:szCs w:val="18"/>
    </w:rPr>
  </w:style>
  <w:style w:type="character" w:customStyle="1" w:styleId="af">
    <w:name w:val="页眉 字符"/>
    <w:basedOn w:val="a0"/>
    <w:link w:val="ae"/>
    <w:uiPriority w:val="99"/>
    <w:rsid w:val="00EE3553"/>
    <w:rPr>
      <w:sz w:val="18"/>
      <w:szCs w:val="18"/>
    </w:rPr>
  </w:style>
  <w:style w:type="paragraph" w:styleId="af0">
    <w:name w:val="footer"/>
    <w:basedOn w:val="a"/>
    <w:link w:val="af1"/>
    <w:uiPriority w:val="99"/>
    <w:unhideWhenUsed/>
    <w:rsid w:val="00EE3553"/>
    <w:pPr>
      <w:tabs>
        <w:tab w:val="center" w:pos="4153"/>
        <w:tab w:val="right" w:pos="8306"/>
      </w:tabs>
      <w:snapToGrid w:val="0"/>
      <w:jc w:val="left"/>
    </w:pPr>
    <w:rPr>
      <w:sz w:val="18"/>
      <w:szCs w:val="18"/>
    </w:rPr>
  </w:style>
  <w:style w:type="character" w:customStyle="1" w:styleId="af1">
    <w:name w:val="页脚 字符"/>
    <w:basedOn w:val="a0"/>
    <w:link w:val="af0"/>
    <w:uiPriority w:val="99"/>
    <w:rsid w:val="00EE355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3" Type="http://schemas.openxmlformats.org/officeDocument/2006/relationships/webSettings" Target="webSettings.xml"/><Relationship Id="rId7" Type="http://schemas.openxmlformats.org/officeDocument/2006/relationships/image" Target="media/image2.t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tif"/><Relationship Id="rId4" Type="http://schemas.openxmlformats.org/officeDocument/2006/relationships/footnotes" Target="footnotes.xml"/><Relationship Id="rId9" Type="http://schemas.openxmlformats.org/officeDocument/2006/relationships/image" Target="media/image4.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301</Words>
  <Characters>1721</Characters>
  <Application>Microsoft Office Word</Application>
  <DocSecurity>0</DocSecurity>
  <Lines>14</Lines>
  <Paragraphs>4</Paragraphs>
  <ScaleCrop>false</ScaleCrop>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2026-09-03T13:25:00Z</dcterms:created>
  <dcterms:modified xsi:type="dcterms:W3CDTF">2026-09-09T03:24:00Z</dcterms:modified>
</cp:coreProperties>
</file>