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08F" w:rsidRPr="00EC3017" w:rsidRDefault="00CC508F" w:rsidP="00CC508F">
      <w:pPr>
        <w:tabs>
          <w:tab w:val="right" w:pos="9072"/>
        </w:tabs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OLE_LINK5"/>
      <w:r w:rsidRPr="00EC30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Cytomegalovirus infection exacerbates autoimmune mediated </w:t>
      </w:r>
      <w:proofErr w:type="spellStart"/>
      <w:r w:rsidRPr="00EC3017">
        <w:rPr>
          <w:rFonts w:ascii="Times New Roman" w:hAnsi="Times New Roman" w:cs="Times New Roman"/>
          <w:b/>
          <w:sz w:val="24"/>
          <w:szCs w:val="24"/>
          <w:lang w:val="en-GB"/>
        </w:rPr>
        <w:t>neuroinflammation</w:t>
      </w:r>
      <w:proofErr w:type="spellEnd"/>
    </w:p>
    <w:p w:rsidR="00CC508F" w:rsidRPr="00CC508F" w:rsidRDefault="00CC508F" w:rsidP="00CC508F">
      <w:pPr>
        <w:pStyle w:val="Geenafstand"/>
        <w:spacing w:line="480" w:lineRule="auto"/>
        <w:rPr>
          <w:rFonts w:ascii="Times New Roman" w:hAnsi="Times New Roman"/>
          <w:sz w:val="24"/>
          <w:szCs w:val="24"/>
          <w:lang w:val="nl-BE"/>
        </w:rPr>
      </w:pPr>
      <w:r w:rsidRPr="00CC508F">
        <w:rPr>
          <w:rFonts w:ascii="Times New Roman" w:hAnsi="Times New Roman"/>
          <w:sz w:val="24"/>
          <w:szCs w:val="24"/>
          <w:lang w:val="nl-BE"/>
        </w:rPr>
        <w:t xml:space="preserve">Marjan </w:t>
      </w:r>
      <w:proofErr w:type="spellStart"/>
      <w:r w:rsidRPr="00CC508F">
        <w:rPr>
          <w:rFonts w:ascii="Times New Roman" w:hAnsi="Times New Roman"/>
          <w:sz w:val="24"/>
          <w:szCs w:val="24"/>
          <w:lang w:val="nl-BE"/>
        </w:rPr>
        <w:t>Vanheusden</w:t>
      </w:r>
      <w:proofErr w:type="spellEnd"/>
      <w:r w:rsidRPr="00CC508F">
        <w:rPr>
          <w:rFonts w:ascii="Times New Roman" w:hAnsi="Times New Roman"/>
          <w:sz w:val="24"/>
          <w:szCs w:val="24"/>
          <w:lang w:val="nl-BE"/>
        </w:rPr>
        <w:t xml:space="preserve">, </w:t>
      </w:r>
      <w:proofErr w:type="spellStart"/>
      <w:r w:rsidRPr="00CC508F">
        <w:rPr>
          <w:rFonts w:ascii="Times New Roman" w:hAnsi="Times New Roman"/>
          <w:sz w:val="24"/>
          <w:szCs w:val="24"/>
          <w:lang w:val="nl-BE"/>
        </w:rPr>
        <w:t>Bieke</w:t>
      </w:r>
      <w:proofErr w:type="spellEnd"/>
      <w:r w:rsidRPr="00CC508F">
        <w:rPr>
          <w:rFonts w:ascii="Times New Roman" w:hAnsi="Times New Roman"/>
          <w:sz w:val="24"/>
          <w:szCs w:val="24"/>
          <w:lang w:val="nl-BE"/>
        </w:rPr>
        <w:t xml:space="preserve"> </w:t>
      </w:r>
      <w:proofErr w:type="spellStart"/>
      <w:r w:rsidRPr="00CC508F">
        <w:rPr>
          <w:rFonts w:ascii="Times New Roman" w:hAnsi="Times New Roman"/>
          <w:sz w:val="24"/>
          <w:szCs w:val="24"/>
          <w:lang w:val="nl-BE"/>
        </w:rPr>
        <w:t>Broux</w:t>
      </w:r>
      <w:proofErr w:type="spellEnd"/>
      <w:r w:rsidRPr="00CC508F">
        <w:rPr>
          <w:rFonts w:ascii="Times New Roman" w:hAnsi="Times New Roman"/>
          <w:sz w:val="24"/>
          <w:szCs w:val="24"/>
          <w:lang w:val="nl-BE"/>
        </w:rPr>
        <w:t xml:space="preserve">, Suzanne P.M. Welten, </w:t>
      </w:r>
      <w:proofErr w:type="spellStart"/>
      <w:r w:rsidRPr="00CC508F">
        <w:rPr>
          <w:rFonts w:ascii="Times New Roman" w:hAnsi="Times New Roman"/>
          <w:sz w:val="24"/>
          <w:szCs w:val="24"/>
          <w:lang w:val="nl-BE"/>
        </w:rPr>
        <w:t>Liesbet</w:t>
      </w:r>
      <w:proofErr w:type="spellEnd"/>
      <w:r w:rsidRPr="00CC508F">
        <w:rPr>
          <w:rFonts w:ascii="Times New Roman" w:hAnsi="Times New Roman"/>
          <w:sz w:val="24"/>
          <w:szCs w:val="24"/>
          <w:lang w:val="nl-BE"/>
        </w:rPr>
        <w:t xml:space="preserve"> M. Peeters, </w:t>
      </w:r>
      <w:proofErr w:type="spellStart"/>
      <w:r w:rsidRPr="00CC508F">
        <w:rPr>
          <w:rFonts w:ascii="Times New Roman" w:hAnsi="Times New Roman"/>
          <w:sz w:val="24"/>
          <w:szCs w:val="24"/>
          <w:lang w:val="nl-BE"/>
        </w:rPr>
        <w:t>Eleni</w:t>
      </w:r>
      <w:proofErr w:type="spellEnd"/>
      <w:r w:rsidRPr="00CC508F">
        <w:rPr>
          <w:rFonts w:ascii="Times New Roman" w:hAnsi="Times New Roman"/>
          <w:sz w:val="24"/>
          <w:szCs w:val="24"/>
          <w:lang w:val="nl-BE"/>
        </w:rPr>
        <w:t xml:space="preserve"> </w:t>
      </w:r>
      <w:proofErr w:type="spellStart"/>
      <w:r w:rsidRPr="00CC508F">
        <w:rPr>
          <w:rFonts w:ascii="Times New Roman" w:hAnsi="Times New Roman"/>
          <w:sz w:val="24"/>
          <w:szCs w:val="24"/>
          <w:lang w:val="nl-BE"/>
        </w:rPr>
        <w:t>Panagioti</w:t>
      </w:r>
      <w:proofErr w:type="spellEnd"/>
      <w:r w:rsidRPr="00CC508F">
        <w:rPr>
          <w:rFonts w:ascii="Times New Roman" w:hAnsi="Times New Roman"/>
          <w:sz w:val="24"/>
          <w:szCs w:val="24"/>
          <w:lang w:val="nl-BE"/>
        </w:rPr>
        <w:t xml:space="preserve">, Bart Van </w:t>
      </w:r>
      <w:proofErr w:type="spellStart"/>
      <w:r w:rsidRPr="00CC508F">
        <w:rPr>
          <w:rFonts w:ascii="Times New Roman" w:hAnsi="Times New Roman"/>
          <w:sz w:val="24"/>
          <w:szCs w:val="24"/>
          <w:lang w:val="nl-BE"/>
        </w:rPr>
        <w:t>Wijmeersch</w:t>
      </w:r>
      <w:proofErr w:type="spellEnd"/>
      <w:r w:rsidRPr="00CC508F">
        <w:rPr>
          <w:rFonts w:ascii="Times New Roman" w:hAnsi="Times New Roman"/>
          <w:sz w:val="24"/>
          <w:szCs w:val="24"/>
          <w:lang w:val="nl-BE"/>
        </w:rPr>
        <w:t xml:space="preserve">, Veerle Somers, Piet </w:t>
      </w:r>
      <w:proofErr w:type="spellStart"/>
      <w:r w:rsidRPr="00CC508F">
        <w:rPr>
          <w:rFonts w:ascii="Times New Roman" w:hAnsi="Times New Roman"/>
          <w:sz w:val="24"/>
          <w:szCs w:val="24"/>
          <w:lang w:val="nl-BE"/>
        </w:rPr>
        <w:t>Stinissen</w:t>
      </w:r>
      <w:proofErr w:type="spellEnd"/>
      <w:r w:rsidRPr="00CC508F">
        <w:rPr>
          <w:rFonts w:ascii="Times New Roman" w:hAnsi="Times New Roman"/>
          <w:sz w:val="24"/>
          <w:szCs w:val="24"/>
          <w:lang w:val="nl-BE"/>
        </w:rPr>
        <w:t>,</w:t>
      </w:r>
      <w:r w:rsidRPr="00CC508F">
        <w:rPr>
          <w:rFonts w:ascii="Times New Roman" w:hAnsi="Times New Roman"/>
          <w:sz w:val="24"/>
          <w:szCs w:val="24"/>
          <w:vertAlign w:val="superscript"/>
          <w:lang w:val="nl-BE"/>
        </w:rPr>
        <w:t xml:space="preserve"> </w:t>
      </w:r>
      <w:r w:rsidRPr="00CC508F">
        <w:rPr>
          <w:rFonts w:ascii="Times New Roman" w:hAnsi="Times New Roman"/>
          <w:sz w:val="24"/>
          <w:szCs w:val="24"/>
          <w:lang w:val="nl-BE"/>
        </w:rPr>
        <w:t>Ramon Arens, Niels Hellings</w:t>
      </w:r>
    </w:p>
    <w:bookmarkEnd w:id="0"/>
    <w:p w:rsidR="009C1134" w:rsidRDefault="00CC508F">
      <w:pPr>
        <w:rPr>
          <w:lang w:val="nl-BE"/>
        </w:rPr>
      </w:pPr>
    </w:p>
    <w:p w:rsidR="00CC508F" w:rsidRDefault="00CC508F">
      <w:pPr>
        <w:rPr>
          <w:lang w:val="nl-BE"/>
        </w:rPr>
      </w:pPr>
    </w:p>
    <w:p w:rsidR="00CC508F" w:rsidRPr="00CC508F" w:rsidRDefault="00CC508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C508F">
        <w:rPr>
          <w:rFonts w:ascii="Times New Roman" w:hAnsi="Times New Roman" w:cs="Times New Roman"/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5pt;height:307.5pt">
            <v:imagedata r:id="rId4" o:title="Supplemental figure 1" cropbottom="2903f"/>
          </v:shape>
        </w:pict>
      </w:r>
    </w:p>
    <w:p w:rsidR="00CC508F" w:rsidRDefault="00CC508F" w:rsidP="00CC508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508F">
        <w:rPr>
          <w:rFonts w:ascii="Times New Roman" w:hAnsi="Times New Roman" w:cs="Times New Roman"/>
          <w:b/>
          <w:sz w:val="24"/>
          <w:szCs w:val="24"/>
          <w:lang w:val="en-US"/>
        </w:rPr>
        <w:t>Supplementary figure 1</w:t>
      </w:r>
      <w:r w:rsidRPr="00CC508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A1252">
        <w:rPr>
          <w:rFonts w:ascii="Times New Roman" w:hAnsi="Times New Roman" w:cs="Times New Roman"/>
          <w:sz w:val="24"/>
          <w:szCs w:val="24"/>
          <w:lang w:val="en-US"/>
        </w:rPr>
        <w:t>Gating strategy. (</w:t>
      </w:r>
      <w:r w:rsidRPr="001A1252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1A1252">
        <w:rPr>
          <w:rFonts w:ascii="Times New Roman" w:hAnsi="Times New Roman" w:cs="Times New Roman"/>
          <w:sz w:val="24"/>
          <w:szCs w:val="24"/>
          <w:lang w:val="en-US"/>
        </w:rPr>
        <w:t>) In human samples, the gating strategy consists of a lymphocyte gate using the forward and side scatter signal, after which CD4</w:t>
      </w:r>
      <w:r w:rsidRPr="001A125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1A1252">
        <w:rPr>
          <w:rFonts w:ascii="Times New Roman" w:hAnsi="Times New Roman" w:cs="Times New Roman"/>
          <w:sz w:val="24"/>
          <w:szCs w:val="24"/>
          <w:lang w:val="en-US"/>
        </w:rPr>
        <w:t xml:space="preserve"> cells were gated and subsequently CD28 expression was monitored within this gate. (</w:t>
      </w:r>
      <w:r w:rsidRPr="001A125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1A1252">
        <w:rPr>
          <w:rFonts w:ascii="Times New Roman" w:hAnsi="Times New Roman" w:cs="Times New Roman"/>
          <w:sz w:val="24"/>
          <w:szCs w:val="24"/>
          <w:lang w:val="en-US"/>
        </w:rPr>
        <w:t>) In mouse samples, the lymphocytes were gated, after which CD3</w:t>
      </w:r>
      <w:r w:rsidRPr="001A125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1A1252">
        <w:rPr>
          <w:rFonts w:ascii="Times New Roman" w:hAnsi="Times New Roman" w:cs="Times New Roman"/>
          <w:sz w:val="24"/>
          <w:szCs w:val="24"/>
          <w:lang w:val="en-US"/>
        </w:rPr>
        <w:t>CD4</w:t>
      </w:r>
      <w:r w:rsidRPr="001A125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1A1252">
        <w:rPr>
          <w:rFonts w:ascii="Times New Roman" w:hAnsi="Times New Roman" w:cs="Times New Roman"/>
          <w:sz w:val="24"/>
          <w:szCs w:val="24"/>
          <w:lang w:val="en-US"/>
        </w:rPr>
        <w:t xml:space="preserve"> cells were targeted and CD28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1252">
        <w:rPr>
          <w:rFonts w:ascii="Times New Roman" w:hAnsi="Times New Roman" w:cs="Times New Roman"/>
          <w:sz w:val="24"/>
          <w:szCs w:val="24"/>
          <w:lang w:val="en-US"/>
        </w:rPr>
        <w:t>xpression was monitored within this gate.</w:t>
      </w:r>
    </w:p>
    <w:p w:rsidR="00CC508F" w:rsidRPr="00CC508F" w:rsidRDefault="00CC508F" w:rsidP="00CC508F">
      <w:pPr>
        <w:jc w:val="both"/>
        <w:rPr>
          <w:rFonts w:ascii="Times New Roman" w:hAnsi="Times New Roman" w:cs="Times New Roman"/>
          <w:sz w:val="24"/>
          <w:lang w:val="en-GB"/>
        </w:rPr>
      </w:pPr>
      <w:r w:rsidRPr="00CC508F">
        <w:rPr>
          <w:rFonts w:ascii="Times New Roman" w:hAnsi="Times New Roman" w:cs="Times New Roman"/>
          <w:sz w:val="24"/>
          <w:lang w:val="en-GB"/>
        </w:rPr>
        <w:lastRenderedPageBreak/>
        <w:pict>
          <v:shape id="_x0000_i1026" type="#_x0000_t75" style="width:398.25pt;height:219pt">
            <v:imagedata r:id="rId5" o:title="supplemental figure 2"/>
          </v:shape>
        </w:pict>
      </w:r>
    </w:p>
    <w:p w:rsidR="00CC508F" w:rsidRPr="00EC3017" w:rsidRDefault="00CC508F" w:rsidP="00CC508F">
      <w:pPr>
        <w:jc w:val="both"/>
        <w:rPr>
          <w:rFonts w:ascii="Times New Roman" w:hAnsi="Times New Roman" w:cs="Times New Roman"/>
          <w:sz w:val="24"/>
          <w:lang w:val="en-GB"/>
        </w:rPr>
      </w:pPr>
      <w:r w:rsidRPr="00CC508F">
        <w:rPr>
          <w:rFonts w:ascii="Times New Roman" w:hAnsi="Times New Roman" w:cs="Times New Roman"/>
          <w:b/>
          <w:sz w:val="24"/>
          <w:lang w:val="en-GB"/>
        </w:rPr>
        <w:t>Supplementary figure 2:</w:t>
      </w:r>
      <w:r w:rsidRPr="00CC508F"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>Historical human tetanus toxoid (TT)</w:t>
      </w:r>
      <w:r w:rsidRPr="00EC3017">
        <w:rPr>
          <w:rFonts w:ascii="Times New Roman" w:hAnsi="Times New Roman" w:cs="Times New Roman"/>
          <w:sz w:val="24"/>
          <w:lang w:val="en-GB"/>
        </w:rPr>
        <w:t xml:space="preserve"> specific T cell clone</w:t>
      </w:r>
      <w:r>
        <w:rPr>
          <w:rFonts w:ascii="Times New Roman" w:hAnsi="Times New Roman" w:cs="Times New Roman"/>
          <w:sz w:val="24"/>
          <w:lang w:val="en-GB"/>
        </w:rPr>
        <w:t>s repeatedly stimulated with TT/PHA (n=5</w:t>
      </w:r>
      <w:r w:rsidRPr="00EC3017">
        <w:rPr>
          <w:rFonts w:ascii="Times New Roman" w:hAnsi="Times New Roman" w:cs="Times New Roman"/>
          <w:sz w:val="24"/>
          <w:lang w:val="en-GB"/>
        </w:rPr>
        <w:t>) were thawed and analysed for the number of CD4</w:t>
      </w:r>
      <w:r w:rsidRPr="00EC3017">
        <w:rPr>
          <w:rFonts w:ascii="Times New Roman" w:hAnsi="Times New Roman" w:cs="Times New Roman"/>
          <w:sz w:val="24"/>
          <w:vertAlign w:val="superscript"/>
          <w:lang w:val="en-GB"/>
        </w:rPr>
        <w:t>+</w:t>
      </w:r>
      <w:r w:rsidRPr="00EC3017">
        <w:rPr>
          <w:rFonts w:ascii="Times New Roman" w:hAnsi="Times New Roman" w:cs="Times New Roman"/>
          <w:sz w:val="24"/>
          <w:lang w:val="en-GB"/>
        </w:rPr>
        <w:t>CD28</w:t>
      </w:r>
      <w:r w:rsidRPr="00EC3017">
        <w:rPr>
          <w:rFonts w:ascii="Times New Roman" w:hAnsi="Times New Roman" w:cs="Times New Roman"/>
          <w:sz w:val="24"/>
          <w:vertAlign w:val="superscript"/>
          <w:lang w:val="en-GB"/>
        </w:rPr>
        <w:t>null</w:t>
      </w:r>
      <w:r w:rsidRPr="00EC3017">
        <w:rPr>
          <w:rFonts w:ascii="Times New Roman" w:hAnsi="Times New Roman" w:cs="Times New Roman"/>
          <w:sz w:val="24"/>
          <w:lang w:val="en-GB"/>
        </w:rPr>
        <w:t xml:space="preserve"> T cells via flow cytometry. </w:t>
      </w:r>
    </w:p>
    <w:p w:rsidR="00CC508F" w:rsidRPr="00CC508F" w:rsidRDefault="00CC508F">
      <w:pPr>
        <w:rPr>
          <w:lang w:val="en-GB"/>
        </w:rPr>
      </w:pPr>
      <w:bookmarkStart w:id="1" w:name="_GoBack"/>
      <w:bookmarkEnd w:id="1"/>
    </w:p>
    <w:sectPr w:rsidR="00CC508F" w:rsidRPr="00CC5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8F"/>
    <w:rsid w:val="007F3856"/>
    <w:rsid w:val="0086489C"/>
    <w:rsid w:val="00CC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A085E-0D75-4F3E-8639-40776BBA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508F"/>
    <w:pPr>
      <w:spacing w:after="200" w:line="276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C508F"/>
    <w:pPr>
      <w:spacing w:after="0" w:line="240" w:lineRule="auto"/>
    </w:pPr>
    <w:rPr>
      <w:rFonts w:ascii="Verdana" w:eastAsia="Calibri" w:hAnsi="Verdana" w:cs="Times New Roman"/>
      <w:sz w:val="18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C508F"/>
    <w:rPr>
      <w:rFonts w:ascii="Verdana" w:eastAsia="Calibri" w:hAnsi="Verdana" w:cs="Times New Roman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132</Words>
  <Characters>728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2017-01-04T10:57:00Z</dcterms:created>
  <dcterms:modified xsi:type="dcterms:W3CDTF">2017-01-04T11:07:00Z</dcterms:modified>
</cp:coreProperties>
</file>