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900" w:rsidRDefault="00A03AA5" w:rsidP="001C6900">
      <w:pPr>
        <w:rPr>
          <w:lang w:val="en-US"/>
        </w:rPr>
      </w:pPr>
      <w:bookmarkStart w:id="0" w:name="_GoBack"/>
      <w:bookmarkEnd w:id="0"/>
      <w:r>
        <w:rPr>
          <w:lang w:val="en-US"/>
        </w:rPr>
        <w:t>Supplementary information</w:t>
      </w:r>
    </w:p>
    <w:p w:rsidR="00C92189" w:rsidRDefault="00C92189" w:rsidP="001C6900">
      <w:pPr>
        <w:rPr>
          <w:rFonts w:ascii="Arial" w:hAnsi="Arial" w:cs="Arial"/>
          <w:b/>
          <w:sz w:val="28"/>
          <w:lang w:val="en-GB"/>
        </w:rPr>
      </w:pPr>
      <w:r w:rsidRPr="004439FB">
        <w:rPr>
          <w:rFonts w:ascii="Arial" w:hAnsi="Arial" w:cs="Arial"/>
          <w:b/>
          <w:sz w:val="28"/>
          <w:lang w:val="en-GB"/>
        </w:rPr>
        <w:t xml:space="preserve">Coupling neutron reflectivity with cell-free </w:t>
      </w:r>
      <w:r>
        <w:rPr>
          <w:rFonts w:ascii="Arial" w:hAnsi="Arial" w:cs="Arial"/>
          <w:b/>
          <w:sz w:val="28"/>
          <w:lang w:val="en-GB"/>
        </w:rPr>
        <w:t>p</w:t>
      </w:r>
      <w:r w:rsidRPr="004439FB">
        <w:rPr>
          <w:rFonts w:ascii="Arial" w:hAnsi="Arial" w:cs="Arial"/>
          <w:b/>
          <w:sz w:val="28"/>
          <w:lang w:val="en-GB"/>
        </w:rPr>
        <w:t xml:space="preserve">roteins synthesis to </w:t>
      </w:r>
      <w:proofErr w:type="gramStart"/>
      <w:r w:rsidRPr="004439FB">
        <w:rPr>
          <w:rFonts w:ascii="Arial" w:hAnsi="Arial" w:cs="Arial"/>
          <w:b/>
          <w:sz w:val="28"/>
          <w:lang w:val="en-GB"/>
        </w:rPr>
        <w:t>probe</w:t>
      </w:r>
      <w:proofErr w:type="gramEnd"/>
      <w:r w:rsidRPr="004439FB">
        <w:rPr>
          <w:rFonts w:ascii="Arial" w:hAnsi="Arial" w:cs="Arial"/>
          <w:b/>
          <w:sz w:val="28"/>
          <w:lang w:val="en-GB"/>
        </w:rPr>
        <w:t xml:space="preserve"> membrane protein structure in supported bilayers</w:t>
      </w:r>
    </w:p>
    <w:p w:rsidR="00C92189" w:rsidRDefault="00C92189" w:rsidP="001C6900">
      <w:pPr>
        <w:rPr>
          <w:lang w:val="en-US"/>
        </w:rPr>
      </w:pPr>
      <w:r w:rsidRPr="00C92189">
        <w:rPr>
          <w:lang w:val="en-US"/>
        </w:rPr>
        <w:t xml:space="preserve">Thomas Soranzo, </w:t>
      </w:r>
      <w:r w:rsidRPr="00B44DDC">
        <w:rPr>
          <w:lang w:val="en-US"/>
        </w:rPr>
        <w:t>Don</w:t>
      </w:r>
      <w:r w:rsidR="00964FEC" w:rsidRPr="00B44DDC">
        <w:rPr>
          <w:lang w:val="en-US"/>
        </w:rPr>
        <w:t>ald K.</w:t>
      </w:r>
      <w:r w:rsidRPr="00B44DDC">
        <w:rPr>
          <w:lang w:val="en-US"/>
        </w:rPr>
        <w:t xml:space="preserve"> </w:t>
      </w:r>
      <w:r w:rsidRPr="00C92189">
        <w:rPr>
          <w:lang w:val="en-US"/>
        </w:rPr>
        <w:t>Martin</w:t>
      </w:r>
      <w:r>
        <w:rPr>
          <w:lang w:val="en-US"/>
        </w:rPr>
        <w:t>, Jean-Luc Lenormand</w:t>
      </w:r>
      <w:r w:rsidRPr="00C92189">
        <w:rPr>
          <w:lang w:val="en-US"/>
        </w:rPr>
        <w:t>, &amp; Erik B. Watkins</w:t>
      </w:r>
    </w:p>
    <w:p w:rsidR="001C6900" w:rsidRDefault="001C6900" w:rsidP="001C6900">
      <w:pPr>
        <w:rPr>
          <w:b/>
          <w:lang w:val="en-US"/>
        </w:rPr>
      </w:pPr>
      <w:r w:rsidRPr="00C92189">
        <w:rPr>
          <w:b/>
          <w:lang w:val="en-US"/>
        </w:rPr>
        <w:t>Materials</w:t>
      </w:r>
      <w:r w:rsidR="003B0C97">
        <w:rPr>
          <w:b/>
          <w:lang w:val="en-US"/>
        </w:rPr>
        <w:t xml:space="preserve"> and methods</w:t>
      </w:r>
    </w:p>
    <w:p w:rsidR="00865DB9" w:rsidRPr="00E64C7E" w:rsidRDefault="00865DB9" w:rsidP="00865DB9">
      <w:pPr>
        <w:jc w:val="both"/>
        <w:rPr>
          <w:i/>
          <w:lang w:val="en-US"/>
        </w:rPr>
      </w:pPr>
      <w:r w:rsidRPr="00E64C7E">
        <w:rPr>
          <w:i/>
          <w:lang w:val="en-US"/>
        </w:rPr>
        <w:t>Cell-free expression</w:t>
      </w:r>
      <w:r>
        <w:rPr>
          <w:i/>
          <w:lang w:val="en-US"/>
        </w:rPr>
        <w:t xml:space="preserve"> of p7 with POPC and Asolectin supported bilayers</w:t>
      </w:r>
    </w:p>
    <w:p w:rsidR="00865DB9" w:rsidRPr="00E2781E" w:rsidRDefault="00235AEE" w:rsidP="001C6900">
      <w:pPr>
        <w:rPr>
          <w:rFonts w:cs="Arial"/>
          <w:lang w:val="en-US"/>
        </w:rPr>
      </w:pPr>
      <w:r w:rsidRPr="009F57ED">
        <w:rPr>
          <w:rFonts w:cs="Arial"/>
          <w:lang w:val="en-US"/>
        </w:rPr>
        <w:t xml:space="preserve">Cell-free expression was performed using mixtures of either hydrogenated or deuterated amino acids (4.08 mg/mL) to express isotopically labelled proteins. Expressions reactions were performed at 30°C for 9hrs for NR and 6hrs for electrophysiology measurements. </w:t>
      </w:r>
      <w:r w:rsidR="00865DB9" w:rsidRPr="009F57ED">
        <w:rPr>
          <w:rFonts w:cs="Arial"/>
          <w:lang w:val="en-CA"/>
        </w:rPr>
        <w:t xml:space="preserve">Because of technical constraints (namely, the duration of NR measurements), we performed cell-free expressions in the neutron cells for </w:t>
      </w:r>
      <w:r w:rsidRPr="009F57ED">
        <w:rPr>
          <w:rFonts w:cs="Arial"/>
          <w:lang w:val="en-CA"/>
        </w:rPr>
        <w:t>a longer time</w:t>
      </w:r>
      <w:r w:rsidR="00865DB9" w:rsidRPr="009F57ED">
        <w:rPr>
          <w:rFonts w:cs="Arial"/>
          <w:lang w:val="en-CA"/>
        </w:rPr>
        <w:t xml:space="preserve">. </w:t>
      </w:r>
      <w:r w:rsidRPr="009F57ED">
        <w:rPr>
          <w:rFonts w:cs="Arial"/>
          <w:lang w:val="en-CA"/>
        </w:rPr>
        <w:t>T</w:t>
      </w:r>
      <w:r w:rsidR="00865DB9" w:rsidRPr="009F57ED">
        <w:rPr>
          <w:rFonts w:cs="Arial"/>
          <w:lang w:val="en-CA"/>
        </w:rPr>
        <w:t>he rapid depletion of energy resources and the accumulation of inhibitory by-products such as free phosphates usually lead to a short life time of the system</w:t>
      </w:r>
      <w:r w:rsidR="005A67CB" w:rsidRPr="009F57ED">
        <w:rPr>
          <w:rFonts w:cs="Arial"/>
          <w:lang w:val="en-CA"/>
        </w:rPr>
        <w:fldChar w:fldCharType="begin" w:fldLock="1"/>
      </w:r>
      <w:r w:rsidR="005A67CB" w:rsidRPr="009F57ED">
        <w:rPr>
          <w:rFonts w:cs="Arial"/>
          <w:lang w:val="en-CA"/>
        </w:rPr>
        <w:instrText>ADDIN CSL_CITATION { "citationItems" : [ { "id" : "ITEM-1", "itemData" : { "author" : [ { "dropping-particle" : "", "family" : "Spirin", "given" : "Alexander S", "non-dropping-particle" : "", "parse-names" : false, "suffix" : "" } ], "id" : "ITEM-1", "issued" : { "date-parts" : [ [ "1989" ] ] }, "title" : "Continuous cell-free translation systems : history of the invention , reaction modes , and applications", "type" : "article-journal" }, "uris" : [ "http://www.mendeley.com/documents/?uuid=311104c7-3f07-4aa8-809d-af4f50e8c900" ] } ], "mendeley" : { "formattedCitation" : "&lt;sup&gt;1&lt;/sup&gt;", "plainTextFormattedCitation" : "1", "previouslyFormattedCitation" : "&lt;sup&gt;1&lt;/sup&gt;" }, "properties" : { "noteIndex" : 0 }, "schema" : "https://github.com/citation-style-language/schema/raw/master/csl-citation.json" }</w:instrText>
      </w:r>
      <w:r w:rsidR="005A67CB" w:rsidRPr="009F57ED">
        <w:rPr>
          <w:rFonts w:cs="Arial"/>
          <w:lang w:val="en-CA"/>
        </w:rPr>
        <w:fldChar w:fldCharType="separate"/>
      </w:r>
      <w:r w:rsidR="005A67CB" w:rsidRPr="009F57ED">
        <w:rPr>
          <w:rFonts w:cs="Arial"/>
          <w:noProof/>
          <w:vertAlign w:val="superscript"/>
          <w:lang w:val="en-CA"/>
        </w:rPr>
        <w:t>1</w:t>
      </w:r>
      <w:r w:rsidR="005A67CB" w:rsidRPr="009F57ED">
        <w:rPr>
          <w:rFonts w:cs="Arial"/>
          <w:lang w:val="en-CA"/>
        </w:rPr>
        <w:fldChar w:fldCharType="end"/>
      </w:r>
      <w:r w:rsidR="00865DB9" w:rsidRPr="009F57ED">
        <w:rPr>
          <w:rFonts w:cs="Arial"/>
          <w:lang w:val="en-CA"/>
        </w:rPr>
        <w:t xml:space="preserve">. </w:t>
      </w:r>
      <w:r w:rsidRPr="009F57ED">
        <w:rPr>
          <w:rFonts w:cs="Arial"/>
          <w:lang w:val="en-CA"/>
        </w:rPr>
        <w:t>The</w:t>
      </w:r>
      <w:r w:rsidR="00865DB9" w:rsidRPr="009F57ED">
        <w:rPr>
          <w:rFonts w:cs="Arial"/>
          <w:lang w:val="en-CA"/>
        </w:rPr>
        <w:t xml:space="preserve"> system </w:t>
      </w:r>
      <w:r w:rsidRPr="009F57ED">
        <w:rPr>
          <w:rFonts w:cs="Arial"/>
          <w:lang w:val="en-CA"/>
        </w:rPr>
        <w:t xml:space="preserve">used here </w:t>
      </w:r>
      <w:r w:rsidR="00865DB9" w:rsidRPr="009F57ED">
        <w:rPr>
          <w:rFonts w:cs="Arial"/>
          <w:lang w:val="en-CA"/>
        </w:rPr>
        <w:t xml:space="preserve">is </w:t>
      </w:r>
      <w:r w:rsidR="00A7562C" w:rsidRPr="009F57ED">
        <w:rPr>
          <w:rFonts w:cs="Arial"/>
          <w:lang w:val="en-CA"/>
        </w:rPr>
        <w:t xml:space="preserve">typically </w:t>
      </w:r>
      <w:r w:rsidR="00865DB9" w:rsidRPr="009F57ED">
        <w:rPr>
          <w:rFonts w:cs="Arial"/>
          <w:lang w:val="en-CA"/>
        </w:rPr>
        <w:t xml:space="preserve">depleted within 6 hours which stops </w:t>
      </w:r>
      <w:r w:rsidRPr="009F57ED">
        <w:rPr>
          <w:rFonts w:cs="Arial"/>
          <w:lang w:val="en-CA"/>
        </w:rPr>
        <w:t xml:space="preserve">further </w:t>
      </w:r>
      <w:r w:rsidR="00865DB9" w:rsidRPr="009F57ED">
        <w:rPr>
          <w:rFonts w:cs="Arial"/>
          <w:lang w:val="en-CA"/>
        </w:rPr>
        <w:t>protein synthesis</w:t>
      </w:r>
      <w:r w:rsidR="005A67CB" w:rsidRPr="009F57ED">
        <w:rPr>
          <w:rFonts w:cs="Arial"/>
          <w:lang w:val="en-CA"/>
        </w:rPr>
        <w:fldChar w:fldCharType="begin" w:fldLock="1"/>
      </w:r>
      <w:r w:rsidR="005A67CB" w:rsidRPr="009F57ED">
        <w:rPr>
          <w:rFonts w:cs="Arial"/>
          <w:lang w:val="en-CA"/>
        </w:rPr>
        <w:instrText>ADDIN CSL_CITATION { "citationItems" : [ { "id" : "ITEM-1", "itemData" : { "DOI" : "10.1016/j.jbiotec.2004.02.014", "author" : [ { "dropping-particle" : "", "family" : "Sitaraman", "given" : "Kalavathy", "non-dropping-particle" : "", "parse-names" : false, "suffix" : "" }, { "dropping-particle" : "", "family" : "Esposito", "given" : "Dominic", "non-dropping-particle" : "", "parse-names" : false, "suffix" : "" }, { "dropping-particle" : "", "family" : "Klarmann", "given" : "George", "non-dropping-particle" : "", "parse-names" : false, "suffix" : "" }, { "dropping-particle" : "", "family" : "Le", "given" : "Stuart F", "non-dropping-particle" : "", "parse-names" : false, "suffix" : "" }, { "dropping-particle" : "", "family" : "Hartley", "given" : "James L", "non-dropping-particle" : "", "parse-names" : false, "suffix" : "" }, { "dropping-particle" : "", "family" : "Chatterjee", "given" : "Deb K", "non-dropping-particle" : "", "parse-names" : false, "suffix" : "" } ], "container-title" : "Journal of Biotechnology", "id" : "ITEM-1", "issued" : { "date-parts" : [ [ "2004" ] ] }, "page" : "257-263", "title" : "A novel cell-free protein synthesis system", "type" : "article-journal", "volume" : "110" }, "uris" : [ "http://www.mendeley.com/documents/?uuid=79e6ec95-51c2-4c18-85e5-87b4b736f7f6" ] }, { "id" : "ITEM-2", "itemData" : { "DOI" : "10.1263/jbb.101.162", "author" : [ { "dropping-particle" : "", "family" : "Kuem", "given" : "Jung-won", "non-dropping-particle" : "", "parse-names" : false, "suffix" : "" }, { "dropping-particle" : "", "family" : "Kim", "given" : "Tae-wan", "non-dropping-particle" : "", "parse-names" : false, "suffix" : "" }, { "dropping-particle" : "", "family" : "Park", "given" : "Chang-gil", "non-dropping-particle" : "", "parse-names" : false, "suffix" : "" }, { "dropping-particle" : "", "family" : "Choi", "given" : "Cha-yong", "non-dropping-particle" : "", "parse-names" : false, "suffix" : "" }, { "dropping-particle" : "", "family" : "Kim", "given" : "Dong-myung", "non-dropping-particle" : "", "parse-names" : false, "suffix" : "" } ], "container-title" : "Journal of Bioscience and Biongineering", "id" : "ITEM-2", "issue" : "2", "issued" : { "date-parts" : [ [ "2006" ] ] }, "page" : "162-165", "title" : "Oxalate Enhances Protein Synthesis in Cell-Free Synthesis System Utilizing 3-Phosphoglycerate as Energy Source", "type" : "article-journal", "volume" : "101" }, "uris" : [ "http://www.mendeley.com/documents/?uuid=a3355846-0b7a-4d62-a0f4-9ad237091088" ] } ], "mendeley" : { "formattedCitation" : "&lt;sup&gt;2,3&lt;/sup&gt;", "plainTextFormattedCitation" : "2,3", "previouslyFormattedCitation" : "&lt;sup&gt;2,3&lt;/sup&gt;" }, "properties" : { "noteIndex" : 0 }, "schema" : "https://github.com/citation-style-language/schema/raw/master/csl-citation.json" }</w:instrText>
      </w:r>
      <w:r w:rsidR="005A67CB" w:rsidRPr="009F57ED">
        <w:rPr>
          <w:rFonts w:cs="Arial"/>
          <w:lang w:val="en-CA"/>
        </w:rPr>
        <w:fldChar w:fldCharType="separate"/>
      </w:r>
      <w:r w:rsidR="005A67CB" w:rsidRPr="009F57ED">
        <w:rPr>
          <w:rFonts w:cs="Arial"/>
          <w:noProof/>
          <w:vertAlign w:val="superscript"/>
          <w:lang w:val="en-CA"/>
        </w:rPr>
        <w:t>2,3</w:t>
      </w:r>
      <w:r w:rsidR="005A67CB" w:rsidRPr="009F57ED">
        <w:rPr>
          <w:rFonts w:cs="Arial"/>
          <w:lang w:val="en-CA"/>
        </w:rPr>
        <w:fldChar w:fldCharType="end"/>
      </w:r>
      <w:r w:rsidR="00865DB9" w:rsidRPr="009F57ED">
        <w:rPr>
          <w:rFonts w:cs="Arial"/>
          <w:lang w:val="en-CA"/>
        </w:rPr>
        <w:t xml:space="preserve">. As a result, we do not believe that significant </w:t>
      </w:r>
      <w:r w:rsidRPr="009F57ED">
        <w:rPr>
          <w:rFonts w:cs="Arial"/>
          <w:lang w:val="en-CA"/>
        </w:rPr>
        <w:t xml:space="preserve">additional </w:t>
      </w:r>
      <w:r w:rsidR="00865DB9" w:rsidRPr="009F57ED">
        <w:rPr>
          <w:rFonts w:cs="Arial"/>
          <w:lang w:val="en-CA"/>
        </w:rPr>
        <w:t xml:space="preserve">protein incorporation happened </w:t>
      </w:r>
      <w:r w:rsidRPr="009F57ED">
        <w:rPr>
          <w:rFonts w:cs="Arial"/>
          <w:lang w:val="en-CA"/>
        </w:rPr>
        <w:t>in the NR relative to the</w:t>
      </w:r>
      <w:r w:rsidR="00865DB9" w:rsidRPr="009F57ED">
        <w:rPr>
          <w:rFonts w:cs="Arial"/>
          <w:lang w:val="en-CA"/>
        </w:rPr>
        <w:t xml:space="preserve"> electrophysiology experiments. </w:t>
      </w:r>
      <w:r w:rsidRPr="009F57ED">
        <w:rPr>
          <w:rFonts w:cs="Arial"/>
          <w:lang w:val="en-CA"/>
        </w:rPr>
        <w:t xml:space="preserve">Additional evidence </w:t>
      </w:r>
      <w:r w:rsidR="00865DB9" w:rsidRPr="009F57ED">
        <w:rPr>
          <w:rFonts w:cs="Arial"/>
          <w:lang w:val="en-CA"/>
        </w:rPr>
        <w:t xml:space="preserve">reported in a similar system </w:t>
      </w:r>
      <w:r w:rsidR="00A7562C" w:rsidRPr="009F57ED">
        <w:rPr>
          <w:rFonts w:cs="Arial"/>
          <w:lang w:val="en-CA"/>
        </w:rPr>
        <w:t>showed</w:t>
      </w:r>
      <w:r w:rsidR="00C077EF" w:rsidRPr="009F57ED">
        <w:rPr>
          <w:rFonts w:cs="Arial"/>
          <w:lang w:val="en-CA"/>
        </w:rPr>
        <w:t xml:space="preserve"> </w:t>
      </w:r>
      <w:r w:rsidR="00865DB9" w:rsidRPr="009F57ED">
        <w:rPr>
          <w:rFonts w:cs="Arial"/>
          <w:lang w:val="en-CA"/>
        </w:rPr>
        <w:t xml:space="preserve">that </w:t>
      </w:r>
      <w:r w:rsidR="00C077EF" w:rsidRPr="009F57ED">
        <w:rPr>
          <w:rFonts w:cs="Arial"/>
          <w:lang w:val="en-CA"/>
        </w:rPr>
        <w:t xml:space="preserve">after 1h of incubation </w:t>
      </w:r>
      <w:r w:rsidR="00865DB9" w:rsidRPr="009F57ED">
        <w:rPr>
          <w:rFonts w:cs="Arial"/>
          <w:lang w:val="en-CA"/>
        </w:rPr>
        <w:t xml:space="preserve">the SLB is </w:t>
      </w:r>
      <w:r w:rsidR="00A7562C" w:rsidRPr="009F57ED">
        <w:rPr>
          <w:rFonts w:cs="Arial"/>
          <w:lang w:val="en-CA"/>
        </w:rPr>
        <w:t>nearly</w:t>
      </w:r>
      <w:r w:rsidR="00865DB9" w:rsidRPr="009F57ED">
        <w:rPr>
          <w:rFonts w:cs="Arial"/>
          <w:lang w:val="en-CA"/>
        </w:rPr>
        <w:t xml:space="preserve"> saturated with synthesized membrane proteins (</w:t>
      </w:r>
      <w:r w:rsidR="00865DB9" w:rsidRPr="009F57ED">
        <w:rPr>
          <w:rFonts w:cs="Arial"/>
        </w:rPr>
        <w:t>α</w:t>
      </w:r>
      <w:r w:rsidR="00865DB9" w:rsidRPr="009F57ED">
        <w:rPr>
          <w:rFonts w:cs="Arial"/>
          <w:lang w:val="en-CA"/>
        </w:rPr>
        <w:t>HL-eGFP channels)</w:t>
      </w:r>
      <w:r w:rsidR="005A67CB" w:rsidRPr="009F57ED">
        <w:rPr>
          <w:rFonts w:cs="Arial"/>
          <w:lang w:val="en-CA"/>
        </w:rPr>
        <w:fldChar w:fldCharType="begin" w:fldLock="1"/>
      </w:r>
      <w:r w:rsidR="005A67CB" w:rsidRPr="009F57ED">
        <w:rPr>
          <w:rFonts w:cs="Arial"/>
          <w:lang w:val="en-CA"/>
        </w:rPr>
        <w:instrText>ADDIN CSL_CITATION { "citationItems" : [ { "id" : "ITEM-1", "itemData" : { "DOI" : "10.1016/j.bbamem.2010.07.027", "ISBN" : "0005-2736", "ISSN" : "00052736", "PMID" : "20692229", "abstract" : "Cell-free protein synthesis is becoming a serious alternative to cell-based protein expression. Cell-free systems can deliver large amounts of cytoplasmic recombinant proteins after a few hours of incubation. Recent studies have shown that membrane proteins can be also expressed in cell-free reactions and directly inserted into phospholipid membranes. In this work, we present a quantitative method to study in real time the concurrent cell-free expression and insertion of membrane proteins into phospholipid bilayers. The pore-forming protein \u03b1-hemolysin, fused to the reporter protein eGFP, was used as a model of membrane protein. Cell-free expression of the toxin in solution and inside large synthetic phospholipid vesicles was measured by fluorometry and fluorescence microscopy respectively. A quartz crystal microbalance with dissipation was used to characterize the interaction of the protein with a supported phospholipid bilayer. The cell-free reaction was directly incubated onto the bilayer inside the microbalance chamber while the frequency and the dissipation signals were monitored. The presence of pores in the phospholipid bilayer was confirmed by atomic force microscopy. A model is presented which describes the kinetics of adsorption of the expressed protein on the phospholipid bilayer. The combination of cell-free expression, fluorescence microscopy and quartz crystal microbalance-dissipation is a new quantitative approach to study the interaction of membrane proteins with phospholipid bilayers. \u00a9 2010 Elsevier B.V. All rights reserved.", "author" : [ { "dropping-particle" : "", "family" : "Chalmeau", "given" : "Jerome", "non-dropping-particle" : "", "parse-names" : false, "suffix" : "" }, { "dropping-particle" : "", "family" : "Monina", "given" : "Nadezda", "non-dropping-particle" : "", "parse-names" : false, "suffix" : "" }, { "dropping-particle" : "", "family" : "Shin", "given" : "Jonghyeon", "non-dropping-particle" : "", "parse-names" : false, "suffix" : "" }, { "dropping-particle" : "", "family" : "Vieu", "given" : "Christophe", "non-dropping-particle" : "", "parse-names" : false, "suffix" : "" }, { "dropping-particle" : "", "family" : "Noireaux", "given" : "Vincent", "non-dropping-particle" : "", "parse-names" : false, "suffix" : "" } ], "container-title" : "Biochimica et Biophysica Acta - Biomembranes", "id" : "ITEM-1", "issue" : "1", "issued" : { "date-parts" : [ [ "2011" ] ] }, "page" : "271-278", "publisher" : "Elsevier B.V.", "title" : "\u03b1-Hemolysin pore formation into a supported phospholipid bilayer using cell-free expression", "type" : "article-journal", "volume" : "1808" }, "uris" : [ "http://www.mendeley.com/documents/?uuid=375e926b-c3bf-4212-a314-2ce46df51071" ] } ], "mendeley" : { "formattedCitation" : "&lt;sup&gt;4&lt;/sup&gt;", "plainTextFormattedCitation" : "4", "previouslyFormattedCitation" : "&lt;sup&gt;4&lt;/sup&gt;" }, "properties" : { "noteIndex" : 0 }, "schema" : "https://github.com/citation-style-language/schema/raw/master/csl-citation.json" }</w:instrText>
      </w:r>
      <w:r w:rsidR="005A67CB" w:rsidRPr="009F57ED">
        <w:rPr>
          <w:rFonts w:cs="Arial"/>
          <w:lang w:val="en-CA"/>
        </w:rPr>
        <w:fldChar w:fldCharType="separate"/>
      </w:r>
      <w:r w:rsidR="005A67CB" w:rsidRPr="009F57ED">
        <w:rPr>
          <w:rFonts w:cs="Arial"/>
          <w:noProof/>
          <w:vertAlign w:val="superscript"/>
          <w:lang w:val="en-CA"/>
        </w:rPr>
        <w:t>4</w:t>
      </w:r>
      <w:r w:rsidR="005A67CB" w:rsidRPr="009F57ED">
        <w:rPr>
          <w:rFonts w:cs="Arial"/>
          <w:lang w:val="en-CA"/>
        </w:rPr>
        <w:fldChar w:fldCharType="end"/>
      </w:r>
      <w:r w:rsidR="00865DB9" w:rsidRPr="009F57ED">
        <w:rPr>
          <w:rFonts w:cs="Arial"/>
          <w:lang w:val="en-CA"/>
        </w:rPr>
        <w:t>.</w:t>
      </w:r>
      <w:r w:rsidR="00A7562C" w:rsidRPr="00124F49">
        <w:rPr>
          <w:rFonts w:cs="Arial"/>
          <w:color w:val="FF0000"/>
          <w:shd w:val="clear" w:color="auto" w:fill="FFFFFF"/>
          <w:lang w:val="en-CA"/>
        </w:rPr>
        <w:t xml:space="preserve"> </w:t>
      </w:r>
      <w:r w:rsidR="00A7562C" w:rsidRPr="00124F49">
        <w:rPr>
          <w:rFonts w:cs="Arial"/>
          <w:shd w:val="clear" w:color="auto" w:fill="FFFFFF"/>
          <w:lang w:val="en-CA"/>
        </w:rPr>
        <w:t xml:space="preserve">After expression, a 10 mM Tris pH 7.5, 500 mM KCl buffer was used to flush the cell-free reaction mixture from the cells. This buffer was chosen to be consistent with </w:t>
      </w:r>
      <w:r w:rsidR="00715030">
        <w:rPr>
          <w:rFonts w:cs="Arial"/>
          <w:shd w:val="clear" w:color="auto" w:fill="FFFFFF"/>
          <w:lang w:val="en-CA"/>
        </w:rPr>
        <w:t xml:space="preserve">a </w:t>
      </w:r>
      <w:r w:rsidR="005B3C34">
        <w:rPr>
          <w:rFonts w:cs="Arial"/>
          <w:shd w:val="clear" w:color="auto" w:fill="FFFFFF"/>
          <w:lang w:val="en-CA"/>
        </w:rPr>
        <w:t>previous</w:t>
      </w:r>
      <w:r w:rsidR="005B3C34" w:rsidRPr="00124F49">
        <w:rPr>
          <w:rFonts w:cs="Arial"/>
          <w:shd w:val="clear" w:color="auto" w:fill="FFFFFF"/>
          <w:lang w:val="en-CA"/>
        </w:rPr>
        <w:t xml:space="preserve"> </w:t>
      </w:r>
      <w:r w:rsidR="00A7562C" w:rsidRPr="00124F49">
        <w:rPr>
          <w:rFonts w:cs="Arial"/>
          <w:shd w:val="clear" w:color="auto" w:fill="FFFFFF"/>
          <w:lang w:val="en-CA"/>
        </w:rPr>
        <w:t xml:space="preserve">electrophysiology </w:t>
      </w:r>
      <w:r w:rsidR="00715030" w:rsidRPr="00124F49">
        <w:rPr>
          <w:rFonts w:cs="Arial"/>
          <w:shd w:val="clear" w:color="auto" w:fill="FFFFFF"/>
          <w:lang w:val="en-CA"/>
        </w:rPr>
        <w:t>stud</w:t>
      </w:r>
      <w:r w:rsidR="00715030">
        <w:rPr>
          <w:rFonts w:cs="Arial"/>
          <w:shd w:val="clear" w:color="auto" w:fill="FFFFFF"/>
          <w:lang w:val="en-CA"/>
        </w:rPr>
        <w:t>y</w:t>
      </w:r>
      <w:r w:rsidR="00715030" w:rsidRPr="00124F49">
        <w:rPr>
          <w:rFonts w:cs="Arial"/>
          <w:shd w:val="clear" w:color="auto" w:fill="FFFFFF"/>
          <w:lang w:val="en-CA"/>
        </w:rPr>
        <w:t xml:space="preserve"> </w:t>
      </w:r>
      <w:r w:rsidR="00A7562C" w:rsidRPr="00124F49">
        <w:rPr>
          <w:rFonts w:cs="Arial"/>
          <w:shd w:val="clear" w:color="auto" w:fill="FFFFFF"/>
          <w:lang w:val="en-CA"/>
        </w:rPr>
        <w:t>of the p7 protein</w:t>
      </w:r>
      <w:r w:rsidR="005B3C34">
        <w:rPr>
          <w:rFonts w:cs="Arial"/>
          <w:shd w:val="clear" w:color="auto" w:fill="FFFFFF"/>
          <w:lang w:val="en-CA"/>
        </w:rPr>
        <w:fldChar w:fldCharType="begin" w:fldLock="1"/>
      </w:r>
      <w:r w:rsidR="005B3C34">
        <w:rPr>
          <w:rFonts w:cs="Arial"/>
          <w:shd w:val="clear" w:color="auto" w:fill="FFFFFF"/>
          <w:lang w:val="en-CA"/>
        </w:rPr>
        <w:instrText>ADDIN CSL_CITATION { "citationItems" : [ { "id" : "ITEM-1", "itemData" : { "DOI" : "10.1074/jbc.M110.122895", "author" : [ { "dropping-particle" : "", "family" : "Montserret", "given" : "Roland", "non-dropping-particle" : "", "parse-names" : false, "suffix" : "" }, { "dropping-particle" : "", "family" : "Saint", "given" : "Nathalie", "non-dropping-particle" : "", "parse-names" : false, "suffix" : "" }, { "dropping-particle" : "", "family" : "Vanbelle", "given" : "Christophe", "non-dropping-particle" : "", "parse-names" : false, "suffix" : "" }, { "dropping-particle" : "", "family" : "Salvay", "given" : "Gerardo", "non-dropping-particle" : "", "parse-names" : false, "suffix" : "" }, { "dropping-particle" : "", "family" : "Simorre", "given" : "Jean-pierre", "non-dropping-particle" : "", "parse-names" : false, "suffix" : "" }, { "dropping-particle" : "", "family" : "Ebel", "given" : "Christine", "non-dropping-particle" : "", "parse-names" : false, "suffix" : "" }, { "dropping-particle" : "", "family" : "Sapay", "given" : "Nicolas", "non-dropping-particle" : "", "parse-names" : false, "suffix" : "" }, { "dropping-particle" : "", "family" : "Renisio", "given" : "Jean-guillaume", "non-dropping-particle" : "", "parse-names" : false, "suffix" : "" }, { "dropping-particle" : "", "family" : "Bo", "given" : "Anja", "non-dropping-particle" : "", "parse-names" : false, "suffix" : "" }, { "dropping-particle" : "", "family" : "Steinmann", "given" : "Eike", "non-dropping-particle" : "", "parse-names" : false, "suffix" : "" }, { "dropping-particle" : "", "family" : "Pietschmann", "given" : "Thomas", "non-dropping-particle" : "", "parse-names" : false, "suffix" : "" }, { "dropping-particle" : "", "family" : "Dubuisson", "given" : "Jean", "non-dropping-particle" : "", "parse-names" : false, "suffix" : "" }, { "dropping-particle" : "", "family" : "Chipot", "given" : "Christophe", "non-dropping-particle" : "", "parse-names" : false, "suffix" : "" }, { "dropping-particle" : "", "family" : "Poincare", "given" : "Henri", "non-dropping-particle" : "", "parse-names" : false, "suffix" : "" } ], "container-title" : "The journal of biological chemistry", "id" : "ITEM-1", "issue" : "41", "issued" : { "date-parts" : [ [ "2010" ] ] }, "page" : "31446-31461", "title" : "NMR Structure and Ion Channel Activity of the p7 Protein from Hepatitis C Virus", "type" : "article-journal", "volume" : "285" }, "uris" : [ "http://www.mendeley.com/documents/?uuid=c5bbc09c-4d86-4707-b8d9-a39c607ab07a" ] } ], "mendeley" : { "formattedCitation" : "&lt;sup&gt;5&lt;/sup&gt;", "plainTextFormattedCitation" : "5", "previouslyFormattedCitation" : "&lt;sup&gt;5&lt;/sup&gt;" }, "properties" : { "noteIndex" : 0 }, "schema" : "https://github.com/citation-style-language/schema/raw/master/csl-citation.json" }</w:instrText>
      </w:r>
      <w:r w:rsidR="005B3C34">
        <w:rPr>
          <w:rFonts w:cs="Arial"/>
          <w:shd w:val="clear" w:color="auto" w:fill="FFFFFF"/>
          <w:lang w:val="en-CA"/>
        </w:rPr>
        <w:fldChar w:fldCharType="separate"/>
      </w:r>
      <w:r w:rsidR="005B3C34" w:rsidRPr="005B3C34">
        <w:rPr>
          <w:rFonts w:cs="Arial"/>
          <w:noProof/>
          <w:shd w:val="clear" w:color="auto" w:fill="FFFFFF"/>
          <w:vertAlign w:val="superscript"/>
          <w:lang w:val="en-CA"/>
        </w:rPr>
        <w:t>5</w:t>
      </w:r>
      <w:r w:rsidR="005B3C34">
        <w:rPr>
          <w:rFonts w:cs="Arial"/>
          <w:shd w:val="clear" w:color="auto" w:fill="FFFFFF"/>
          <w:lang w:val="en-CA"/>
        </w:rPr>
        <w:fldChar w:fldCharType="end"/>
      </w:r>
      <w:r w:rsidR="005B3C34">
        <w:rPr>
          <w:rFonts w:cs="Arial"/>
          <w:shd w:val="clear" w:color="auto" w:fill="FFFFFF"/>
          <w:lang w:val="en-CA"/>
        </w:rPr>
        <w:t>.</w:t>
      </w:r>
      <w:r w:rsidR="00A7562C" w:rsidRPr="00124F49">
        <w:rPr>
          <w:rFonts w:cs="Arial"/>
          <w:shd w:val="clear" w:color="auto" w:fill="FFFFFF"/>
          <w:lang w:val="en-CA"/>
        </w:rPr>
        <w:t xml:space="preserve"> Moreover, we have also published results about the structure and function of p7 from genotype 1a strain H77 using the same buffer</w:t>
      </w:r>
      <w:r w:rsidR="005A67CB" w:rsidRPr="00124F49">
        <w:rPr>
          <w:rFonts w:cs="Arial"/>
          <w:shd w:val="clear" w:color="auto" w:fill="FFFFFF"/>
          <w:lang w:val="en-CA"/>
        </w:rPr>
        <w:fldChar w:fldCharType="begin" w:fldLock="1"/>
      </w:r>
      <w:r w:rsidR="005B3C34">
        <w:rPr>
          <w:rFonts w:cs="Arial"/>
          <w:shd w:val="clear" w:color="auto" w:fill="FFFFFF"/>
          <w:lang w:val="en-CA"/>
        </w:rPr>
        <w:instrText>ADDIN CSL_CITATION { "citationItems" : [ { "id" : "ITEM-1", "itemData" : { "DOI" : "10.1016/j.pep.2015.10.004", "ISSN" : "10465928", "author" : [ { "dropping-particle" : "", "family" : "Soranzo", "given" : "Thomas", "non-dropping-particle" : "", "parse-names" : false, "suffix" : "" }, { "dropping-particle" : "", "family" : "Cort\u00e8s", "given" : "Sandra", "non-dropping-particle" : "", "parse-names" : false, "suffix" : "" }, { "dropping-particle" : "", "family" : "Gilde", "given" : "Flora", "non-dropping-particle" : "", "parse-names" : false, "suffix" : "" }, { "dropping-particle" : "", "family" : "Kreir", "given" : "Mohamed", "non-dropping-particle" : "", "parse-names" : false, "suffix" : "" }, { "dropping-particle" : "", "family" : "Picart", "given" : "Catherine", "non-dropping-particle" : "", "parse-names" : false, "suffix" : "" }, { "dropping-particle" : "", "family" : "Lenormand", "given" : "Jean-Luc", "non-dropping-particle" : "", "parse-names" : false, "suffix" : "" } ], "container-title" : "Protein Expression and Purification", "id" : "ITEM-1", "issued" : { "date-parts" : [ [ "2016" ] ] }, "page" : "83-91", "title" : "Functional characterization of p7 viroporin from hepatitis C virus produced in a cell-free expression system", "type" : "article-journal", "volume" : "118" }, "uris" : [ "http://www.mendeley.com/documents/?uuid=3f13c08c-8c9c-42d8-afde-e3455974bede" ] } ], "mendeley" : { "formattedCitation" : "&lt;sup&gt;6&lt;/sup&gt;", "plainTextFormattedCitation" : "6", "previouslyFormattedCitation" : "&lt;sup&gt;6&lt;/sup&gt;" }, "properties" : { "noteIndex" : 0 }, "schema" : "https://github.com/citation-style-language/schema/raw/master/csl-citation.json" }</w:instrText>
      </w:r>
      <w:r w:rsidR="005A67CB" w:rsidRPr="00124F49">
        <w:rPr>
          <w:rFonts w:cs="Arial"/>
          <w:shd w:val="clear" w:color="auto" w:fill="FFFFFF"/>
          <w:lang w:val="en-CA"/>
        </w:rPr>
        <w:fldChar w:fldCharType="separate"/>
      </w:r>
      <w:r w:rsidR="005B3C34" w:rsidRPr="005B3C34">
        <w:rPr>
          <w:rFonts w:cs="Arial"/>
          <w:noProof/>
          <w:shd w:val="clear" w:color="auto" w:fill="FFFFFF"/>
          <w:vertAlign w:val="superscript"/>
          <w:lang w:val="en-CA"/>
        </w:rPr>
        <w:t>6</w:t>
      </w:r>
      <w:r w:rsidR="005A67CB" w:rsidRPr="00124F49">
        <w:rPr>
          <w:rFonts w:cs="Arial"/>
          <w:shd w:val="clear" w:color="auto" w:fill="FFFFFF"/>
          <w:lang w:val="en-CA"/>
        </w:rPr>
        <w:fldChar w:fldCharType="end"/>
      </w:r>
      <w:r w:rsidR="005A67CB" w:rsidRPr="00124F49">
        <w:rPr>
          <w:rFonts w:cs="Arial"/>
          <w:shd w:val="clear" w:color="auto" w:fill="FFFFFF"/>
          <w:lang w:val="en-CA"/>
        </w:rPr>
        <w:t>.</w:t>
      </w:r>
      <w:r w:rsidR="00A7562C" w:rsidRPr="00124F49">
        <w:rPr>
          <w:rFonts w:cs="Arial"/>
          <w:shd w:val="clear" w:color="auto" w:fill="FFFFFF"/>
          <w:lang w:val="en-CA"/>
        </w:rPr>
        <w:t xml:space="preserve"> Finally, since this buffer was used to wash off the cell-free expression reaction on the bilayer, the high salinity present in the solution also served to disrupt unwanted protein-protein and protein-lipid head groups interactions.</w:t>
      </w:r>
    </w:p>
    <w:p w:rsidR="00E76362" w:rsidRPr="00E64C7E" w:rsidRDefault="00E76362" w:rsidP="00E76362">
      <w:pPr>
        <w:jc w:val="both"/>
        <w:rPr>
          <w:i/>
          <w:lang w:val="en-US"/>
        </w:rPr>
      </w:pPr>
      <w:r w:rsidRPr="00E64C7E">
        <w:rPr>
          <w:i/>
          <w:lang w:val="en-US"/>
        </w:rPr>
        <w:t>Cell-free expression of p7 with POPC and Asolectin liposomes</w:t>
      </w:r>
    </w:p>
    <w:p w:rsidR="00550A38" w:rsidRDefault="001C6900" w:rsidP="001C6900">
      <w:pPr>
        <w:jc w:val="both"/>
        <w:rPr>
          <w:lang w:val="en-US"/>
        </w:rPr>
      </w:pPr>
      <w:r w:rsidRPr="00BF63C5">
        <w:rPr>
          <w:lang w:val="en-US"/>
        </w:rPr>
        <w:t xml:space="preserve">Cell-free reaction was carried out at 30°C for 16h with gentle agitation at 400 rpm by using an </w:t>
      </w:r>
      <w:r w:rsidRPr="00550A38">
        <w:rPr>
          <w:i/>
          <w:lang w:val="en-US"/>
        </w:rPr>
        <w:t>E. coli</w:t>
      </w:r>
      <w:r w:rsidRPr="00BF63C5">
        <w:rPr>
          <w:lang w:val="en-US"/>
        </w:rPr>
        <w:t xml:space="preserve"> extract and energy</w:t>
      </w:r>
      <w:r w:rsidR="00550A38">
        <w:rPr>
          <w:lang w:val="en-US"/>
        </w:rPr>
        <w:t xml:space="preserve"> mix provided by Synthelis SAS in the presence of liposomes.</w:t>
      </w:r>
    </w:p>
    <w:p w:rsidR="001C6900" w:rsidRPr="00BF63C5" w:rsidRDefault="001C6900" w:rsidP="001C6900">
      <w:pPr>
        <w:jc w:val="both"/>
        <w:rPr>
          <w:lang w:val="en-US"/>
        </w:rPr>
      </w:pPr>
      <w:r w:rsidRPr="00BF63C5">
        <w:rPr>
          <w:lang w:val="en-US"/>
        </w:rPr>
        <w:t>Liposomes were prepared usi</w:t>
      </w:r>
      <w:r>
        <w:rPr>
          <w:lang w:val="en-US"/>
        </w:rPr>
        <w:t xml:space="preserve">ng a 10 mg/ml lipid mixture of POPC or asolectin </w:t>
      </w:r>
      <w:r w:rsidRPr="00BF63C5">
        <w:rPr>
          <w:lang w:val="en-US"/>
        </w:rPr>
        <w:t>in chloroform.</w:t>
      </w:r>
      <w:r>
        <w:rPr>
          <w:lang w:val="en-US"/>
        </w:rPr>
        <w:t xml:space="preserve"> </w:t>
      </w:r>
      <w:r w:rsidRPr="00BF63C5">
        <w:rPr>
          <w:lang w:val="en-US"/>
        </w:rPr>
        <w:t xml:space="preserve">Chloroform was evaporated using a univapo 150H. The thin lipid film was rehydrated with diethyl pyrocarbonate treated water to obtain </w:t>
      </w:r>
      <w:proofErr w:type="gramStart"/>
      <w:r w:rsidRPr="00BF63C5">
        <w:rPr>
          <w:lang w:val="en-US"/>
        </w:rPr>
        <w:t>a 30</w:t>
      </w:r>
      <w:proofErr w:type="gramEnd"/>
      <w:r w:rsidRPr="00BF63C5">
        <w:rPr>
          <w:lang w:val="en-US"/>
        </w:rPr>
        <w:t xml:space="preserve"> mg/ml lipid slurry. This solution was sonicated using a tip sonicator (Branson Digital Sonifier 250) at 20% for 5 times 30 seconds before being filtered once with a 0.22 µm PES filter.</w:t>
      </w:r>
    </w:p>
    <w:p w:rsidR="001C6900" w:rsidRPr="00BF63C5" w:rsidRDefault="001C6900" w:rsidP="001C6900">
      <w:pPr>
        <w:jc w:val="both"/>
        <w:rPr>
          <w:lang w:val="en-US"/>
        </w:rPr>
      </w:pPr>
      <w:r w:rsidRPr="00BF63C5">
        <w:rPr>
          <w:lang w:val="en-US"/>
        </w:rPr>
        <w:t xml:space="preserve">To purify proteoliposomes, cell-free reactions were loaded on top of 3-step discontinuous sucrose gradient (60%, 30% and 5%) prepared in 50mM Hepes pH 7.5 </w:t>
      </w:r>
      <w:proofErr w:type="gramStart"/>
      <w:r w:rsidRPr="00BF63C5">
        <w:rPr>
          <w:lang w:val="en-US"/>
        </w:rPr>
        <w:t>buffer</w:t>
      </w:r>
      <w:proofErr w:type="gramEnd"/>
      <w:r w:rsidRPr="00BF63C5">
        <w:rPr>
          <w:lang w:val="en-US"/>
        </w:rPr>
        <w:t>. After centrifugation at 280,000 x g for 1hr at 4°C, fractions were collected at each interface and analyzed by Western blotting using a poly histidine antibody conjugated with a horseradish peroxidase (Sigma-Aldrich) diluted at 1:10 000 in TBS-Tween buffer, 5% nonfat milk.</w:t>
      </w:r>
    </w:p>
    <w:p w:rsidR="001C6900" w:rsidRPr="00BF63C5" w:rsidRDefault="001C6900" w:rsidP="001C6900">
      <w:pPr>
        <w:jc w:val="both"/>
        <w:rPr>
          <w:lang w:val="en-US"/>
        </w:rPr>
      </w:pPr>
      <w:r w:rsidRPr="00BF63C5">
        <w:rPr>
          <w:lang w:val="en-US"/>
        </w:rPr>
        <w:t>To assess protein integration in the l</w:t>
      </w:r>
      <w:r w:rsidR="00C974EF">
        <w:rPr>
          <w:lang w:val="en-US"/>
        </w:rPr>
        <w:t>ipid membrane of liposomes, pr</w:t>
      </w:r>
      <w:r w:rsidRPr="00BF63C5">
        <w:rPr>
          <w:lang w:val="en-US"/>
        </w:rPr>
        <w:t xml:space="preserve">oteoliposomes were subjected to alkaline extraction. Samples were diluted 1:10 in 0.1 M sodium carbonate (pH 11.5) and incubated </w:t>
      </w:r>
      <w:r w:rsidRPr="00BF63C5">
        <w:rPr>
          <w:lang w:val="en-US"/>
        </w:rPr>
        <w:lastRenderedPageBreak/>
        <w:t>on ice for 30 minutes before centrifugation on discontinuous sucrose gradient and analyzed as stated above.</w:t>
      </w:r>
    </w:p>
    <w:p w:rsidR="000C6E93" w:rsidRDefault="000C6E93" w:rsidP="000C6E93">
      <w:pPr>
        <w:jc w:val="both"/>
        <w:rPr>
          <w:i/>
          <w:color w:val="FF0000"/>
          <w:lang w:val="en-US"/>
        </w:rPr>
      </w:pPr>
      <w:r w:rsidRPr="00B44DDC">
        <w:rPr>
          <w:i/>
          <w:lang w:val="en-US"/>
        </w:rPr>
        <w:t>Electrical Impedance Spectroscopy from p7 protein inserted into lipid bilayers</w:t>
      </w:r>
    </w:p>
    <w:p w:rsidR="000C6E93" w:rsidRPr="00B44DDC" w:rsidRDefault="000C6E93" w:rsidP="00A03AA5">
      <w:pPr>
        <w:jc w:val="both"/>
        <w:rPr>
          <w:lang w:val="en-CA"/>
        </w:rPr>
      </w:pPr>
      <w:r w:rsidRPr="00B44DDC">
        <w:rPr>
          <w:rFonts w:cs="Arial"/>
          <w:lang w:val="en-US"/>
        </w:rPr>
        <w:t>The tethaPLATE was connected to a tethaP</w:t>
      </w:r>
      <w:r w:rsidR="00F3272E" w:rsidRPr="00B44DDC">
        <w:rPr>
          <w:rFonts w:cs="Arial"/>
          <w:lang w:val="en-US"/>
        </w:rPr>
        <w:t>od</w:t>
      </w:r>
      <w:r w:rsidRPr="00B44DDC">
        <w:rPr>
          <w:rFonts w:cs="Arial"/>
          <w:lang w:val="en-US"/>
        </w:rPr>
        <w:t xml:space="preserve"> system (SDx Tethered Membranes) and a potentiostat (eDAQ, ER466) operating with a bandwidth of 100 kHz.</w:t>
      </w:r>
      <w:r w:rsidR="00F3272E" w:rsidRPr="00B44DDC">
        <w:rPr>
          <w:lang w:val="en-GB"/>
        </w:rPr>
        <w:t xml:space="preserve"> The TethaPod was used to determine the low-voltage (20 mV) AC impedance spectroscopy measurement of basal membrane conduction of the lipid bilayer membrane. The TethaPod provided real-time modelling of the lipid bilayer while operating as a swept frequency ratiometric impedance spectrometer. A sequential 20 mV excitation was applied over the frequencies </w:t>
      </w:r>
      <w:r w:rsidR="004B2363" w:rsidRPr="00B44DDC">
        <w:rPr>
          <w:lang w:val="en-GB"/>
        </w:rPr>
        <w:t xml:space="preserve">1000, 500, 200, 100, 50, 20, 10, 5, 2.5, 1.25, 0.5, 0.25, </w:t>
      </w:r>
      <w:r w:rsidR="00F3272E" w:rsidRPr="00B44DDC">
        <w:rPr>
          <w:lang w:val="en-GB"/>
        </w:rPr>
        <w:t>and 0.125 Hz</w:t>
      </w:r>
      <w:r w:rsidR="004B2363" w:rsidRPr="00B44DDC">
        <w:rPr>
          <w:lang w:val="en-GB"/>
        </w:rPr>
        <w:fldChar w:fldCharType="begin" w:fldLock="1"/>
      </w:r>
      <w:r w:rsidR="005B3C34">
        <w:rPr>
          <w:lang w:val="en-GB"/>
        </w:rPr>
        <w:instrText>ADDIN CSL_CITATION { "citationItems" : [ { "id" : "ITEM-1", "itemData" : { "DOI" : "10.1016/j.bpj.2013.11.1121", "ISSN" : "00063495", "PMID" : "24411250", "abstract" : "In this work, we present experimental data, supported by a quantitative model, on the generation and effect of potential gradients across a tethered bilayer lipid membrane (tBLM) with, to the best of our knowledge, novel architecture. A challenge to generating potential gradients across tBLMs arises from the tethering coordination chemistry requiring an inert metal such as gold, resulting in any externally applied voltage source being capacitively coupled to the tBLM. This in turn causes any potential across the tBLM assembly to decay to zero in milliseconds to seconds, depending on the level of membrane conductance. Transient voltages applied to tBLMs by pulsed or ramped direct-current amperometry can, however, provide current-voltage (I/V) data that may be used to measure the voltage dependency of the membrane conductance. We show that potential gradients &gt;???150 mV induce membrane defects that permit the insertion of pore-forming peptides. Further, we report here the novel (to our knowledge) use of real-time modeling of conventional low-voltage alternating-current impedance spectroscopy to identify whether the conduction arising from the insertion of a polypeptide is uniform or heterogeneous on scales of nanometers to micrometers across the membrane. The utility of this tBLM architecture and these techniques is demonstrated by characterizing the resulting conduction properties of the antimicrobial peptide PGLa. ?? 2014 by the Biophysical Society.", "author" : [ { "dropping-particle" : "", "family" : "Cranfield", "given" : "Charles G.", "non-dropping-particle" : "", "parse-names" : false, "suffix" : "" }, { "dropping-particle" : "", "family" : "Cornell", "given" : "Bruce a.", "non-dropping-particle" : "", "parse-names" : false, "suffix" : "" }, { "dropping-particle" : "", "family" : "Grage", "given" : "Stephan L.", "non-dropping-particle" : "", "parse-names" : false, "suffix" : "" }, { "dropping-particle" : "", "family" : "Duckworth", "given" : "Paul", "non-dropping-particle" : "", "parse-names" : false, "suffix" : "" }, { "dropping-particle" : "", "family" : "Carne", "given" : "Sonia", "non-dropping-particle" : "", "parse-names" : false, "suffix" : "" }, { "dropping-particle" : "", "family" : "Ulrich", "given" : "Anne S.", "non-dropping-particle" : "", "parse-names" : false, "suffix" : "" }, { "dropping-particle" : "", "family" : "Martinac", "given" : "Boris", "non-dropping-particle" : "", "parse-names" : false, "suffix" : "" } ], "container-title" : "Biophysical Journal", "id" : "ITEM-1", "issue" : "1", "issued" : { "date-parts" : [ [ "2014" ] ] }, "page" : "182-189", "publisher" : "Biophysical Society", "title" : "Transient potential gradients and impedance measures of tethered bilayer lipid membranes: Pore-forming peptide insertion and the effect of electroporation", "type" : "article-journal", "volume" : "106" }, "uris" : [ "http://www.mendeley.com/documents/?uuid=ae743e14-52e4-4c34-bfbc-9369ab4f0ba7" ] } ], "mendeley" : { "formattedCitation" : "&lt;sup&gt;7&lt;/sup&gt;", "plainTextFormattedCitation" : "7", "previouslyFormattedCitation" : "&lt;sup&gt;7&lt;/sup&gt;" }, "properties" : { "noteIndex" : 0 }, "schema" : "https://github.com/citation-style-language/schema/raw/master/csl-citation.json" }</w:instrText>
      </w:r>
      <w:r w:rsidR="004B2363" w:rsidRPr="00B44DDC">
        <w:rPr>
          <w:lang w:val="en-GB"/>
        </w:rPr>
        <w:fldChar w:fldCharType="separate"/>
      </w:r>
      <w:r w:rsidR="005B3C34" w:rsidRPr="005B3C34">
        <w:rPr>
          <w:noProof/>
          <w:vertAlign w:val="superscript"/>
          <w:lang w:val="en-GB"/>
        </w:rPr>
        <w:t>7</w:t>
      </w:r>
      <w:r w:rsidR="004B2363" w:rsidRPr="00B44DDC">
        <w:rPr>
          <w:lang w:val="en-GB"/>
        </w:rPr>
        <w:fldChar w:fldCharType="end"/>
      </w:r>
      <w:r w:rsidR="004B2363" w:rsidRPr="00B44DDC">
        <w:rPr>
          <w:lang w:val="en-GB"/>
        </w:rPr>
        <w:t>.</w:t>
      </w:r>
    </w:p>
    <w:p w:rsidR="00E76362" w:rsidRPr="00B44DDC" w:rsidRDefault="000C6E93" w:rsidP="00A03AA5">
      <w:pPr>
        <w:jc w:val="both"/>
        <w:rPr>
          <w:b/>
          <w:lang w:val="en-US"/>
        </w:rPr>
      </w:pPr>
      <w:r w:rsidRPr="00B44DDC">
        <w:rPr>
          <w:lang w:val="en-CA"/>
        </w:rPr>
        <w:t>The measured spectra were fit to the equivalent circuit model using Simplex minimisation preceded by a randomisation technique to select suitable parameters to commence the minimisation (EC-Lab, v10.44). The parameters for R</w:t>
      </w:r>
      <w:r w:rsidRPr="00B44DDC">
        <w:rPr>
          <w:vertAlign w:val="subscript"/>
          <w:lang w:val="en-CA"/>
        </w:rPr>
        <w:t>s</w:t>
      </w:r>
      <w:r w:rsidRPr="00B44DDC">
        <w:rPr>
          <w:lang w:val="en-CA"/>
        </w:rPr>
        <w:t>, R</w:t>
      </w:r>
      <w:r w:rsidRPr="00B44DDC">
        <w:rPr>
          <w:vertAlign w:val="subscript"/>
          <w:lang w:val="en-CA"/>
        </w:rPr>
        <w:t>m</w:t>
      </w:r>
      <w:r w:rsidRPr="00B44DDC">
        <w:rPr>
          <w:lang w:val="en-CA"/>
        </w:rPr>
        <w:t>, C</w:t>
      </w:r>
      <w:r w:rsidRPr="00B44DDC">
        <w:rPr>
          <w:vertAlign w:val="subscript"/>
          <w:lang w:val="en-CA"/>
        </w:rPr>
        <w:t>s</w:t>
      </w:r>
      <w:r w:rsidRPr="00B44DDC">
        <w:rPr>
          <w:lang w:val="en-CA"/>
        </w:rPr>
        <w:t xml:space="preserve"> and C</w:t>
      </w:r>
      <w:r w:rsidRPr="00B44DDC">
        <w:rPr>
          <w:vertAlign w:val="subscript"/>
          <w:lang w:val="en-CA"/>
        </w:rPr>
        <w:t>2</w:t>
      </w:r>
      <w:r w:rsidRPr="00B44DDC">
        <w:rPr>
          <w:lang w:val="en-CA"/>
        </w:rPr>
        <w:t xml:space="preserve"> were allowed to vary in order to obtain the best-fit to the spectrum for the membrane before the p7 was integrated using the cell-free expression.</w:t>
      </w:r>
    </w:p>
    <w:p w:rsidR="002E64DF" w:rsidRDefault="002E64DF" w:rsidP="00A03AA5">
      <w:pPr>
        <w:jc w:val="both"/>
        <w:rPr>
          <w:b/>
          <w:lang w:val="en-US"/>
        </w:rPr>
      </w:pPr>
    </w:p>
    <w:p w:rsidR="00E76362" w:rsidRPr="003B0C97" w:rsidRDefault="003B0C97" w:rsidP="003B0C97">
      <w:pPr>
        <w:jc w:val="both"/>
        <w:rPr>
          <w:i/>
          <w:lang w:val="en-US"/>
        </w:rPr>
      </w:pPr>
      <w:r w:rsidRPr="003E7CC0">
        <w:rPr>
          <w:i/>
          <w:lang w:val="en-US"/>
        </w:rPr>
        <w:t>Calculation of the protein SLD</w:t>
      </w:r>
    </w:p>
    <w:p w:rsidR="003B0C97" w:rsidRPr="003E7CC0" w:rsidRDefault="003B0C97" w:rsidP="00E845C6">
      <w:pPr>
        <w:rPr>
          <w:rFonts w:ascii="Arial" w:hAnsi="Arial" w:cs="Arial"/>
          <w:color w:val="FF0000"/>
          <w:sz w:val="19"/>
          <w:szCs w:val="19"/>
          <w:lang w:val="en-CA"/>
        </w:rPr>
      </w:pPr>
      <w:r w:rsidRPr="003B0C97">
        <w:rPr>
          <w:lang w:val="en-US"/>
        </w:rPr>
        <w:t xml:space="preserve">The scattering length density of both deuterated and hydrogenated p7 was calculated for each of the isotopic compositions of the solvent by accounting for exchange of the protein’s hydrogen or deuterium atoms with the hydrogen or deuterium of the solvent. First, the </w:t>
      </w:r>
      <w:r w:rsidRPr="00124F49">
        <w:rPr>
          <w:rFonts w:cs="Arial"/>
          <w:lang w:val="en-CA"/>
        </w:rPr>
        <w:t xml:space="preserve">protein volume was approximated based on the sum of the individual amino acid volumes in the sequence of the membrane spanning residues of the p7 monomer: </w:t>
      </w:r>
      <w:r w:rsidRPr="00124F49">
        <w:rPr>
          <w:rFonts w:eastAsiaTheme="minorHAnsi" w:cs="Arial"/>
          <w:lang w:val="en-CA"/>
        </w:rPr>
        <w:t>ALENLV</w:t>
      </w:r>
      <w:r w:rsidRPr="00124F49">
        <w:rPr>
          <w:rFonts w:cs="Arial"/>
          <w:lang w:val="en-CA"/>
        </w:rPr>
        <w:t>ILNAASLAGTHGLVSFLVFFCFAWYLKGRWVPGAVYAFYGMWPLLLLLLALPQRAYA. The calculation was made using individual amino acid volumes obtained from Perkins et al and resulted in a monomer volume of 9nm</w:t>
      </w:r>
      <w:r w:rsidRPr="00124F49">
        <w:rPr>
          <w:rFonts w:cs="Arial"/>
          <w:vertAlign w:val="superscript"/>
          <w:lang w:val="en-CA"/>
        </w:rPr>
        <w:t>3</w:t>
      </w:r>
      <w:r w:rsidR="00E845C6" w:rsidRPr="00124F49">
        <w:rPr>
          <w:rFonts w:cs="Arial"/>
          <w:vertAlign w:val="superscript"/>
          <w:lang w:val="en-CA"/>
        </w:rPr>
        <w:t xml:space="preserve"> </w:t>
      </w:r>
      <w:r w:rsidR="00E845C6" w:rsidRPr="00124F49">
        <w:rPr>
          <w:rFonts w:cs="Arial"/>
          <w:vertAlign w:val="superscript"/>
          <w:lang w:val="en-CA"/>
        </w:rPr>
        <w:fldChar w:fldCharType="begin" w:fldLock="1"/>
      </w:r>
      <w:r w:rsidR="005B3C34">
        <w:rPr>
          <w:rFonts w:cs="Arial"/>
          <w:vertAlign w:val="superscript"/>
          <w:lang w:val="en-CA"/>
        </w:rPr>
        <w:instrText>ADDIN CSL_CITATION { "citationItems" : [ { "id" : "ITEM-1", "itemData" : { "DOI" : "10.1111/j.1432-1033.1986.tb09653.x", "ISBN" : "1432-1033", "ISSN" : "0014-2956", "PMID" : "3709531", "abstract" : "Amino acid sequences, carbohydrate compositions and residue volumes are used to compare critically calculations of partial specific volumes v, neutron scattering matchpoints and 280-nm absorption coefficients with experimental v values for proteins and glycoproteins. The v values that are obtained from amino acid densitometry underestimate experimental v values by 0.01-0.02 ml/g while the v values from crystallographic volumes overestimate the experimental v values by 0.04-0.05 ml/g. An intermediate consensus volume set of amino-acid-residue volumes is proposed in order to predict experimental v values using sequence information. The method is extended to carbohydrates and glycoproteins. Neutron scattering matchpoints can be calculated from crystallographic residue volumes on the basis of the non-exchange of 10% of the main-chain NH protons. Crystallographic results on protein-bound water are used to account for the experimental values of v and matchpoints. Finally, 280-nm absorption coefficients, A1%, 1 cm 280, of 5-27 are found to be well predicted by the Wetlaufer procedure based on the totals of Trp, Tyr and Cys residues. Average errors are +/- 0.7, and the experimental A(1%,1cm)280 values can be larger than the predicted values by 3%.", "author" : [ { "dropping-particle" : "", "family" : "Perkins", "given" : "S.J.", "non-dropping-particle" : "", "parse-names" : false, "suffix" : "" } ], "container-title" : "Eur. J. Biochem.", "id" : "ITEM-1", "issued" : { "date-parts" : [ [ "1986" ] ] }, "page" : "169-180", "title" : "Protein volumes and hydration effects", "type" : "article-journal", "volume" : "157" }, "uris" : [ "http://www.mendeley.com/documents/?uuid=99257c43-1405-4a13-ba53-4da8543168c6" ] } ], "mendeley" : { "formattedCitation" : "&lt;sup&gt;8&lt;/sup&gt;", "plainTextFormattedCitation" : "8", "previouslyFormattedCitation" : "&lt;sup&gt;8&lt;/sup&gt;" }, "properties" : { "noteIndex" : 0 }, "schema" : "https://github.com/citation-style-language/schema/raw/master/csl-citation.json" }</w:instrText>
      </w:r>
      <w:r w:rsidR="00E845C6" w:rsidRPr="00124F49">
        <w:rPr>
          <w:rFonts w:cs="Arial"/>
          <w:vertAlign w:val="superscript"/>
          <w:lang w:val="en-CA"/>
        </w:rPr>
        <w:fldChar w:fldCharType="separate"/>
      </w:r>
      <w:r w:rsidR="005B3C34" w:rsidRPr="005B3C34">
        <w:rPr>
          <w:rFonts w:cs="Arial"/>
          <w:noProof/>
          <w:vertAlign w:val="superscript"/>
          <w:lang w:val="en-CA"/>
        </w:rPr>
        <w:t>8</w:t>
      </w:r>
      <w:r w:rsidR="00E845C6" w:rsidRPr="00124F49">
        <w:rPr>
          <w:rFonts w:cs="Arial"/>
          <w:vertAlign w:val="superscript"/>
          <w:lang w:val="en-CA"/>
        </w:rPr>
        <w:fldChar w:fldCharType="end"/>
      </w:r>
      <w:r w:rsidRPr="00124F49">
        <w:rPr>
          <w:rFonts w:cs="Arial"/>
          <w:lang w:val="en-CA"/>
        </w:rPr>
        <w:t>. Next, the number of labile hydrogen atoms</w:t>
      </w:r>
      <w:r w:rsidR="002E64DF" w:rsidRPr="00124F49">
        <w:rPr>
          <w:rFonts w:cs="Arial"/>
          <w:lang w:val="en-CA"/>
        </w:rPr>
        <w:t xml:space="preserve"> in the peptide sequence</w:t>
      </w:r>
      <w:r w:rsidRPr="00124F49">
        <w:rPr>
          <w:rFonts w:cs="Arial"/>
          <w:lang w:val="en-CA"/>
        </w:rPr>
        <w:t>, which continuously exchange with the hydrogen/deuterium of the solvent,</w:t>
      </w:r>
      <w:r w:rsidR="002E64DF" w:rsidRPr="00124F49">
        <w:rPr>
          <w:rFonts w:cs="Arial"/>
          <w:lang w:val="en-CA"/>
        </w:rPr>
        <w:t xml:space="preserve"> </w:t>
      </w:r>
      <w:r w:rsidRPr="00124F49">
        <w:rPr>
          <w:rFonts w:cs="Arial"/>
          <w:lang w:val="en-CA"/>
        </w:rPr>
        <w:t>was determined. The labile hydrogens primarily include the NH group of the main chain and hydrogens bonded to N, O, or S atoms of the side chains and, based on results of Efimova et al</w:t>
      </w:r>
      <w:r w:rsidR="00D21AF8" w:rsidRPr="00124F49">
        <w:rPr>
          <w:rFonts w:cs="Arial"/>
          <w:lang w:val="en-CA"/>
        </w:rPr>
        <w:fldChar w:fldCharType="begin" w:fldLock="1"/>
      </w:r>
      <w:r w:rsidR="005B3C34">
        <w:rPr>
          <w:rFonts w:cs="Arial"/>
          <w:lang w:val="en-CA"/>
        </w:rPr>
        <w:instrText>ADDIN CSL_CITATION { "citationItems" : [ { "id" : "ITEM-1", "itemData" : { "author" : [ { "dropping-particle" : "", "family" : "Efimova", "given" : "Y M", "non-dropping-particle" : "", "parse-names" : false, "suffix" : "" }, { "dropping-particle" : "", "family" : "Wierczinski", "given" : "B", "non-dropping-particle" : "", "parse-names" : false, "suffix" : "" }, { "dropping-particle" : "", "family" : "Haemers", "given" : "S", "non-dropping-particle" : "", "parse-names" : false, "suffix" : "" }, { "dropping-particle" : "Van", "family" : "Well", "given" : "A A", "non-dropping-particle" : "", "parse-names" : false, "suffix" : "" } ], "container-title" : "Journal of Radioanalytical and Nuclear Chemistry", "id" : "ITEM-1", "issue" : "1", "issued" : { "date-parts" : [ [ "2005" ] ] }, "page" : "91-96", "title" : "Changes in the secondary structure of proteins labeled with 125 I : CD spectroscopy and enzymatic activity studies", "type" : "article-journal", "volume" : "264" }, "uris" : [ "http://www.mendeley.com/documents/?uuid=cf1a7833-6194-4b5d-9e15-8fb3d9c08e25" ] } ], "mendeley" : { "formattedCitation" : "&lt;sup&gt;9&lt;/sup&gt;", "plainTextFormattedCitation" : "9", "previouslyFormattedCitation" : "&lt;sup&gt;9&lt;/sup&gt;" }, "properties" : { "noteIndex" : 0 }, "schema" : "https://github.com/citation-style-language/schema/raw/master/csl-citation.json" }</w:instrText>
      </w:r>
      <w:r w:rsidR="00D21AF8" w:rsidRPr="00124F49">
        <w:rPr>
          <w:rFonts w:cs="Arial"/>
          <w:lang w:val="en-CA"/>
        </w:rPr>
        <w:fldChar w:fldCharType="separate"/>
      </w:r>
      <w:r w:rsidR="005B3C34" w:rsidRPr="005B3C34">
        <w:rPr>
          <w:rFonts w:cs="Arial"/>
          <w:noProof/>
          <w:vertAlign w:val="superscript"/>
          <w:lang w:val="en-CA"/>
        </w:rPr>
        <w:t>9</w:t>
      </w:r>
      <w:r w:rsidR="00D21AF8" w:rsidRPr="00124F49">
        <w:rPr>
          <w:rFonts w:cs="Arial"/>
          <w:lang w:val="en-CA"/>
        </w:rPr>
        <w:fldChar w:fldCharType="end"/>
      </w:r>
      <w:r w:rsidRPr="00124F49">
        <w:rPr>
          <w:rFonts w:cs="Arial"/>
          <w:lang w:val="en-CA"/>
        </w:rPr>
        <w:t xml:space="preserve">, total 91 for the membrane spanning residues of the p7 monomer. </w:t>
      </w:r>
      <w:r w:rsidR="002E64DF" w:rsidRPr="00124F49">
        <w:rPr>
          <w:rFonts w:cs="Arial"/>
          <w:lang w:val="en-CA"/>
        </w:rPr>
        <w:t>T</w:t>
      </w:r>
      <w:r w:rsidRPr="00124F49">
        <w:rPr>
          <w:rFonts w:cs="Arial"/>
          <w:lang w:val="en-CA"/>
        </w:rPr>
        <w:t xml:space="preserve">he effect of the protein’s secondary and tertiary structure on </w:t>
      </w:r>
      <w:r w:rsidRPr="00124F49">
        <w:rPr>
          <w:rFonts w:cstheme="minorHAnsi"/>
          <w:lang w:val="en-CA"/>
        </w:rPr>
        <w:t xml:space="preserve">the percent of labile hydrogrens capable of exchanging with the solvent was estimated. Using the average of the percent of exchanged hydrogens for lysozyme and </w:t>
      </w:r>
      <w:r w:rsidR="006852D8">
        <w:rPr>
          <w:rFonts w:cstheme="minorHAnsi"/>
        </w:rPr>
        <w:t>β</w:t>
      </w:r>
      <w:r w:rsidRPr="00124F49">
        <w:rPr>
          <w:rFonts w:cstheme="minorHAnsi"/>
          <w:lang w:val="en-CA"/>
        </w:rPr>
        <w:t>-c</w:t>
      </w:r>
      <w:r w:rsidR="00E415C3" w:rsidRPr="00124F49">
        <w:rPr>
          <w:rFonts w:cstheme="minorHAnsi"/>
          <w:lang w:val="en-CA"/>
        </w:rPr>
        <w:t>asein given in Efimova et al</w:t>
      </w:r>
      <w:r w:rsidR="005A67CB" w:rsidRPr="00124F49">
        <w:rPr>
          <w:rFonts w:cstheme="minorHAnsi"/>
          <w:lang w:val="en-CA"/>
        </w:rPr>
        <w:fldChar w:fldCharType="begin" w:fldLock="1"/>
      </w:r>
      <w:r w:rsidR="005B3C34">
        <w:rPr>
          <w:rFonts w:cstheme="minorHAnsi"/>
          <w:lang w:val="en-CA"/>
        </w:rPr>
        <w:instrText>ADDIN CSL_CITATION { "citationItems" : [ { "id" : "ITEM-1", "itemData" : { "author" : [ { "dropping-particle" : "", "family" : "Efimova", "given" : "Y M", "non-dropping-particle" : "", "parse-names" : false, "suffix" : "" }, { "dropping-particle" : "", "family" : "Wierczinski", "given" : "B", "non-dropping-particle" : "", "parse-names" : false, "suffix" : "" }, { "dropping-particle" : "", "family" : "Haemers", "given" : "S", "non-dropping-particle" : "", "parse-names" : false, "suffix" : "" }, { "dropping-particle" : "Van", "family" : "Well", "given" : "A A", "non-dropping-particle" : "", "parse-names" : false, "suffix" : "" } ], "container-title" : "Journal of Radioanalytical and Nuclear Chemistry", "id" : "ITEM-1", "issue" : "1", "issued" : { "date-parts" : [ [ "2005" ] ] }, "page" : "91-96", "title" : "Changes in the secondary structure of proteins labeled with 125 I : CD spectroscopy and enzymatic activity studies", "type" : "article-journal", "volume" : "264" }, "uris" : [ "http://www.mendeley.com/documents/?uuid=cf1a7833-6194-4b5d-9e15-8fb3d9c08e25" ] } ], "mendeley" : { "formattedCitation" : "&lt;sup&gt;9&lt;/sup&gt;", "plainTextFormattedCitation" : "9", "previouslyFormattedCitation" : "&lt;sup&gt;9&lt;/sup&gt;" }, "properties" : { "noteIndex" : 0 }, "schema" : "https://github.com/citation-style-language/schema/raw/master/csl-citation.json" }</w:instrText>
      </w:r>
      <w:r w:rsidR="005A67CB" w:rsidRPr="00124F49">
        <w:rPr>
          <w:rFonts w:cstheme="minorHAnsi"/>
          <w:lang w:val="en-CA"/>
        </w:rPr>
        <w:fldChar w:fldCharType="separate"/>
      </w:r>
      <w:r w:rsidR="005B3C34" w:rsidRPr="005B3C34">
        <w:rPr>
          <w:rFonts w:cstheme="minorHAnsi"/>
          <w:noProof/>
          <w:vertAlign w:val="superscript"/>
          <w:lang w:val="en-CA"/>
        </w:rPr>
        <w:t>9</w:t>
      </w:r>
      <w:r w:rsidR="005A67CB" w:rsidRPr="00124F49">
        <w:rPr>
          <w:rFonts w:cstheme="minorHAnsi"/>
          <w:lang w:val="en-CA"/>
        </w:rPr>
        <w:fldChar w:fldCharType="end"/>
      </w:r>
      <w:r w:rsidR="00E415C3" w:rsidRPr="00124F49">
        <w:rPr>
          <w:rFonts w:cstheme="minorHAnsi"/>
          <w:lang w:val="en-CA"/>
        </w:rPr>
        <w:t xml:space="preserve">, we estimated the exchange of p7’s labile hydrogens with the solvent at 80%. </w:t>
      </w:r>
      <w:r w:rsidR="002E64DF" w:rsidRPr="00124F49">
        <w:rPr>
          <w:rFonts w:cstheme="minorHAnsi"/>
          <w:lang w:val="en-CA"/>
        </w:rPr>
        <w:t xml:space="preserve">It was assumed that all of these </w:t>
      </w:r>
      <w:r w:rsidR="00124F49" w:rsidRPr="00124F49">
        <w:rPr>
          <w:rFonts w:cstheme="minorHAnsi"/>
          <w:lang w:val="en-CA"/>
        </w:rPr>
        <w:t>exchangeable</w:t>
      </w:r>
      <w:r w:rsidR="002E64DF" w:rsidRPr="00124F49">
        <w:rPr>
          <w:rFonts w:cstheme="minorHAnsi"/>
          <w:lang w:val="en-CA"/>
        </w:rPr>
        <w:t xml:space="preserve"> hydrogens reached </w:t>
      </w:r>
      <w:proofErr w:type="gramStart"/>
      <w:r w:rsidR="002E64DF" w:rsidRPr="00124F49">
        <w:rPr>
          <w:rFonts w:cstheme="minorHAnsi"/>
          <w:lang w:val="en-CA"/>
        </w:rPr>
        <w:t>an equilibrium</w:t>
      </w:r>
      <w:proofErr w:type="gramEnd"/>
      <w:r w:rsidR="002E64DF" w:rsidRPr="00124F49">
        <w:rPr>
          <w:rFonts w:cstheme="minorHAnsi"/>
          <w:lang w:val="en-CA"/>
        </w:rPr>
        <w:t xml:space="preserve"> with the hydrogen/deuterium content of the solvent. Finally, after accounting for hydrogen/deuterium exchange, the total of the scattering lengths of all atoms in the monomer were totaled and divided by the monomer volume to obtain the SLD. </w:t>
      </w:r>
      <w:r w:rsidR="00E415C3" w:rsidRPr="00124F49">
        <w:rPr>
          <w:rFonts w:cstheme="minorHAnsi"/>
          <w:lang w:val="en-CA"/>
        </w:rPr>
        <w:t>These calculations resulted in an SLD</w:t>
      </w:r>
      <w:r w:rsidR="00E415C3" w:rsidRPr="003E7CC0">
        <w:rPr>
          <w:lang w:val="en-CA"/>
        </w:rPr>
        <w:t xml:space="preserve"> of hydrogenated p7 (h-p7) of 2.56 10</w:t>
      </w:r>
      <w:r w:rsidR="00E415C3" w:rsidRPr="003E7CC0">
        <w:rPr>
          <w:vertAlign w:val="superscript"/>
          <w:lang w:val="en-CA"/>
        </w:rPr>
        <w:t>-6</w:t>
      </w:r>
      <w:r w:rsidR="00E415C3" w:rsidRPr="003E7CC0">
        <w:rPr>
          <w:lang w:val="en-CA"/>
        </w:rPr>
        <w:t>Å</w:t>
      </w:r>
      <w:r w:rsidR="00E415C3" w:rsidRPr="003E7CC0">
        <w:rPr>
          <w:vertAlign w:val="superscript"/>
          <w:lang w:val="en-CA"/>
        </w:rPr>
        <w:t>-2</w:t>
      </w:r>
      <w:r w:rsidR="00E415C3" w:rsidRPr="003E7CC0">
        <w:rPr>
          <w:lang w:val="en-CA"/>
        </w:rPr>
        <w:t xml:space="preserve"> in D</w:t>
      </w:r>
      <w:r w:rsidR="00E415C3" w:rsidRPr="003E7CC0">
        <w:rPr>
          <w:vertAlign w:val="subscript"/>
          <w:lang w:val="en-CA"/>
        </w:rPr>
        <w:t>2</w:t>
      </w:r>
      <w:r w:rsidR="00E415C3" w:rsidRPr="003E7CC0">
        <w:rPr>
          <w:lang w:val="en-CA"/>
        </w:rPr>
        <w:t>O and 1.73 10</w:t>
      </w:r>
      <w:r w:rsidR="00E415C3" w:rsidRPr="003E7CC0">
        <w:rPr>
          <w:vertAlign w:val="superscript"/>
          <w:lang w:val="en-CA"/>
        </w:rPr>
        <w:t>-6</w:t>
      </w:r>
      <w:r w:rsidR="00E415C3" w:rsidRPr="003E7CC0">
        <w:rPr>
          <w:lang w:val="en-CA"/>
        </w:rPr>
        <w:t>Å</w:t>
      </w:r>
      <w:r w:rsidR="00E415C3" w:rsidRPr="003E7CC0">
        <w:rPr>
          <w:vertAlign w:val="superscript"/>
          <w:lang w:val="en-CA"/>
        </w:rPr>
        <w:t>-2</w:t>
      </w:r>
      <w:r w:rsidR="00E415C3" w:rsidRPr="003E7CC0">
        <w:rPr>
          <w:lang w:val="en-CA"/>
        </w:rPr>
        <w:t xml:space="preserve"> in H</w:t>
      </w:r>
      <w:r w:rsidR="00E415C3" w:rsidRPr="003E7CC0">
        <w:rPr>
          <w:vertAlign w:val="subscript"/>
          <w:lang w:val="en-CA"/>
        </w:rPr>
        <w:t>2</w:t>
      </w:r>
      <w:r w:rsidR="00E415C3" w:rsidRPr="003E7CC0">
        <w:rPr>
          <w:lang w:val="en-CA"/>
        </w:rPr>
        <w:t>O. In the case of deuterated p7 (d-p7), the protein SLD was calculated to be 7.61 10</w:t>
      </w:r>
      <w:r w:rsidR="00E415C3" w:rsidRPr="003E7CC0">
        <w:rPr>
          <w:vertAlign w:val="superscript"/>
          <w:lang w:val="en-CA"/>
        </w:rPr>
        <w:t>-6</w:t>
      </w:r>
      <w:r w:rsidR="00E415C3" w:rsidRPr="003E7CC0">
        <w:rPr>
          <w:lang w:val="en-CA"/>
        </w:rPr>
        <w:t>Å</w:t>
      </w:r>
      <w:r w:rsidR="00E415C3" w:rsidRPr="003E7CC0">
        <w:rPr>
          <w:vertAlign w:val="superscript"/>
          <w:lang w:val="en-CA"/>
        </w:rPr>
        <w:t>-2</w:t>
      </w:r>
      <w:r w:rsidR="00E415C3" w:rsidRPr="003E7CC0">
        <w:rPr>
          <w:lang w:val="en-CA"/>
        </w:rPr>
        <w:t xml:space="preserve"> in D</w:t>
      </w:r>
      <w:r w:rsidR="00E415C3" w:rsidRPr="003E7CC0">
        <w:rPr>
          <w:vertAlign w:val="subscript"/>
          <w:lang w:val="en-CA"/>
        </w:rPr>
        <w:t>2</w:t>
      </w:r>
      <w:r w:rsidR="00E415C3" w:rsidRPr="003E7CC0">
        <w:rPr>
          <w:lang w:val="en-CA"/>
        </w:rPr>
        <w:t>O and 6.77 10</w:t>
      </w:r>
      <w:r w:rsidR="00E415C3" w:rsidRPr="003E7CC0">
        <w:rPr>
          <w:vertAlign w:val="superscript"/>
          <w:lang w:val="en-CA"/>
        </w:rPr>
        <w:t>-6</w:t>
      </w:r>
      <w:r w:rsidR="00E415C3" w:rsidRPr="003E7CC0">
        <w:rPr>
          <w:lang w:val="en-CA"/>
        </w:rPr>
        <w:t>Å</w:t>
      </w:r>
      <w:r w:rsidR="00E415C3" w:rsidRPr="003E7CC0">
        <w:rPr>
          <w:vertAlign w:val="superscript"/>
          <w:lang w:val="en-CA"/>
        </w:rPr>
        <w:t>-2</w:t>
      </w:r>
      <w:r w:rsidR="00E415C3" w:rsidRPr="003E7CC0">
        <w:rPr>
          <w:lang w:val="en-CA"/>
        </w:rPr>
        <w:t xml:space="preserve"> in H</w:t>
      </w:r>
      <w:r w:rsidR="00E415C3" w:rsidRPr="003E7CC0">
        <w:rPr>
          <w:vertAlign w:val="subscript"/>
          <w:lang w:val="en-CA"/>
        </w:rPr>
        <w:t>2</w:t>
      </w:r>
      <w:r w:rsidR="00E415C3" w:rsidRPr="003E7CC0">
        <w:rPr>
          <w:lang w:val="en-CA"/>
        </w:rPr>
        <w:t>O.</w:t>
      </w:r>
      <w:r w:rsidR="00E415C3" w:rsidRPr="003E7CC0">
        <w:rPr>
          <w:rFonts w:ascii="Arial" w:hAnsi="Arial" w:cs="Arial"/>
          <w:color w:val="FF0000"/>
          <w:sz w:val="19"/>
          <w:szCs w:val="19"/>
          <w:lang w:val="en-CA"/>
        </w:rPr>
        <w:t xml:space="preserve"> </w:t>
      </w:r>
    </w:p>
    <w:p w:rsidR="003B0C97" w:rsidRDefault="003B0C97" w:rsidP="00A03AA5">
      <w:pPr>
        <w:jc w:val="both"/>
        <w:rPr>
          <w:lang w:val="en-US"/>
        </w:rPr>
      </w:pPr>
    </w:p>
    <w:p w:rsidR="00176CB8" w:rsidRDefault="00176CB8" w:rsidP="00A03AA5">
      <w:pPr>
        <w:jc w:val="both"/>
        <w:rPr>
          <w:lang w:val="en-US"/>
        </w:rPr>
      </w:pPr>
    </w:p>
    <w:p w:rsidR="00176CB8" w:rsidRDefault="00176CB8" w:rsidP="00A03AA5">
      <w:pPr>
        <w:jc w:val="both"/>
        <w:rPr>
          <w:lang w:val="en-US"/>
        </w:rPr>
      </w:pPr>
    </w:p>
    <w:p w:rsidR="005A67CB" w:rsidRDefault="005A67CB" w:rsidP="00A03AA5">
      <w:pPr>
        <w:jc w:val="both"/>
        <w:rPr>
          <w:lang w:val="en-US"/>
        </w:rPr>
      </w:pPr>
    </w:p>
    <w:p w:rsidR="005A67CB" w:rsidRPr="003E7CC0" w:rsidRDefault="005A67CB" w:rsidP="00A03AA5">
      <w:pPr>
        <w:jc w:val="both"/>
        <w:rPr>
          <w:lang w:val="en-US"/>
        </w:rPr>
      </w:pPr>
    </w:p>
    <w:p w:rsidR="00D425D7" w:rsidRDefault="001C6900" w:rsidP="00A03AA5">
      <w:pPr>
        <w:jc w:val="both"/>
        <w:rPr>
          <w:b/>
          <w:lang w:val="en-US"/>
        </w:rPr>
      </w:pPr>
      <w:r w:rsidRPr="00C92189">
        <w:rPr>
          <w:b/>
          <w:lang w:val="en-US"/>
        </w:rPr>
        <w:t>Results</w:t>
      </w:r>
    </w:p>
    <w:p w:rsidR="00865DB9" w:rsidRDefault="00865DB9" w:rsidP="00865DB9">
      <w:pPr>
        <w:jc w:val="both"/>
        <w:rPr>
          <w:i/>
          <w:lang w:val="en-US"/>
        </w:rPr>
      </w:pPr>
      <w:r>
        <w:rPr>
          <w:i/>
          <w:lang w:val="en-US"/>
        </w:rPr>
        <w:t>Additional details of the NR modelling approach</w:t>
      </w:r>
    </w:p>
    <w:p w:rsidR="00865DB9" w:rsidRPr="003E7CC0" w:rsidRDefault="00865DB9" w:rsidP="00865DB9">
      <w:pPr>
        <w:rPr>
          <w:rStyle w:val="apple-converted-space"/>
          <w:rFonts w:cs="Arial"/>
          <w:color w:val="FF0000"/>
          <w:szCs w:val="19"/>
          <w:shd w:val="clear" w:color="auto" w:fill="FFFFFF"/>
          <w:lang w:val="en-CA"/>
        </w:rPr>
      </w:pPr>
      <w:r w:rsidRPr="00124F49">
        <w:rPr>
          <w:rStyle w:val="apple-converted-space"/>
          <w:rFonts w:cs="Arial"/>
          <w:szCs w:val="19"/>
          <w:shd w:val="clear" w:color="auto" w:fill="FFFFFF"/>
          <w:lang w:val="en-CA"/>
        </w:rPr>
        <w:t xml:space="preserve">In general, our approach was to apply the simplest possible model that was consistent with the data. </w:t>
      </w:r>
      <w:r w:rsidRPr="003E7CC0">
        <w:rPr>
          <w:rFonts w:cs="Arial"/>
          <w:szCs w:val="19"/>
          <w:shd w:val="clear" w:color="auto" w:fill="FFFFFF"/>
          <w:lang w:val="en-CA"/>
        </w:rPr>
        <w:t xml:space="preserve">For example, we assumed that p7 incorporation did not perturb the lipid order and all parameters corresponding to the lipid bilayer were fixed to the values obtained in the initial bilayer fits (Table SI1). </w:t>
      </w:r>
      <w:r w:rsidRPr="003E7CC0">
        <w:rPr>
          <w:rStyle w:val="apple-converted-space"/>
          <w:rFonts w:cs="Arial"/>
          <w:color w:val="FF0000"/>
          <w:szCs w:val="19"/>
          <w:shd w:val="clear" w:color="auto" w:fill="FFFFFF"/>
          <w:lang w:val="en-CA"/>
        </w:rPr>
        <w:t xml:space="preserve"> </w:t>
      </w:r>
      <w:r w:rsidRPr="003E7CC0">
        <w:rPr>
          <w:rStyle w:val="apple-converted-space"/>
          <w:rFonts w:cs="Arial"/>
          <w:szCs w:val="19"/>
          <w:shd w:val="clear" w:color="auto" w:fill="FFFFFF"/>
          <w:lang w:val="en-CA"/>
        </w:rPr>
        <w:t>In the first approximation, it is reasonable to assume that there is no dramatic rearrangement of the lipids upon protein insertion (i.e. a typical bilayer conformation is maintained). However, it is known that proteins can perturb lipid packing and composition in their local environment. In principle, it is possible to detect both changes in the overall membrane structure due to the protein and the protein’s conformation in the membrane as well as the more subtle changes in the lipid order. For the measurements presented here, there is a certain degree of interdependence between the parameters corresponding to the lipids and those corresponding to the proteins. This interdependence makes it impossible to independently determine the protein structure and the lipid structure. While the data could still be fit without assuming that the lipid structure is unchanged after protein insertion, imposing these constraints limits the degrees of freedom, assures that the set of models that are converged upon are physically reasonable, and we believe was the best approach to minimize uncertainty in the obtained protein structure.</w:t>
      </w:r>
    </w:p>
    <w:p w:rsidR="00865DB9" w:rsidRPr="00124F49" w:rsidRDefault="00865DB9" w:rsidP="00865DB9">
      <w:pPr>
        <w:rPr>
          <w:rStyle w:val="apple-converted-space"/>
          <w:rFonts w:cs="Arial"/>
          <w:szCs w:val="19"/>
          <w:shd w:val="clear" w:color="auto" w:fill="FFFFFF"/>
          <w:lang w:val="en-CA"/>
        </w:rPr>
      </w:pPr>
      <w:r w:rsidRPr="00124F49">
        <w:rPr>
          <w:rStyle w:val="apple-converted-space"/>
          <w:rFonts w:cs="Arial"/>
          <w:szCs w:val="19"/>
          <w:shd w:val="clear" w:color="auto" w:fill="FFFFFF"/>
          <w:lang w:val="en-CA"/>
        </w:rPr>
        <w:t xml:space="preserve">Additionally, </w:t>
      </w:r>
      <w:r w:rsidR="00592F7A" w:rsidRPr="00124F49">
        <w:rPr>
          <w:rStyle w:val="apple-converted-space"/>
          <w:rFonts w:cs="Arial"/>
          <w:szCs w:val="19"/>
          <w:shd w:val="clear" w:color="auto" w:fill="FFFFFF"/>
          <w:lang w:val="en-CA"/>
        </w:rPr>
        <w:t xml:space="preserve">using the simplest model consistent with the data, we </w:t>
      </w:r>
      <w:r w:rsidRPr="00124F49">
        <w:rPr>
          <w:rStyle w:val="apple-converted-space"/>
          <w:rFonts w:cs="Arial"/>
          <w:szCs w:val="19"/>
          <w:shd w:val="clear" w:color="auto" w:fill="FFFFFF"/>
          <w:lang w:val="en-CA"/>
        </w:rPr>
        <w:t xml:space="preserve">did not explicitly describe p7 protein protruding from the bilayer. The addition of p7 protein protrusions on either side of the bilayer were considered during the analysis but the fits did not yield a significant reduction in the </w:t>
      </w:r>
      <w:r w:rsidRPr="00124F49">
        <w:rPr>
          <w:rStyle w:val="apple-converted-space"/>
          <w:rFonts w:ascii="Symbol" w:hAnsi="Symbol" w:cs="Arial"/>
          <w:szCs w:val="19"/>
          <w:shd w:val="clear" w:color="auto" w:fill="FFFFFF"/>
        </w:rPr>
        <w:t></w:t>
      </w:r>
      <w:r w:rsidRPr="00124F49">
        <w:rPr>
          <w:rStyle w:val="apple-converted-space"/>
          <w:rFonts w:cs="Arial"/>
          <w:szCs w:val="19"/>
          <w:shd w:val="clear" w:color="auto" w:fill="FFFFFF"/>
          <w:vertAlign w:val="superscript"/>
          <w:lang w:val="en-CA"/>
        </w:rPr>
        <w:t>2</w:t>
      </w:r>
      <w:r w:rsidRPr="00124F49">
        <w:rPr>
          <w:rStyle w:val="apple-converted-space"/>
          <w:rFonts w:cs="Arial"/>
          <w:szCs w:val="19"/>
          <w:shd w:val="clear" w:color="auto" w:fill="FFFFFF"/>
          <w:lang w:val="en-CA"/>
        </w:rPr>
        <w:t xml:space="preserve"> to justify the added complexity and additional parameters of the model. Models which introduced significant protein protrusion between the substrate and the bilayer resulted in poorer fits.  However, small protein protrusions (less than 5Å and with low volume fractions) can’t be ruled out. The extension of amino acids into the water phase was explicitly modeled and found to significantly improve the fits to asolectin bilayers containing p7. On the other hand, the fits to POPC bilayers containing p7 were insensitive to this layer, presumably due to the low content of protein in these membranes. In the asolectin cases, we determined that this protein extension was consistent with p7’s His tag and was too large to be attributed to protrusion of the p7 protein itself. However, it is possible that the modelled protein extension could consist of contributions from both the His tag and to regions of the p7 protein. Since the contribution from the His tag would be significantly larger, it was not possible to deconvolute the potential contribution from p7 protrusion or to describe, with any degree of certainty, extension of p7 into the water phase. </w:t>
      </w:r>
    </w:p>
    <w:p w:rsidR="00865DB9" w:rsidRDefault="00865DB9" w:rsidP="00A03AA5">
      <w:pPr>
        <w:jc w:val="both"/>
        <w:rPr>
          <w:b/>
          <w:lang w:val="en-US"/>
        </w:rPr>
      </w:pPr>
    </w:p>
    <w:p w:rsidR="00176CB8" w:rsidRDefault="00176CB8" w:rsidP="00A03AA5">
      <w:pPr>
        <w:jc w:val="both"/>
        <w:rPr>
          <w:b/>
          <w:lang w:val="en-US"/>
        </w:rPr>
      </w:pPr>
    </w:p>
    <w:p w:rsidR="00176CB8" w:rsidRDefault="00176CB8" w:rsidP="00A03AA5">
      <w:pPr>
        <w:jc w:val="both"/>
        <w:rPr>
          <w:b/>
          <w:lang w:val="en-US"/>
        </w:rPr>
      </w:pPr>
    </w:p>
    <w:p w:rsidR="00176CB8" w:rsidRDefault="00176CB8" w:rsidP="00A03AA5">
      <w:pPr>
        <w:jc w:val="both"/>
        <w:rPr>
          <w:b/>
          <w:lang w:val="en-US"/>
        </w:rPr>
      </w:pPr>
    </w:p>
    <w:p w:rsidR="00176CB8" w:rsidRDefault="00176CB8" w:rsidP="00A03AA5">
      <w:pPr>
        <w:jc w:val="both"/>
        <w:rPr>
          <w:b/>
          <w:lang w:val="en-US"/>
        </w:rPr>
      </w:pPr>
    </w:p>
    <w:p w:rsidR="00E64C7E" w:rsidRDefault="00E64C7E" w:rsidP="00A03AA5">
      <w:pPr>
        <w:jc w:val="both"/>
        <w:rPr>
          <w:i/>
          <w:lang w:val="en-US"/>
        </w:rPr>
      </w:pPr>
      <w:r w:rsidRPr="00E64C7E">
        <w:rPr>
          <w:i/>
          <w:lang w:val="en-US"/>
        </w:rPr>
        <w:t>Cell-free expression of p7 with POPC and Asolectin liposomes</w:t>
      </w:r>
    </w:p>
    <w:p w:rsidR="00E76362" w:rsidRPr="00E64C7E" w:rsidRDefault="00E76362" w:rsidP="00E76362">
      <w:pPr>
        <w:jc w:val="center"/>
        <w:rPr>
          <w:i/>
          <w:lang w:val="en-US"/>
        </w:rPr>
      </w:pPr>
      <w:r>
        <w:rPr>
          <w:i/>
          <w:noProof/>
          <w:lang w:val="en-GB" w:eastAsia="en-GB"/>
        </w:rPr>
        <w:drawing>
          <wp:inline distT="0" distB="0" distL="0" distR="0" wp14:anchorId="452999E0" wp14:editId="68010CE1">
            <wp:extent cx="3578360" cy="2562225"/>
            <wp:effectExtent l="0" t="0" r="317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80486" cy="2563747"/>
                    </a:xfrm>
                    <a:prstGeom prst="rect">
                      <a:avLst/>
                    </a:prstGeom>
                    <a:noFill/>
                  </pic:spPr>
                </pic:pic>
              </a:graphicData>
            </a:graphic>
          </wp:inline>
        </w:drawing>
      </w:r>
    </w:p>
    <w:p w:rsidR="0079027C" w:rsidRPr="0079027C" w:rsidRDefault="007464CB" w:rsidP="003854FF">
      <w:pPr>
        <w:jc w:val="both"/>
        <w:rPr>
          <w:lang w:val="en-CA"/>
        </w:rPr>
      </w:pPr>
      <w:r w:rsidRPr="00B44DDC">
        <w:rPr>
          <w:b/>
          <w:lang w:val="en-CA"/>
        </w:rPr>
        <w:t xml:space="preserve">Figure </w:t>
      </w:r>
      <w:proofErr w:type="gramStart"/>
      <w:r w:rsidR="00C92189" w:rsidRPr="00B44DDC">
        <w:rPr>
          <w:b/>
          <w:lang w:val="en-CA"/>
        </w:rPr>
        <w:t>S</w:t>
      </w:r>
      <w:r w:rsidR="00A03AA5" w:rsidRPr="00B44DDC">
        <w:rPr>
          <w:b/>
          <w:lang w:val="en-CA"/>
        </w:rPr>
        <w:t>I</w:t>
      </w:r>
      <w:r w:rsidR="00A03AA5" w:rsidRPr="00B44DDC">
        <w:rPr>
          <w:b/>
          <w:lang w:val="en-US"/>
        </w:rPr>
        <w:t>1</w:t>
      </w:r>
      <w:r w:rsidRPr="00B44DDC">
        <w:rPr>
          <w:b/>
          <w:lang w:val="en-CA"/>
        </w:rPr>
        <w:t> :</w:t>
      </w:r>
      <w:proofErr w:type="gramEnd"/>
      <w:r w:rsidRPr="00B44DDC">
        <w:rPr>
          <w:lang w:val="en-CA"/>
        </w:rPr>
        <w:t xml:space="preserve"> </w:t>
      </w:r>
      <w:r w:rsidRPr="007464CB">
        <w:rPr>
          <w:lang w:val="en-CA"/>
        </w:rPr>
        <w:t>Analysis o</w:t>
      </w:r>
      <w:r>
        <w:rPr>
          <w:lang w:val="en-CA"/>
        </w:rPr>
        <w:t xml:space="preserve">f p7 integration in asolectin and POPC liposome. </w:t>
      </w:r>
      <w:proofErr w:type="gramStart"/>
      <w:r>
        <w:rPr>
          <w:lang w:val="en-CA"/>
        </w:rPr>
        <w:t>Immun</w:t>
      </w:r>
      <w:r w:rsidR="0079027C">
        <w:rPr>
          <w:lang w:val="en-CA"/>
        </w:rPr>
        <w:t>o</w:t>
      </w:r>
      <w:r>
        <w:rPr>
          <w:lang w:val="en-CA"/>
        </w:rPr>
        <w:t xml:space="preserve">logical detection of p7 in </w:t>
      </w:r>
      <w:r w:rsidR="0079027C">
        <w:rPr>
          <w:lang w:val="en-CA"/>
        </w:rPr>
        <w:t>different</w:t>
      </w:r>
      <w:r>
        <w:rPr>
          <w:lang w:val="en-CA"/>
        </w:rPr>
        <w:t xml:space="preserve"> fractions of a sucrose gradient after </w:t>
      </w:r>
      <w:r w:rsidR="0079027C">
        <w:rPr>
          <w:lang w:val="en-CA"/>
        </w:rPr>
        <w:t>alkaline</w:t>
      </w:r>
      <w:r>
        <w:rPr>
          <w:lang w:val="en-CA"/>
        </w:rPr>
        <w:t xml:space="preserve"> extraction and ultracentrifugation</w:t>
      </w:r>
      <w:r w:rsidR="0079027C">
        <w:rPr>
          <w:lang w:val="en-CA"/>
        </w:rPr>
        <w:t xml:space="preserve"> (280,000 x g for 1 h at 4 °</w:t>
      </w:r>
      <w:r w:rsidR="0079027C" w:rsidRPr="0079027C">
        <w:rPr>
          <w:lang w:val="en-CA"/>
        </w:rPr>
        <w:t>C)</w:t>
      </w:r>
      <w:r>
        <w:rPr>
          <w:lang w:val="en-CA"/>
        </w:rPr>
        <w:t>.</w:t>
      </w:r>
      <w:proofErr w:type="gramEnd"/>
      <w:r>
        <w:rPr>
          <w:lang w:val="en-CA"/>
        </w:rPr>
        <w:t xml:space="preserve">  </w:t>
      </w:r>
      <w:r w:rsidR="0079027C" w:rsidRPr="0079027C">
        <w:rPr>
          <w:lang w:val="en-CA"/>
        </w:rPr>
        <w:t>Interfaces</w:t>
      </w:r>
      <w:r w:rsidR="0079027C">
        <w:rPr>
          <w:lang w:val="en-CA"/>
        </w:rPr>
        <w:t xml:space="preserve"> </w:t>
      </w:r>
      <w:r w:rsidR="0079027C" w:rsidRPr="0079027C">
        <w:rPr>
          <w:lang w:val="en-CA"/>
        </w:rPr>
        <w:t>are represented as such: 1 (Sample buffer-5% sucrose), 2 (5%-30% sucrose), 3 (30%-60% sucrose) and 4 (bottom of the tube). After ultracentrifugation, p7 is found at the 5%</w:t>
      </w:r>
      <w:r w:rsidR="0079027C">
        <w:rPr>
          <w:lang w:val="en-CA"/>
        </w:rPr>
        <w:t>-</w:t>
      </w:r>
      <w:r w:rsidR="0079027C" w:rsidRPr="0079027C">
        <w:rPr>
          <w:lang w:val="en-CA"/>
        </w:rPr>
        <w:t>30% sucrose interface with</w:t>
      </w:r>
      <w:r w:rsidR="0079027C">
        <w:rPr>
          <w:lang w:val="en-CA"/>
        </w:rPr>
        <w:t xml:space="preserve"> asolectin</w:t>
      </w:r>
      <w:r w:rsidR="0079027C" w:rsidRPr="0079027C">
        <w:rPr>
          <w:lang w:val="en-CA"/>
        </w:rPr>
        <w:t xml:space="preserve"> lipids while </w:t>
      </w:r>
      <w:r w:rsidR="0079027C">
        <w:rPr>
          <w:lang w:val="en-CA"/>
        </w:rPr>
        <w:t>with POPC</w:t>
      </w:r>
      <w:r w:rsidR="0079027C" w:rsidRPr="0079027C">
        <w:rPr>
          <w:lang w:val="en-CA"/>
        </w:rPr>
        <w:t xml:space="preserve">, p7 is </w:t>
      </w:r>
      <w:r w:rsidR="0079027C">
        <w:rPr>
          <w:lang w:val="en-CA"/>
        </w:rPr>
        <w:t xml:space="preserve">found at the </w:t>
      </w:r>
      <w:r w:rsidR="0079027C" w:rsidRPr="0079027C">
        <w:rPr>
          <w:lang w:val="en-CA"/>
        </w:rPr>
        <w:t>30%-60% sucrose</w:t>
      </w:r>
      <w:r w:rsidR="0079027C">
        <w:rPr>
          <w:lang w:val="en-CA"/>
        </w:rPr>
        <w:t xml:space="preserve"> demonstrating p7 integration in the bilayers.</w:t>
      </w:r>
    </w:p>
    <w:p w:rsidR="00176CB8" w:rsidRDefault="00AB11AD" w:rsidP="00123A83">
      <w:pPr>
        <w:rPr>
          <w:lang w:val="en-CA"/>
        </w:rPr>
      </w:pPr>
      <w:r>
        <w:rPr>
          <w:lang w:val="en-CA"/>
        </w:rPr>
        <w:t>Alkalin</w:t>
      </w:r>
      <w:r w:rsidR="00FA45A0">
        <w:rPr>
          <w:lang w:val="en-CA"/>
        </w:rPr>
        <w:t>e</w:t>
      </w:r>
      <w:r>
        <w:rPr>
          <w:lang w:val="en-CA"/>
        </w:rPr>
        <w:t xml:space="preserve"> extraction is a</w:t>
      </w:r>
      <w:r w:rsidRPr="00AB11AD">
        <w:rPr>
          <w:lang w:val="en-CA"/>
        </w:rPr>
        <w:t xml:space="preserve"> method</w:t>
      </w:r>
      <w:r>
        <w:rPr>
          <w:lang w:val="en-CA"/>
        </w:rPr>
        <w:t xml:space="preserve"> which</w:t>
      </w:r>
      <w:r w:rsidRPr="00AB11AD">
        <w:rPr>
          <w:lang w:val="en-CA"/>
        </w:rPr>
        <w:t xml:space="preserve"> has been widely used to assess if an integral membrane protein has achieved stable insertion into a lipid bilayer</w:t>
      </w:r>
      <w:r>
        <w:rPr>
          <w:lang w:val="en-CA"/>
        </w:rPr>
        <w:t xml:space="preserve"> </w:t>
      </w:r>
      <w:r>
        <w:rPr>
          <w:lang w:val="en-CA"/>
        </w:rPr>
        <w:fldChar w:fldCharType="begin" w:fldLock="1"/>
      </w:r>
      <w:r w:rsidR="005B3C34">
        <w:rPr>
          <w:lang w:val="en-CA"/>
        </w:rPr>
        <w:instrText>ADDIN CSL_CITATION { "citationItems" : [ { "id" : "ITEM-1", "itemData" : { "DOI" : "10.1371/journal.pone.0046332", "author" : [ { "dropping-particle" : "", "family" : "Long", "given" : "Ashley R", "non-dropping-particle" : "", "parse-names" : false, "suffix" : "" }, { "dropping-particle" : "", "family" : "Brien", "given" : "Catherine C O", "non-dropping-particle" : "", "parse-names" : false, "suffix" : "" }, { "dropping-particle" : "", "family" : "Alder", "given" : "Nathan N", "non-dropping-particle" : "", "parse-names" : false, "suffix" : "" } ], "container-title" : "PloS one", "id" : "ITEM-1", "issue" : "9", "issued" : { "date-parts" : [ [ "2012" ] ] }, "page" : "e46332", "title" : "The Cell-Free Integration of a Polytopic Mitochondrial Membrane Protein into Liposomes Occurs Cotranslationally and in a Lipid-Dependent Manner", "type" : "article-journal", "volume" : "7" }, "uris" : [ "http://www.mendeley.com/documents/?uuid=c0bb2853-3de9-45e4-b579-e65ed762356a" ] }, { "id" : "ITEM-2", "itemData" : { "DOI" : "10.1038/ncb1635", "ISSN" : "1465-7392", "PMID" : "17828250", "abstract" : "The mitochondrial inner membrane is the central energy-converting membrane of eukaryotic cells. The electrochemical proton gradient generated by the respiratory chain drives the ATP synthase. To maintain this proton-motive force, the inner membrane forms a tight barrier and strictly controls the translocation of ions. However, the major preprotein transport machinery of the inner membrane, termed the presequence translocase, translocates polypeptide chains into or across the membrane. Different views exist of the molecular mechanism of the translocase, in particular of the coupling with the import motor of the matrix. We have reconstituted preprotein transport into the mitochondrial inner membrane by incorporating the purified presequence translocase into cardiolipin-containing liposomes. We show that the motor-free form of the presequence translocase integrates preproteins into the membrane. The reconstituted presequence translocase responds to targeting peptides and mediates voltage-driven preprotein translocation, lateral release and insertion into the lipid phase. Thus, the minimal system for preprotein integration into the mitochondrial inner membrane is the presequence translocase, a cardiolipin-rich membrane and a membrane potential.", "author" : [ { "dropping-particle" : "", "family" : "Laan", "given" : "Martin", "non-dropping-particle" : "Van der", "parse-names" : false, "suffix" : "" }, { "dropping-particle" : "", "family" : "Meinecke", "given" : "Michael", "non-dropping-particle" : "", "parse-names" : false, "suffix" : "" }, { "dropping-particle" : "", "family" : "Dudek", "given" : "Jan", "non-dropping-particle" : "", "parse-names" : false, "suffix" : "" }, { "dropping-particle" : "", "family" : "Hutu", "given" : "Dana P", "non-dropping-particle" : "", "parse-names" : false, "suffix" : "" }, { "dropping-particle" : "", "family" : "Lind", "given" : "Maria", "non-dropping-particle" : "", "parse-names" : false, "suffix" : "" }, { "dropping-particle" : "", "family" : "Perschil", "given" : "Inge", "non-dropping-particle" : "", "parse-names" : false, "suffix" : "" }, { "dropping-particle" : "", "family" : "Guiard", "given" : "Bernard", "non-dropping-particle" : "", "parse-names" : false, "suffix" : "" }, { "dropping-particle" : "", "family" : "Wagner", "given" : "Richard", "non-dropping-particle" : "", "parse-names" : false, "suffix" : "" }, { "dropping-particle" : "", "family" : "Pfanner", "given" : "Nikolaus", "non-dropping-particle" : "", "parse-names" : false, "suffix" : "" }, { "dropping-particle" : "", "family" : "Rehling", "given" : "Peter", "non-dropping-particle" : "", "parse-names" : false, "suffix" : "" } ], "container-title" : "Nature cell biology", "id" : "ITEM-2", "issue" : "10", "issued" : { "date-parts" : [ [ "2007", "10" ] ] }, "page" : "1152-9", "title" : "Motor-free mitochondrial presequence translocase drives membrane integration of preproteins.", "type" : "article-journal", "volume" : "9" }, "uris" : [ "http://www.mendeley.com/documents/?uuid=37358017-1f24-4d4b-9c12-cc8441b7e7cc" ] } ], "mendeley" : { "formattedCitation" : "&lt;sup&gt;10,11&lt;/sup&gt;", "plainTextFormattedCitation" : "10,11", "previouslyFormattedCitation" : "&lt;sup&gt;10,11&lt;/sup&gt;" }, "properties" : { "noteIndex" : 0 }, "schema" : "https://github.com/citation-style-language/schema/raw/master/csl-citation.json" }</w:instrText>
      </w:r>
      <w:r>
        <w:rPr>
          <w:lang w:val="en-CA"/>
        </w:rPr>
        <w:fldChar w:fldCharType="separate"/>
      </w:r>
      <w:r w:rsidR="005B3C34" w:rsidRPr="005B3C34">
        <w:rPr>
          <w:noProof/>
          <w:vertAlign w:val="superscript"/>
          <w:lang w:val="en-CA"/>
        </w:rPr>
        <w:t>10,11</w:t>
      </w:r>
      <w:r>
        <w:rPr>
          <w:lang w:val="en-CA"/>
        </w:rPr>
        <w:fldChar w:fldCharType="end"/>
      </w:r>
      <w:r w:rsidR="00FA45A0">
        <w:rPr>
          <w:lang w:val="en-CA"/>
        </w:rPr>
        <w:t xml:space="preserve">. </w:t>
      </w:r>
      <w:r w:rsidR="00C92189" w:rsidRPr="00C92189">
        <w:rPr>
          <w:lang w:val="en-CA"/>
        </w:rPr>
        <w:t xml:space="preserve">These results suggest that the viroporin is well integrated in both types of membranes. Centrifugation </w:t>
      </w:r>
      <w:r w:rsidR="00FA45A0">
        <w:rPr>
          <w:lang w:val="en-CA"/>
        </w:rPr>
        <w:t xml:space="preserve">using </w:t>
      </w:r>
      <w:r w:rsidR="00C92189" w:rsidRPr="00C92189">
        <w:rPr>
          <w:lang w:val="en-CA"/>
        </w:rPr>
        <w:t>density gradient is a technique for separating particles according to their sizes, shapes and densities. POPC</w:t>
      </w:r>
      <w:r w:rsidR="00B44DDC">
        <w:rPr>
          <w:lang w:val="en-CA"/>
        </w:rPr>
        <w:t>/p7</w:t>
      </w:r>
      <w:r w:rsidR="00C92189" w:rsidRPr="00C92189">
        <w:rPr>
          <w:lang w:val="en-CA"/>
        </w:rPr>
        <w:t xml:space="preserve"> particles have migrated to an interface where the sucrose is more concentrated, thus these particles are larger, </w:t>
      </w:r>
      <w:r w:rsidR="00FA45A0" w:rsidRPr="00C92189">
        <w:rPr>
          <w:lang w:val="en-CA"/>
        </w:rPr>
        <w:t>denser</w:t>
      </w:r>
      <w:r w:rsidR="00C92189" w:rsidRPr="00C92189">
        <w:rPr>
          <w:lang w:val="en-CA"/>
        </w:rPr>
        <w:t xml:space="preserve"> than the particles </w:t>
      </w:r>
      <w:r w:rsidR="00B44DDC">
        <w:rPr>
          <w:lang w:val="en-CA"/>
        </w:rPr>
        <w:t xml:space="preserve">containing </w:t>
      </w:r>
      <w:r w:rsidR="00C92189" w:rsidRPr="00C92189">
        <w:rPr>
          <w:lang w:val="en-CA"/>
        </w:rPr>
        <w:t>asolectin</w:t>
      </w:r>
      <w:r w:rsidR="00176CB8">
        <w:rPr>
          <w:lang w:val="en-CA"/>
        </w:rPr>
        <w:t>.</w:t>
      </w:r>
    </w:p>
    <w:p w:rsidR="00176CB8" w:rsidRDefault="00176CB8" w:rsidP="00123A83">
      <w:pPr>
        <w:rPr>
          <w:lang w:val="en-CA"/>
        </w:rPr>
      </w:pPr>
    </w:p>
    <w:p w:rsidR="00E64C7E" w:rsidRPr="00B44DDC" w:rsidRDefault="00E64C7E" w:rsidP="00123A83">
      <w:pPr>
        <w:rPr>
          <w:i/>
          <w:lang w:val="en-US"/>
        </w:rPr>
      </w:pPr>
      <w:r w:rsidRPr="00B44DDC">
        <w:rPr>
          <w:i/>
          <w:lang w:val="en-US"/>
        </w:rPr>
        <w:t>Neutron reflectivity from p7 protein inserted into lipid bilayers</w:t>
      </w:r>
    </w:p>
    <w:p w:rsidR="00B90A88" w:rsidRPr="00B44DDC" w:rsidRDefault="00B90A88" w:rsidP="00B90A88">
      <w:pPr>
        <w:rPr>
          <w:lang w:val="en-CA"/>
        </w:rPr>
      </w:pPr>
      <w:r w:rsidRPr="00B44DDC">
        <w:rPr>
          <w:b/>
          <w:lang w:val="en-CA"/>
        </w:rPr>
        <w:t xml:space="preserve">Table </w:t>
      </w:r>
      <w:r w:rsidR="00C92189" w:rsidRPr="00B44DDC">
        <w:rPr>
          <w:b/>
          <w:lang w:val="en-CA"/>
        </w:rPr>
        <w:t>S</w:t>
      </w:r>
      <w:r w:rsidR="00A03AA5" w:rsidRPr="00B44DDC">
        <w:rPr>
          <w:b/>
          <w:lang w:val="en-CA"/>
        </w:rPr>
        <w:t>I</w:t>
      </w:r>
      <w:r w:rsidRPr="00B44DDC">
        <w:rPr>
          <w:b/>
        </w:rPr>
        <w:fldChar w:fldCharType="begin"/>
      </w:r>
      <w:r w:rsidRPr="00B44DDC">
        <w:rPr>
          <w:b/>
          <w:lang w:val="en-CA"/>
        </w:rPr>
        <w:instrText xml:space="preserve"> SEQ Tableau \* ARABIC </w:instrText>
      </w:r>
      <w:r w:rsidRPr="00B44DDC">
        <w:rPr>
          <w:b/>
        </w:rPr>
        <w:fldChar w:fldCharType="separate"/>
      </w:r>
      <w:r w:rsidR="000C6E93" w:rsidRPr="00B44DDC">
        <w:rPr>
          <w:b/>
          <w:noProof/>
          <w:lang w:val="en-CA"/>
        </w:rPr>
        <w:t>1</w:t>
      </w:r>
      <w:r w:rsidRPr="00B44DDC">
        <w:rPr>
          <w:b/>
        </w:rPr>
        <w:fldChar w:fldCharType="end"/>
      </w:r>
      <w:r w:rsidRPr="00B44DDC">
        <w:rPr>
          <w:b/>
          <w:lang w:val="en-CA"/>
        </w:rPr>
        <w:t> :</w:t>
      </w:r>
      <w:r w:rsidRPr="00B44DDC">
        <w:rPr>
          <w:lang w:val="en-CA"/>
        </w:rPr>
        <w:t xml:space="preserve"> Fit parameters for POPC and asolectin bilayers</w:t>
      </w:r>
    </w:p>
    <w:tbl>
      <w:tblPr>
        <w:tblStyle w:val="TableGrid"/>
        <w:tblW w:w="15713" w:type="dxa"/>
        <w:tblLayout w:type="fixed"/>
        <w:tblLook w:val="04A0" w:firstRow="1" w:lastRow="0" w:firstColumn="1" w:lastColumn="0" w:noHBand="0" w:noVBand="1"/>
      </w:tblPr>
      <w:tblGrid>
        <w:gridCol w:w="817"/>
        <w:gridCol w:w="709"/>
        <w:gridCol w:w="1134"/>
        <w:gridCol w:w="709"/>
        <w:gridCol w:w="567"/>
        <w:gridCol w:w="283"/>
        <w:gridCol w:w="709"/>
        <w:gridCol w:w="1134"/>
        <w:gridCol w:w="709"/>
        <w:gridCol w:w="708"/>
        <w:gridCol w:w="8234"/>
      </w:tblGrid>
      <w:tr w:rsidR="00B44DDC" w:rsidRPr="00B44DDC" w:rsidTr="001C6900">
        <w:tc>
          <w:tcPr>
            <w:tcW w:w="817" w:type="dxa"/>
            <w:vMerge w:val="restart"/>
            <w:tcBorders>
              <w:top w:val="nil"/>
              <w:left w:val="nil"/>
              <w:right w:val="nil"/>
            </w:tcBorders>
            <w:shd w:val="clear" w:color="auto" w:fill="auto"/>
          </w:tcPr>
          <w:p w:rsidR="0015678D" w:rsidRPr="00B44DDC" w:rsidRDefault="0015678D" w:rsidP="001C6900">
            <w:pPr>
              <w:jc w:val="both"/>
              <w:rPr>
                <w:rFonts w:cstheme="minorHAnsi"/>
                <w:sz w:val="20"/>
                <w:szCs w:val="20"/>
                <w:lang w:val="en-CA"/>
              </w:rPr>
            </w:pPr>
          </w:p>
        </w:tc>
        <w:tc>
          <w:tcPr>
            <w:tcW w:w="2552" w:type="dxa"/>
            <w:gridSpan w:val="3"/>
            <w:tcBorders>
              <w:top w:val="nil"/>
              <w:left w:val="nil"/>
              <w:bottom w:val="nil"/>
              <w:right w:val="nil"/>
            </w:tcBorders>
            <w:shd w:val="clear" w:color="auto" w:fill="auto"/>
          </w:tcPr>
          <w:p w:rsidR="0015678D" w:rsidRPr="00B44DDC" w:rsidRDefault="0015678D" w:rsidP="001C6900">
            <w:pPr>
              <w:jc w:val="both"/>
              <w:rPr>
                <w:rFonts w:cstheme="minorHAnsi"/>
                <w:sz w:val="20"/>
                <w:szCs w:val="20"/>
              </w:rPr>
            </w:pPr>
            <w:r w:rsidRPr="00B44DDC">
              <w:rPr>
                <w:rFonts w:cstheme="minorHAnsi"/>
                <w:sz w:val="20"/>
                <w:szCs w:val="20"/>
              </w:rPr>
              <w:t>POPC bilayer  (</w:t>
            </w:r>
            <w:r w:rsidRPr="00B44DDC">
              <w:rPr>
                <w:rFonts w:ascii="Symbol" w:hAnsi="Symbol" w:cstheme="minorHAnsi"/>
                <w:sz w:val="20"/>
                <w:szCs w:val="20"/>
              </w:rPr>
              <w:t></w:t>
            </w:r>
            <w:r w:rsidRPr="00B44DDC">
              <w:rPr>
                <w:rFonts w:cstheme="minorHAnsi"/>
                <w:sz w:val="20"/>
                <w:szCs w:val="20"/>
                <w:vertAlign w:val="superscript"/>
              </w:rPr>
              <w:t xml:space="preserve">2 </w:t>
            </w:r>
            <w:r w:rsidRPr="00B44DDC">
              <w:rPr>
                <w:rFonts w:cstheme="minorHAnsi"/>
                <w:sz w:val="20"/>
                <w:szCs w:val="20"/>
              </w:rPr>
              <w:t>= 7.7)</w:t>
            </w:r>
          </w:p>
        </w:tc>
        <w:tc>
          <w:tcPr>
            <w:tcW w:w="567" w:type="dxa"/>
            <w:tcBorders>
              <w:top w:val="nil"/>
              <w:left w:val="nil"/>
              <w:bottom w:val="nil"/>
              <w:right w:val="nil"/>
            </w:tcBorders>
          </w:tcPr>
          <w:p w:rsidR="0015678D" w:rsidRPr="00B44DDC" w:rsidRDefault="0015678D" w:rsidP="001C6900">
            <w:pPr>
              <w:jc w:val="both"/>
              <w:rPr>
                <w:rFonts w:cstheme="minorHAnsi"/>
                <w:sz w:val="20"/>
                <w:szCs w:val="20"/>
              </w:rPr>
            </w:pPr>
          </w:p>
        </w:tc>
        <w:tc>
          <w:tcPr>
            <w:tcW w:w="283" w:type="dxa"/>
            <w:tcBorders>
              <w:top w:val="nil"/>
              <w:left w:val="nil"/>
              <w:bottom w:val="nil"/>
              <w:right w:val="nil"/>
            </w:tcBorders>
          </w:tcPr>
          <w:p w:rsidR="0015678D" w:rsidRPr="00B44DDC" w:rsidRDefault="0015678D" w:rsidP="001C6900">
            <w:pPr>
              <w:jc w:val="both"/>
              <w:rPr>
                <w:rFonts w:cstheme="minorHAnsi"/>
                <w:sz w:val="20"/>
                <w:szCs w:val="20"/>
              </w:rPr>
            </w:pPr>
          </w:p>
        </w:tc>
        <w:tc>
          <w:tcPr>
            <w:tcW w:w="3260" w:type="dxa"/>
            <w:gridSpan w:val="4"/>
            <w:tcBorders>
              <w:top w:val="nil"/>
              <w:left w:val="nil"/>
              <w:bottom w:val="nil"/>
              <w:right w:val="nil"/>
            </w:tcBorders>
          </w:tcPr>
          <w:p w:rsidR="0015678D" w:rsidRPr="00B44DDC" w:rsidRDefault="0015678D" w:rsidP="001C6900">
            <w:pPr>
              <w:jc w:val="both"/>
              <w:rPr>
                <w:rFonts w:cstheme="minorHAnsi"/>
                <w:sz w:val="20"/>
                <w:szCs w:val="20"/>
              </w:rPr>
            </w:pPr>
            <w:r w:rsidRPr="00B44DDC">
              <w:rPr>
                <w:rFonts w:cstheme="minorHAnsi"/>
                <w:sz w:val="20"/>
                <w:szCs w:val="20"/>
              </w:rPr>
              <w:t>Asolectin bilayer  (</w:t>
            </w:r>
            <w:r w:rsidRPr="00B44DDC">
              <w:rPr>
                <w:rFonts w:ascii="Symbol" w:hAnsi="Symbol" w:cstheme="minorHAnsi"/>
                <w:sz w:val="20"/>
                <w:szCs w:val="20"/>
              </w:rPr>
              <w:t></w:t>
            </w:r>
            <w:r w:rsidRPr="00B44DDC">
              <w:rPr>
                <w:rFonts w:cstheme="minorHAnsi"/>
                <w:sz w:val="20"/>
                <w:szCs w:val="20"/>
                <w:vertAlign w:val="superscript"/>
              </w:rPr>
              <w:t xml:space="preserve">2 </w:t>
            </w:r>
            <w:r w:rsidRPr="00B44DDC">
              <w:rPr>
                <w:rFonts w:cstheme="minorHAnsi"/>
                <w:sz w:val="20"/>
                <w:szCs w:val="20"/>
              </w:rPr>
              <w:t xml:space="preserve">= </w:t>
            </w:r>
            <w:proofErr w:type="gramStart"/>
            <w:r w:rsidRPr="00B44DDC">
              <w:rPr>
                <w:rFonts w:cstheme="minorHAnsi"/>
                <w:sz w:val="20"/>
                <w:szCs w:val="20"/>
              </w:rPr>
              <w:t>7.1 )</w:t>
            </w:r>
            <w:proofErr w:type="gramEnd"/>
          </w:p>
        </w:tc>
        <w:tc>
          <w:tcPr>
            <w:tcW w:w="8234" w:type="dxa"/>
            <w:tcBorders>
              <w:top w:val="nil"/>
              <w:left w:val="nil"/>
              <w:bottom w:val="nil"/>
              <w:right w:val="nil"/>
            </w:tcBorders>
          </w:tcPr>
          <w:p w:rsidR="0015678D" w:rsidRPr="00B44DDC" w:rsidRDefault="0015678D" w:rsidP="001C6900">
            <w:pPr>
              <w:jc w:val="both"/>
              <w:rPr>
                <w:rFonts w:ascii="Times New Roman" w:hAnsi="Times New Roman" w:cs="Times New Roman"/>
                <w:sz w:val="18"/>
                <w:szCs w:val="18"/>
              </w:rPr>
            </w:pPr>
          </w:p>
        </w:tc>
      </w:tr>
      <w:tr w:rsidR="00B44DDC" w:rsidRPr="00B44DDC" w:rsidTr="001C6900">
        <w:trPr>
          <w:gridAfter w:val="1"/>
          <w:wAfter w:w="8234" w:type="dxa"/>
        </w:trPr>
        <w:tc>
          <w:tcPr>
            <w:tcW w:w="817" w:type="dxa"/>
            <w:vMerge/>
            <w:tcBorders>
              <w:left w:val="nil"/>
              <w:bottom w:val="single" w:sz="4" w:space="0" w:color="auto"/>
              <w:right w:val="single" w:sz="4" w:space="0" w:color="auto"/>
            </w:tcBorders>
            <w:shd w:val="clear" w:color="auto" w:fill="auto"/>
          </w:tcPr>
          <w:p w:rsidR="0015678D" w:rsidRPr="00B44DDC" w:rsidRDefault="0015678D" w:rsidP="001C6900">
            <w:pPr>
              <w:jc w:val="both"/>
              <w:rPr>
                <w:rFonts w:cstheme="minorHAnsi"/>
                <w:sz w:val="20"/>
                <w:szCs w:val="20"/>
              </w:rPr>
            </w:pPr>
          </w:p>
        </w:tc>
        <w:tc>
          <w:tcPr>
            <w:tcW w:w="709" w:type="dxa"/>
            <w:tcBorders>
              <w:top w:val="nil"/>
              <w:left w:val="single" w:sz="4" w:space="0" w:color="auto"/>
              <w:bottom w:val="single" w:sz="4" w:space="0" w:color="auto"/>
              <w:right w:val="single" w:sz="4" w:space="0" w:color="auto"/>
            </w:tcBorders>
            <w:shd w:val="clear" w:color="auto" w:fill="auto"/>
          </w:tcPr>
          <w:p w:rsidR="0015678D" w:rsidRPr="00B44DDC" w:rsidRDefault="0015678D" w:rsidP="001C6900">
            <w:pPr>
              <w:pStyle w:val="TCTableBody"/>
              <w:jc w:val="center"/>
              <w:rPr>
                <w:rFonts w:asciiTheme="minorHAnsi" w:hAnsiTheme="minorHAnsi" w:cstheme="minorHAnsi"/>
                <w:sz w:val="20"/>
                <w:lang w:val="fr-FR"/>
              </w:rPr>
            </w:pPr>
            <w:r w:rsidRPr="00B44DDC">
              <w:rPr>
                <w:rFonts w:asciiTheme="minorHAnsi" w:hAnsiTheme="minorHAnsi" w:cstheme="minorHAnsi"/>
                <w:sz w:val="20"/>
                <w:lang w:val="fr-FR"/>
              </w:rPr>
              <w:t>Z</w:t>
            </w:r>
          </w:p>
          <w:p w:rsidR="0015678D" w:rsidRPr="00B44DDC" w:rsidRDefault="0015678D" w:rsidP="00D70BF0">
            <w:pPr>
              <w:pStyle w:val="TCTableBody"/>
              <w:jc w:val="center"/>
              <w:rPr>
                <w:rFonts w:asciiTheme="minorHAnsi" w:hAnsiTheme="minorHAnsi" w:cstheme="minorHAnsi"/>
                <w:sz w:val="20"/>
                <w:lang w:val="fr-FR"/>
              </w:rPr>
            </w:pPr>
            <w:proofErr w:type="gramStart"/>
            <w:r w:rsidRPr="00B44DDC">
              <w:rPr>
                <w:rFonts w:asciiTheme="minorHAnsi" w:hAnsiTheme="minorHAnsi" w:cstheme="minorHAnsi"/>
                <w:sz w:val="20"/>
                <w:lang w:val="fr-FR"/>
              </w:rPr>
              <w:t>[</w:t>
            </w:r>
            <w:r w:rsidR="00D70BF0">
              <w:rPr>
                <w:rFonts w:asciiTheme="minorHAnsi" w:hAnsiTheme="minorHAnsi" w:cstheme="minorHAnsi"/>
                <w:sz w:val="20"/>
                <w:lang w:val="fr-FR"/>
              </w:rPr>
              <w:t xml:space="preserve"> [</w:t>
            </w:r>
            <w:proofErr w:type="gramEnd"/>
            <w:r w:rsidR="00D70BF0" w:rsidRPr="00B44DDC">
              <w:rPr>
                <w:rFonts w:asciiTheme="minorHAnsi" w:hAnsiTheme="minorHAnsi" w:cstheme="minorHAnsi"/>
                <w:sz w:val="20"/>
                <w:lang w:val="fr-FR"/>
              </w:rPr>
              <w:t>Å</w:t>
            </w:r>
            <w:r w:rsidRPr="00B44DDC">
              <w:rPr>
                <w:rFonts w:asciiTheme="minorHAnsi" w:hAnsiTheme="minorHAnsi" w:cstheme="minorHAnsi"/>
                <w:sz w:val="20"/>
                <w:lang w:val="fr-FR"/>
              </w:rPr>
              <w:t>]</w:t>
            </w:r>
          </w:p>
        </w:tc>
        <w:tc>
          <w:tcPr>
            <w:tcW w:w="1134" w:type="dxa"/>
            <w:tcBorders>
              <w:top w:val="nil"/>
              <w:left w:val="single" w:sz="4" w:space="0" w:color="auto"/>
              <w:bottom w:val="single" w:sz="4" w:space="0" w:color="auto"/>
              <w:right w:val="single" w:sz="4" w:space="0" w:color="auto"/>
            </w:tcBorders>
            <w:shd w:val="clear" w:color="auto" w:fill="auto"/>
          </w:tcPr>
          <w:p w:rsidR="0015678D" w:rsidRPr="00B44DDC" w:rsidRDefault="0015678D" w:rsidP="001C6900">
            <w:pPr>
              <w:pStyle w:val="TCTableBody"/>
              <w:jc w:val="center"/>
              <w:rPr>
                <w:rFonts w:asciiTheme="minorHAnsi" w:hAnsiTheme="minorHAnsi" w:cstheme="minorHAnsi"/>
                <w:sz w:val="20"/>
                <w:lang w:val="fr-FR"/>
              </w:rPr>
            </w:pPr>
            <w:r w:rsidRPr="00B44DDC">
              <w:rPr>
                <w:rFonts w:asciiTheme="minorHAnsi" w:hAnsiTheme="minorHAnsi" w:cstheme="minorHAnsi"/>
                <w:sz w:val="20"/>
                <w:lang w:val="fr-FR"/>
              </w:rPr>
              <w:t>SLD</w:t>
            </w:r>
          </w:p>
          <w:p w:rsidR="0015678D" w:rsidRPr="00B44DDC" w:rsidRDefault="0015678D" w:rsidP="001C6900">
            <w:pPr>
              <w:pStyle w:val="TCTableBody"/>
              <w:jc w:val="center"/>
              <w:rPr>
                <w:rFonts w:asciiTheme="minorHAnsi" w:hAnsiTheme="minorHAnsi" w:cstheme="minorHAnsi"/>
                <w:sz w:val="20"/>
                <w:lang w:val="fr-FR"/>
              </w:rPr>
            </w:pPr>
            <w:proofErr w:type="gramStart"/>
            <w:r w:rsidRPr="00B44DDC">
              <w:rPr>
                <w:rFonts w:asciiTheme="minorHAnsi" w:hAnsiTheme="minorHAnsi" w:cstheme="minorHAnsi"/>
                <w:sz w:val="20"/>
                <w:lang w:val="fr-FR"/>
              </w:rPr>
              <w:t>[ 10</w:t>
            </w:r>
            <w:proofErr w:type="gramEnd"/>
            <w:r w:rsidRPr="00B44DDC">
              <w:rPr>
                <w:rFonts w:asciiTheme="minorHAnsi" w:hAnsiTheme="minorHAnsi" w:cstheme="minorHAnsi"/>
                <w:sz w:val="20"/>
                <w:vertAlign w:val="superscript"/>
                <w:lang w:val="fr-FR"/>
              </w:rPr>
              <w:t>-6</w:t>
            </w:r>
            <w:r w:rsidRPr="00B44DDC">
              <w:rPr>
                <w:rFonts w:asciiTheme="minorHAnsi" w:hAnsiTheme="minorHAnsi" w:cstheme="minorHAnsi"/>
                <w:sz w:val="20"/>
                <w:lang w:val="fr-FR"/>
              </w:rPr>
              <w:t>Å</w:t>
            </w:r>
            <w:r w:rsidRPr="00B44DDC">
              <w:rPr>
                <w:rFonts w:asciiTheme="minorHAnsi" w:hAnsiTheme="minorHAnsi" w:cstheme="minorHAnsi"/>
                <w:sz w:val="20"/>
                <w:vertAlign w:val="superscript"/>
                <w:lang w:val="fr-FR"/>
              </w:rPr>
              <w:t>-2</w:t>
            </w:r>
            <w:r w:rsidRPr="00B44DDC">
              <w:rPr>
                <w:rFonts w:asciiTheme="minorHAnsi" w:hAnsiTheme="minorHAnsi" w:cstheme="minorHAnsi"/>
                <w:sz w:val="20"/>
                <w:lang w:val="fr-FR"/>
              </w:rPr>
              <w:t>]</w:t>
            </w:r>
          </w:p>
        </w:tc>
        <w:tc>
          <w:tcPr>
            <w:tcW w:w="709" w:type="dxa"/>
            <w:tcBorders>
              <w:top w:val="nil"/>
              <w:left w:val="single" w:sz="4" w:space="0" w:color="auto"/>
              <w:bottom w:val="single" w:sz="4" w:space="0" w:color="auto"/>
              <w:right w:val="single" w:sz="8" w:space="0" w:color="auto"/>
            </w:tcBorders>
            <w:shd w:val="clear" w:color="auto" w:fill="auto"/>
          </w:tcPr>
          <w:p w:rsidR="0015678D" w:rsidRPr="00B44DDC" w:rsidRDefault="0015678D" w:rsidP="001C6900">
            <w:pPr>
              <w:pStyle w:val="TCTableBody"/>
              <w:jc w:val="center"/>
              <w:rPr>
                <w:rFonts w:asciiTheme="minorHAnsi" w:hAnsiTheme="minorHAnsi" w:cstheme="minorHAnsi"/>
                <w:sz w:val="20"/>
                <w:lang w:val="fr-FR"/>
              </w:rPr>
            </w:pPr>
            <w:r w:rsidRPr="00B44DDC">
              <w:rPr>
                <w:rFonts w:asciiTheme="minorHAnsi" w:hAnsiTheme="minorHAnsi" w:cstheme="minorHAnsi"/>
                <w:sz w:val="20"/>
                <w:lang w:val="fr-FR"/>
              </w:rPr>
              <w:t>Solv.</w:t>
            </w:r>
          </w:p>
          <w:p w:rsidR="0015678D" w:rsidRPr="00B44DDC" w:rsidRDefault="0015678D" w:rsidP="001C6900">
            <w:pPr>
              <w:pStyle w:val="TCTableBody"/>
              <w:jc w:val="center"/>
              <w:rPr>
                <w:rFonts w:asciiTheme="minorHAnsi" w:hAnsiTheme="minorHAnsi" w:cstheme="minorHAnsi"/>
                <w:sz w:val="20"/>
                <w:lang w:val="fr-FR"/>
              </w:rPr>
            </w:pPr>
            <w:r w:rsidRPr="00B44DDC">
              <w:rPr>
                <w:rFonts w:asciiTheme="minorHAnsi" w:hAnsiTheme="minorHAnsi" w:cstheme="minorHAnsi"/>
                <w:sz w:val="20"/>
                <w:lang w:val="fr-FR"/>
              </w:rPr>
              <w:t xml:space="preserve"> [%]</w:t>
            </w:r>
          </w:p>
        </w:tc>
        <w:tc>
          <w:tcPr>
            <w:tcW w:w="567" w:type="dxa"/>
            <w:tcBorders>
              <w:top w:val="nil"/>
              <w:left w:val="single" w:sz="8" w:space="0" w:color="auto"/>
              <w:bottom w:val="single" w:sz="4" w:space="0" w:color="auto"/>
              <w:right w:val="single" w:sz="8" w:space="0" w:color="auto"/>
            </w:tcBorders>
          </w:tcPr>
          <w:p w:rsidR="0015678D" w:rsidRPr="00B44DDC" w:rsidRDefault="0015678D" w:rsidP="001C6900">
            <w:pPr>
              <w:pStyle w:val="TCTableBody"/>
              <w:jc w:val="center"/>
              <w:rPr>
                <w:rFonts w:ascii="Symbol" w:hAnsi="Symbol" w:cstheme="minorHAnsi"/>
                <w:sz w:val="20"/>
                <w:lang w:val="fr-FR"/>
              </w:rPr>
            </w:pPr>
            <w:r w:rsidRPr="00B44DDC">
              <w:rPr>
                <w:rFonts w:ascii="Symbol" w:hAnsi="Symbol" w:cstheme="minorHAnsi"/>
                <w:sz w:val="20"/>
              </w:rPr>
              <w:t></w:t>
            </w:r>
          </w:p>
          <w:p w:rsidR="0015678D" w:rsidRPr="00B44DDC" w:rsidRDefault="0015678D" w:rsidP="001C6900">
            <w:pPr>
              <w:pStyle w:val="TCTableBody"/>
              <w:jc w:val="center"/>
              <w:rPr>
                <w:rFonts w:asciiTheme="minorHAnsi" w:hAnsiTheme="minorHAnsi" w:cstheme="minorHAnsi"/>
                <w:sz w:val="20"/>
                <w:lang w:val="fr-FR"/>
              </w:rPr>
            </w:pPr>
            <w:r w:rsidRPr="00B44DDC">
              <w:rPr>
                <w:rFonts w:asciiTheme="minorHAnsi" w:hAnsiTheme="minorHAnsi" w:cstheme="minorHAnsi"/>
                <w:sz w:val="20"/>
                <w:lang w:val="fr-FR"/>
              </w:rPr>
              <w:t>[Å]</w:t>
            </w:r>
          </w:p>
        </w:tc>
        <w:tc>
          <w:tcPr>
            <w:tcW w:w="283" w:type="dxa"/>
            <w:tcBorders>
              <w:top w:val="nil"/>
              <w:left w:val="single" w:sz="8" w:space="0" w:color="auto"/>
              <w:bottom w:val="nil"/>
              <w:right w:val="single" w:sz="8" w:space="0" w:color="auto"/>
            </w:tcBorders>
          </w:tcPr>
          <w:p w:rsidR="0015678D" w:rsidRPr="00B44DDC" w:rsidRDefault="0015678D" w:rsidP="001C6900">
            <w:pPr>
              <w:pStyle w:val="TCTableBody"/>
              <w:jc w:val="center"/>
              <w:rPr>
                <w:rFonts w:asciiTheme="minorHAnsi" w:hAnsiTheme="minorHAnsi" w:cstheme="minorHAnsi"/>
                <w:sz w:val="20"/>
                <w:lang w:val="fr-FR"/>
              </w:rPr>
            </w:pPr>
          </w:p>
        </w:tc>
        <w:tc>
          <w:tcPr>
            <w:tcW w:w="709" w:type="dxa"/>
            <w:tcBorders>
              <w:top w:val="nil"/>
              <w:left w:val="single" w:sz="8" w:space="0" w:color="auto"/>
              <w:bottom w:val="single" w:sz="4" w:space="0" w:color="auto"/>
              <w:right w:val="single" w:sz="4" w:space="0" w:color="auto"/>
            </w:tcBorders>
          </w:tcPr>
          <w:p w:rsidR="0015678D" w:rsidRPr="00B44DDC" w:rsidRDefault="0015678D" w:rsidP="001C6900">
            <w:pPr>
              <w:pStyle w:val="TCTableBody"/>
              <w:jc w:val="center"/>
              <w:rPr>
                <w:rFonts w:asciiTheme="minorHAnsi" w:hAnsiTheme="minorHAnsi" w:cstheme="minorHAnsi"/>
                <w:sz w:val="20"/>
                <w:lang w:val="fr-FR"/>
              </w:rPr>
            </w:pPr>
            <w:r w:rsidRPr="00B44DDC">
              <w:rPr>
                <w:rFonts w:asciiTheme="minorHAnsi" w:hAnsiTheme="minorHAnsi" w:cstheme="minorHAnsi"/>
                <w:sz w:val="20"/>
                <w:lang w:val="fr-FR"/>
              </w:rPr>
              <w:t>Z</w:t>
            </w:r>
          </w:p>
          <w:p w:rsidR="0015678D" w:rsidRPr="00B44DDC" w:rsidRDefault="0015678D" w:rsidP="001C6900">
            <w:pPr>
              <w:pStyle w:val="TCTableBody"/>
              <w:jc w:val="center"/>
              <w:rPr>
                <w:rFonts w:asciiTheme="minorHAnsi" w:hAnsiTheme="minorHAnsi" w:cstheme="minorHAnsi"/>
                <w:sz w:val="20"/>
                <w:lang w:val="fr-FR"/>
              </w:rPr>
            </w:pPr>
            <w:r w:rsidRPr="00B44DDC">
              <w:rPr>
                <w:rFonts w:asciiTheme="minorHAnsi" w:hAnsiTheme="minorHAnsi" w:cstheme="minorHAnsi"/>
                <w:sz w:val="20"/>
                <w:lang w:val="fr-FR"/>
              </w:rPr>
              <w:t>[Å]</w:t>
            </w:r>
          </w:p>
        </w:tc>
        <w:tc>
          <w:tcPr>
            <w:tcW w:w="1134" w:type="dxa"/>
            <w:tcBorders>
              <w:top w:val="nil"/>
              <w:left w:val="single" w:sz="4" w:space="0" w:color="auto"/>
              <w:bottom w:val="single" w:sz="4" w:space="0" w:color="auto"/>
              <w:right w:val="single" w:sz="4" w:space="0" w:color="auto"/>
            </w:tcBorders>
          </w:tcPr>
          <w:p w:rsidR="0015678D" w:rsidRPr="00B44DDC" w:rsidRDefault="0015678D" w:rsidP="001C6900">
            <w:pPr>
              <w:pStyle w:val="TCTableBody"/>
              <w:jc w:val="center"/>
              <w:rPr>
                <w:rFonts w:asciiTheme="minorHAnsi" w:hAnsiTheme="minorHAnsi" w:cstheme="minorHAnsi"/>
                <w:sz w:val="20"/>
                <w:lang w:val="fr-FR"/>
              </w:rPr>
            </w:pPr>
            <w:r w:rsidRPr="00B44DDC">
              <w:rPr>
                <w:rFonts w:asciiTheme="minorHAnsi" w:hAnsiTheme="minorHAnsi" w:cstheme="minorHAnsi"/>
                <w:sz w:val="20"/>
                <w:lang w:val="fr-FR"/>
              </w:rPr>
              <w:t>SLD</w:t>
            </w:r>
          </w:p>
          <w:p w:rsidR="0015678D" w:rsidRPr="00B44DDC" w:rsidRDefault="0015678D" w:rsidP="001C6900">
            <w:pPr>
              <w:pStyle w:val="TCTableBody"/>
              <w:jc w:val="center"/>
              <w:rPr>
                <w:rFonts w:asciiTheme="minorHAnsi" w:hAnsiTheme="minorHAnsi" w:cstheme="minorHAnsi"/>
                <w:sz w:val="20"/>
                <w:lang w:val="fr-FR"/>
              </w:rPr>
            </w:pPr>
            <w:proofErr w:type="gramStart"/>
            <w:r w:rsidRPr="00B44DDC">
              <w:rPr>
                <w:rFonts w:asciiTheme="minorHAnsi" w:hAnsiTheme="minorHAnsi" w:cstheme="minorHAnsi"/>
                <w:sz w:val="20"/>
                <w:lang w:val="fr-FR"/>
              </w:rPr>
              <w:t>[ 10</w:t>
            </w:r>
            <w:proofErr w:type="gramEnd"/>
            <w:r w:rsidRPr="00B44DDC">
              <w:rPr>
                <w:rFonts w:asciiTheme="minorHAnsi" w:hAnsiTheme="minorHAnsi" w:cstheme="minorHAnsi"/>
                <w:sz w:val="20"/>
                <w:vertAlign w:val="superscript"/>
                <w:lang w:val="fr-FR"/>
              </w:rPr>
              <w:t>-6</w:t>
            </w:r>
            <w:r w:rsidRPr="00B44DDC">
              <w:rPr>
                <w:rFonts w:asciiTheme="minorHAnsi" w:hAnsiTheme="minorHAnsi" w:cstheme="minorHAnsi"/>
                <w:sz w:val="20"/>
                <w:lang w:val="fr-FR"/>
              </w:rPr>
              <w:t>Å</w:t>
            </w:r>
            <w:r w:rsidRPr="00B44DDC">
              <w:rPr>
                <w:rFonts w:asciiTheme="minorHAnsi" w:hAnsiTheme="minorHAnsi" w:cstheme="minorHAnsi"/>
                <w:sz w:val="20"/>
                <w:vertAlign w:val="superscript"/>
                <w:lang w:val="fr-FR"/>
              </w:rPr>
              <w:t>-2</w:t>
            </w:r>
            <w:r w:rsidRPr="00B44DDC">
              <w:rPr>
                <w:rFonts w:asciiTheme="minorHAnsi" w:hAnsiTheme="minorHAnsi" w:cstheme="minorHAnsi"/>
                <w:sz w:val="20"/>
                <w:lang w:val="fr-FR"/>
              </w:rPr>
              <w:t>]</w:t>
            </w:r>
          </w:p>
        </w:tc>
        <w:tc>
          <w:tcPr>
            <w:tcW w:w="709" w:type="dxa"/>
            <w:tcBorders>
              <w:top w:val="nil"/>
              <w:left w:val="single" w:sz="4" w:space="0" w:color="auto"/>
              <w:bottom w:val="single" w:sz="4" w:space="0" w:color="auto"/>
              <w:right w:val="single" w:sz="4" w:space="0" w:color="auto"/>
            </w:tcBorders>
          </w:tcPr>
          <w:p w:rsidR="0015678D" w:rsidRPr="00B44DDC" w:rsidRDefault="0015678D" w:rsidP="001C6900">
            <w:pPr>
              <w:pStyle w:val="TCTableBody"/>
              <w:jc w:val="center"/>
              <w:rPr>
                <w:rFonts w:asciiTheme="minorHAnsi" w:hAnsiTheme="minorHAnsi" w:cstheme="minorHAnsi"/>
                <w:sz w:val="20"/>
                <w:lang w:val="fr-FR"/>
              </w:rPr>
            </w:pPr>
            <w:r w:rsidRPr="00B44DDC">
              <w:rPr>
                <w:rFonts w:asciiTheme="minorHAnsi" w:hAnsiTheme="minorHAnsi" w:cstheme="minorHAnsi"/>
                <w:sz w:val="20"/>
                <w:lang w:val="fr-FR"/>
              </w:rPr>
              <w:t>Solv.</w:t>
            </w:r>
          </w:p>
          <w:p w:rsidR="0015678D" w:rsidRPr="00B44DDC" w:rsidRDefault="0015678D" w:rsidP="001C6900">
            <w:pPr>
              <w:pStyle w:val="TCTableBody"/>
              <w:jc w:val="center"/>
              <w:rPr>
                <w:rFonts w:asciiTheme="minorHAnsi" w:hAnsiTheme="minorHAnsi" w:cstheme="minorHAnsi"/>
                <w:sz w:val="20"/>
                <w:lang w:val="fr-FR"/>
              </w:rPr>
            </w:pPr>
            <w:r w:rsidRPr="00B44DDC">
              <w:rPr>
                <w:rFonts w:asciiTheme="minorHAnsi" w:hAnsiTheme="minorHAnsi" w:cstheme="minorHAnsi"/>
                <w:sz w:val="20"/>
                <w:lang w:val="fr-FR"/>
              </w:rPr>
              <w:t xml:space="preserve"> [%]</w:t>
            </w:r>
          </w:p>
        </w:tc>
        <w:tc>
          <w:tcPr>
            <w:tcW w:w="708" w:type="dxa"/>
            <w:tcBorders>
              <w:top w:val="nil"/>
              <w:left w:val="single" w:sz="4" w:space="0" w:color="auto"/>
              <w:bottom w:val="single" w:sz="4" w:space="0" w:color="auto"/>
              <w:right w:val="single" w:sz="4" w:space="0" w:color="auto"/>
            </w:tcBorders>
          </w:tcPr>
          <w:p w:rsidR="0015678D" w:rsidRPr="00B44DDC" w:rsidRDefault="0015678D" w:rsidP="001C6900">
            <w:pPr>
              <w:pStyle w:val="TCTableBody"/>
              <w:jc w:val="center"/>
              <w:rPr>
                <w:rFonts w:ascii="Symbol" w:hAnsi="Symbol" w:cstheme="minorHAnsi"/>
                <w:sz w:val="20"/>
                <w:lang w:val="fr-FR"/>
              </w:rPr>
            </w:pPr>
            <w:r w:rsidRPr="00B44DDC">
              <w:rPr>
                <w:rFonts w:ascii="Symbol" w:hAnsi="Symbol" w:cstheme="minorHAnsi"/>
                <w:sz w:val="20"/>
              </w:rPr>
              <w:t></w:t>
            </w:r>
          </w:p>
          <w:p w:rsidR="0015678D" w:rsidRPr="00B44DDC" w:rsidRDefault="0015678D" w:rsidP="001C6900">
            <w:pPr>
              <w:pStyle w:val="TCTableBody"/>
              <w:jc w:val="center"/>
              <w:rPr>
                <w:rFonts w:asciiTheme="minorHAnsi" w:hAnsiTheme="minorHAnsi" w:cstheme="minorHAnsi"/>
                <w:sz w:val="20"/>
                <w:lang w:val="fr-FR"/>
              </w:rPr>
            </w:pPr>
            <w:r w:rsidRPr="00B44DDC">
              <w:rPr>
                <w:rFonts w:asciiTheme="minorHAnsi" w:hAnsiTheme="minorHAnsi" w:cstheme="minorHAnsi"/>
                <w:sz w:val="20"/>
                <w:lang w:val="fr-FR"/>
              </w:rPr>
              <w:t>[Å]</w:t>
            </w:r>
          </w:p>
        </w:tc>
      </w:tr>
      <w:tr w:rsidR="00B44DDC" w:rsidRPr="00B44DDC" w:rsidTr="001C6900">
        <w:trPr>
          <w:gridAfter w:val="1"/>
          <w:wAfter w:w="8234" w:type="dxa"/>
        </w:trPr>
        <w:tc>
          <w:tcPr>
            <w:tcW w:w="817" w:type="dxa"/>
            <w:tcBorders>
              <w:top w:val="single" w:sz="4" w:space="0" w:color="auto"/>
              <w:left w:val="nil"/>
              <w:bottom w:val="nil"/>
              <w:right w:val="single" w:sz="4" w:space="0" w:color="auto"/>
            </w:tcBorders>
            <w:shd w:val="clear" w:color="auto" w:fill="auto"/>
          </w:tcPr>
          <w:p w:rsidR="0015678D" w:rsidRPr="00B44DDC" w:rsidRDefault="0015678D" w:rsidP="001C6900">
            <w:pPr>
              <w:jc w:val="both"/>
              <w:rPr>
                <w:rFonts w:cstheme="minorHAnsi"/>
                <w:sz w:val="20"/>
                <w:szCs w:val="20"/>
              </w:rPr>
            </w:pPr>
            <w:r w:rsidRPr="00B44DDC">
              <w:rPr>
                <w:rFonts w:cstheme="minorHAnsi"/>
                <w:sz w:val="20"/>
                <w:szCs w:val="20"/>
              </w:rPr>
              <w:t>Quartz</w:t>
            </w:r>
          </w:p>
        </w:tc>
        <w:tc>
          <w:tcPr>
            <w:tcW w:w="709" w:type="dxa"/>
            <w:tcBorders>
              <w:top w:val="single" w:sz="4" w:space="0" w:color="auto"/>
              <w:left w:val="single" w:sz="4" w:space="0" w:color="auto"/>
              <w:bottom w:val="nil"/>
            </w:tcBorders>
          </w:tcPr>
          <w:p w:rsidR="0015678D" w:rsidRPr="00B44DDC" w:rsidRDefault="0015678D" w:rsidP="001C6900">
            <w:pPr>
              <w:jc w:val="center"/>
              <w:rPr>
                <w:rFonts w:cstheme="minorHAnsi"/>
                <w:sz w:val="20"/>
                <w:szCs w:val="20"/>
              </w:rPr>
            </w:pPr>
            <w:r w:rsidRPr="00B44DDC">
              <w:rPr>
                <w:rFonts w:cstheme="minorHAnsi"/>
                <w:sz w:val="20"/>
                <w:szCs w:val="20"/>
              </w:rPr>
              <w:t>-</w:t>
            </w:r>
          </w:p>
        </w:tc>
        <w:tc>
          <w:tcPr>
            <w:tcW w:w="1134" w:type="dxa"/>
            <w:tcBorders>
              <w:top w:val="single" w:sz="4" w:space="0" w:color="auto"/>
              <w:bottom w:val="nil"/>
            </w:tcBorders>
          </w:tcPr>
          <w:p w:rsidR="0015678D" w:rsidRPr="00B44DDC" w:rsidRDefault="0015678D" w:rsidP="001C6900">
            <w:pPr>
              <w:jc w:val="center"/>
              <w:rPr>
                <w:rFonts w:cstheme="minorHAnsi"/>
                <w:sz w:val="20"/>
                <w:szCs w:val="20"/>
              </w:rPr>
            </w:pPr>
            <w:r w:rsidRPr="00B44DDC">
              <w:rPr>
                <w:rFonts w:cstheme="minorHAnsi"/>
                <w:sz w:val="20"/>
                <w:szCs w:val="20"/>
              </w:rPr>
              <w:t>4.18</w:t>
            </w:r>
            <w:r w:rsidRPr="00B44DDC">
              <w:rPr>
                <w:rFonts w:cstheme="minorHAnsi"/>
                <w:sz w:val="20"/>
                <w:szCs w:val="20"/>
                <w:vertAlign w:val="superscript"/>
              </w:rPr>
              <w:t>†</w:t>
            </w:r>
          </w:p>
        </w:tc>
        <w:tc>
          <w:tcPr>
            <w:tcW w:w="709" w:type="dxa"/>
            <w:tcBorders>
              <w:top w:val="nil"/>
              <w:bottom w:val="nil"/>
              <w:right w:val="single" w:sz="8" w:space="0" w:color="auto"/>
            </w:tcBorders>
          </w:tcPr>
          <w:p w:rsidR="0015678D" w:rsidRPr="00B44DDC" w:rsidRDefault="0015678D" w:rsidP="001C6900">
            <w:pPr>
              <w:jc w:val="center"/>
              <w:rPr>
                <w:rFonts w:cstheme="minorHAnsi"/>
                <w:sz w:val="20"/>
                <w:szCs w:val="20"/>
              </w:rPr>
            </w:pPr>
            <w:r w:rsidRPr="00B44DDC">
              <w:rPr>
                <w:rFonts w:cstheme="minorHAnsi"/>
                <w:sz w:val="20"/>
                <w:szCs w:val="20"/>
              </w:rPr>
              <w:t>-</w:t>
            </w:r>
          </w:p>
        </w:tc>
        <w:tc>
          <w:tcPr>
            <w:tcW w:w="567" w:type="dxa"/>
            <w:tcBorders>
              <w:top w:val="nil"/>
              <w:left w:val="single" w:sz="8" w:space="0" w:color="auto"/>
              <w:bottom w:val="nil"/>
              <w:right w:val="single" w:sz="8" w:space="0" w:color="auto"/>
            </w:tcBorders>
          </w:tcPr>
          <w:p w:rsidR="0015678D" w:rsidRPr="00B44DDC" w:rsidRDefault="0015678D" w:rsidP="001C6900">
            <w:pPr>
              <w:jc w:val="center"/>
              <w:rPr>
                <w:rFonts w:cstheme="minorHAnsi"/>
                <w:sz w:val="20"/>
                <w:szCs w:val="20"/>
              </w:rPr>
            </w:pPr>
            <w:r w:rsidRPr="00B44DDC">
              <w:rPr>
                <w:rFonts w:cstheme="minorHAnsi"/>
                <w:sz w:val="20"/>
                <w:szCs w:val="20"/>
              </w:rPr>
              <w:t>4.0</w:t>
            </w:r>
            <w:r w:rsidRPr="00B44DDC">
              <w:rPr>
                <w:rFonts w:cstheme="minorHAnsi"/>
                <w:sz w:val="20"/>
                <w:szCs w:val="20"/>
                <w:vertAlign w:val="superscript"/>
              </w:rPr>
              <w:t>†</w:t>
            </w:r>
          </w:p>
        </w:tc>
        <w:tc>
          <w:tcPr>
            <w:tcW w:w="283" w:type="dxa"/>
            <w:tcBorders>
              <w:top w:val="nil"/>
              <w:left w:val="single" w:sz="8" w:space="0" w:color="auto"/>
              <w:bottom w:val="nil"/>
              <w:right w:val="single" w:sz="8" w:space="0" w:color="auto"/>
            </w:tcBorders>
          </w:tcPr>
          <w:p w:rsidR="0015678D" w:rsidRPr="00B44DDC" w:rsidRDefault="0015678D" w:rsidP="001C6900">
            <w:pPr>
              <w:jc w:val="center"/>
              <w:rPr>
                <w:rFonts w:cstheme="minorHAnsi"/>
                <w:sz w:val="20"/>
                <w:szCs w:val="20"/>
              </w:rPr>
            </w:pPr>
          </w:p>
        </w:tc>
        <w:tc>
          <w:tcPr>
            <w:tcW w:w="709" w:type="dxa"/>
            <w:tcBorders>
              <w:top w:val="single" w:sz="4" w:space="0" w:color="auto"/>
              <w:left w:val="single" w:sz="8" w:space="0" w:color="auto"/>
              <w:bottom w:val="nil"/>
            </w:tcBorders>
          </w:tcPr>
          <w:p w:rsidR="0015678D" w:rsidRPr="00B44DDC" w:rsidRDefault="0015678D" w:rsidP="001C6900">
            <w:pPr>
              <w:jc w:val="center"/>
              <w:rPr>
                <w:rFonts w:cstheme="minorHAnsi"/>
                <w:sz w:val="20"/>
                <w:szCs w:val="20"/>
              </w:rPr>
            </w:pPr>
            <w:r w:rsidRPr="00B44DDC">
              <w:rPr>
                <w:rFonts w:cstheme="minorHAnsi"/>
                <w:sz w:val="20"/>
                <w:szCs w:val="20"/>
              </w:rPr>
              <w:t>-</w:t>
            </w:r>
          </w:p>
        </w:tc>
        <w:tc>
          <w:tcPr>
            <w:tcW w:w="1134" w:type="dxa"/>
            <w:tcBorders>
              <w:top w:val="single" w:sz="4" w:space="0" w:color="auto"/>
              <w:bottom w:val="nil"/>
            </w:tcBorders>
          </w:tcPr>
          <w:p w:rsidR="0015678D" w:rsidRPr="00B44DDC" w:rsidRDefault="0015678D" w:rsidP="001C6900">
            <w:pPr>
              <w:jc w:val="center"/>
              <w:rPr>
                <w:rFonts w:cstheme="minorHAnsi"/>
                <w:sz w:val="20"/>
                <w:szCs w:val="20"/>
              </w:rPr>
            </w:pPr>
            <w:r w:rsidRPr="00B44DDC">
              <w:rPr>
                <w:rFonts w:cstheme="minorHAnsi"/>
                <w:sz w:val="20"/>
                <w:szCs w:val="20"/>
              </w:rPr>
              <w:t>4.18</w:t>
            </w:r>
            <w:r w:rsidRPr="00B44DDC">
              <w:rPr>
                <w:rFonts w:cstheme="minorHAnsi"/>
                <w:sz w:val="20"/>
                <w:szCs w:val="20"/>
                <w:vertAlign w:val="superscript"/>
              </w:rPr>
              <w:t>†</w:t>
            </w:r>
          </w:p>
        </w:tc>
        <w:tc>
          <w:tcPr>
            <w:tcW w:w="709" w:type="dxa"/>
            <w:tcBorders>
              <w:top w:val="single" w:sz="4" w:space="0" w:color="auto"/>
              <w:bottom w:val="nil"/>
            </w:tcBorders>
          </w:tcPr>
          <w:p w:rsidR="0015678D" w:rsidRPr="00B44DDC" w:rsidRDefault="0015678D" w:rsidP="001C6900">
            <w:pPr>
              <w:jc w:val="center"/>
              <w:rPr>
                <w:rFonts w:cstheme="minorHAnsi"/>
                <w:sz w:val="20"/>
                <w:szCs w:val="20"/>
              </w:rPr>
            </w:pPr>
            <w:r w:rsidRPr="00B44DDC">
              <w:rPr>
                <w:rFonts w:cstheme="minorHAnsi"/>
                <w:sz w:val="20"/>
                <w:szCs w:val="20"/>
              </w:rPr>
              <w:t>-</w:t>
            </w:r>
          </w:p>
        </w:tc>
        <w:tc>
          <w:tcPr>
            <w:tcW w:w="708" w:type="dxa"/>
            <w:tcBorders>
              <w:top w:val="single" w:sz="4" w:space="0" w:color="auto"/>
              <w:bottom w:val="nil"/>
            </w:tcBorders>
          </w:tcPr>
          <w:p w:rsidR="0015678D" w:rsidRPr="00B44DDC" w:rsidRDefault="0015678D" w:rsidP="001C6900">
            <w:pPr>
              <w:jc w:val="center"/>
              <w:rPr>
                <w:rFonts w:cstheme="minorHAnsi"/>
                <w:sz w:val="20"/>
                <w:szCs w:val="20"/>
              </w:rPr>
            </w:pPr>
            <w:r w:rsidRPr="00B44DDC">
              <w:rPr>
                <w:rFonts w:cstheme="minorHAnsi"/>
                <w:sz w:val="20"/>
                <w:szCs w:val="20"/>
              </w:rPr>
              <w:t>4.0</w:t>
            </w:r>
            <w:r w:rsidRPr="00B44DDC">
              <w:rPr>
                <w:rFonts w:cstheme="minorHAnsi"/>
                <w:sz w:val="20"/>
                <w:szCs w:val="20"/>
                <w:vertAlign w:val="superscript"/>
              </w:rPr>
              <w:t>†</w:t>
            </w:r>
          </w:p>
        </w:tc>
      </w:tr>
      <w:tr w:rsidR="00B44DDC" w:rsidRPr="00B44DDC" w:rsidTr="001C6900">
        <w:trPr>
          <w:gridAfter w:val="1"/>
          <w:wAfter w:w="8234" w:type="dxa"/>
        </w:trPr>
        <w:tc>
          <w:tcPr>
            <w:tcW w:w="817" w:type="dxa"/>
            <w:tcBorders>
              <w:top w:val="nil"/>
              <w:left w:val="nil"/>
              <w:bottom w:val="nil"/>
              <w:right w:val="single" w:sz="4" w:space="0" w:color="auto"/>
            </w:tcBorders>
            <w:shd w:val="clear" w:color="auto" w:fill="auto"/>
          </w:tcPr>
          <w:p w:rsidR="0015678D" w:rsidRPr="00B44DDC" w:rsidRDefault="0015678D" w:rsidP="001C6900">
            <w:pPr>
              <w:jc w:val="both"/>
              <w:rPr>
                <w:rFonts w:cstheme="minorHAnsi"/>
                <w:sz w:val="20"/>
                <w:szCs w:val="20"/>
              </w:rPr>
            </w:pPr>
            <w:r w:rsidRPr="00B44DDC">
              <w:rPr>
                <w:rFonts w:cstheme="minorHAnsi"/>
                <w:sz w:val="20"/>
                <w:szCs w:val="20"/>
              </w:rPr>
              <w:t>Water</w:t>
            </w:r>
          </w:p>
        </w:tc>
        <w:tc>
          <w:tcPr>
            <w:tcW w:w="709" w:type="dxa"/>
            <w:tcBorders>
              <w:top w:val="nil"/>
              <w:left w:val="single" w:sz="4" w:space="0" w:color="auto"/>
              <w:bottom w:val="nil"/>
            </w:tcBorders>
          </w:tcPr>
          <w:p w:rsidR="0015678D" w:rsidRPr="00B44DDC" w:rsidRDefault="0015678D" w:rsidP="001C6900">
            <w:pPr>
              <w:jc w:val="center"/>
              <w:rPr>
                <w:rFonts w:cstheme="minorHAnsi"/>
                <w:sz w:val="20"/>
                <w:szCs w:val="20"/>
              </w:rPr>
            </w:pPr>
            <w:r w:rsidRPr="00B44DDC">
              <w:rPr>
                <w:rFonts w:cstheme="minorHAnsi"/>
                <w:sz w:val="20"/>
                <w:szCs w:val="20"/>
              </w:rPr>
              <w:t>4.5</w:t>
            </w:r>
          </w:p>
        </w:tc>
        <w:tc>
          <w:tcPr>
            <w:tcW w:w="1134" w:type="dxa"/>
            <w:tcBorders>
              <w:top w:val="nil"/>
              <w:bottom w:val="nil"/>
            </w:tcBorders>
          </w:tcPr>
          <w:p w:rsidR="0015678D" w:rsidRPr="00B44DDC" w:rsidRDefault="0015678D" w:rsidP="001C6900">
            <w:pPr>
              <w:jc w:val="center"/>
              <w:rPr>
                <w:rFonts w:cstheme="minorHAnsi"/>
                <w:sz w:val="20"/>
                <w:szCs w:val="20"/>
              </w:rPr>
            </w:pPr>
            <w:r w:rsidRPr="00B44DDC">
              <w:rPr>
                <w:rFonts w:cstheme="minorHAnsi"/>
                <w:sz w:val="20"/>
                <w:szCs w:val="20"/>
              </w:rPr>
              <w:t>0.00</w:t>
            </w:r>
            <w:r w:rsidRPr="00B44DDC">
              <w:rPr>
                <w:rFonts w:cstheme="minorHAnsi"/>
                <w:sz w:val="20"/>
                <w:szCs w:val="20"/>
                <w:vertAlign w:val="superscript"/>
              </w:rPr>
              <w:t>†</w:t>
            </w:r>
          </w:p>
        </w:tc>
        <w:tc>
          <w:tcPr>
            <w:tcW w:w="709" w:type="dxa"/>
            <w:tcBorders>
              <w:top w:val="nil"/>
              <w:bottom w:val="nil"/>
              <w:right w:val="single" w:sz="8" w:space="0" w:color="auto"/>
            </w:tcBorders>
          </w:tcPr>
          <w:p w:rsidR="0015678D" w:rsidRPr="00B44DDC" w:rsidRDefault="0015678D" w:rsidP="001C6900">
            <w:pPr>
              <w:jc w:val="center"/>
              <w:rPr>
                <w:rFonts w:cstheme="minorHAnsi"/>
                <w:sz w:val="20"/>
                <w:szCs w:val="20"/>
              </w:rPr>
            </w:pPr>
            <w:r w:rsidRPr="00B44DDC">
              <w:rPr>
                <w:rFonts w:cstheme="minorHAnsi"/>
                <w:sz w:val="20"/>
                <w:szCs w:val="20"/>
              </w:rPr>
              <w:t>100</w:t>
            </w:r>
            <w:r w:rsidRPr="00B44DDC">
              <w:rPr>
                <w:rFonts w:cstheme="minorHAnsi"/>
                <w:sz w:val="20"/>
                <w:szCs w:val="20"/>
                <w:vertAlign w:val="superscript"/>
              </w:rPr>
              <w:t>†</w:t>
            </w:r>
          </w:p>
        </w:tc>
        <w:tc>
          <w:tcPr>
            <w:tcW w:w="567" w:type="dxa"/>
            <w:tcBorders>
              <w:top w:val="nil"/>
              <w:left w:val="single" w:sz="8" w:space="0" w:color="auto"/>
              <w:bottom w:val="nil"/>
              <w:right w:val="single" w:sz="8" w:space="0" w:color="auto"/>
            </w:tcBorders>
          </w:tcPr>
          <w:p w:rsidR="0015678D" w:rsidRPr="00B44DDC" w:rsidRDefault="0015678D" w:rsidP="001C6900">
            <w:pPr>
              <w:jc w:val="center"/>
              <w:rPr>
                <w:rFonts w:cstheme="minorHAnsi"/>
                <w:sz w:val="20"/>
                <w:szCs w:val="20"/>
              </w:rPr>
            </w:pPr>
            <w:r w:rsidRPr="00B44DDC">
              <w:rPr>
                <w:rFonts w:cstheme="minorHAnsi"/>
                <w:sz w:val="20"/>
                <w:szCs w:val="20"/>
              </w:rPr>
              <w:t>4.0</w:t>
            </w:r>
            <w:r w:rsidRPr="00B44DDC">
              <w:rPr>
                <w:rFonts w:cstheme="minorHAnsi"/>
                <w:sz w:val="20"/>
                <w:szCs w:val="20"/>
                <w:vertAlign w:val="superscript"/>
              </w:rPr>
              <w:t>†</w:t>
            </w:r>
          </w:p>
        </w:tc>
        <w:tc>
          <w:tcPr>
            <w:tcW w:w="283" w:type="dxa"/>
            <w:tcBorders>
              <w:top w:val="nil"/>
              <w:left w:val="single" w:sz="8" w:space="0" w:color="auto"/>
              <w:bottom w:val="nil"/>
              <w:right w:val="single" w:sz="8" w:space="0" w:color="auto"/>
            </w:tcBorders>
          </w:tcPr>
          <w:p w:rsidR="0015678D" w:rsidRPr="00B44DDC" w:rsidRDefault="0015678D" w:rsidP="001C6900">
            <w:pPr>
              <w:jc w:val="center"/>
              <w:rPr>
                <w:rFonts w:cstheme="minorHAnsi"/>
                <w:sz w:val="20"/>
                <w:szCs w:val="20"/>
              </w:rPr>
            </w:pPr>
          </w:p>
        </w:tc>
        <w:tc>
          <w:tcPr>
            <w:tcW w:w="709" w:type="dxa"/>
            <w:tcBorders>
              <w:top w:val="nil"/>
              <w:left w:val="single" w:sz="8" w:space="0" w:color="auto"/>
              <w:bottom w:val="nil"/>
            </w:tcBorders>
          </w:tcPr>
          <w:p w:rsidR="0015678D" w:rsidRPr="00B44DDC" w:rsidRDefault="0015678D" w:rsidP="001C6900">
            <w:pPr>
              <w:jc w:val="center"/>
              <w:rPr>
                <w:rFonts w:cstheme="minorHAnsi"/>
                <w:sz w:val="20"/>
                <w:szCs w:val="20"/>
              </w:rPr>
            </w:pPr>
            <w:r w:rsidRPr="00B44DDC">
              <w:rPr>
                <w:rFonts w:cstheme="minorHAnsi"/>
                <w:sz w:val="20"/>
                <w:szCs w:val="20"/>
              </w:rPr>
              <w:t>4.2</w:t>
            </w:r>
          </w:p>
        </w:tc>
        <w:tc>
          <w:tcPr>
            <w:tcW w:w="1134" w:type="dxa"/>
            <w:tcBorders>
              <w:top w:val="nil"/>
              <w:bottom w:val="nil"/>
            </w:tcBorders>
          </w:tcPr>
          <w:p w:rsidR="0015678D" w:rsidRPr="00B44DDC" w:rsidRDefault="0015678D" w:rsidP="001C6900">
            <w:pPr>
              <w:jc w:val="center"/>
              <w:rPr>
                <w:rFonts w:cstheme="minorHAnsi"/>
                <w:sz w:val="20"/>
                <w:szCs w:val="20"/>
              </w:rPr>
            </w:pPr>
            <w:r w:rsidRPr="00B44DDC">
              <w:rPr>
                <w:rFonts w:cstheme="minorHAnsi"/>
                <w:sz w:val="20"/>
                <w:szCs w:val="20"/>
              </w:rPr>
              <w:t>0.00</w:t>
            </w:r>
            <w:r w:rsidRPr="00B44DDC">
              <w:rPr>
                <w:rFonts w:cstheme="minorHAnsi"/>
                <w:sz w:val="20"/>
                <w:szCs w:val="20"/>
                <w:vertAlign w:val="superscript"/>
              </w:rPr>
              <w:t>†</w:t>
            </w:r>
          </w:p>
        </w:tc>
        <w:tc>
          <w:tcPr>
            <w:tcW w:w="709" w:type="dxa"/>
            <w:tcBorders>
              <w:top w:val="nil"/>
              <w:bottom w:val="nil"/>
            </w:tcBorders>
          </w:tcPr>
          <w:p w:rsidR="0015678D" w:rsidRPr="00B44DDC" w:rsidRDefault="0015678D" w:rsidP="001C6900">
            <w:pPr>
              <w:jc w:val="center"/>
              <w:rPr>
                <w:rFonts w:cstheme="minorHAnsi"/>
                <w:sz w:val="20"/>
                <w:szCs w:val="20"/>
              </w:rPr>
            </w:pPr>
            <w:r w:rsidRPr="00B44DDC">
              <w:rPr>
                <w:rFonts w:cstheme="minorHAnsi"/>
                <w:sz w:val="20"/>
                <w:szCs w:val="20"/>
              </w:rPr>
              <w:t>100</w:t>
            </w:r>
            <w:r w:rsidRPr="00B44DDC">
              <w:rPr>
                <w:rFonts w:cstheme="minorHAnsi"/>
                <w:sz w:val="20"/>
                <w:szCs w:val="20"/>
                <w:vertAlign w:val="superscript"/>
              </w:rPr>
              <w:t>†</w:t>
            </w:r>
          </w:p>
        </w:tc>
        <w:tc>
          <w:tcPr>
            <w:tcW w:w="708" w:type="dxa"/>
            <w:tcBorders>
              <w:top w:val="nil"/>
              <w:bottom w:val="nil"/>
            </w:tcBorders>
          </w:tcPr>
          <w:p w:rsidR="0015678D" w:rsidRPr="00B44DDC" w:rsidRDefault="0015678D" w:rsidP="001C6900">
            <w:pPr>
              <w:jc w:val="center"/>
              <w:rPr>
                <w:rFonts w:cstheme="minorHAnsi"/>
                <w:sz w:val="20"/>
                <w:szCs w:val="20"/>
              </w:rPr>
            </w:pPr>
            <w:r w:rsidRPr="00B44DDC">
              <w:rPr>
                <w:rFonts w:cstheme="minorHAnsi"/>
                <w:sz w:val="20"/>
                <w:szCs w:val="20"/>
              </w:rPr>
              <w:t>4.0</w:t>
            </w:r>
            <w:r w:rsidRPr="00B44DDC">
              <w:rPr>
                <w:rFonts w:cstheme="minorHAnsi"/>
                <w:sz w:val="20"/>
                <w:szCs w:val="20"/>
                <w:vertAlign w:val="superscript"/>
              </w:rPr>
              <w:t>†</w:t>
            </w:r>
          </w:p>
        </w:tc>
      </w:tr>
      <w:tr w:rsidR="00B44DDC" w:rsidRPr="00B44DDC" w:rsidTr="001C6900">
        <w:trPr>
          <w:gridAfter w:val="1"/>
          <w:wAfter w:w="8234" w:type="dxa"/>
        </w:trPr>
        <w:tc>
          <w:tcPr>
            <w:tcW w:w="817" w:type="dxa"/>
            <w:tcBorders>
              <w:top w:val="nil"/>
              <w:left w:val="nil"/>
              <w:bottom w:val="nil"/>
              <w:right w:val="single" w:sz="4" w:space="0" w:color="auto"/>
            </w:tcBorders>
            <w:shd w:val="clear" w:color="auto" w:fill="auto"/>
          </w:tcPr>
          <w:p w:rsidR="0015678D" w:rsidRPr="00B44DDC" w:rsidRDefault="0015678D" w:rsidP="001C6900">
            <w:pPr>
              <w:jc w:val="both"/>
              <w:rPr>
                <w:rFonts w:cstheme="minorHAnsi"/>
                <w:sz w:val="20"/>
                <w:szCs w:val="20"/>
              </w:rPr>
            </w:pPr>
            <w:r w:rsidRPr="00B44DDC">
              <w:rPr>
                <w:rFonts w:cstheme="minorHAnsi"/>
                <w:sz w:val="20"/>
                <w:szCs w:val="20"/>
              </w:rPr>
              <w:t>Heads</w:t>
            </w:r>
          </w:p>
        </w:tc>
        <w:tc>
          <w:tcPr>
            <w:tcW w:w="709" w:type="dxa"/>
            <w:tcBorders>
              <w:top w:val="nil"/>
              <w:left w:val="single" w:sz="4" w:space="0" w:color="auto"/>
              <w:bottom w:val="nil"/>
            </w:tcBorders>
          </w:tcPr>
          <w:p w:rsidR="0015678D" w:rsidRPr="00B44DDC" w:rsidRDefault="0015678D" w:rsidP="001C6900">
            <w:pPr>
              <w:jc w:val="center"/>
              <w:rPr>
                <w:rFonts w:cstheme="minorHAnsi"/>
                <w:sz w:val="20"/>
                <w:szCs w:val="20"/>
              </w:rPr>
            </w:pPr>
            <w:r w:rsidRPr="00B44DDC">
              <w:rPr>
                <w:rFonts w:cstheme="minorHAnsi"/>
                <w:sz w:val="20"/>
                <w:szCs w:val="20"/>
              </w:rPr>
              <w:t>9.0</w:t>
            </w:r>
            <w:r w:rsidRPr="00B44DDC">
              <w:rPr>
                <w:rFonts w:cstheme="minorHAnsi"/>
                <w:sz w:val="20"/>
                <w:szCs w:val="20"/>
                <w:vertAlign w:val="superscript"/>
              </w:rPr>
              <w:t>*</w:t>
            </w:r>
          </w:p>
        </w:tc>
        <w:tc>
          <w:tcPr>
            <w:tcW w:w="1134" w:type="dxa"/>
            <w:tcBorders>
              <w:top w:val="nil"/>
              <w:bottom w:val="nil"/>
            </w:tcBorders>
          </w:tcPr>
          <w:p w:rsidR="0015678D" w:rsidRPr="00B44DDC" w:rsidRDefault="0015678D" w:rsidP="001C6900">
            <w:pPr>
              <w:jc w:val="center"/>
              <w:rPr>
                <w:rFonts w:cstheme="minorHAnsi"/>
                <w:sz w:val="20"/>
                <w:szCs w:val="20"/>
              </w:rPr>
            </w:pPr>
            <w:r w:rsidRPr="00B44DDC">
              <w:rPr>
                <w:rFonts w:cstheme="minorHAnsi"/>
                <w:sz w:val="20"/>
                <w:szCs w:val="20"/>
              </w:rPr>
              <w:t>1.03</w:t>
            </w:r>
            <w:r w:rsidRPr="00B44DDC">
              <w:rPr>
                <w:rFonts w:cstheme="minorHAnsi"/>
                <w:sz w:val="20"/>
                <w:szCs w:val="20"/>
                <w:vertAlign w:val="superscript"/>
              </w:rPr>
              <w:t>*</w:t>
            </w:r>
          </w:p>
        </w:tc>
        <w:tc>
          <w:tcPr>
            <w:tcW w:w="709" w:type="dxa"/>
            <w:tcBorders>
              <w:top w:val="nil"/>
              <w:bottom w:val="nil"/>
              <w:right w:val="single" w:sz="8" w:space="0" w:color="auto"/>
            </w:tcBorders>
          </w:tcPr>
          <w:p w:rsidR="0015678D" w:rsidRPr="00B44DDC" w:rsidRDefault="0015678D" w:rsidP="001C6900">
            <w:pPr>
              <w:jc w:val="center"/>
              <w:rPr>
                <w:rFonts w:cstheme="minorHAnsi"/>
                <w:sz w:val="20"/>
                <w:szCs w:val="20"/>
              </w:rPr>
            </w:pPr>
            <w:r w:rsidRPr="00B44DDC">
              <w:rPr>
                <w:rFonts w:cstheme="minorHAnsi"/>
                <w:sz w:val="20"/>
                <w:szCs w:val="20"/>
              </w:rPr>
              <w:t>40</w:t>
            </w:r>
          </w:p>
        </w:tc>
        <w:tc>
          <w:tcPr>
            <w:tcW w:w="567" w:type="dxa"/>
            <w:tcBorders>
              <w:top w:val="nil"/>
              <w:left w:val="single" w:sz="8" w:space="0" w:color="auto"/>
              <w:bottom w:val="nil"/>
              <w:right w:val="single" w:sz="8" w:space="0" w:color="auto"/>
            </w:tcBorders>
          </w:tcPr>
          <w:p w:rsidR="0015678D" w:rsidRPr="00B44DDC" w:rsidRDefault="0015678D" w:rsidP="001C6900">
            <w:pPr>
              <w:jc w:val="center"/>
              <w:rPr>
                <w:rFonts w:cstheme="minorHAnsi"/>
                <w:sz w:val="20"/>
                <w:szCs w:val="20"/>
              </w:rPr>
            </w:pPr>
            <w:r w:rsidRPr="00B44DDC">
              <w:rPr>
                <w:rFonts w:cstheme="minorHAnsi"/>
                <w:sz w:val="20"/>
                <w:szCs w:val="20"/>
              </w:rPr>
              <w:t>4.0</w:t>
            </w:r>
            <w:r w:rsidRPr="00B44DDC">
              <w:rPr>
                <w:rFonts w:cstheme="minorHAnsi"/>
                <w:sz w:val="20"/>
                <w:szCs w:val="20"/>
                <w:vertAlign w:val="superscript"/>
              </w:rPr>
              <w:t>†</w:t>
            </w:r>
          </w:p>
        </w:tc>
        <w:tc>
          <w:tcPr>
            <w:tcW w:w="283" w:type="dxa"/>
            <w:tcBorders>
              <w:top w:val="nil"/>
              <w:left w:val="single" w:sz="8" w:space="0" w:color="auto"/>
              <w:bottom w:val="nil"/>
              <w:right w:val="single" w:sz="8" w:space="0" w:color="auto"/>
            </w:tcBorders>
          </w:tcPr>
          <w:p w:rsidR="0015678D" w:rsidRPr="00B44DDC" w:rsidRDefault="0015678D" w:rsidP="001C6900">
            <w:pPr>
              <w:jc w:val="center"/>
              <w:rPr>
                <w:rFonts w:cstheme="minorHAnsi"/>
                <w:sz w:val="20"/>
                <w:szCs w:val="20"/>
              </w:rPr>
            </w:pPr>
          </w:p>
        </w:tc>
        <w:tc>
          <w:tcPr>
            <w:tcW w:w="709" w:type="dxa"/>
            <w:tcBorders>
              <w:top w:val="nil"/>
              <w:left w:val="single" w:sz="8" w:space="0" w:color="auto"/>
              <w:bottom w:val="nil"/>
            </w:tcBorders>
          </w:tcPr>
          <w:p w:rsidR="0015678D" w:rsidRPr="00B44DDC" w:rsidRDefault="0015678D" w:rsidP="001C6900">
            <w:pPr>
              <w:jc w:val="center"/>
              <w:rPr>
                <w:rFonts w:cstheme="minorHAnsi"/>
                <w:sz w:val="20"/>
                <w:szCs w:val="20"/>
              </w:rPr>
            </w:pPr>
            <w:r w:rsidRPr="00B44DDC">
              <w:rPr>
                <w:rFonts w:cstheme="minorHAnsi"/>
                <w:sz w:val="20"/>
                <w:szCs w:val="20"/>
              </w:rPr>
              <w:t>13.5</w:t>
            </w:r>
          </w:p>
        </w:tc>
        <w:tc>
          <w:tcPr>
            <w:tcW w:w="1134" w:type="dxa"/>
            <w:tcBorders>
              <w:top w:val="nil"/>
              <w:bottom w:val="nil"/>
            </w:tcBorders>
          </w:tcPr>
          <w:p w:rsidR="0015678D" w:rsidRPr="00B44DDC" w:rsidRDefault="0015678D" w:rsidP="001C6900">
            <w:pPr>
              <w:jc w:val="center"/>
              <w:rPr>
                <w:rFonts w:cstheme="minorHAnsi"/>
                <w:sz w:val="20"/>
                <w:szCs w:val="20"/>
              </w:rPr>
            </w:pPr>
            <w:r w:rsidRPr="00B44DDC">
              <w:rPr>
                <w:rFonts w:cstheme="minorHAnsi"/>
                <w:sz w:val="20"/>
                <w:szCs w:val="20"/>
              </w:rPr>
              <w:t>1.34</w:t>
            </w:r>
          </w:p>
        </w:tc>
        <w:tc>
          <w:tcPr>
            <w:tcW w:w="709" w:type="dxa"/>
            <w:tcBorders>
              <w:top w:val="nil"/>
              <w:bottom w:val="nil"/>
            </w:tcBorders>
          </w:tcPr>
          <w:p w:rsidR="0015678D" w:rsidRPr="00B44DDC" w:rsidRDefault="0015678D" w:rsidP="001C6900">
            <w:pPr>
              <w:jc w:val="center"/>
              <w:rPr>
                <w:rFonts w:cstheme="minorHAnsi"/>
                <w:sz w:val="20"/>
                <w:szCs w:val="20"/>
              </w:rPr>
            </w:pPr>
            <w:r w:rsidRPr="00B44DDC">
              <w:rPr>
                <w:rFonts w:cstheme="minorHAnsi"/>
                <w:sz w:val="20"/>
                <w:szCs w:val="20"/>
              </w:rPr>
              <w:t>46</w:t>
            </w:r>
          </w:p>
        </w:tc>
        <w:tc>
          <w:tcPr>
            <w:tcW w:w="708" w:type="dxa"/>
            <w:tcBorders>
              <w:top w:val="nil"/>
              <w:bottom w:val="nil"/>
            </w:tcBorders>
          </w:tcPr>
          <w:p w:rsidR="0015678D" w:rsidRPr="00B44DDC" w:rsidRDefault="0015678D" w:rsidP="001C6900">
            <w:pPr>
              <w:jc w:val="center"/>
              <w:rPr>
                <w:rFonts w:cstheme="minorHAnsi"/>
                <w:sz w:val="20"/>
                <w:szCs w:val="20"/>
              </w:rPr>
            </w:pPr>
            <w:r w:rsidRPr="00B44DDC">
              <w:rPr>
                <w:rFonts w:cstheme="minorHAnsi"/>
                <w:sz w:val="20"/>
                <w:szCs w:val="20"/>
              </w:rPr>
              <w:t>4.0</w:t>
            </w:r>
            <w:r w:rsidRPr="00B44DDC">
              <w:rPr>
                <w:rFonts w:cstheme="minorHAnsi"/>
                <w:sz w:val="20"/>
                <w:szCs w:val="20"/>
                <w:vertAlign w:val="superscript"/>
              </w:rPr>
              <w:t>†</w:t>
            </w:r>
          </w:p>
        </w:tc>
      </w:tr>
      <w:tr w:rsidR="00B44DDC" w:rsidRPr="00B44DDC" w:rsidTr="001C6900">
        <w:trPr>
          <w:gridAfter w:val="1"/>
          <w:wAfter w:w="8234" w:type="dxa"/>
          <w:trHeight w:val="77"/>
        </w:trPr>
        <w:tc>
          <w:tcPr>
            <w:tcW w:w="817" w:type="dxa"/>
            <w:tcBorders>
              <w:top w:val="nil"/>
              <w:left w:val="nil"/>
              <w:bottom w:val="nil"/>
              <w:right w:val="single" w:sz="4" w:space="0" w:color="auto"/>
            </w:tcBorders>
            <w:shd w:val="clear" w:color="auto" w:fill="auto"/>
          </w:tcPr>
          <w:p w:rsidR="0015678D" w:rsidRPr="00B44DDC" w:rsidRDefault="0015678D" w:rsidP="001C6900">
            <w:pPr>
              <w:jc w:val="both"/>
              <w:rPr>
                <w:rFonts w:cstheme="minorHAnsi"/>
                <w:sz w:val="20"/>
                <w:szCs w:val="20"/>
              </w:rPr>
            </w:pPr>
            <w:r w:rsidRPr="00B44DDC">
              <w:rPr>
                <w:rFonts w:cstheme="minorHAnsi"/>
                <w:sz w:val="20"/>
                <w:szCs w:val="20"/>
              </w:rPr>
              <w:t>Tails</w:t>
            </w:r>
          </w:p>
        </w:tc>
        <w:tc>
          <w:tcPr>
            <w:tcW w:w="709" w:type="dxa"/>
            <w:tcBorders>
              <w:top w:val="nil"/>
              <w:left w:val="single" w:sz="4" w:space="0" w:color="auto"/>
              <w:bottom w:val="nil"/>
            </w:tcBorders>
          </w:tcPr>
          <w:p w:rsidR="0015678D" w:rsidRPr="00B44DDC" w:rsidRDefault="0015678D" w:rsidP="001C6900">
            <w:pPr>
              <w:jc w:val="center"/>
              <w:rPr>
                <w:rFonts w:cstheme="minorHAnsi"/>
                <w:sz w:val="20"/>
                <w:szCs w:val="20"/>
              </w:rPr>
            </w:pPr>
            <w:r w:rsidRPr="00B44DDC">
              <w:rPr>
                <w:rFonts w:cstheme="minorHAnsi"/>
                <w:sz w:val="20"/>
                <w:szCs w:val="20"/>
              </w:rPr>
              <w:t>28.8</w:t>
            </w:r>
            <w:r w:rsidRPr="00B44DDC">
              <w:rPr>
                <w:rFonts w:cstheme="minorHAnsi"/>
                <w:sz w:val="20"/>
                <w:szCs w:val="20"/>
                <w:vertAlign w:val="superscript"/>
              </w:rPr>
              <w:t>*</w:t>
            </w:r>
          </w:p>
        </w:tc>
        <w:tc>
          <w:tcPr>
            <w:tcW w:w="1134" w:type="dxa"/>
            <w:tcBorders>
              <w:top w:val="nil"/>
              <w:bottom w:val="nil"/>
            </w:tcBorders>
          </w:tcPr>
          <w:p w:rsidR="0015678D" w:rsidRPr="00B44DDC" w:rsidRDefault="0015678D" w:rsidP="001C6900">
            <w:pPr>
              <w:jc w:val="center"/>
              <w:rPr>
                <w:rFonts w:cstheme="minorHAnsi"/>
                <w:sz w:val="20"/>
                <w:szCs w:val="20"/>
              </w:rPr>
            </w:pPr>
            <w:r w:rsidRPr="00B44DDC">
              <w:rPr>
                <w:rFonts w:cstheme="minorHAnsi"/>
                <w:sz w:val="20"/>
                <w:szCs w:val="20"/>
              </w:rPr>
              <w:t>-0.29</w:t>
            </w:r>
            <w:r w:rsidRPr="00B44DDC">
              <w:rPr>
                <w:rFonts w:cstheme="minorHAnsi"/>
                <w:sz w:val="20"/>
                <w:szCs w:val="20"/>
                <w:vertAlign w:val="superscript"/>
              </w:rPr>
              <w:t>*</w:t>
            </w:r>
          </w:p>
        </w:tc>
        <w:tc>
          <w:tcPr>
            <w:tcW w:w="709" w:type="dxa"/>
            <w:tcBorders>
              <w:top w:val="nil"/>
              <w:bottom w:val="nil"/>
              <w:right w:val="single" w:sz="8" w:space="0" w:color="auto"/>
            </w:tcBorders>
          </w:tcPr>
          <w:p w:rsidR="0015678D" w:rsidRPr="00B44DDC" w:rsidRDefault="0015678D" w:rsidP="001C6900">
            <w:pPr>
              <w:jc w:val="center"/>
              <w:rPr>
                <w:rFonts w:cstheme="minorHAnsi"/>
                <w:sz w:val="20"/>
                <w:szCs w:val="20"/>
              </w:rPr>
            </w:pPr>
            <w:r w:rsidRPr="00B44DDC">
              <w:rPr>
                <w:rFonts w:cstheme="minorHAnsi"/>
                <w:sz w:val="20"/>
                <w:szCs w:val="20"/>
              </w:rPr>
              <w:t>0</w:t>
            </w:r>
          </w:p>
        </w:tc>
        <w:tc>
          <w:tcPr>
            <w:tcW w:w="567" w:type="dxa"/>
            <w:tcBorders>
              <w:top w:val="nil"/>
              <w:left w:val="single" w:sz="8" w:space="0" w:color="auto"/>
              <w:bottom w:val="nil"/>
              <w:right w:val="single" w:sz="8" w:space="0" w:color="auto"/>
            </w:tcBorders>
          </w:tcPr>
          <w:p w:rsidR="0015678D" w:rsidRPr="00B44DDC" w:rsidRDefault="0015678D" w:rsidP="001C6900">
            <w:pPr>
              <w:jc w:val="center"/>
              <w:rPr>
                <w:rFonts w:cstheme="minorHAnsi"/>
                <w:sz w:val="20"/>
                <w:szCs w:val="20"/>
              </w:rPr>
            </w:pPr>
            <w:r w:rsidRPr="00B44DDC">
              <w:rPr>
                <w:rFonts w:cstheme="minorHAnsi"/>
                <w:sz w:val="20"/>
                <w:szCs w:val="20"/>
              </w:rPr>
              <w:t>4.0</w:t>
            </w:r>
            <w:r w:rsidRPr="00B44DDC">
              <w:rPr>
                <w:rFonts w:cstheme="minorHAnsi"/>
                <w:sz w:val="20"/>
                <w:szCs w:val="20"/>
                <w:vertAlign w:val="superscript"/>
              </w:rPr>
              <w:t>†</w:t>
            </w:r>
          </w:p>
        </w:tc>
        <w:tc>
          <w:tcPr>
            <w:tcW w:w="283" w:type="dxa"/>
            <w:tcBorders>
              <w:top w:val="nil"/>
              <w:left w:val="single" w:sz="8" w:space="0" w:color="auto"/>
              <w:bottom w:val="nil"/>
              <w:right w:val="single" w:sz="8" w:space="0" w:color="auto"/>
            </w:tcBorders>
          </w:tcPr>
          <w:p w:rsidR="0015678D" w:rsidRPr="00B44DDC" w:rsidRDefault="0015678D" w:rsidP="001C6900">
            <w:pPr>
              <w:jc w:val="center"/>
              <w:rPr>
                <w:rFonts w:cstheme="minorHAnsi"/>
                <w:sz w:val="20"/>
                <w:szCs w:val="20"/>
              </w:rPr>
            </w:pPr>
          </w:p>
        </w:tc>
        <w:tc>
          <w:tcPr>
            <w:tcW w:w="709" w:type="dxa"/>
            <w:tcBorders>
              <w:top w:val="nil"/>
              <w:left w:val="single" w:sz="8" w:space="0" w:color="auto"/>
              <w:bottom w:val="nil"/>
            </w:tcBorders>
          </w:tcPr>
          <w:p w:rsidR="0015678D" w:rsidRPr="00B44DDC" w:rsidRDefault="0015678D" w:rsidP="001C6900">
            <w:pPr>
              <w:jc w:val="center"/>
              <w:rPr>
                <w:rFonts w:cstheme="minorHAnsi"/>
                <w:sz w:val="20"/>
                <w:szCs w:val="20"/>
              </w:rPr>
            </w:pPr>
            <w:r w:rsidRPr="00B44DDC">
              <w:rPr>
                <w:rFonts w:cstheme="minorHAnsi"/>
                <w:sz w:val="20"/>
                <w:szCs w:val="20"/>
              </w:rPr>
              <w:t>19.4</w:t>
            </w:r>
          </w:p>
        </w:tc>
        <w:tc>
          <w:tcPr>
            <w:tcW w:w="1134" w:type="dxa"/>
            <w:tcBorders>
              <w:top w:val="nil"/>
              <w:bottom w:val="nil"/>
            </w:tcBorders>
          </w:tcPr>
          <w:p w:rsidR="0015678D" w:rsidRPr="00B44DDC" w:rsidRDefault="0015678D" w:rsidP="001C6900">
            <w:pPr>
              <w:jc w:val="center"/>
              <w:rPr>
                <w:rFonts w:cstheme="minorHAnsi"/>
                <w:sz w:val="20"/>
                <w:szCs w:val="20"/>
              </w:rPr>
            </w:pPr>
            <w:r w:rsidRPr="00B44DDC">
              <w:rPr>
                <w:rFonts w:cstheme="minorHAnsi"/>
                <w:sz w:val="20"/>
                <w:szCs w:val="20"/>
              </w:rPr>
              <w:t>-0.29</w:t>
            </w:r>
          </w:p>
        </w:tc>
        <w:tc>
          <w:tcPr>
            <w:tcW w:w="709" w:type="dxa"/>
            <w:tcBorders>
              <w:top w:val="nil"/>
              <w:bottom w:val="nil"/>
            </w:tcBorders>
          </w:tcPr>
          <w:p w:rsidR="0015678D" w:rsidRPr="00B44DDC" w:rsidRDefault="0015678D" w:rsidP="001C6900">
            <w:pPr>
              <w:jc w:val="center"/>
              <w:rPr>
                <w:rFonts w:cstheme="minorHAnsi"/>
                <w:sz w:val="20"/>
                <w:szCs w:val="20"/>
              </w:rPr>
            </w:pPr>
            <w:r w:rsidRPr="00B44DDC">
              <w:rPr>
                <w:rFonts w:cstheme="minorHAnsi"/>
                <w:sz w:val="20"/>
                <w:szCs w:val="20"/>
              </w:rPr>
              <w:t>0</w:t>
            </w:r>
          </w:p>
        </w:tc>
        <w:tc>
          <w:tcPr>
            <w:tcW w:w="708" w:type="dxa"/>
            <w:tcBorders>
              <w:top w:val="nil"/>
              <w:bottom w:val="nil"/>
            </w:tcBorders>
          </w:tcPr>
          <w:p w:rsidR="0015678D" w:rsidRPr="00B44DDC" w:rsidRDefault="0015678D" w:rsidP="001C6900">
            <w:pPr>
              <w:jc w:val="center"/>
              <w:rPr>
                <w:rFonts w:cstheme="minorHAnsi"/>
                <w:sz w:val="20"/>
                <w:szCs w:val="20"/>
              </w:rPr>
            </w:pPr>
            <w:r w:rsidRPr="00B44DDC">
              <w:rPr>
                <w:rFonts w:cstheme="minorHAnsi"/>
                <w:sz w:val="20"/>
                <w:szCs w:val="20"/>
              </w:rPr>
              <w:t>4.0</w:t>
            </w:r>
            <w:r w:rsidRPr="00B44DDC">
              <w:rPr>
                <w:rFonts w:cstheme="minorHAnsi"/>
                <w:sz w:val="20"/>
                <w:szCs w:val="20"/>
                <w:vertAlign w:val="superscript"/>
              </w:rPr>
              <w:t>†</w:t>
            </w:r>
          </w:p>
        </w:tc>
      </w:tr>
      <w:tr w:rsidR="00B44DDC" w:rsidRPr="00B44DDC" w:rsidTr="001C6900">
        <w:trPr>
          <w:gridAfter w:val="1"/>
          <w:wAfter w:w="8234" w:type="dxa"/>
        </w:trPr>
        <w:tc>
          <w:tcPr>
            <w:tcW w:w="817" w:type="dxa"/>
            <w:tcBorders>
              <w:top w:val="nil"/>
              <w:left w:val="nil"/>
              <w:bottom w:val="nil"/>
              <w:right w:val="single" w:sz="4" w:space="0" w:color="auto"/>
            </w:tcBorders>
            <w:shd w:val="clear" w:color="auto" w:fill="auto"/>
          </w:tcPr>
          <w:p w:rsidR="0015678D" w:rsidRPr="00B44DDC" w:rsidRDefault="0015678D" w:rsidP="001C6900">
            <w:pPr>
              <w:jc w:val="both"/>
              <w:rPr>
                <w:rFonts w:cstheme="minorHAnsi"/>
                <w:sz w:val="20"/>
                <w:szCs w:val="20"/>
              </w:rPr>
            </w:pPr>
            <w:r w:rsidRPr="00B44DDC">
              <w:rPr>
                <w:rFonts w:cstheme="minorHAnsi"/>
                <w:sz w:val="20"/>
                <w:szCs w:val="20"/>
              </w:rPr>
              <w:t>Heads</w:t>
            </w:r>
          </w:p>
        </w:tc>
        <w:tc>
          <w:tcPr>
            <w:tcW w:w="709" w:type="dxa"/>
            <w:tcBorders>
              <w:top w:val="nil"/>
              <w:left w:val="single" w:sz="4" w:space="0" w:color="auto"/>
              <w:bottom w:val="nil"/>
            </w:tcBorders>
          </w:tcPr>
          <w:p w:rsidR="0015678D" w:rsidRPr="00B44DDC" w:rsidRDefault="0015678D" w:rsidP="001C6900">
            <w:pPr>
              <w:jc w:val="center"/>
              <w:rPr>
                <w:rFonts w:cstheme="minorHAnsi"/>
                <w:sz w:val="20"/>
                <w:szCs w:val="20"/>
              </w:rPr>
            </w:pPr>
            <w:r w:rsidRPr="00B44DDC">
              <w:rPr>
                <w:rFonts w:cstheme="minorHAnsi"/>
                <w:sz w:val="20"/>
                <w:szCs w:val="20"/>
              </w:rPr>
              <w:t>9.0</w:t>
            </w:r>
            <w:r w:rsidRPr="00B44DDC">
              <w:rPr>
                <w:rFonts w:cstheme="minorHAnsi"/>
                <w:sz w:val="20"/>
                <w:szCs w:val="20"/>
                <w:vertAlign w:val="superscript"/>
              </w:rPr>
              <w:t>*</w:t>
            </w:r>
          </w:p>
        </w:tc>
        <w:tc>
          <w:tcPr>
            <w:tcW w:w="1134" w:type="dxa"/>
            <w:tcBorders>
              <w:top w:val="nil"/>
              <w:bottom w:val="nil"/>
            </w:tcBorders>
          </w:tcPr>
          <w:p w:rsidR="0015678D" w:rsidRPr="00B44DDC" w:rsidRDefault="0015678D" w:rsidP="001C6900">
            <w:pPr>
              <w:jc w:val="center"/>
              <w:rPr>
                <w:rFonts w:cstheme="minorHAnsi"/>
                <w:sz w:val="20"/>
                <w:szCs w:val="20"/>
              </w:rPr>
            </w:pPr>
            <w:r w:rsidRPr="00B44DDC">
              <w:rPr>
                <w:rFonts w:cstheme="minorHAnsi"/>
                <w:sz w:val="20"/>
                <w:szCs w:val="20"/>
              </w:rPr>
              <w:t>1.03</w:t>
            </w:r>
            <w:r w:rsidRPr="00B44DDC">
              <w:rPr>
                <w:rFonts w:cstheme="minorHAnsi"/>
                <w:sz w:val="20"/>
                <w:szCs w:val="20"/>
                <w:vertAlign w:val="superscript"/>
              </w:rPr>
              <w:t>*</w:t>
            </w:r>
          </w:p>
        </w:tc>
        <w:tc>
          <w:tcPr>
            <w:tcW w:w="709" w:type="dxa"/>
            <w:tcBorders>
              <w:top w:val="nil"/>
              <w:bottom w:val="nil"/>
              <w:right w:val="single" w:sz="8" w:space="0" w:color="auto"/>
            </w:tcBorders>
          </w:tcPr>
          <w:p w:rsidR="0015678D" w:rsidRPr="00B44DDC" w:rsidRDefault="0015678D" w:rsidP="001C6900">
            <w:pPr>
              <w:jc w:val="center"/>
              <w:rPr>
                <w:rFonts w:cstheme="minorHAnsi"/>
                <w:sz w:val="20"/>
                <w:szCs w:val="20"/>
              </w:rPr>
            </w:pPr>
            <w:r w:rsidRPr="00B44DDC">
              <w:rPr>
                <w:rFonts w:cstheme="minorHAnsi"/>
                <w:sz w:val="20"/>
                <w:szCs w:val="20"/>
              </w:rPr>
              <w:t>40</w:t>
            </w:r>
          </w:p>
        </w:tc>
        <w:tc>
          <w:tcPr>
            <w:tcW w:w="567" w:type="dxa"/>
            <w:tcBorders>
              <w:top w:val="nil"/>
              <w:left w:val="single" w:sz="8" w:space="0" w:color="auto"/>
              <w:bottom w:val="nil"/>
              <w:right w:val="single" w:sz="8" w:space="0" w:color="auto"/>
            </w:tcBorders>
          </w:tcPr>
          <w:p w:rsidR="0015678D" w:rsidRPr="00B44DDC" w:rsidRDefault="0015678D" w:rsidP="001C6900">
            <w:pPr>
              <w:jc w:val="center"/>
              <w:rPr>
                <w:rFonts w:cstheme="minorHAnsi"/>
                <w:sz w:val="20"/>
                <w:szCs w:val="20"/>
              </w:rPr>
            </w:pPr>
            <w:r w:rsidRPr="00B44DDC">
              <w:rPr>
                <w:rFonts w:cstheme="minorHAnsi"/>
                <w:sz w:val="20"/>
                <w:szCs w:val="20"/>
              </w:rPr>
              <w:t>4.0</w:t>
            </w:r>
            <w:r w:rsidRPr="00B44DDC">
              <w:rPr>
                <w:rFonts w:cstheme="minorHAnsi"/>
                <w:sz w:val="20"/>
                <w:szCs w:val="20"/>
                <w:vertAlign w:val="superscript"/>
              </w:rPr>
              <w:t>†</w:t>
            </w:r>
          </w:p>
        </w:tc>
        <w:tc>
          <w:tcPr>
            <w:tcW w:w="283" w:type="dxa"/>
            <w:tcBorders>
              <w:top w:val="nil"/>
              <w:left w:val="single" w:sz="8" w:space="0" w:color="auto"/>
              <w:bottom w:val="nil"/>
              <w:right w:val="single" w:sz="8" w:space="0" w:color="auto"/>
            </w:tcBorders>
          </w:tcPr>
          <w:p w:rsidR="0015678D" w:rsidRPr="00B44DDC" w:rsidRDefault="0015678D" w:rsidP="001C6900">
            <w:pPr>
              <w:jc w:val="center"/>
              <w:rPr>
                <w:rFonts w:cstheme="minorHAnsi"/>
                <w:sz w:val="20"/>
                <w:szCs w:val="20"/>
              </w:rPr>
            </w:pPr>
          </w:p>
        </w:tc>
        <w:tc>
          <w:tcPr>
            <w:tcW w:w="709" w:type="dxa"/>
            <w:tcBorders>
              <w:top w:val="nil"/>
              <w:left w:val="single" w:sz="8" w:space="0" w:color="auto"/>
              <w:bottom w:val="nil"/>
            </w:tcBorders>
          </w:tcPr>
          <w:p w:rsidR="0015678D" w:rsidRPr="00B44DDC" w:rsidRDefault="0015678D" w:rsidP="001C6900">
            <w:pPr>
              <w:jc w:val="center"/>
              <w:rPr>
                <w:rFonts w:cstheme="minorHAnsi"/>
                <w:sz w:val="20"/>
                <w:szCs w:val="20"/>
              </w:rPr>
            </w:pPr>
            <w:r w:rsidRPr="00B44DDC">
              <w:rPr>
                <w:rFonts w:cstheme="minorHAnsi"/>
                <w:sz w:val="20"/>
                <w:szCs w:val="20"/>
              </w:rPr>
              <w:t>13.5</w:t>
            </w:r>
          </w:p>
        </w:tc>
        <w:tc>
          <w:tcPr>
            <w:tcW w:w="1134" w:type="dxa"/>
            <w:tcBorders>
              <w:top w:val="nil"/>
              <w:bottom w:val="nil"/>
            </w:tcBorders>
          </w:tcPr>
          <w:p w:rsidR="0015678D" w:rsidRPr="00B44DDC" w:rsidRDefault="0015678D" w:rsidP="001C6900">
            <w:pPr>
              <w:jc w:val="center"/>
              <w:rPr>
                <w:rFonts w:cstheme="minorHAnsi"/>
                <w:sz w:val="20"/>
                <w:szCs w:val="20"/>
              </w:rPr>
            </w:pPr>
            <w:r w:rsidRPr="00B44DDC">
              <w:rPr>
                <w:rFonts w:cstheme="minorHAnsi"/>
                <w:sz w:val="20"/>
                <w:szCs w:val="20"/>
              </w:rPr>
              <w:t>1.34</w:t>
            </w:r>
          </w:p>
        </w:tc>
        <w:tc>
          <w:tcPr>
            <w:tcW w:w="709" w:type="dxa"/>
            <w:tcBorders>
              <w:top w:val="nil"/>
              <w:bottom w:val="nil"/>
            </w:tcBorders>
          </w:tcPr>
          <w:p w:rsidR="0015678D" w:rsidRPr="00B44DDC" w:rsidRDefault="0015678D" w:rsidP="001C6900">
            <w:pPr>
              <w:jc w:val="center"/>
              <w:rPr>
                <w:rFonts w:cstheme="minorHAnsi"/>
                <w:sz w:val="20"/>
                <w:szCs w:val="20"/>
              </w:rPr>
            </w:pPr>
            <w:r w:rsidRPr="00B44DDC">
              <w:rPr>
                <w:rFonts w:cstheme="minorHAnsi"/>
                <w:sz w:val="20"/>
                <w:szCs w:val="20"/>
              </w:rPr>
              <w:t>46</w:t>
            </w:r>
          </w:p>
        </w:tc>
        <w:tc>
          <w:tcPr>
            <w:tcW w:w="708" w:type="dxa"/>
            <w:tcBorders>
              <w:top w:val="nil"/>
              <w:bottom w:val="nil"/>
            </w:tcBorders>
          </w:tcPr>
          <w:p w:rsidR="0015678D" w:rsidRPr="00B44DDC" w:rsidRDefault="0015678D" w:rsidP="001C6900">
            <w:pPr>
              <w:jc w:val="center"/>
              <w:rPr>
                <w:rFonts w:cstheme="minorHAnsi"/>
                <w:sz w:val="20"/>
                <w:szCs w:val="20"/>
              </w:rPr>
            </w:pPr>
            <w:r w:rsidRPr="00B44DDC">
              <w:rPr>
                <w:rFonts w:cstheme="minorHAnsi"/>
                <w:sz w:val="20"/>
                <w:szCs w:val="20"/>
              </w:rPr>
              <w:t>4.0</w:t>
            </w:r>
            <w:r w:rsidRPr="00B44DDC">
              <w:rPr>
                <w:rFonts w:cstheme="minorHAnsi"/>
                <w:sz w:val="20"/>
                <w:szCs w:val="20"/>
                <w:vertAlign w:val="superscript"/>
              </w:rPr>
              <w:t>†</w:t>
            </w:r>
          </w:p>
        </w:tc>
      </w:tr>
    </w:tbl>
    <w:p w:rsidR="00FD3CB9" w:rsidRDefault="00FD3CB9" w:rsidP="0015678D">
      <w:pPr>
        <w:pStyle w:val="NoSpacing"/>
        <w:rPr>
          <w:lang w:val="en-US"/>
        </w:rPr>
      </w:pPr>
    </w:p>
    <w:p w:rsidR="0015678D" w:rsidRDefault="0015678D" w:rsidP="0015678D">
      <w:pPr>
        <w:pStyle w:val="NoSpacing"/>
        <w:rPr>
          <w:lang w:val="en-US"/>
        </w:rPr>
      </w:pPr>
      <w:r w:rsidRPr="00310DE4">
        <w:rPr>
          <w:lang w:val="en-US"/>
        </w:rPr>
        <w:t xml:space="preserve">* Parameter </w:t>
      </w:r>
      <w:r>
        <w:rPr>
          <w:lang w:val="en-US"/>
        </w:rPr>
        <w:t xml:space="preserve">fixed to values </w:t>
      </w:r>
      <w:r w:rsidR="00160DE7">
        <w:rPr>
          <w:lang w:val="en-US"/>
        </w:rPr>
        <w:t>obtained from x-ray diffraction</w:t>
      </w:r>
      <w:r w:rsidR="00E2781E">
        <w:rPr>
          <w:lang w:val="en-US"/>
        </w:rPr>
        <w:fldChar w:fldCharType="begin" w:fldLock="1"/>
      </w:r>
      <w:r w:rsidR="005B3C34">
        <w:rPr>
          <w:lang w:val="en-US"/>
        </w:rPr>
        <w:instrText>ADDIN CSL_CITATION { "citationItems" : [ { "id" : "ITEM-1", "itemData" : { "DOI" : "10.1016/j.bbamem.2011.07.022", "ISBN" : "0006-3002 (Print)\\n0006-3002 (Linking)", "ISSN" : "00052736", "PMID" : "21819968", "abstract" : "The structural parameters of fluid phase bilayers composed of phosphatidylcholines with fully saturated, mixed, and branched fatty acid chains, at several temperatures, have been determined by simultaneously analyzing small-angle neutron and X-ray scattering data. Bilayer parameters, such as area per lipid and overall bilayer thickness have been obtained in conjunction with intrabilayer structural parameters (e.g. hydrocarbon region thickness). The results have allowed us to assess the effect of temperature and hydrocarbon chain composition on bilayer structure. For example, we found that for all lipids there is, not surprisingly, an increase in fatty acid chain trans-gauche isomerization with increasing temperature. Moreover, this increase in trans-gauche isomerization scales with fatty acid chain length in mixed chain lipids. However, in the case of lipids with saturated fatty acid chains, trans-gauche isomerization is increasingly tempered by attractive chain-chain van der Waals interactions with increasing chain length. Finally, our results confirm a strong dependence of lipid chain dynamics as a function of double bond position along fatty acid chains. Copyright ?? 2011 Published by Elsevier B.V. All rights reserved.", "author" : [ { "dropping-particle" : "", "family" : "Kucerka", "given" : "Norbert", "non-dropping-particle" : "", "parse-names" : false, "suffix" : "" }, { "dropping-particle" : "", "family" : "Nieh", "given" : "Mu Ping", "non-dropping-particle" : "", "parse-names" : false, "suffix" : "" }, { "dropping-particle" : "", "family" : "Katsaras", "given" : "John", "non-dropping-particle" : "", "parse-names" : false, "suffix" : "" } ], "container-title" : "Biochimica et Biophysica Acta - Biomembranes", "id" : "ITEM-1", "issue" : "11", "issued" : { "date-parts" : [ [ "2011" ] ] }, "page" : "2761-2771", "title" : "Fluid phase lipid areas and bilayer thicknesses of commonly used phosphatidylcholines as a function of temperature", "type" : "article-journal", "volume" : "1808" }, "uris" : [ "http://www.mendeley.com/documents/?uuid=ec9c3f36-d7d2-45eb-a718-c6a1a2242841" ] }, { "id" : "ITEM-2", "itemData" : { "author" : [ { "dropping-particle" : "", "family" : "Nagle", "given" : "John F.", "non-dropping-particle" : "", "parse-names" : false, "suffix" : "" }, { "dropping-particle" : "", "family" : "Tristam-Nagle", "given" : "Stephanie", "non-dropping-particle" : "", "parse-names" : false, "suffix" : "" } ], "container-title" : "Biochimica et biophysica acta", "id" : "ITEM-2", "issue" : "3", "issued" : { "date-parts" : [ [ "2000" ] ] }, "page" : "159-195", "title" : "Structure of lipid bilayers", "type" : "article-journal", "volume" : "1469" }, "uris" : [ "http://www.mendeley.com/documents/?uuid=c332c155-e45a-45b7-b1a5-ca48d29e2e94" ] } ], "mendeley" : { "formattedCitation" : "&lt;sup&gt;12,13&lt;/sup&gt;", "plainTextFormattedCitation" : "12,13", "previouslyFormattedCitation" : "&lt;sup&gt;12,13&lt;/sup&gt;" }, "properties" : { "noteIndex" : 0 }, "schema" : "https://github.com/citation-style-language/schema/raw/master/csl-citation.json" }</w:instrText>
      </w:r>
      <w:r w:rsidR="00E2781E">
        <w:rPr>
          <w:lang w:val="en-US"/>
        </w:rPr>
        <w:fldChar w:fldCharType="separate"/>
      </w:r>
      <w:r w:rsidR="005B3C34" w:rsidRPr="005B3C34">
        <w:rPr>
          <w:noProof/>
          <w:vertAlign w:val="superscript"/>
          <w:lang w:val="en-US"/>
        </w:rPr>
        <w:t>12,13</w:t>
      </w:r>
      <w:r w:rsidR="00E2781E">
        <w:rPr>
          <w:lang w:val="en-US"/>
        </w:rPr>
        <w:fldChar w:fldCharType="end"/>
      </w:r>
    </w:p>
    <w:p w:rsidR="0015678D" w:rsidRPr="00310DE4" w:rsidRDefault="0015678D" w:rsidP="0015678D">
      <w:pPr>
        <w:pStyle w:val="NoSpacing"/>
        <w:rPr>
          <w:lang w:val="en-US"/>
        </w:rPr>
      </w:pPr>
      <w:r w:rsidRPr="00FC6983">
        <w:rPr>
          <w:rFonts w:cs="Times New Roman"/>
          <w:vertAlign w:val="superscript"/>
          <w:lang w:val="en-US"/>
        </w:rPr>
        <w:t xml:space="preserve">† </w:t>
      </w:r>
      <w:r w:rsidRPr="00310DE4">
        <w:rPr>
          <w:lang w:val="en-US"/>
        </w:rPr>
        <w:t xml:space="preserve">Parameter </w:t>
      </w:r>
      <w:r>
        <w:rPr>
          <w:lang w:val="en-US"/>
        </w:rPr>
        <w:t>fixed to known values</w:t>
      </w:r>
    </w:p>
    <w:p w:rsidR="00A03AA5" w:rsidRDefault="00A03AA5" w:rsidP="00B90A88">
      <w:pPr>
        <w:spacing w:line="240" w:lineRule="auto"/>
        <w:jc w:val="both"/>
        <w:rPr>
          <w:lang w:val="en-CA"/>
        </w:rPr>
      </w:pPr>
    </w:p>
    <w:p w:rsidR="00B90A88" w:rsidRPr="00B44DDC" w:rsidRDefault="00B90A88" w:rsidP="00B90A88">
      <w:pPr>
        <w:spacing w:line="240" w:lineRule="auto"/>
        <w:jc w:val="both"/>
        <w:rPr>
          <w:lang w:val="en-CA"/>
        </w:rPr>
      </w:pPr>
      <w:r w:rsidRPr="00B44DDC">
        <w:rPr>
          <w:b/>
          <w:lang w:val="en-CA"/>
        </w:rPr>
        <w:t xml:space="preserve">Table </w:t>
      </w:r>
      <w:r w:rsidR="00C92189" w:rsidRPr="00B44DDC">
        <w:rPr>
          <w:b/>
          <w:lang w:val="en-CA"/>
        </w:rPr>
        <w:t>S</w:t>
      </w:r>
      <w:r w:rsidR="00A03AA5" w:rsidRPr="00B44DDC">
        <w:rPr>
          <w:b/>
          <w:lang w:val="en-CA"/>
        </w:rPr>
        <w:t>I</w:t>
      </w:r>
      <w:r w:rsidRPr="00B44DDC">
        <w:rPr>
          <w:b/>
        </w:rPr>
        <w:fldChar w:fldCharType="begin"/>
      </w:r>
      <w:r w:rsidRPr="00B44DDC">
        <w:rPr>
          <w:b/>
          <w:lang w:val="en-CA"/>
        </w:rPr>
        <w:instrText xml:space="preserve"> SEQ Tableau \* ARABIC </w:instrText>
      </w:r>
      <w:r w:rsidRPr="00B44DDC">
        <w:rPr>
          <w:b/>
        </w:rPr>
        <w:fldChar w:fldCharType="separate"/>
      </w:r>
      <w:r w:rsidR="000C6E93" w:rsidRPr="00B44DDC">
        <w:rPr>
          <w:b/>
          <w:noProof/>
          <w:lang w:val="en-CA"/>
        </w:rPr>
        <w:t>2</w:t>
      </w:r>
      <w:r w:rsidRPr="00B44DDC">
        <w:rPr>
          <w:b/>
        </w:rPr>
        <w:fldChar w:fldCharType="end"/>
      </w:r>
      <w:r w:rsidRPr="00B44DDC">
        <w:rPr>
          <w:b/>
          <w:lang w:val="en-CA"/>
        </w:rPr>
        <w:t> :</w:t>
      </w:r>
      <w:r w:rsidRPr="00B44DDC">
        <w:rPr>
          <w:lang w:val="en-CA"/>
        </w:rPr>
        <w:t xml:space="preserve"> Fit parameters for POPC and asolectin bilayers after h-p7 and d-p7 cell-free expression. Two sets of parameters are shown, one for a cylindrical protein model and one for a conical protein model.</w:t>
      </w:r>
    </w:p>
    <w:tbl>
      <w:tblPr>
        <w:tblStyle w:val="TableGrid"/>
        <w:tblpPr w:leftFromText="141" w:rightFromText="141" w:vertAnchor="text" w:horzAnchor="page" w:tblpX="1034" w:tblpY="385"/>
        <w:tblW w:w="12621" w:type="dxa"/>
        <w:tblLayout w:type="fixed"/>
        <w:tblLook w:val="04A0" w:firstRow="1" w:lastRow="0" w:firstColumn="1" w:lastColumn="0" w:noHBand="0" w:noVBand="1"/>
      </w:tblPr>
      <w:tblGrid>
        <w:gridCol w:w="34"/>
        <w:gridCol w:w="216"/>
        <w:gridCol w:w="1434"/>
        <w:gridCol w:w="986"/>
        <w:gridCol w:w="845"/>
        <w:gridCol w:w="277"/>
        <w:gridCol w:w="567"/>
        <w:gridCol w:w="425"/>
        <w:gridCol w:w="285"/>
        <w:gridCol w:w="1002"/>
        <w:gridCol w:w="850"/>
        <w:gridCol w:w="714"/>
        <w:gridCol w:w="71"/>
        <w:gridCol w:w="236"/>
        <w:gridCol w:w="690"/>
        <w:gridCol w:w="420"/>
        <w:gridCol w:w="294"/>
        <w:gridCol w:w="714"/>
        <w:gridCol w:w="86"/>
        <w:gridCol w:w="628"/>
        <w:gridCol w:w="702"/>
        <w:gridCol w:w="1145"/>
      </w:tblGrid>
      <w:tr w:rsidR="00B44DDC" w:rsidRPr="008A0CCD" w:rsidTr="00401AE2">
        <w:trPr>
          <w:gridBefore w:val="1"/>
          <w:wBefore w:w="34" w:type="dxa"/>
          <w:trHeight w:val="260"/>
        </w:trPr>
        <w:tc>
          <w:tcPr>
            <w:tcW w:w="1650" w:type="dxa"/>
            <w:gridSpan w:val="2"/>
            <w:vMerge w:val="restart"/>
            <w:tcBorders>
              <w:top w:val="nil"/>
              <w:left w:val="nil"/>
              <w:right w:val="nil"/>
            </w:tcBorders>
            <w:shd w:val="clear" w:color="auto" w:fill="auto"/>
          </w:tcPr>
          <w:p w:rsidR="0015678D" w:rsidRPr="00B44DDC" w:rsidRDefault="0015678D" w:rsidP="00401AE2">
            <w:pPr>
              <w:jc w:val="both"/>
              <w:rPr>
                <w:rFonts w:cstheme="minorHAnsi"/>
                <w:sz w:val="20"/>
                <w:szCs w:val="20"/>
                <w:lang w:val="en-US"/>
              </w:rPr>
            </w:pPr>
          </w:p>
          <w:p w:rsidR="0015678D" w:rsidRPr="00B44DDC" w:rsidRDefault="0015678D" w:rsidP="00401AE2">
            <w:pPr>
              <w:rPr>
                <w:rFonts w:cstheme="minorHAnsi"/>
                <w:sz w:val="20"/>
                <w:szCs w:val="20"/>
                <w:lang w:val="en-US"/>
              </w:rPr>
            </w:pPr>
          </w:p>
          <w:p w:rsidR="0015678D" w:rsidRPr="00124F49" w:rsidRDefault="0015678D" w:rsidP="00401AE2">
            <w:pPr>
              <w:rPr>
                <w:rFonts w:cstheme="minorHAnsi"/>
                <w:sz w:val="20"/>
                <w:szCs w:val="20"/>
                <w:lang w:val="en-US"/>
              </w:rPr>
            </w:pPr>
            <w:r w:rsidRPr="00124F49">
              <w:rPr>
                <w:rFonts w:cstheme="minorHAnsi"/>
                <w:sz w:val="20"/>
                <w:szCs w:val="20"/>
                <w:lang w:val="en-US"/>
              </w:rPr>
              <w:t>Cylindrical protein models</w:t>
            </w:r>
          </w:p>
        </w:tc>
        <w:tc>
          <w:tcPr>
            <w:tcW w:w="986" w:type="dxa"/>
            <w:tcBorders>
              <w:top w:val="nil"/>
              <w:left w:val="nil"/>
              <w:bottom w:val="nil"/>
              <w:right w:val="nil"/>
            </w:tcBorders>
          </w:tcPr>
          <w:p w:rsidR="0015678D" w:rsidRPr="00124F49" w:rsidRDefault="0015678D" w:rsidP="00401AE2">
            <w:pPr>
              <w:jc w:val="both"/>
              <w:rPr>
                <w:rFonts w:cstheme="minorHAnsi"/>
                <w:sz w:val="20"/>
                <w:szCs w:val="20"/>
                <w:lang w:val="en-US"/>
              </w:rPr>
            </w:pPr>
          </w:p>
        </w:tc>
        <w:tc>
          <w:tcPr>
            <w:tcW w:w="845" w:type="dxa"/>
            <w:tcBorders>
              <w:top w:val="nil"/>
              <w:left w:val="nil"/>
              <w:bottom w:val="nil"/>
              <w:right w:val="nil"/>
            </w:tcBorders>
          </w:tcPr>
          <w:p w:rsidR="0015678D" w:rsidRPr="00124F49" w:rsidRDefault="0015678D" w:rsidP="00401AE2">
            <w:pPr>
              <w:jc w:val="both"/>
              <w:rPr>
                <w:rFonts w:cstheme="minorHAnsi"/>
                <w:sz w:val="20"/>
                <w:szCs w:val="20"/>
                <w:lang w:val="en-US"/>
              </w:rPr>
            </w:pPr>
          </w:p>
        </w:tc>
        <w:tc>
          <w:tcPr>
            <w:tcW w:w="844" w:type="dxa"/>
            <w:gridSpan w:val="2"/>
            <w:tcBorders>
              <w:top w:val="nil"/>
              <w:left w:val="nil"/>
              <w:bottom w:val="nil"/>
              <w:right w:val="nil"/>
            </w:tcBorders>
          </w:tcPr>
          <w:p w:rsidR="0015678D" w:rsidRPr="00124F49" w:rsidRDefault="0015678D" w:rsidP="00401AE2">
            <w:pPr>
              <w:jc w:val="both"/>
              <w:rPr>
                <w:rFonts w:cstheme="minorHAnsi"/>
                <w:sz w:val="20"/>
                <w:szCs w:val="20"/>
                <w:lang w:val="en-US"/>
              </w:rPr>
            </w:pPr>
          </w:p>
        </w:tc>
        <w:tc>
          <w:tcPr>
            <w:tcW w:w="3347" w:type="dxa"/>
            <w:gridSpan w:val="6"/>
            <w:tcBorders>
              <w:top w:val="nil"/>
              <w:left w:val="nil"/>
              <w:bottom w:val="nil"/>
              <w:right w:val="nil"/>
            </w:tcBorders>
            <w:shd w:val="clear" w:color="auto" w:fill="auto"/>
          </w:tcPr>
          <w:p w:rsidR="0015678D" w:rsidRPr="00124F49" w:rsidRDefault="0015678D" w:rsidP="00401AE2">
            <w:pPr>
              <w:jc w:val="both"/>
              <w:rPr>
                <w:rFonts w:cstheme="minorHAnsi"/>
                <w:sz w:val="20"/>
                <w:szCs w:val="20"/>
                <w:lang w:val="en-US"/>
              </w:rPr>
            </w:pPr>
          </w:p>
        </w:tc>
        <w:tc>
          <w:tcPr>
            <w:tcW w:w="236" w:type="dxa"/>
            <w:tcBorders>
              <w:top w:val="nil"/>
              <w:left w:val="nil"/>
              <w:bottom w:val="nil"/>
              <w:right w:val="nil"/>
            </w:tcBorders>
          </w:tcPr>
          <w:p w:rsidR="0015678D" w:rsidRPr="00124F49" w:rsidRDefault="0015678D" w:rsidP="00401AE2">
            <w:pPr>
              <w:jc w:val="both"/>
              <w:rPr>
                <w:rFonts w:cstheme="minorHAnsi"/>
                <w:sz w:val="20"/>
                <w:szCs w:val="20"/>
                <w:lang w:val="en-US"/>
              </w:rPr>
            </w:pPr>
          </w:p>
        </w:tc>
        <w:tc>
          <w:tcPr>
            <w:tcW w:w="1110" w:type="dxa"/>
            <w:gridSpan w:val="2"/>
            <w:tcBorders>
              <w:top w:val="nil"/>
              <w:left w:val="nil"/>
              <w:bottom w:val="nil"/>
              <w:right w:val="nil"/>
            </w:tcBorders>
          </w:tcPr>
          <w:p w:rsidR="0015678D" w:rsidRPr="00124F49" w:rsidRDefault="0015678D" w:rsidP="00401AE2">
            <w:pPr>
              <w:jc w:val="both"/>
              <w:rPr>
                <w:rFonts w:cstheme="minorHAnsi"/>
                <w:sz w:val="20"/>
                <w:szCs w:val="20"/>
                <w:lang w:val="en-US"/>
              </w:rPr>
            </w:pPr>
          </w:p>
        </w:tc>
        <w:tc>
          <w:tcPr>
            <w:tcW w:w="2424" w:type="dxa"/>
            <w:gridSpan w:val="5"/>
            <w:tcBorders>
              <w:top w:val="nil"/>
              <w:left w:val="nil"/>
              <w:bottom w:val="nil"/>
              <w:right w:val="nil"/>
            </w:tcBorders>
          </w:tcPr>
          <w:p w:rsidR="0015678D" w:rsidRPr="00124F49" w:rsidRDefault="0015678D" w:rsidP="00401AE2">
            <w:pPr>
              <w:jc w:val="both"/>
              <w:rPr>
                <w:rFonts w:cstheme="minorHAnsi"/>
                <w:sz w:val="20"/>
                <w:szCs w:val="20"/>
                <w:lang w:val="en-US"/>
              </w:rPr>
            </w:pPr>
          </w:p>
        </w:tc>
        <w:tc>
          <w:tcPr>
            <w:tcW w:w="1145" w:type="dxa"/>
            <w:tcBorders>
              <w:top w:val="nil"/>
              <w:left w:val="nil"/>
              <w:bottom w:val="nil"/>
              <w:right w:val="nil"/>
            </w:tcBorders>
          </w:tcPr>
          <w:p w:rsidR="0015678D" w:rsidRPr="00124F49" w:rsidRDefault="0015678D" w:rsidP="00401AE2">
            <w:pPr>
              <w:jc w:val="both"/>
              <w:rPr>
                <w:rFonts w:cstheme="minorHAnsi"/>
                <w:sz w:val="20"/>
                <w:szCs w:val="20"/>
                <w:lang w:val="en-US"/>
              </w:rPr>
            </w:pPr>
          </w:p>
        </w:tc>
      </w:tr>
      <w:tr w:rsidR="00B44DDC" w:rsidRPr="008A0CCD" w:rsidTr="00401AE2">
        <w:trPr>
          <w:gridBefore w:val="1"/>
          <w:gridAfter w:val="2"/>
          <w:wBefore w:w="34" w:type="dxa"/>
          <w:wAfter w:w="1847" w:type="dxa"/>
          <w:trHeight w:val="278"/>
        </w:trPr>
        <w:tc>
          <w:tcPr>
            <w:tcW w:w="1650" w:type="dxa"/>
            <w:gridSpan w:val="2"/>
            <w:vMerge/>
            <w:tcBorders>
              <w:left w:val="nil"/>
              <w:right w:val="single" w:sz="4" w:space="0" w:color="auto"/>
            </w:tcBorders>
            <w:shd w:val="clear" w:color="auto" w:fill="auto"/>
          </w:tcPr>
          <w:p w:rsidR="0015678D" w:rsidRPr="00124F49" w:rsidRDefault="0015678D" w:rsidP="00401AE2">
            <w:pPr>
              <w:jc w:val="both"/>
              <w:rPr>
                <w:rFonts w:cstheme="minorHAnsi"/>
                <w:sz w:val="20"/>
                <w:szCs w:val="20"/>
                <w:lang w:val="en-US"/>
              </w:rPr>
            </w:pPr>
          </w:p>
        </w:tc>
        <w:tc>
          <w:tcPr>
            <w:tcW w:w="986" w:type="dxa"/>
            <w:vMerge w:val="restart"/>
            <w:tcBorders>
              <w:top w:val="nil"/>
              <w:left w:val="single" w:sz="4" w:space="0" w:color="auto"/>
              <w:right w:val="single" w:sz="4" w:space="0" w:color="auto"/>
            </w:tcBorders>
            <w:shd w:val="clear" w:color="auto" w:fill="auto"/>
          </w:tcPr>
          <w:p w:rsidR="0015678D" w:rsidRPr="00B44DDC" w:rsidRDefault="0015678D" w:rsidP="00401AE2">
            <w:pPr>
              <w:pStyle w:val="TCTableBody"/>
              <w:jc w:val="center"/>
              <w:rPr>
                <w:rFonts w:asciiTheme="minorHAnsi" w:hAnsiTheme="minorHAnsi" w:cstheme="minorHAnsi"/>
                <w:sz w:val="20"/>
              </w:rPr>
            </w:pPr>
            <w:r w:rsidRPr="00B44DDC">
              <w:rPr>
                <w:rFonts w:asciiTheme="minorHAnsi" w:hAnsiTheme="minorHAnsi" w:cstheme="minorHAnsi"/>
                <w:sz w:val="20"/>
              </w:rPr>
              <w:t>Bilayer fraction</w:t>
            </w:r>
          </w:p>
          <w:p w:rsidR="0015678D" w:rsidRPr="00B44DDC" w:rsidRDefault="0015678D" w:rsidP="00401AE2">
            <w:pPr>
              <w:pStyle w:val="TCTableBody"/>
              <w:jc w:val="center"/>
              <w:rPr>
                <w:rFonts w:asciiTheme="minorHAnsi" w:hAnsiTheme="minorHAnsi" w:cstheme="minorHAnsi"/>
                <w:sz w:val="20"/>
              </w:rPr>
            </w:pPr>
            <w:r w:rsidRPr="00B44DDC">
              <w:rPr>
                <w:rFonts w:asciiTheme="minorHAnsi" w:hAnsiTheme="minorHAnsi" w:cstheme="minorHAnsi"/>
                <w:sz w:val="20"/>
              </w:rPr>
              <w:t>±0.025</w:t>
            </w:r>
          </w:p>
        </w:tc>
        <w:tc>
          <w:tcPr>
            <w:tcW w:w="1122" w:type="dxa"/>
            <w:gridSpan w:val="2"/>
            <w:vMerge w:val="restart"/>
            <w:tcBorders>
              <w:top w:val="nil"/>
              <w:left w:val="single" w:sz="4" w:space="0" w:color="auto"/>
              <w:right w:val="single" w:sz="4" w:space="0" w:color="auto"/>
            </w:tcBorders>
            <w:shd w:val="clear" w:color="auto" w:fill="auto"/>
          </w:tcPr>
          <w:p w:rsidR="0015678D" w:rsidRPr="00B44DDC" w:rsidRDefault="0015678D" w:rsidP="00401AE2">
            <w:pPr>
              <w:pStyle w:val="TCTableBody"/>
              <w:jc w:val="center"/>
              <w:rPr>
                <w:rFonts w:asciiTheme="minorHAnsi" w:hAnsiTheme="minorHAnsi" w:cstheme="minorHAnsi"/>
                <w:sz w:val="20"/>
              </w:rPr>
            </w:pPr>
            <w:r w:rsidRPr="00B44DDC">
              <w:rPr>
                <w:rFonts w:asciiTheme="minorHAnsi" w:hAnsiTheme="minorHAnsi" w:cstheme="minorHAnsi"/>
                <w:sz w:val="20"/>
              </w:rPr>
              <w:t>Protein fraction</w:t>
            </w:r>
          </w:p>
          <w:p w:rsidR="0015678D" w:rsidRPr="00124F49" w:rsidRDefault="0015678D" w:rsidP="00401AE2">
            <w:pPr>
              <w:jc w:val="center"/>
              <w:rPr>
                <w:rFonts w:cstheme="minorHAnsi"/>
                <w:sz w:val="20"/>
                <w:szCs w:val="20"/>
                <w:lang w:val="en-US"/>
              </w:rPr>
            </w:pPr>
            <w:r w:rsidRPr="00124F49">
              <w:rPr>
                <w:rFonts w:cstheme="minorHAnsi"/>
                <w:sz w:val="20"/>
                <w:szCs w:val="20"/>
                <w:lang w:val="en-US"/>
              </w:rPr>
              <w:t>±0.025</w:t>
            </w:r>
          </w:p>
        </w:tc>
        <w:tc>
          <w:tcPr>
            <w:tcW w:w="992" w:type="dxa"/>
            <w:gridSpan w:val="2"/>
            <w:vMerge w:val="restart"/>
            <w:tcBorders>
              <w:top w:val="nil"/>
              <w:left w:val="single" w:sz="4" w:space="0" w:color="auto"/>
              <w:right w:val="nil"/>
            </w:tcBorders>
            <w:shd w:val="clear" w:color="auto" w:fill="auto"/>
          </w:tcPr>
          <w:p w:rsidR="0015678D" w:rsidRPr="00B44DDC" w:rsidRDefault="0015678D" w:rsidP="00401AE2">
            <w:pPr>
              <w:pStyle w:val="TCTableBody"/>
              <w:jc w:val="center"/>
              <w:rPr>
                <w:rFonts w:asciiTheme="minorHAnsi" w:hAnsiTheme="minorHAnsi" w:cstheme="minorHAnsi"/>
                <w:sz w:val="20"/>
              </w:rPr>
            </w:pPr>
            <w:r w:rsidRPr="00B44DDC">
              <w:rPr>
                <w:rFonts w:asciiTheme="minorHAnsi" w:hAnsiTheme="minorHAnsi" w:cstheme="minorHAnsi"/>
                <w:sz w:val="20"/>
              </w:rPr>
              <w:t xml:space="preserve">Water fraction </w:t>
            </w:r>
          </w:p>
          <w:p w:rsidR="0015678D" w:rsidRPr="00124F49" w:rsidRDefault="0015678D" w:rsidP="00401AE2">
            <w:pPr>
              <w:jc w:val="center"/>
              <w:rPr>
                <w:rFonts w:cstheme="minorHAnsi"/>
                <w:sz w:val="20"/>
                <w:szCs w:val="20"/>
                <w:lang w:val="en-US"/>
              </w:rPr>
            </w:pPr>
            <w:r w:rsidRPr="00124F49">
              <w:rPr>
                <w:rFonts w:cstheme="minorHAnsi"/>
                <w:sz w:val="20"/>
                <w:szCs w:val="20"/>
                <w:lang w:val="en-US"/>
              </w:rPr>
              <w:t>±0.025</w:t>
            </w:r>
          </w:p>
        </w:tc>
        <w:tc>
          <w:tcPr>
            <w:tcW w:w="285" w:type="dxa"/>
            <w:vMerge w:val="restart"/>
            <w:tcBorders>
              <w:top w:val="nil"/>
              <w:left w:val="single" w:sz="4" w:space="0" w:color="auto"/>
              <w:right w:val="single" w:sz="4" w:space="0" w:color="auto"/>
            </w:tcBorders>
          </w:tcPr>
          <w:p w:rsidR="0015678D" w:rsidRPr="00124F49" w:rsidRDefault="0015678D" w:rsidP="00401AE2">
            <w:pPr>
              <w:jc w:val="center"/>
              <w:rPr>
                <w:rFonts w:cstheme="minorHAnsi"/>
                <w:sz w:val="20"/>
                <w:szCs w:val="20"/>
                <w:lang w:val="en-US"/>
              </w:rPr>
            </w:pPr>
          </w:p>
        </w:tc>
        <w:tc>
          <w:tcPr>
            <w:tcW w:w="1002" w:type="dxa"/>
            <w:vMerge w:val="restart"/>
            <w:tcBorders>
              <w:top w:val="nil"/>
              <w:left w:val="single" w:sz="4" w:space="0" w:color="auto"/>
              <w:right w:val="single" w:sz="4" w:space="0" w:color="auto"/>
            </w:tcBorders>
          </w:tcPr>
          <w:p w:rsidR="0015678D" w:rsidRPr="00B44DDC" w:rsidRDefault="0015678D" w:rsidP="00401AE2">
            <w:pPr>
              <w:pStyle w:val="TCTableBody"/>
              <w:jc w:val="center"/>
              <w:rPr>
                <w:rFonts w:asciiTheme="minorHAnsi" w:hAnsiTheme="minorHAnsi" w:cstheme="minorHAnsi"/>
                <w:sz w:val="20"/>
              </w:rPr>
            </w:pPr>
            <w:r w:rsidRPr="00B44DDC">
              <w:rPr>
                <w:rFonts w:asciiTheme="minorHAnsi" w:hAnsiTheme="minorHAnsi" w:cstheme="minorHAnsi"/>
                <w:sz w:val="20"/>
              </w:rPr>
              <w:t>Bilayer</w:t>
            </w:r>
          </w:p>
          <w:p w:rsidR="0015678D" w:rsidRPr="00124F49" w:rsidRDefault="0015678D" w:rsidP="00401AE2">
            <w:pPr>
              <w:pStyle w:val="TCTableBody"/>
              <w:jc w:val="center"/>
              <w:rPr>
                <w:rFonts w:ascii="Symbol" w:hAnsi="Symbol" w:cstheme="minorHAnsi"/>
                <w:sz w:val="20"/>
              </w:rPr>
            </w:pPr>
            <w:r w:rsidRPr="00B44DDC">
              <w:rPr>
                <w:rFonts w:ascii="Symbol" w:hAnsi="Symbol" w:cstheme="minorHAnsi"/>
                <w:sz w:val="20"/>
              </w:rPr>
              <w:t></w:t>
            </w:r>
          </w:p>
          <w:p w:rsidR="0015678D" w:rsidRPr="00124F49" w:rsidRDefault="0015678D" w:rsidP="00401AE2">
            <w:pPr>
              <w:jc w:val="center"/>
              <w:rPr>
                <w:rFonts w:cstheme="minorHAnsi"/>
                <w:sz w:val="20"/>
                <w:szCs w:val="20"/>
                <w:lang w:val="en-US"/>
              </w:rPr>
            </w:pPr>
            <w:r w:rsidRPr="00124F49">
              <w:rPr>
                <w:rFonts w:cstheme="minorHAnsi"/>
                <w:sz w:val="20"/>
                <w:szCs w:val="20"/>
                <w:lang w:val="en-US"/>
              </w:rPr>
              <w:t>[Å]</w:t>
            </w:r>
          </w:p>
        </w:tc>
        <w:tc>
          <w:tcPr>
            <w:tcW w:w="850" w:type="dxa"/>
            <w:vMerge w:val="restart"/>
            <w:tcBorders>
              <w:top w:val="nil"/>
              <w:left w:val="single" w:sz="4" w:space="0" w:color="auto"/>
              <w:right w:val="single" w:sz="4" w:space="0" w:color="auto"/>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Water Z</w:t>
            </w:r>
          </w:p>
          <w:p w:rsidR="0015678D" w:rsidRPr="00124F49" w:rsidRDefault="0015678D" w:rsidP="00401AE2">
            <w:pPr>
              <w:jc w:val="center"/>
              <w:rPr>
                <w:rFonts w:cstheme="minorHAnsi"/>
                <w:sz w:val="20"/>
                <w:szCs w:val="20"/>
                <w:lang w:val="en-US"/>
              </w:rPr>
            </w:pPr>
            <w:r w:rsidRPr="00124F49">
              <w:rPr>
                <w:rFonts w:cstheme="minorHAnsi"/>
                <w:sz w:val="20"/>
                <w:szCs w:val="20"/>
                <w:lang w:val="en-US"/>
              </w:rPr>
              <w:t>[Å]</w:t>
            </w:r>
          </w:p>
        </w:tc>
        <w:tc>
          <w:tcPr>
            <w:tcW w:w="3139" w:type="dxa"/>
            <w:gridSpan w:val="7"/>
            <w:tcBorders>
              <w:top w:val="nil"/>
              <w:left w:val="single" w:sz="4" w:space="0" w:color="auto"/>
              <w:right w:val="single" w:sz="4" w:space="0" w:color="auto"/>
            </w:tcBorders>
          </w:tcPr>
          <w:p w:rsidR="0015678D" w:rsidRPr="00124F49" w:rsidRDefault="00B90A88" w:rsidP="00B90A88">
            <w:pPr>
              <w:jc w:val="center"/>
              <w:rPr>
                <w:rFonts w:cstheme="minorHAnsi"/>
                <w:sz w:val="20"/>
                <w:szCs w:val="20"/>
                <w:lang w:val="en-US"/>
              </w:rPr>
            </w:pPr>
            <w:r w:rsidRPr="00124F49">
              <w:rPr>
                <w:rFonts w:cstheme="minorHAnsi"/>
                <w:sz w:val="20"/>
                <w:szCs w:val="20"/>
                <w:lang w:val="en-US"/>
              </w:rPr>
              <w:t>His-tag</w:t>
            </w:r>
            <w:r w:rsidR="0015678D" w:rsidRPr="00124F49">
              <w:rPr>
                <w:rFonts w:cstheme="minorHAnsi"/>
                <w:sz w:val="20"/>
                <w:szCs w:val="20"/>
                <w:lang w:val="en-US"/>
              </w:rPr>
              <w:t xml:space="preserve"> layer</w:t>
            </w:r>
          </w:p>
        </w:tc>
        <w:tc>
          <w:tcPr>
            <w:tcW w:w="714" w:type="dxa"/>
            <w:gridSpan w:val="2"/>
            <w:vMerge w:val="restart"/>
            <w:tcBorders>
              <w:top w:val="nil"/>
              <w:left w:val="single" w:sz="4" w:space="0" w:color="auto"/>
              <w:right w:val="nil"/>
            </w:tcBorders>
          </w:tcPr>
          <w:p w:rsidR="0015678D" w:rsidRPr="00124F49" w:rsidRDefault="0015678D" w:rsidP="00401AE2">
            <w:pPr>
              <w:jc w:val="center"/>
              <w:rPr>
                <w:rFonts w:cstheme="minorHAnsi"/>
                <w:sz w:val="20"/>
                <w:szCs w:val="20"/>
                <w:lang w:val="en-US"/>
              </w:rPr>
            </w:pPr>
          </w:p>
          <w:p w:rsidR="0015678D" w:rsidRPr="00124F49" w:rsidRDefault="0015678D" w:rsidP="00401AE2">
            <w:pPr>
              <w:jc w:val="center"/>
              <w:rPr>
                <w:rFonts w:cstheme="minorHAnsi"/>
                <w:sz w:val="20"/>
                <w:szCs w:val="20"/>
                <w:lang w:val="en-US"/>
              </w:rPr>
            </w:pPr>
            <w:r w:rsidRPr="00B44DDC">
              <w:rPr>
                <w:rFonts w:ascii="Symbol" w:hAnsi="Symbol" w:cstheme="minorHAnsi"/>
                <w:sz w:val="20"/>
                <w:szCs w:val="20"/>
              </w:rPr>
              <w:t></w:t>
            </w:r>
            <w:r w:rsidRPr="00124F49">
              <w:rPr>
                <w:rFonts w:cstheme="minorHAnsi"/>
                <w:sz w:val="20"/>
                <w:szCs w:val="20"/>
                <w:vertAlign w:val="superscript"/>
                <w:lang w:val="en-US"/>
              </w:rPr>
              <w:t>2</w:t>
            </w:r>
          </w:p>
        </w:tc>
      </w:tr>
      <w:tr w:rsidR="00B44DDC" w:rsidRPr="008A0CCD" w:rsidTr="00401AE2">
        <w:trPr>
          <w:gridBefore w:val="1"/>
          <w:gridAfter w:val="2"/>
          <w:wBefore w:w="34" w:type="dxa"/>
          <w:wAfter w:w="1847" w:type="dxa"/>
          <w:trHeight w:val="463"/>
        </w:trPr>
        <w:tc>
          <w:tcPr>
            <w:tcW w:w="1650" w:type="dxa"/>
            <w:gridSpan w:val="2"/>
            <w:vMerge/>
            <w:tcBorders>
              <w:left w:val="nil"/>
              <w:bottom w:val="single" w:sz="4" w:space="0" w:color="auto"/>
              <w:right w:val="single" w:sz="4" w:space="0" w:color="auto"/>
            </w:tcBorders>
            <w:shd w:val="clear" w:color="auto" w:fill="auto"/>
          </w:tcPr>
          <w:p w:rsidR="0015678D" w:rsidRPr="00124F49" w:rsidRDefault="0015678D" w:rsidP="00401AE2">
            <w:pPr>
              <w:jc w:val="both"/>
              <w:rPr>
                <w:rFonts w:cstheme="minorHAnsi"/>
                <w:sz w:val="20"/>
                <w:szCs w:val="20"/>
                <w:lang w:val="en-US"/>
              </w:rPr>
            </w:pPr>
          </w:p>
        </w:tc>
        <w:tc>
          <w:tcPr>
            <w:tcW w:w="986" w:type="dxa"/>
            <w:vMerge/>
            <w:tcBorders>
              <w:left w:val="single" w:sz="4" w:space="0" w:color="auto"/>
              <w:bottom w:val="single" w:sz="4" w:space="0" w:color="auto"/>
              <w:right w:val="single" w:sz="4" w:space="0" w:color="auto"/>
            </w:tcBorders>
            <w:shd w:val="clear" w:color="auto" w:fill="auto"/>
          </w:tcPr>
          <w:p w:rsidR="0015678D" w:rsidRPr="00B44DDC" w:rsidRDefault="0015678D" w:rsidP="00401AE2">
            <w:pPr>
              <w:pStyle w:val="TCTableBody"/>
              <w:jc w:val="center"/>
              <w:rPr>
                <w:rFonts w:asciiTheme="minorHAnsi" w:hAnsiTheme="minorHAnsi" w:cstheme="minorHAnsi"/>
                <w:sz w:val="20"/>
              </w:rPr>
            </w:pPr>
          </w:p>
        </w:tc>
        <w:tc>
          <w:tcPr>
            <w:tcW w:w="1122" w:type="dxa"/>
            <w:gridSpan w:val="2"/>
            <w:vMerge/>
            <w:tcBorders>
              <w:left w:val="single" w:sz="4" w:space="0" w:color="auto"/>
              <w:bottom w:val="single" w:sz="4" w:space="0" w:color="auto"/>
              <w:right w:val="single" w:sz="4" w:space="0" w:color="auto"/>
            </w:tcBorders>
            <w:shd w:val="clear" w:color="auto" w:fill="auto"/>
          </w:tcPr>
          <w:p w:rsidR="0015678D" w:rsidRPr="00B44DDC" w:rsidRDefault="0015678D" w:rsidP="00401AE2">
            <w:pPr>
              <w:pStyle w:val="TCTableBody"/>
              <w:jc w:val="center"/>
              <w:rPr>
                <w:rFonts w:asciiTheme="minorHAnsi" w:hAnsiTheme="minorHAnsi" w:cstheme="minorHAnsi"/>
                <w:sz w:val="20"/>
              </w:rPr>
            </w:pPr>
          </w:p>
        </w:tc>
        <w:tc>
          <w:tcPr>
            <w:tcW w:w="992" w:type="dxa"/>
            <w:gridSpan w:val="2"/>
            <w:vMerge/>
            <w:tcBorders>
              <w:left w:val="single" w:sz="4" w:space="0" w:color="auto"/>
              <w:bottom w:val="single" w:sz="4" w:space="0" w:color="auto"/>
              <w:right w:val="nil"/>
            </w:tcBorders>
            <w:shd w:val="clear" w:color="auto" w:fill="auto"/>
          </w:tcPr>
          <w:p w:rsidR="0015678D" w:rsidRPr="00B44DDC" w:rsidRDefault="0015678D" w:rsidP="00401AE2">
            <w:pPr>
              <w:pStyle w:val="TCTableBody"/>
              <w:jc w:val="center"/>
              <w:rPr>
                <w:rFonts w:asciiTheme="minorHAnsi" w:hAnsiTheme="minorHAnsi" w:cstheme="minorHAnsi"/>
                <w:sz w:val="20"/>
              </w:rPr>
            </w:pPr>
          </w:p>
        </w:tc>
        <w:tc>
          <w:tcPr>
            <w:tcW w:w="285" w:type="dxa"/>
            <w:vMerge/>
            <w:tcBorders>
              <w:left w:val="single" w:sz="4" w:space="0" w:color="auto"/>
              <w:right w:val="single" w:sz="4" w:space="0" w:color="auto"/>
            </w:tcBorders>
          </w:tcPr>
          <w:p w:rsidR="0015678D" w:rsidRPr="00124F49" w:rsidRDefault="0015678D" w:rsidP="00401AE2">
            <w:pPr>
              <w:jc w:val="center"/>
              <w:rPr>
                <w:rFonts w:cstheme="minorHAnsi"/>
                <w:sz w:val="20"/>
                <w:szCs w:val="20"/>
                <w:lang w:val="en-US"/>
              </w:rPr>
            </w:pPr>
          </w:p>
        </w:tc>
        <w:tc>
          <w:tcPr>
            <w:tcW w:w="1002" w:type="dxa"/>
            <w:vMerge/>
            <w:tcBorders>
              <w:left w:val="single" w:sz="4" w:space="0" w:color="auto"/>
              <w:bottom w:val="single" w:sz="4" w:space="0" w:color="auto"/>
              <w:right w:val="single" w:sz="4" w:space="0" w:color="auto"/>
            </w:tcBorders>
          </w:tcPr>
          <w:p w:rsidR="0015678D" w:rsidRPr="00124F49" w:rsidRDefault="0015678D" w:rsidP="00401AE2">
            <w:pPr>
              <w:jc w:val="center"/>
              <w:rPr>
                <w:rFonts w:cstheme="minorHAnsi"/>
                <w:sz w:val="20"/>
                <w:szCs w:val="20"/>
                <w:lang w:val="en-US"/>
              </w:rPr>
            </w:pPr>
          </w:p>
        </w:tc>
        <w:tc>
          <w:tcPr>
            <w:tcW w:w="850" w:type="dxa"/>
            <w:vMerge/>
            <w:tcBorders>
              <w:left w:val="single" w:sz="4" w:space="0" w:color="auto"/>
              <w:bottom w:val="single" w:sz="4" w:space="0" w:color="auto"/>
              <w:right w:val="single" w:sz="4" w:space="0" w:color="auto"/>
            </w:tcBorders>
          </w:tcPr>
          <w:p w:rsidR="0015678D" w:rsidRPr="00124F49" w:rsidRDefault="0015678D" w:rsidP="00401AE2">
            <w:pPr>
              <w:jc w:val="center"/>
              <w:rPr>
                <w:rFonts w:cstheme="minorHAnsi"/>
                <w:sz w:val="20"/>
                <w:szCs w:val="20"/>
                <w:lang w:val="en-US"/>
              </w:rPr>
            </w:pPr>
          </w:p>
        </w:tc>
        <w:tc>
          <w:tcPr>
            <w:tcW w:w="714" w:type="dxa"/>
            <w:tcBorders>
              <w:top w:val="nil"/>
              <w:left w:val="single" w:sz="4" w:space="0" w:color="auto"/>
              <w:bottom w:val="single" w:sz="4" w:space="0" w:color="auto"/>
              <w:right w:val="single" w:sz="4" w:space="0" w:color="auto"/>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Z</w:t>
            </w:r>
          </w:p>
          <w:p w:rsidR="0015678D" w:rsidRPr="00124F49" w:rsidRDefault="0015678D" w:rsidP="00401AE2">
            <w:pPr>
              <w:jc w:val="center"/>
              <w:rPr>
                <w:rFonts w:cstheme="minorHAnsi"/>
                <w:sz w:val="20"/>
                <w:szCs w:val="20"/>
                <w:lang w:val="en-US"/>
              </w:rPr>
            </w:pPr>
            <w:r w:rsidRPr="00124F49">
              <w:rPr>
                <w:rFonts w:cstheme="minorHAnsi"/>
                <w:sz w:val="20"/>
                <w:szCs w:val="20"/>
                <w:lang w:val="en-US"/>
              </w:rPr>
              <w:t>[Å]</w:t>
            </w:r>
          </w:p>
        </w:tc>
        <w:tc>
          <w:tcPr>
            <w:tcW w:w="997" w:type="dxa"/>
            <w:gridSpan w:val="3"/>
            <w:tcBorders>
              <w:left w:val="single" w:sz="4" w:space="0" w:color="auto"/>
              <w:bottom w:val="single" w:sz="4" w:space="0" w:color="auto"/>
              <w:right w:val="single" w:sz="4" w:space="0" w:color="auto"/>
            </w:tcBorders>
          </w:tcPr>
          <w:p w:rsidR="0015678D" w:rsidRPr="00124F49" w:rsidRDefault="0015678D" w:rsidP="00401AE2">
            <w:pPr>
              <w:pStyle w:val="TCTableBody"/>
              <w:jc w:val="center"/>
              <w:rPr>
                <w:rFonts w:asciiTheme="minorHAnsi" w:hAnsiTheme="minorHAnsi" w:cstheme="minorHAnsi"/>
                <w:sz w:val="20"/>
              </w:rPr>
            </w:pPr>
            <w:r w:rsidRPr="00124F49">
              <w:rPr>
                <w:rFonts w:asciiTheme="minorHAnsi" w:hAnsiTheme="minorHAnsi" w:cstheme="minorHAnsi"/>
                <w:sz w:val="20"/>
              </w:rPr>
              <w:t>SLD</w:t>
            </w:r>
          </w:p>
          <w:p w:rsidR="0015678D" w:rsidRPr="00124F49" w:rsidRDefault="0015678D" w:rsidP="00401AE2">
            <w:pPr>
              <w:jc w:val="center"/>
              <w:rPr>
                <w:rFonts w:cstheme="minorHAnsi"/>
                <w:sz w:val="20"/>
                <w:szCs w:val="20"/>
                <w:lang w:val="en-US"/>
              </w:rPr>
            </w:pPr>
            <w:r w:rsidRPr="00124F49">
              <w:rPr>
                <w:rFonts w:cstheme="minorHAnsi"/>
                <w:sz w:val="20"/>
                <w:szCs w:val="20"/>
                <w:lang w:val="en-US"/>
              </w:rPr>
              <w:t>[ 10</w:t>
            </w:r>
            <w:r w:rsidRPr="00124F49">
              <w:rPr>
                <w:rFonts w:cstheme="minorHAnsi"/>
                <w:sz w:val="20"/>
                <w:szCs w:val="20"/>
                <w:vertAlign w:val="superscript"/>
                <w:lang w:val="en-US"/>
              </w:rPr>
              <w:t>-6</w:t>
            </w:r>
            <w:r w:rsidRPr="00124F49">
              <w:rPr>
                <w:rFonts w:cstheme="minorHAnsi"/>
                <w:sz w:val="20"/>
                <w:szCs w:val="20"/>
                <w:lang w:val="en-US"/>
              </w:rPr>
              <w:t>Å</w:t>
            </w:r>
            <w:r w:rsidRPr="00124F49">
              <w:rPr>
                <w:rFonts w:cstheme="minorHAnsi"/>
                <w:sz w:val="20"/>
                <w:szCs w:val="20"/>
                <w:vertAlign w:val="superscript"/>
                <w:lang w:val="en-US"/>
              </w:rPr>
              <w:t>-2</w:t>
            </w:r>
            <w:r w:rsidRPr="00124F49">
              <w:rPr>
                <w:rFonts w:cstheme="minorHAnsi"/>
                <w:sz w:val="20"/>
                <w:szCs w:val="20"/>
                <w:lang w:val="en-US"/>
              </w:rPr>
              <w:t>]</w:t>
            </w:r>
          </w:p>
        </w:tc>
        <w:tc>
          <w:tcPr>
            <w:tcW w:w="714" w:type="dxa"/>
            <w:gridSpan w:val="2"/>
            <w:tcBorders>
              <w:left w:val="single" w:sz="4" w:space="0" w:color="auto"/>
              <w:bottom w:val="single" w:sz="4" w:space="0" w:color="auto"/>
              <w:right w:val="single" w:sz="4" w:space="0" w:color="auto"/>
            </w:tcBorders>
          </w:tcPr>
          <w:p w:rsidR="0015678D" w:rsidRPr="00124F49" w:rsidRDefault="0015678D" w:rsidP="00401AE2">
            <w:pPr>
              <w:pStyle w:val="TCTableBody"/>
              <w:jc w:val="center"/>
              <w:rPr>
                <w:rFonts w:asciiTheme="minorHAnsi" w:hAnsiTheme="minorHAnsi" w:cstheme="minorHAnsi"/>
                <w:sz w:val="20"/>
              </w:rPr>
            </w:pPr>
            <w:r w:rsidRPr="00124F49">
              <w:rPr>
                <w:rFonts w:asciiTheme="minorHAnsi" w:hAnsiTheme="minorHAnsi" w:cstheme="minorHAnsi"/>
                <w:sz w:val="20"/>
              </w:rPr>
              <w:t>Solv.</w:t>
            </w:r>
          </w:p>
          <w:p w:rsidR="0015678D" w:rsidRPr="00B44DDC" w:rsidRDefault="0015678D" w:rsidP="00401AE2">
            <w:pPr>
              <w:pStyle w:val="TCTableBody"/>
              <w:jc w:val="center"/>
              <w:rPr>
                <w:rFonts w:asciiTheme="minorHAnsi" w:hAnsiTheme="minorHAnsi" w:cstheme="minorHAnsi"/>
                <w:sz w:val="20"/>
              </w:rPr>
            </w:pPr>
            <w:r w:rsidRPr="00124F49">
              <w:rPr>
                <w:rFonts w:asciiTheme="minorHAnsi" w:hAnsiTheme="minorHAnsi" w:cstheme="minorHAnsi"/>
                <w:sz w:val="20"/>
              </w:rPr>
              <w:t xml:space="preserve"> [%]</w:t>
            </w:r>
          </w:p>
        </w:tc>
        <w:tc>
          <w:tcPr>
            <w:tcW w:w="714" w:type="dxa"/>
            <w:tcBorders>
              <w:left w:val="single" w:sz="4" w:space="0" w:color="auto"/>
              <w:bottom w:val="single" w:sz="4" w:space="0" w:color="auto"/>
              <w:right w:val="single" w:sz="4" w:space="0" w:color="auto"/>
            </w:tcBorders>
          </w:tcPr>
          <w:p w:rsidR="0015678D" w:rsidRPr="00124F49" w:rsidRDefault="0015678D" w:rsidP="00401AE2">
            <w:pPr>
              <w:pStyle w:val="TCTableBody"/>
              <w:jc w:val="center"/>
              <w:rPr>
                <w:rFonts w:ascii="Symbol" w:hAnsi="Symbol" w:cstheme="minorHAnsi"/>
                <w:sz w:val="20"/>
              </w:rPr>
            </w:pPr>
            <w:r w:rsidRPr="00B44DDC">
              <w:rPr>
                <w:rFonts w:ascii="Symbol" w:hAnsi="Symbol" w:cstheme="minorHAnsi"/>
                <w:sz w:val="20"/>
              </w:rPr>
              <w:t></w:t>
            </w:r>
          </w:p>
          <w:p w:rsidR="0015678D" w:rsidRPr="00124F49" w:rsidRDefault="0015678D" w:rsidP="00401AE2">
            <w:pPr>
              <w:jc w:val="center"/>
              <w:rPr>
                <w:rFonts w:cstheme="minorHAnsi"/>
                <w:sz w:val="20"/>
                <w:szCs w:val="20"/>
                <w:lang w:val="en-US"/>
              </w:rPr>
            </w:pPr>
            <w:r w:rsidRPr="00124F49">
              <w:rPr>
                <w:rFonts w:cstheme="minorHAnsi"/>
                <w:sz w:val="20"/>
                <w:szCs w:val="20"/>
                <w:lang w:val="en-US"/>
              </w:rPr>
              <w:t>[Å]</w:t>
            </w:r>
          </w:p>
        </w:tc>
        <w:tc>
          <w:tcPr>
            <w:tcW w:w="714" w:type="dxa"/>
            <w:gridSpan w:val="2"/>
            <w:vMerge/>
            <w:tcBorders>
              <w:left w:val="single" w:sz="4" w:space="0" w:color="auto"/>
              <w:bottom w:val="single" w:sz="4" w:space="0" w:color="auto"/>
              <w:right w:val="nil"/>
            </w:tcBorders>
          </w:tcPr>
          <w:p w:rsidR="0015678D" w:rsidRPr="00B44DDC" w:rsidRDefault="0015678D" w:rsidP="00401AE2">
            <w:pPr>
              <w:pStyle w:val="TCTableBody"/>
              <w:jc w:val="center"/>
              <w:rPr>
                <w:rFonts w:asciiTheme="minorHAnsi" w:hAnsiTheme="minorHAnsi" w:cstheme="minorHAnsi"/>
                <w:sz w:val="20"/>
              </w:rPr>
            </w:pPr>
          </w:p>
        </w:tc>
      </w:tr>
      <w:tr w:rsidR="00B44DDC" w:rsidRPr="008A0CCD" w:rsidTr="00401AE2">
        <w:trPr>
          <w:gridBefore w:val="1"/>
          <w:gridAfter w:val="2"/>
          <w:wBefore w:w="34" w:type="dxa"/>
          <w:wAfter w:w="1847" w:type="dxa"/>
          <w:trHeight w:val="227"/>
        </w:trPr>
        <w:tc>
          <w:tcPr>
            <w:tcW w:w="1650" w:type="dxa"/>
            <w:gridSpan w:val="2"/>
            <w:tcBorders>
              <w:top w:val="single" w:sz="4" w:space="0" w:color="auto"/>
              <w:left w:val="nil"/>
              <w:bottom w:val="nil"/>
              <w:right w:val="single" w:sz="4" w:space="0" w:color="auto"/>
            </w:tcBorders>
            <w:shd w:val="clear" w:color="auto" w:fill="auto"/>
          </w:tcPr>
          <w:p w:rsidR="0015678D" w:rsidRPr="00124F49" w:rsidRDefault="0015678D" w:rsidP="00401AE2">
            <w:pPr>
              <w:jc w:val="both"/>
              <w:rPr>
                <w:rFonts w:cstheme="minorHAnsi"/>
                <w:sz w:val="20"/>
                <w:szCs w:val="20"/>
                <w:lang w:val="en-US"/>
              </w:rPr>
            </w:pPr>
            <w:r w:rsidRPr="00124F49">
              <w:rPr>
                <w:rFonts w:cstheme="minorHAnsi"/>
                <w:sz w:val="20"/>
                <w:szCs w:val="20"/>
                <w:lang w:val="en-US"/>
              </w:rPr>
              <w:t xml:space="preserve">POPC      +d-p7  </w:t>
            </w:r>
          </w:p>
        </w:tc>
        <w:tc>
          <w:tcPr>
            <w:tcW w:w="986" w:type="dxa"/>
            <w:tcBorders>
              <w:top w:val="single" w:sz="4" w:space="0" w:color="auto"/>
              <w:left w:val="single" w:sz="4" w:space="0" w:color="auto"/>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0.953</w:t>
            </w:r>
            <w:r w:rsidRPr="00124F49">
              <w:rPr>
                <w:rFonts w:cstheme="minorHAnsi"/>
                <w:sz w:val="20"/>
                <w:szCs w:val="20"/>
                <w:vertAlign w:val="superscript"/>
                <w:lang w:val="en-US"/>
              </w:rPr>
              <w:t>*</w:t>
            </w:r>
          </w:p>
        </w:tc>
        <w:tc>
          <w:tcPr>
            <w:tcW w:w="1122" w:type="dxa"/>
            <w:gridSpan w:val="2"/>
            <w:tcBorders>
              <w:top w:val="single" w:sz="4" w:space="0" w:color="auto"/>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0.022</w:t>
            </w:r>
            <w:r w:rsidRPr="00124F49">
              <w:rPr>
                <w:rFonts w:cstheme="minorHAnsi"/>
                <w:sz w:val="20"/>
                <w:szCs w:val="20"/>
                <w:vertAlign w:val="superscript"/>
                <w:lang w:val="en-US"/>
              </w:rPr>
              <w:t>*</w:t>
            </w:r>
          </w:p>
        </w:tc>
        <w:tc>
          <w:tcPr>
            <w:tcW w:w="992" w:type="dxa"/>
            <w:gridSpan w:val="2"/>
            <w:tcBorders>
              <w:top w:val="single" w:sz="4" w:space="0" w:color="auto"/>
              <w:bottom w:val="nil"/>
              <w:right w:val="single" w:sz="4" w:space="0" w:color="auto"/>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0.025</w:t>
            </w:r>
            <w:r w:rsidRPr="00124F49">
              <w:rPr>
                <w:rFonts w:cstheme="minorHAnsi"/>
                <w:sz w:val="20"/>
                <w:szCs w:val="20"/>
                <w:vertAlign w:val="superscript"/>
                <w:lang w:val="en-US"/>
              </w:rPr>
              <w:t>*</w:t>
            </w:r>
          </w:p>
        </w:tc>
        <w:tc>
          <w:tcPr>
            <w:tcW w:w="285" w:type="dxa"/>
            <w:vMerge/>
            <w:tcBorders>
              <w:left w:val="single" w:sz="4" w:space="0" w:color="auto"/>
              <w:right w:val="single" w:sz="4" w:space="0" w:color="auto"/>
            </w:tcBorders>
          </w:tcPr>
          <w:p w:rsidR="0015678D" w:rsidRPr="00124F49" w:rsidRDefault="0015678D" w:rsidP="00401AE2">
            <w:pPr>
              <w:jc w:val="center"/>
              <w:rPr>
                <w:rFonts w:cstheme="minorHAnsi"/>
                <w:sz w:val="20"/>
                <w:szCs w:val="20"/>
                <w:lang w:val="en-US"/>
              </w:rPr>
            </w:pPr>
          </w:p>
        </w:tc>
        <w:tc>
          <w:tcPr>
            <w:tcW w:w="1002" w:type="dxa"/>
            <w:tcBorders>
              <w:left w:val="single" w:sz="4" w:space="0" w:color="auto"/>
              <w:bottom w:val="nil"/>
              <w:right w:val="single" w:sz="4" w:space="0" w:color="auto"/>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4.0</w:t>
            </w:r>
          </w:p>
        </w:tc>
        <w:tc>
          <w:tcPr>
            <w:tcW w:w="850" w:type="dxa"/>
            <w:tcBorders>
              <w:top w:val="single" w:sz="4" w:space="0" w:color="auto"/>
              <w:left w:val="single" w:sz="4" w:space="0" w:color="auto"/>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5.0</w:t>
            </w:r>
          </w:p>
        </w:tc>
        <w:tc>
          <w:tcPr>
            <w:tcW w:w="714" w:type="dxa"/>
            <w:tcBorders>
              <w:top w:val="single" w:sz="4" w:space="0" w:color="auto"/>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w:t>
            </w:r>
          </w:p>
        </w:tc>
        <w:tc>
          <w:tcPr>
            <w:tcW w:w="997" w:type="dxa"/>
            <w:gridSpan w:val="3"/>
            <w:tcBorders>
              <w:top w:val="single" w:sz="4" w:space="0" w:color="auto"/>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w:t>
            </w:r>
          </w:p>
        </w:tc>
        <w:tc>
          <w:tcPr>
            <w:tcW w:w="714" w:type="dxa"/>
            <w:gridSpan w:val="2"/>
            <w:tcBorders>
              <w:top w:val="single" w:sz="4" w:space="0" w:color="auto"/>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w:t>
            </w:r>
          </w:p>
        </w:tc>
        <w:tc>
          <w:tcPr>
            <w:tcW w:w="714" w:type="dxa"/>
            <w:tcBorders>
              <w:top w:val="single" w:sz="4" w:space="0" w:color="auto"/>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w:t>
            </w:r>
          </w:p>
        </w:tc>
        <w:tc>
          <w:tcPr>
            <w:tcW w:w="714" w:type="dxa"/>
            <w:gridSpan w:val="2"/>
            <w:tcBorders>
              <w:top w:val="single" w:sz="4" w:space="0" w:color="auto"/>
              <w:bottom w:val="nil"/>
              <w:right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5.4</w:t>
            </w:r>
          </w:p>
        </w:tc>
      </w:tr>
      <w:tr w:rsidR="00B44DDC" w:rsidRPr="008A0CCD" w:rsidTr="00401AE2">
        <w:trPr>
          <w:gridBefore w:val="1"/>
          <w:gridAfter w:val="2"/>
          <w:wBefore w:w="34" w:type="dxa"/>
          <w:wAfter w:w="1847" w:type="dxa"/>
          <w:trHeight w:val="244"/>
        </w:trPr>
        <w:tc>
          <w:tcPr>
            <w:tcW w:w="1650" w:type="dxa"/>
            <w:gridSpan w:val="2"/>
            <w:tcBorders>
              <w:top w:val="nil"/>
              <w:left w:val="nil"/>
              <w:bottom w:val="nil"/>
              <w:right w:val="single" w:sz="4" w:space="0" w:color="auto"/>
            </w:tcBorders>
            <w:shd w:val="clear" w:color="auto" w:fill="auto"/>
          </w:tcPr>
          <w:p w:rsidR="0015678D" w:rsidRPr="00124F49" w:rsidRDefault="0015678D" w:rsidP="00401AE2">
            <w:pPr>
              <w:jc w:val="both"/>
              <w:rPr>
                <w:rFonts w:cstheme="minorHAnsi"/>
                <w:sz w:val="20"/>
                <w:szCs w:val="20"/>
                <w:lang w:val="en-US"/>
              </w:rPr>
            </w:pPr>
            <w:r w:rsidRPr="00124F49">
              <w:rPr>
                <w:rFonts w:cstheme="minorHAnsi"/>
                <w:sz w:val="20"/>
                <w:szCs w:val="20"/>
                <w:lang w:val="en-US"/>
              </w:rPr>
              <w:t xml:space="preserve">Asolectin +h-p7  </w:t>
            </w:r>
          </w:p>
        </w:tc>
        <w:tc>
          <w:tcPr>
            <w:tcW w:w="986" w:type="dxa"/>
            <w:tcBorders>
              <w:top w:val="nil"/>
              <w:left w:val="single" w:sz="4" w:space="0" w:color="auto"/>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0.700</w:t>
            </w:r>
          </w:p>
        </w:tc>
        <w:tc>
          <w:tcPr>
            <w:tcW w:w="1122" w:type="dxa"/>
            <w:gridSpan w:val="2"/>
            <w:tcBorders>
              <w:top w:val="nil"/>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0.236</w:t>
            </w:r>
          </w:p>
        </w:tc>
        <w:tc>
          <w:tcPr>
            <w:tcW w:w="992" w:type="dxa"/>
            <w:gridSpan w:val="2"/>
            <w:tcBorders>
              <w:top w:val="nil"/>
              <w:bottom w:val="nil"/>
              <w:right w:val="single" w:sz="4" w:space="0" w:color="auto"/>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0.064</w:t>
            </w:r>
          </w:p>
        </w:tc>
        <w:tc>
          <w:tcPr>
            <w:tcW w:w="285" w:type="dxa"/>
            <w:vMerge/>
            <w:tcBorders>
              <w:left w:val="single" w:sz="4" w:space="0" w:color="auto"/>
              <w:right w:val="single" w:sz="4" w:space="0" w:color="auto"/>
            </w:tcBorders>
          </w:tcPr>
          <w:p w:rsidR="0015678D" w:rsidRPr="00124F49" w:rsidRDefault="0015678D" w:rsidP="00401AE2">
            <w:pPr>
              <w:jc w:val="center"/>
              <w:rPr>
                <w:rFonts w:cstheme="minorHAnsi"/>
                <w:sz w:val="20"/>
                <w:szCs w:val="20"/>
                <w:lang w:val="en-US"/>
              </w:rPr>
            </w:pPr>
          </w:p>
        </w:tc>
        <w:tc>
          <w:tcPr>
            <w:tcW w:w="1002" w:type="dxa"/>
            <w:tcBorders>
              <w:top w:val="nil"/>
              <w:left w:val="single" w:sz="4" w:space="0" w:color="auto"/>
              <w:bottom w:val="nil"/>
              <w:right w:val="single" w:sz="4" w:space="0" w:color="auto"/>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6.1</w:t>
            </w:r>
          </w:p>
        </w:tc>
        <w:tc>
          <w:tcPr>
            <w:tcW w:w="850" w:type="dxa"/>
            <w:tcBorders>
              <w:top w:val="nil"/>
              <w:left w:val="single" w:sz="4" w:space="0" w:color="auto"/>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5.2</w:t>
            </w:r>
          </w:p>
        </w:tc>
        <w:tc>
          <w:tcPr>
            <w:tcW w:w="714" w:type="dxa"/>
            <w:tcBorders>
              <w:top w:val="nil"/>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37.4</w:t>
            </w:r>
          </w:p>
        </w:tc>
        <w:tc>
          <w:tcPr>
            <w:tcW w:w="997" w:type="dxa"/>
            <w:gridSpan w:val="3"/>
            <w:tcBorders>
              <w:top w:val="nil"/>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0.96</w:t>
            </w:r>
          </w:p>
        </w:tc>
        <w:tc>
          <w:tcPr>
            <w:tcW w:w="714" w:type="dxa"/>
            <w:gridSpan w:val="2"/>
            <w:tcBorders>
              <w:top w:val="nil"/>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0.92</w:t>
            </w:r>
          </w:p>
        </w:tc>
        <w:tc>
          <w:tcPr>
            <w:tcW w:w="714" w:type="dxa"/>
            <w:tcBorders>
              <w:top w:val="nil"/>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6.7</w:t>
            </w:r>
          </w:p>
        </w:tc>
        <w:tc>
          <w:tcPr>
            <w:tcW w:w="714" w:type="dxa"/>
            <w:gridSpan w:val="2"/>
            <w:tcBorders>
              <w:top w:val="nil"/>
              <w:bottom w:val="nil"/>
              <w:right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8.8</w:t>
            </w:r>
          </w:p>
        </w:tc>
      </w:tr>
      <w:tr w:rsidR="00B44DDC" w:rsidRPr="008A0CCD" w:rsidTr="00401AE2">
        <w:trPr>
          <w:gridBefore w:val="1"/>
          <w:gridAfter w:val="2"/>
          <w:wBefore w:w="34" w:type="dxa"/>
          <w:wAfter w:w="1847" w:type="dxa"/>
          <w:trHeight w:val="84"/>
        </w:trPr>
        <w:tc>
          <w:tcPr>
            <w:tcW w:w="1650" w:type="dxa"/>
            <w:gridSpan w:val="2"/>
            <w:tcBorders>
              <w:top w:val="nil"/>
              <w:left w:val="nil"/>
              <w:bottom w:val="single" w:sz="4" w:space="0" w:color="auto"/>
              <w:right w:val="single" w:sz="4" w:space="0" w:color="auto"/>
            </w:tcBorders>
            <w:shd w:val="clear" w:color="auto" w:fill="auto"/>
          </w:tcPr>
          <w:p w:rsidR="0015678D" w:rsidRPr="00124F49" w:rsidRDefault="0015678D" w:rsidP="00401AE2">
            <w:pPr>
              <w:jc w:val="both"/>
              <w:rPr>
                <w:rFonts w:cstheme="minorHAnsi"/>
                <w:sz w:val="20"/>
                <w:szCs w:val="20"/>
                <w:lang w:val="en-US"/>
              </w:rPr>
            </w:pPr>
            <w:r w:rsidRPr="00124F49">
              <w:rPr>
                <w:rFonts w:cstheme="minorHAnsi"/>
                <w:sz w:val="20"/>
                <w:szCs w:val="20"/>
                <w:lang w:val="en-US"/>
              </w:rPr>
              <w:t xml:space="preserve">Asolectin +d-p7  </w:t>
            </w:r>
          </w:p>
        </w:tc>
        <w:tc>
          <w:tcPr>
            <w:tcW w:w="986" w:type="dxa"/>
            <w:tcBorders>
              <w:top w:val="nil"/>
              <w:left w:val="single" w:sz="4" w:space="0" w:color="auto"/>
              <w:bottom w:val="single" w:sz="4" w:space="0" w:color="auto"/>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0.798</w:t>
            </w:r>
          </w:p>
        </w:tc>
        <w:tc>
          <w:tcPr>
            <w:tcW w:w="1122" w:type="dxa"/>
            <w:gridSpan w:val="2"/>
            <w:tcBorders>
              <w:top w:val="nil"/>
              <w:bottom w:val="single" w:sz="4" w:space="0" w:color="auto"/>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0.128</w:t>
            </w:r>
          </w:p>
        </w:tc>
        <w:tc>
          <w:tcPr>
            <w:tcW w:w="992" w:type="dxa"/>
            <w:gridSpan w:val="2"/>
            <w:tcBorders>
              <w:top w:val="nil"/>
              <w:bottom w:val="single" w:sz="4" w:space="0" w:color="auto"/>
              <w:right w:val="single" w:sz="4" w:space="0" w:color="auto"/>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0.074</w:t>
            </w:r>
          </w:p>
        </w:tc>
        <w:tc>
          <w:tcPr>
            <w:tcW w:w="285" w:type="dxa"/>
            <w:vMerge/>
            <w:tcBorders>
              <w:left w:val="single" w:sz="4" w:space="0" w:color="auto"/>
              <w:bottom w:val="single" w:sz="4" w:space="0" w:color="auto"/>
              <w:right w:val="single" w:sz="4" w:space="0" w:color="auto"/>
            </w:tcBorders>
          </w:tcPr>
          <w:p w:rsidR="0015678D" w:rsidRPr="00124F49" w:rsidRDefault="0015678D" w:rsidP="00401AE2">
            <w:pPr>
              <w:jc w:val="center"/>
              <w:rPr>
                <w:rFonts w:cstheme="minorHAnsi"/>
                <w:sz w:val="20"/>
                <w:szCs w:val="20"/>
                <w:lang w:val="en-US"/>
              </w:rPr>
            </w:pPr>
          </w:p>
        </w:tc>
        <w:tc>
          <w:tcPr>
            <w:tcW w:w="1002" w:type="dxa"/>
            <w:tcBorders>
              <w:top w:val="nil"/>
              <w:left w:val="single" w:sz="4" w:space="0" w:color="auto"/>
              <w:bottom w:val="single" w:sz="4" w:space="0" w:color="auto"/>
              <w:right w:val="single" w:sz="4" w:space="0" w:color="auto"/>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6.2</w:t>
            </w:r>
          </w:p>
        </w:tc>
        <w:tc>
          <w:tcPr>
            <w:tcW w:w="850" w:type="dxa"/>
            <w:tcBorders>
              <w:top w:val="nil"/>
              <w:left w:val="single" w:sz="4" w:space="0" w:color="auto"/>
              <w:bottom w:val="single" w:sz="4" w:space="0" w:color="auto"/>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9.2</w:t>
            </w:r>
          </w:p>
        </w:tc>
        <w:tc>
          <w:tcPr>
            <w:tcW w:w="714" w:type="dxa"/>
            <w:tcBorders>
              <w:top w:val="nil"/>
              <w:bottom w:val="single" w:sz="4" w:space="0" w:color="auto"/>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30.0</w:t>
            </w:r>
          </w:p>
        </w:tc>
        <w:tc>
          <w:tcPr>
            <w:tcW w:w="997" w:type="dxa"/>
            <w:gridSpan w:val="3"/>
            <w:tcBorders>
              <w:top w:val="nil"/>
              <w:bottom w:val="single" w:sz="4" w:space="0" w:color="auto"/>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3.20</w:t>
            </w:r>
          </w:p>
        </w:tc>
        <w:tc>
          <w:tcPr>
            <w:tcW w:w="714" w:type="dxa"/>
            <w:gridSpan w:val="2"/>
            <w:tcBorders>
              <w:top w:val="nil"/>
              <w:bottom w:val="single" w:sz="4" w:space="0" w:color="auto"/>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88</w:t>
            </w:r>
          </w:p>
        </w:tc>
        <w:tc>
          <w:tcPr>
            <w:tcW w:w="714" w:type="dxa"/>
            <w:tcBorders>
              <w:top w:val="nil"/>
              <w:bottom w:val="single" w:sz="4" w:space="0" w:color="auto"/>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15.0</w:t>
            </w:r>
          </w:p>
        </w:tc>
        <w:tc>
          <w:tcPr>
            <w:tcW w:w="714" w:type="dxa"/>
            <w:gridSpan w:val="2"/>
            <w:tcBorders>
              <w:top w:val="nil"/>
              <w:bottom w:val="single" w:sz="4" w:space="0" w:color="auto"/>
              <w:right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10.0</w:t>
            </w:r>
          </w:p>
        </w:tc>
      </w:tr>
      <w:tr w:rsidR="00B44DDC" w:rsidRPr="008A0CCD" w:rsidTr="00401AE2">
        <w:trPr>
          <w:gridAfter w:val="3"/>
          <w:wAfter w:w="2475" w:type="dxa"/>
          <w:trHeight w:val="84"/>
        </w:trPr>
        <w:tc>
          <w:tcPr>
            <w:tcW w:w="250" w:type="dxa"/>
            <w:gridSpan w:val="2"/>
            <w:tcBorders>
              <w:top w:val="single" w:sz="4" w:space="0" w:color="auto"/>
              <w:left w:val="nil"/>
              <w:bottom w:val="single" w:sz="4" w:space="0" w:color="auto"/>
              <w:right w:val="nil"/>
            </w:tcBorders>
          </w:tcPr>
          <w:p w:rsidR="0015678D" w:rsidRPr="00B44DDC" w:rsidRDefault="0015678D" w:rsidP="00401AE2">
            <w:pPr>
              <w:rPr>
                <w:rFonts w:cstheme="minorHAnsi"/>
                <w:sz w:val="20"/>
                <w:szCs w:val="20"/>
                <w:lang w:val="en-US"/>
              </w:rPr>
            </w:pPr>
          </w:p>
        </w:tc>
        <w:tc>
          <w:tcPr>
            <w:tcW w:w="9896" w:type="dxa"/>
            <w:gridSpan w:val="17"/>
            <w:tcBorders>
              <w:top w:val="single" w:sz="4" w:space="0" w:color="auto"/>
              <w:left w:val="nil"/>
              <w:bottom w:val="single" w:sz="4" w:space="0" w:color="auto"/>
              <w:right w:val="nil"/>
            </w:tcBorders>
            <w:shd w:val="clear" w:color="auto" w:fill="auto"/>
          </w:tcPr>
          <w:p w:rsidR="0015678D" w:rsidRPr="00B44DDC" w:rsidRDefault="0015678D" w:rsidP="00401AE2">
            <w:pPr>
              <w:rPr>
                <w:rFonts w:cstheme="minorHAnsi"/>
                <w:sz w:val="20"/>
                <w:szCs w:val="20"/>
                <w:lang w:val="en-US"/>
              </w:rPr>
            </w:pPr>
            <w:r w:rsidRPr="00B44DDC">
              <w:rPr>
                <w:rFonts w:cstheme="minorHAnsi"/>
                <w:sz w:val="20"/>
                <w:szCs w:val="20"/>
                <w:lang w:val="en-US"/>
              </w:rPr>
              <w:t>Conical protein model</w:t>
            </w:r>
          </w:p>
          <w:p w:rsidR="0015678D" w:rsidRPr="00B44DDC" w:rsidRDefault="0015678D" w:rsidP="00401AE2">
            <w:pPr>
              <w:rPr>
                <w:rFonts w:cstheme="minorHAnsi"/>
                <w:sz w:val="20"/>
                <w:szCs w:val="20"/>
                <w:lang w:val="en-US"/>
              </w:rPr>
            </w:pPr>
            <w:r w:rsidRPr="00B44DDC">
              <w:rPr>
                <w:rFonts w:cstheme="minorHAnsi"/>
                <w:sz w:val="20"/>
                <w:szCs w:val="20"/>
                <w:lang w:val="en-US"/>
              </w:rPr>
              <w:t>Asolectin +d-p7</w:t>
            </w:r>
          </w:p>
        </w:tc>
      </w:tr>
      <w:tr w:rsidR="00B44DDC" w:rsidRPr="008A0CCD" w:rsidTr="00401AE2">
        <w:trPr>
          <w:gridBefore w:val="1"/>
          <w:gridAfter w:val="2"/>
          <w:wBefore w:w="34" w:type="dxa"/>
          <w:wAfter w:w="1847" w:type="dxa"/>
          <w:trHeight w:val="84"/>
        </w:trPr>
        <w:tc>
          <w:tcPr>
            <w:tcW w:w="1650" w:type="dxa"/>
            <w:gridSpan w:val="2"/>
            <w:tcBorders>
              <w:top w:val="single" w:sz="4" w:space="0" w:color="auto"/>
              <w:left w:val="nil"/>
              <w:bottom w:val="nil"/>
              <w:right w:val="single" w:sz="4" w:space="0" w:color="auto"/>
            </w:tcBorders>
            <w:shd w:val="clear" w:color="auto" w:fill="auto"/>
          </w:tcPr>
          <w:p w:rsidR="0015678D" w:rsidRPr="00124F49" w:rsidRDefault="0015678D" w:rsidP="00401AE2">
            <w:pPr>
              <w:rPr>
                <w:rFonts w:cstheme="minorHAnsi"/>
                <w:sz w:val="20"/>
                <w:szCs w:val="20"/>
                <w:lang w:val="en-US"/>
              </w:rPr>
            </w:pPr>
            <w:r w:rsidRPr="00124F49">
              <w:rPr>
                <w:rFonts w:cstheme="minorHAnsi"/>
                <w:sz w:val="20"/>
                <w:szCs w:val="20"/>
                <w:lang w:val="en-US"/>
              </w:rPr>
              <w:t>Heads (inner)</w:t>
            </w:r>
          </w:p>
        </w:tc>
        <w:tc>
          <w:tcPr>
            <w:tcW w:w="986" w:type="dxa"/>
            <w:tcBorders>
              <w:top w:val="single" w:sz="4" w:space="0" w:color="auto"/>
              <w:left w:val="single" w:sz="4" w:space="0" w:color="auto"/>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0.863</w:t>
            </w:r>
          </w:p>
        </w:tc>
        <w:tc>
          <w:tcPr>
            <w:tcW w:w="1122" w:type="dxa"/>
            <w:gridSpan w:val="2"/>
            <w:tcBorders>
              <w:top w:val="single" w:sz="4" w:space="0" w:color="auto"/>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0.062</w:t>
            </w:r>
          </w:p>
        </w:tc>
        <w:tc>
          <w:tcPr>
            <w:tcW w:w="992" w:type="dxa"/>
            <w:gridSpan w:val="2"/>
            <w:tcBorders>
              <w:top w:val="single" w:sz="4" w:space="0" w:color="auto"/>
              <w:bottom w:val="nil"/>
              <w:right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0.075</w:t>
            </w:r>
          </w:p>
        </w:tc>
        <w:tc>
          <w:tcPr>
            <w:tcW w:w="285" w:type="dxa"/>
            <w:tcBorders>
              <w:top w:val="single" w:sz="4" w:space="0" w:color="auto"/>
              <w:bottom w:val="nil"/>
            </w:tcBorders>
          </w:tcPr>
          <w:p w:rsidR="0015678D" w:rsidRPr="00124F49" w:rsidRDefault="0015678D" w:rsidP="00401AE2">
            <w:pPr>
              <w:jc w:val="center"/>
              <w:rPr>
                <w:rFonts w:cstheme="minorHAnsi"/>
                <w:sz w:val="20"/>
                <w:szCs w:val="20"/>
                <w:lang w:val="en-US"/>
              </w:rPr>
            </w:pPr>
          </w:p>
        </w:tc>
        <w:tc>
          <w:tcPr>
            <w:tcW w:w="1002" w:type="dxa"/>
            <w:tcBorders>
              <w:top w:val="single" w:sz="4" w:space="0" w:color="auto"/>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6.2</w:t>
            </w:r>
          </w:p>
        </w:tc>
        <w:tc>
          <w:tcPr>
            <w:tcW w:w="850" w:type="dxa"/>
            <w:tcBorders>
              <w:top w:val="single" w:sz="4" w:space="0" w:color="auto"/>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7.7</w:t>
            </w:r>
          </w:p>
        </w:tc>
        <w:tc>
          <w:tcPr>
            <w:tcW w:w="714" w:type="dxa"/>
            <w:tcBorders>
              <w:top w:val="single" w:sz="4" w:space="0" w:color="auto"/>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40.9</w:t>
            </w:r>
          </w:p>
        </w:tc>
        <w:tc>
          <w:tcPr>
            <w:tcW w:w="997" w:type="dxa"/>
            <w:gridSpan w:val="3"/>
            <w:tcBorders>
              <w:top w:val="single" w:sz="4" w:space="0" w:color="auto"/>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3.35</w:t>
            </w:r>
          </w:p>
        </w:tc>
        <w:tc>
          <w:tcPr>
            <w:tcW w:w="714" w:type="dxa"/>
            <w:gridSpan w:val="2"/>
            <w:tcBorders>
              <w:top w:val="single" w:sz="4" w:space="0" w:color="auto"/>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92</w:t>
            </w:r>
          </w:p>
        </w:tc>
        <w:tc>
          <w:tcPr>
            <w:tcW w:w="714" w:type="dxa"/>
            <w:tcBorders>
              <w:top w:val="single" w:sz="4" w:space="0" w:color="auto"/>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15.0</w:t>
            </w:r>
          </w:p>
        </w:tc>
        <w:tc>
          <w:tcPr>
            <w:tcW w:w="714" w:type="dxa"/>
            <w:gridSpan w:val="2"/>
            <w:tcBorders>
              <w:top w:val="single" w:sz="4" w:space="0" w:color="auto"/>
              <w:bottom w:val="nil"/>
              <w:right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2.7</w:t>
            </w:r>
          </w:p>
        </w:tc>
      </w:tr>
      <w:tr w:rsidR="00B44DDC" w:rsidRPr="008A0CCD" w:rsidTr="00401AE2">
        <w:trPr>
          <w:gridBefore w:val="1"/>
          <w:gridAfter w:val="2"/>
          <w:wBefore w:w="34" w:type="dxa"/>
          <w:wAfter w:w="1847" w:type="dxa"/>
          <w:trHeight w:val="84"/>
        </w:trPr>
        <w:tc>
          <w:tcPr>
            <w:tcW w:w="1650" w:type="dxa"/>
            <w:gridSpan w:val="2"/>
            <w:tcBorders>
              <w:top w:val="nil"/>
              <w:left w:val="nil"/>
              <w:bottom w:val="nil"/>
              <w:right w:val="single" w:sz="4" w:space="0" w:color="auto"/>
            </w:tcBorders>
            <w:shd w:val="clear" w:color="auto" w:fill="auto"/>
          </w:tcPr>
          <w:p w:rsidR="0015678D" w:rsidRPr="00124F49" w:rsidRDefault="0015678D" w:rsidP="00401AE2">
            <w:pPr>
              <w:rPr>
                <w:rFonts w:cstheme="minorHAnsi"/>
                <w:sz w:val="20"/>
                <w:szCs w:val="20"/>
                <w:lang w:val="en-US"/>
              </w:rPr>
            </w:pPr>
            <w:r w:rsidRPr="00124F49">
              <w:rPr>
                <w:rFonts w:cstheme="minorHAnsi"/>
                <w:sz w:val="20"/>
                <w:szCs w:val="20"/>
                <w:lang w:val="en-US"/>
              </w:rPr>
              <w:t>Tails</w:t>
            </w:r>
          </w:p>
        </w:tc>
        <w:tc>
          <w:tcPr>
            <w:tcW w:w="986" w:type="dxa"/>
            <w:tcBorders>
              <w:top w:val="nil"/>
              <w:left w:val="single" w:sz="4" w:space="0" w:color="auto"/>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0.794</w:t>
            </w:r>
          </w:p>
        </w:tc>
        <w:tc>
          <w:tcPr>
            <w:tcW w:w="1122" w:type="dxa"/>
            <w:gridSpan w:val="2"/>
            <w:tcBorders>
              <w:top w:val="nil"/>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0.130</w:t>
            </w:r>
          </w:p>
        </w:tc>
        <w:tc>
          <w:tcPr>
            <w:tcW w:w="992" w:type="dxa"/>
            <w:gridSpan w:val="2"/>
            <w:tcBorders>
              <w:top w:val="nil"/>
              <w:bottom w:val="nil"/>
              <w:right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0.075</w:t>
            </w:r>
          </w:p>
        </w:tc>
        <w:tc>
          <w:tcPr>
            <w:tcW w:w="285" w:type="dxa"/>
            <w:tcBorders>
              <w:top w:val="nil"/>
              <w:bottom w:val="nil"/>
            </w:tcBorders>
          </w:tcPr>
          <w:p w:rsidR="0015678D" w:rsidRPr="00124F49" w:rsidRDefault="0015678D" w:rsidP="00401AE2">
            <w:pPr>
              <w:jc w:val="center"/>
              <w:rPr>
                <w:rFonts w:cstheme="minorHAnsi"/>
                <w:sz w:val="20"/>
                <w:szCs w:val="20"/>
                <w:lang w:val="en-US"/>
              </w:rPr>
            </w:pPr>
          </w:p>
        </w:tc>
        <w:tc>
          <w:tcPr>
            <w:tcW w:w="1002" w:type="dxa"/>
            <w:tcBorders>
              <w:top w:val="nil"/>
              <w:bottom w:val="nil"/>
            </w:tcBorders>
          </w:tcPr>
          <w:p w:rsidR="0015678D" w:rsidRPr="00124F49" w:rsidRDefault="0015678D" w:rsidP="00401AE2">
            <w:pPr>
              <w:jc w:val="center"/>
              <w:rPr>
                <w:rFonts w:cstheme="minorHAnsi"/>
                <w:sz w:val="20"/>
                <w:szCs w:val="20"/>
                <w:lang w:val="en-US"/>
              </w:rPr>
            </w:pPr>
          </w:p>
        </w:tc>
        <w:tc>
          <w:tcPr>
            <w:tcW w:w="850" w:type="dxa"/>
            <w:tcBorders>
              <w:top w:val="nil"/>
              <w:bottom w:val="nil"/>
            </w:tcBorders>
          </w:tcPr>
          <w:p w:rsidR="0015678D" w:rsidRPr="00124F49" w:rsidRDefault="0015678D" w:rsidP="00401AE2">
            <w:pPr>
              <w:jc w:val="center"/>
              <w:rPr>
                <w:rFonts w:cstheme="minorHAnsi"/>
                <w:sz w:val="20"/>
                <w:szCs w:val="20"/>
                <w:lang w:val="en-US"/>
              </w:rPr>
            </w:pPr>
          </w:p>
        </w:tc>
        <w:tc>
          <w:tcPr>
            <w:tcW w:w="714" w:type="dxa"/>
            <w:tcBorders>
              <w:top w:val="nil"/>
              <w:bottom w:val="nil"/>
            </w:tcBorders>
          </w:tcPr>
          <w:p w:rsidR="0015678D" w:rsidRPr="00124F49" w:rsidRDefault="0015678D" w:rsidP="00401AE2">
            <w:pPr>
              <w:jc w:val="center"/>
              <w:rPr>
                <w:rFonts w:cstheme="minorHAnsi"/>
                <w:sz w:val="20"/>
                <w:szCs w:val="20"/>
                <w:lang w:val="en-US"/>
              </w:rPr>
            </w:pPr>
          </w:p>
        </w:tc>
        <w:tc>
          <w:tcPr>
            <w:tcW w:w="997" w:type="dxa"/>
            <w:gridSpan w:val="3"/>
            <w:tcBorders>
              <w:top w:val="nil"/>
              <w:bottom w:val="nil"/>
            </w:tcBorders>
          </w:tcPr>
          <w:p w:rsidR="0015678D" w:rsidRPr="00124F49" w:rsidRDefault="0015678D" w:rsidP="00401AE2">
            <w:pPr>
              <w:jc w:val="center"/>
              <w:rPr>
                <w:rFonts w:cstheme="minorHAnsi"/>
                <w:sz w:val="20"/>
                <w:szCs w:val="20"/>
                <w:lang w:val="en-US"/>
              </w:rPr>
            </w:pPr>
          </w:p>
        </w:tc>
        <w:tc>
          <w:tcPr>
            <w:tcW w:w="714" w:type="dxa"/>
            <w:gridSpan w:val="2"/>
            <w:tcBorders>
              <w:top w:val="nil"/>
              <w:bottom w:val="nil"/>
            </w:tcBorders>
          </w:tcPr>
          <w:p w:rsidR="0015678D" w:rsidRPr="00124F49" w:rsidRDefault="0015678D" w:rsidP="00401AE2">
            <w:pPr>
              <w:jc w:val="center"/>
              <w:rPr>
                <w:rFonts w:cstheme="minorHAnsi"/>
                <w:sz w:val="20"/>
                <w:szCs w:val="20"/>
                <w:lang w:val="en-US"/>
              </w:rPr>
            </w:pPr>
          </w:p>
        </w:tc>
        <w:tc>
          <w:tcPr>
            <w:tcW w:w="714" w:type="dxa"/>
            <w:tcBorders>
              <w:top w:val="nil"/>
              <w:bottom w:val="nil"/>
            </w:tcBorders>
          </w:tcPr>
          <w:p w:rsidR="0015678D" w:rsidRPr="00124F49" w:rsidRDefault="0015678D" w:rsidP="00401AE2">
            <w:pPr>
              <w:jc w:val="center"/>
              <w:rPr>
                <w:rFonts w:cstheme="minorHAnsi"/>
                <w:sz w:val="20"/>
                <w:szCs w:val="20"/>
                <w:lang w:val="en-US"/>
              </w:rPr>
            </w:pPr>
          </w:p>
        </w:tc>
        <w:tc>
          <w:tcPr>
            <w:tcW w:w="714" w:type="dxa"/>
            <w:gridSpan w:val="2"/>
            <w:tcBorders>
              <w:top w:val="nil"/>
              <w:bottom w:val="nil"/>
              <w:right w:val="nil"/>
            </w:tcBorders>
          </w:tcPr>
          <w:p w:rsidR="0015678D" w:rsidRPr="00124F49" w:rsidRDefault="0015678D" w:rsidP="00401AE2">
            <w:pPr>
              <w:jc w:val="center"/>
              <w:rPr>
                <w:rFonts w:cstheme="minorHAnsi"/>
                <w:sz w:val="20"/>
                <w:szCs w:val="20"/>
                <w:lang w:val="en-US"/>
              </w:rPr>
            </w:pPr>
          </w:p>
        </w:tc>
      </w:tr>
      <w:tr w:rsidR="00B44DDC" w:rsidRPr="008A0CCD" w:rsidTr="00401AE2">
        <w:trPr>
          <w:gridBefore w:val="1"/>
          <w:gridAfter w:val="2"/>
          <w:wBefore w:w="34" w:type="dxa"/>
          <w:wAfter w:w="1847" w:type="dxa"/>
          <w:trHeight w:val="84"/>
        </w:trPr>
        <w:tc>
          <w:tcPr>
            <w:tcW w:w="1650" w:type="dxa"/>
            <w:gridSpan w:val="2"/>
            <w:tcBorders>
              <w:top w:val="nil"/>
              <w:left w:val="nil"/>
              <w:bottom w:val="nil"/>
              <w:right w:val="single" w:sz="4" w:space="0" w:color="auto"/>
            </w:tcBorders>
            <w:shd w:val="clear" w:color="auto" w:fill="auto"/>
          </w:tcPr>
          <w:p w:rsidR="0015678D" w:rsidRPr="00124F49" w:rsidRDefault="0015678D" w:rsidP="00401AE2">
            <w:pPr>
              <w:rPr>
                <w:rFonts w:cstheme="minorHAnsi"/>
                <w:sz w:val="20"/>
                <w:szCs w:val="20"/>
                <w:lang w:val="en-US"/>
              </w:rPr>
            </w:pPr>
            <w:r w:rsidRPr="00124F49">
              <w:rPr>
                <w:rFonts w:cstheme="minorHAnsi"/>
                <w:sz w:val="20"/>
                <w:szCs w:val="20"/>
                <w:lang w:val="en-US"/>
              </w:rPr>
              <w:t>Heads (outer)</w:t>
            </w:r>
          </w:p>
        </w:tc>
        <w:tc>
          <w:tcPr>
            <w:tcW w:w="986" w:type="dxa"/>
            <w:tcBorders>
              <w:top w:val="nil"/>
              <w:left w:val="single" w:sz="4" w:space="0" w:color="auto"/>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0.750</w:t>
            </w:r>
          </w:p>
        </w:tc>
        <w:tc>
          <w:tcPr>
            <w:tcW w:w="1122" w:type="dxa"/>
            <w:gridSpan w:val="2"/>
            <w:tcBorders>
              <w:top w:val="nil"/>
              <w:bottom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0.174</w:t>
            </w:r>
          </w:p>
        </w:tc>
        <w:tc>
          <w:tcPr>
            <w:tcW w:w="992" w:type="dxa"/>
            <w:gridSpan w:val="2"/>
            <w:tcBorders>
              <w:top w:val="nil"/>
              <w:bottom w:val="nil"/>
              <w:right w:val="nil"/>
            </w:tcBorders>
          </w:tcPr>
          <w:p w:rsidR="0015678D" w:rsidRPr="00124F49" w:rsidRDefault="0015678D" w:rsidP="00401AE2">
            <w:pPr>
              <w:jc w:val="center"/>
              <w:rPr>
                <w:rFonts w:cstheme="minorHAnsi"/>
                <w:sz w:val="20"/>
                <w:szCs w:val="20"/>
                <w:lang w:val="en-US"/>
              </w:rPr>
            </w:pPr>
            <w:r w:rsidRPr="00124F49">
              <w:rPr>
                <w:rFonts w:cstheme="minorHAnsi"/>
                <w:sz w:val="20"/>
                <w:szCs w:val="20"/>
                <w:lang w:val="en-US"/>
              </w:rPr>
              <w:t>0.075</w:t>
            </w:r>
          </w:p>
        </w:tc>
        <w:tc>
          <w:tcPr>
            <w:tcW w:w="285" w:type="dxa"/>
            <w:tcBorders>
              <w:top w:val="nil"/>
              <w:bottom w:val="nil"/>
            </w:tcBorders>
          </w:tcPr>
          <w:p w:rsidR="0015678D" w:rsidRPr="00124F49" w:rsidRDefault="0015678D" w:rsidP="00401AE2">
            <w:pPr>
              <w:jc w:val="center"/>
              <w:rPr>
                <w:rFonts w:cstheme="minorHAnsi"/>
                <w:sz w:val="20"/>
                <w:szCs w:val="20"/>
                <w:lang w:val="en-US"/>
              </w:rPr>
            </w:pPr>
          </w:p>
        </w:tc>
        <w:tc>
          <w:tcPr>
            <w:tcW w:w="1002" w:type="dxa"/>
            <w:tcBorders>
              <w:top w:val="nil"/>
              <w:bottom w:val="nil"/>
            </w:tcBorders>
          </w:tcPr>
          <w:p w:rsidR="0015678D" w:rsidRPr="00124F49" w:rsidRDefault="0015678D" w:rsidP="00401AE2">
            <w:pPr>
              <w:jc w:val="center"/>
              <w:rPr>
                <w:rFonts w:cstheme="minorHAnsi"/>
                <w:sz w:val="20"/>
                <w:szCs w:val="20"/>
                <w:lang w:val="en-US"/>
              </w:rPr>
            </w:pPr>
          </w:p>
        </w:tc>
        <w:tc>
          <w:tcPr>
            <w:tcW w:w="850" w:type="dxa"/>
            <w:tcBorders>
              <w:top w:val="nil"/>
              <w:bottom w:val="nil"/>
            </w:tcBorders>
          </w:tcPr>
          <w:p w:rsidR="0015678D" w:rsidRPr="00124F49" w:rsidRDefault="0015678D" w:rsidP="00401AE2">
            <w:pPr>
              <w:jc w:val="center"/>
              <w:rPr>
                <w:rFonts w:cstheme="minorHAnsi"/>
                <w:sz w:val="20"/>
                <w:szCs w:val="20"/>
                <w:lang w:val="en-US"/>
              </w:rPr>
            </w:pPr>
          </w:p>
        </w:tc>
        <w:tc>
          <w:tcPr>
            <w:tcW w:w="714" w:type="dxa"/>
            <w:tcBorders>
              <w:top w:val="nil"/>
              <w:bottom w:val="nil"/>
            </w:tcBorders>
          </w:tcPr>
          <w:p w:rsidR="0015678D" w:rsidRPr="00124F49" w:rsidRDefault="0015678D" w:rsidP="00401AE2">
            <w:pPr>
              <w:jc w:val="center"/>
              <w:rPr>
                <w:rFonts w:cstheme="minorHAnsi"/>
                <w:sz w:val="20"/>
                <w:szCs w:val="20"/>
                <w:lang w:val="en-US"/>
              </w:rPr>
            </w:pPr>
          </w:p>
        </w:tc>
        <w:tc>
          <w:tcPr>
            <w:tcW w:w="997" w:type="dxa"/>
            <w:gridSpan w:val="3"/>
            <w:tcBorders>
              <w:top w:val="nil"/>
              <w:bottom w:val="nil"/>
            </w:tcBorders>
          </w:tcPr>
          <w:p w:rsidR="0015678D" w:rsidRPr="00124F49" w:rsidRDefault="0015678D" w:rsidP="00401AE2">
            <w:pPr>
              <w:jc w:val="center"/>
              <w:rPr>
                <w:rFonts w:cstheme="minorHAnsi"/>
                <w:sz w:val="20"/>
                <w:szCs w:val="20"/>
                <w:lang w:val="en-US"/>
              </w:rPr>
            </w:pPr>
          </w:p>
        </w:tc>
        <w:tc>
          <w:tcPr>
            <w:tcW w:w="714" w:type="dxa"/>
            <w:gridSpan w:val="2"/>
            <w:tcBorders>
              <w:top w:val="nil"/>
              <w:bottom w:val="nil"/>
            </w:tcBorders>
          </w:tcPr>
          <w:p w:rsidR="0015678D" w:rsidRPr="00124F49" w:rsidRDefault="0015678D" w:rsidP="00401AE2">
            <w:pPr>
              <w:jc w:val="center"/>
              <w:rPr>
                <w:rFonts w:cstheme="minorHAnsi"/>
                <w:sz w:val="20"/>
                <w:szCs w:val="20"/>
                <w:lang w:val="en-US"/>
              </w:rPr>
            </w:pPr>
          </w:p>
        </w:tc>
        <w:tc>
          <w:tcPr>
            <w:tcW w:w="714" w:type="dxa"/>
            <w:tcBorders>
              <w:top w:val="nil"/>
              <w:bottom w:val="nil"/>
            </w:tcBorders>
          </w:tcPr>
          <w:p w:rsidR="0015678D" w:rsidRPr="00124F49" w:rsidRDefault="0015678D" w:rsidP="00401AE2">
            <w:pPr>
              <w:jc w:val="center"/>
              <w:rPr>
                <w:rFonts w:cstheme="minorHAnsi"/>
                <w:sz w:val="20"/>
                <w:szCs w:val="20"/>
                <w:lang w:val="en-US"/>
              </w:rPr>
            </w:pPr>
          </w:p>
        </w:tc>
        <w:tc>
          <w:tcPr>
            <w:tcW w:w="714" w:type="dxa"/>
            <w:gridSpan w:val="2"/>
            <w:tcBorders>
              <w:top w:val="nil"/>
              <w:bottom w:val="nil"/>
              <w:right w:val="nil"/>
            </w:tcBorders>
          </w:tcPr>
          <w:p w:rsidR="0015678D" w:rsidRPr="00124F49" w:rsidRDefault="0015678D" w:rsidP="00401AE2">
            <w:pPr>
              <w:jc w:val="center"/>
              <w:rPr>
                <w:rFonts w:cstheme="minorHAnsi"/>
                <w:sz w:val="20"/>
                <w:szCs w:val="20"/>
                <w:lang w:val="en-US"/>
              </w:rPr>
            </w:pPr>
          </w:p>
        </w:tc>
      </w:tr>
    </w:tbl>
    <w:p w:rsidR="00E86F92" w:rsidRPr="00124F49" w:rsidRDefault="00E86F92" w:rsidP="00B90A88">
      <w:pPr>
        <w:jc w:val="both"/>
        <w:rPr>
          <w:rFonts w:ascii="Arial" w:hAnsi="Arial" w:cs="Arial"/>
          <w:noProof/>
          <w:color w:val="FF0000"/>
          <w:sz w:val="19"/>
          <w:szCs w:val="19"/>
          <w:highlight w:val="yellow"/>
          <w:shd w:val="clear" w:color="auto" w:fill="FFFFFF"/>
          <w:lang w:val="en-US"/>
        </w:rPr>
      </w:pPr>
    </w:p>
    <w:p w:rsidR="0015678D" w:rsidRPr="00B44DDC" w:rsidRDefault="0015678D" w:rsidP="00B90A88">
      <w:pPr>
        <w:jc w:val="both"/>
        <w:rPr>
          <w:rFonts w:cstheme="minorHAnsi"/>
          <w:sz w:val="20"/>
          <w:szCs w:val="20"/>
          <w:lang w:val="en-US"/>
        </w:rPr>
      </w:pPr>
      <w:r w:rsidRPr="00B44DDC">
        <w:rPr>
          <w:rFonts w:cstheme="minorHAnsi"/>
          <w:sz w:val="20"/>
          <w:szCs w:val="20"/>
          <w:lang w:val="en-US"/>
        </w:rPr>
        <w:t>* Parameter error was &lt; ±0.01 without the absorbed layer.</w:t>
      </w:r>
    </w:p>
    <w:p w:rsidR="00C92189" w:rsidRDefault="00C92189" w:rsidP="00A03AA5">
      <w:pPr>
        <w:widowControl w:val="0"/>
        <w:autoSpaceDE w:val="0"/>
        <w:autoSpaceDN w:val="0"/>
        <w:adjustRightInd w:val="0"/>
        <w:spacing w:line="240" w:lineRule="auto"/>
        <w:ind w:left="640" w:hanging="640"/>
        <w:rPr>
          <w:rFonts w:ascii="Times" w:hAnsi="Times"/>
          <w:lang w:val="en-US"/>
        </w:rPr>
      </w:pPr>
    </w:p>
    <w:p w:rsidR="00E86F92" w:rsidRDefault="00E86F92" w:rsidP="00A03AA5">
      <w:pPr>
        <w:widowControl w:val="0"/>
        <w:autoSpaceDE w:val="0"/>
        <w:autoSpaceDN w:val="0"/>
        <w:adjustRightInd w:val="0"/>
        <w:spacing w:line="240" w:lineRule="auto"/>
        <w:ind w:left="640" w:hanging="640"/>
        <w:rPr>
          <w:rFonts w:ascii="Times" w:hAnsi="Times"/>
          <w:lang w:val="en-US"/>
        </w:rPr>
      </w:pPr>
    </w:p>
    <w:p w:rsidR="00E86F92" w:rsidRDefault="00E86F92" w:rsidP="00A03AA5">
      <w:pPr>
        <w:widowControl w:val="0"/>
        <w:autoSpaceDE w:val="0"/>
        <w:autoSpaceDN w:val="0"/>
        <w:adjustRightInd w:val="0"/>
        <w:spacing w:line="240" w:lineRule="auto"/>
        <w:ind w:left="640" w:hanging="640"/>
        <w:rPr>
          <w:rFonts w:ascii="Times" w:hAnsi="Times"/>
          <w:lang w:val="en-US"/>
        </w:rPr>
      </w:pPr>
    </w:p>
    <w:p w:rsidR="004E29B2" w:rsidRDefault="004E29B2">
      <w:pPr>
        <w:rPr>
          <w:b/>
          <w:lang w:val="en-CA"/>
        </w:rPr>
      </w:pPr>
    </w:p>
    <w:p w:rsidR="004E29B2" w:rsidRDefault="004E29B2">
      <w:pPr>
        <w:rPr>
          <w:b/>
          <w:lang w:val="en-CA"/>
        </w:rPr>
      </w:pPr>
      <w:r>
        <w:rPr>
          <w:b/>
          <w:lang w:val="en-CA"/>
        </w:rPr>
        <w:t>Overlay of NR data for asolectin / p7 membranes</w:t>
      </w:r>
    </w:p>
    <w:p w:rsidR="004E29B2" w:rsidRDefault="004E29B2">
      <w:pPr>
        <w:rPr>
          <w:b/>
          <w:lang w:val="en-CA"/>
        </w:rPr>
      </w:pPr>
      <w:r w:rsidRPr="003E7CC0">
        <w:rPr>
          <w:rFonts w:cstheme="minorHAnsi"/>
          <w:noProof/>
          <w:sz w:val="20"/>
          <w:szCs w:val="20"/>
          <w:lang w:val="en-GB" w:eastAsia="en-GB"/>
        </w:rPr>
        <w:drawing>
          <wp:inline distT="0" distB="0" distL="0" distR="0" wp14:anchorId="6121F455" wp14:editId="6EA750AB">
            <wp:extent cx="1799539" cy="1717887"/>
            <wp:effectExtent l="0" t="0" r="0" b="0"/>
            <wp:docPr id="7" name="Picture 7" descr="C:\Users\190732\Documents\LIPID SYSTEMS\cellfree\SciRep manuscript\aso_h2o_overl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90732\Documents\LIPID SYSTEMS\cellfree\SciRep manuscript\aso_h2o_overlay.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799878" cy="1718210"/>
                    </a:xfrm>
                    <a:prstGeom prst="rect">
                      <a:avLst/>
                    </a:prstGeom>
                    <a:noFill/>
                    <a:ln>
                      <a:noFill/>
                    </a:ln>
                    <a:extLst>
                      <a:ext uri="{53640926-AAD7-44D8-BBD7-CCE9431645EC}">
                        <a14:shadowObscured xmlns:a14="http://schemas.microsoft.com/office/drawing/2010/main"/>
                      </a:ext>
                    </a:extLst>
                  </pic:spPr>
                </pic:pic>
              </a:graphicData>
            </a:graphic>
          </wp:inline>
        </w:drawing>
      </w:r>
      <w:r w:rsidRPr="003E7CC0">
        <w:rPr>
          <w:rFonts w:cstheme="minorHAnsi"/>
          <w:noProof/>
          <w:sz w:val="20"/>
          <w:szCs w:val="20"/>
          <w:lang w:val="en-GB" w:eastAsia="en-GB"/>
        </w:rPr>
        <w:drawing>
          <wp:inline distT="0" distB="0" distL="0" distR="0" wp14:anchorId="23CEB0A0" wp14:editId="4B5AB162">
            <wp:extent cx="1828800" cy="1815116"/>
            <wp:effectExtent l="0" t="0" r="0" b="0"/>
            <wp:docPr id="5" name="Picture 5" descr="C:\Users\190732\Documents\LIPID SYSTEMS\cellfree\SciRep manuscript\aso_cmw_overl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90732\Documents\LIPID SYSTEMS\cellfree\SciRep manuscript\aso_cmw_overlay.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1806637" cy="1793119"/>
                    </a:xfrm>
                    <a:prstGeom prst="rect">
                      <a:avLst/>
                    </a:prstGeom>
                    <a:noFill/>
                    <a:ln>
                      <a:noFill/>
                    </a:ln>
                    <a:extLst>
                      <a:ext uri="{53640926-AAD7-44D8-BBD7-CCE9431645EC}">
                        <a14:shadowObscured xmlns:a14="http://schemas.microsoft.com/office/drawing/2010/main"/>
                      </a:ext>
                    </a:extLst>
                  </pic:spPr>
                </pic:pic>
              </a:graphicData>
            </a:graphic>
          </wp:inline>
        </w:drawing>
      </w:r>
      <w:r w:rsidRPr="003E7CC0">
        <w:rPr>
          <w:rFonts w:cstheme="minorHAnsi"/>
          <w:noProof/>
          <w:sz w:val="20"/>
          <w:szCs w:val="20"/>
          <w:lang w:val="en-GB" w:eastAsia="en-GB"/>
        </w:rPr>
        <w:drawing>
          <wp:inline distT="0" distB="0" distL="0" distR="0" wp14:anchorId="7153CC79" wp14:editId="36D82FED">
            <wp:extent cx="1814169" cy="1708504"/>
            <wp:effectExtent l="0" t="0" r="0" b="6350"/>
            <wp:docPr id="6" name="Picture 6" descr="C:\Users\190732\Documents\LIPID SYSTEMS\cellfree\SciRep manuscript\aso_d2o_overl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90732\Documents\LIPID SYSTEMS\cellfree\SciRep manuscript\aso_d2o_overlay.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1816139" cy="1710359"/>
                    </a:xfrm>
                    <a:prstGeom prst="rect">
                      <a:avLst/>
                    </a:prstGeom>
                    <a:noFill/>
                    <a:ln>
                      <a:noFill/>
                    </a:ln>
                    <a:extLst>
                      <a:ext uri="{53640926-AAD7-44D8-BBD7-CCE9431645EC}">
                        <a14:shadowObscured xmlns:a14="http://schemas.microsoft.com/office/drawing/2010/main"/>
                      </a:ext>
                    </a:extLst>
                  </pic:spPr>
                </pic:pic>
              </a:graphicData>
            </a:graphic>
          </wp:inline>
        </w:drawing>
      </w:r>
    </w:p>
    <w:p w:rsidR="00964FEC" w:rsidRDefault="00E86F92">
      <w:pPr>
        <w:rPr>
          <w:i/>
          <w:color w:val="FF0000"/>
          <w:lang w:val="en-US"/>
        </w:rPr>
      </w:pPr>
      <w:r w:rsidRPr="00B44DDC">
        <w:rPr>
          <w:b/>
          <w:lang w:val="en-CA"/>
        </w:rPr>
        <w:t xml:space="preserve">Figure </w:t>
      </w:r>
      <w:proofErr w:type="gramStart"/>
      <w:r w:rsidRPr="00B44DDC">
        <w:rPr>
          <w:b/>
          <w:lang w:val="en-CA"/>
        </w:rPr>
        <w:t>SI</w:t>
      </w:r>
      <w:r>
        <w:rPr>
          <w:b/>
          <w:lang w:val="en-US"/>
        </w:rPr>
        <w:t>2</w:t>
      </w:r>
      <w:r w:rsidRPr="00B44DDC">
        <w:rPr>
          <w:b/>
          <w:lang w:val="en-CA"/>
        </w:rPr>
        <w:t> :</w:t>
      </w:r>
      <w:proofErr w:type="gramEnd"/>
      <w:r w:rsidRPr="00B44DDC">
        <w:rPr>
          <w:lang w:val="en-CA"/>
        </w:rPr>
        <w:t xml:space="preserve"> </w:t>
      </w:r>
      <w:r w:rsidR="004E29B2">
        <w:rPr>
          <w:lang w:val="en-CA"/>
        </w:rPr>
        <w:t>Comparison of NR data for asolectin bilayers before (black circles) and after insertion of d-p7 (red squares) or h-p7 (blue triangles). The left panel is data measured in H</w:t>
      </w:r>
      <w:r w:rsidR="004E29B2" w:rsidRPr="003E7CC0">
        <w:rPr>
          <w:vertAlign w:val="subscript"/>
          <w:lang w:val="en-CA"/>
        </w:rPr>
        <w:t>2</w:t>
      </w:r>
      <w:r w:rsidR="004E29B2">
        <w:rPr>
          <w:lang w:val="en-CA"/>
        </w:rPr>
        <w:t>O, the center panel is data measured in quartz CMW, and the right panel is data measured in D</w:t>
      </w:r>
      <w:r w:rsidR="004E29B2" w:rsidRPr="003E7CC0">
        <w:rPr>
          <w:vertAlign w:val="subscript"/>
          <w:lang w:val="en-CA"/>
        </w:rPr>
        <w:t>2</w:t>
      </w:r>
      <w:r w:rsidR="004E29B2">
        <w:rPr>
          <w:lang w:val="en-CA"/>
        </w:rPr>
        <w:t xml:space="preserve">O. Significant differences between the bilayer with and without protein are seen for both protein contrasts and for all three water contrasts. Data is presented multiplied by </w:t>
      </w:r>
      <w:r w:rsidR="004E29B2" w:rsidRPr="003E7CC0">
        <w:rPr>
          <w:i/>
          <w:lang w:val="en-CA"/>
        </w:rPr>
        <w:t>Qz</w:t>
      </w:r>
      <w:r w:rsidR="004E29B2" w:rsidRPr="003E7CC0">
        <w:rPr>
          <w:vertAlign w:val="superscript"/>
          <w:lang w:val="en-CA"/>
        </w:rPr>
        <w:t xml:space="preserve">4 </w:t>
      </w:r>
      <w:r w:rsidR="004E29B2">
        <w:rPr>
          <w:lang w:val="en-CA"/>
        </w:rPr>
        <w:t>to best show the differences in the reflected signals.</w:t>
      </w:r>
      <w:r w:rsidR="00964FEC">
        <w:rPr>
          <w:i/>
          <w:color w:val="FF0000"/>
          <w:lang w:val="en-US"/>
        </w:rPr>
        <w:br w:type="page"/>
      </w:r>
    </w:p>
    <w:p w:rsidR="002B56B3" w:rsidRPr="00B44DDC" w:rsidRDefault="00964FEC" w:rsidP="00964FEC">
      <w:pPr>
        <w:jc w:val="both"/>
        <w:rPr>
          <w:i/>
          <w:lang w:val="en-US"/>
        </w:rPr>
      </w:pPr>
      <w:r w:rsidRPr="00B44DDC">
        <w:rPr>
          <w:i/>
          <w:lang w:val="en-US"/>
        </w:rPr>
        <w:t>Electrical Impedance Spectroscopy from p7 protein inserted into lipid bilayers</w:t>
      </w:r>
    </w:p>
    <w:p w:rsidR="000C6E93" w:rsidRPr="00A1162E" w:rsidRDefault="000C6E93" w:rsidP="00964FEC">
      <w:pPr>
        <w:jc w:val="both"/>
        <w:rPr>
          <w:i/>
          <w:color w:val="FF0000"/>
          <w:lang w:val="en-US"/>
        </w:rPr>
      </w:pPr>
    </w:p>
    <w:p w:rsidR="002B56B3" w:rsidRDefault="00964FEC" w:rsidP="00A1162E">
      <w:pPr>
        <w:widowControl w:val="0"/>
        <w:autoSpaceDE w:val="0"/>
        <w:autoSpaceDN w:val="0"/>
        <w:adjustRightInd w:val="0"/>
        <w:spacing w:line="240" w:lineRule="auto"/>
        <w:ind w:left="640" w:hanging="640"/>
        <w:rPr>
          <w:rFonts w:ascii="Times" w:hAnsi="Times"/>
          <w:color w:val="FF0000"/>
          <w:lang w:val="en-US"/>
        </w:rPr>
      </w:pPr>
      <w:r>
        <w:rPr>
          <w:rFonts w:ascii="Times" w:hAnsi="Times"/>
          <w:noProof/>
          <w:color w:val="FF0000"/>
          <w:lang w:val="en-GB" w:eastAsia="en-GB"/>
        </w:rPr>
        <w:drawing>
          <wp:inline distT="0" distB="0" distL="0" distR="0" wp14:anchorId="1EB35537" wp14:editId="60D8E8B5">
            <wp:extent cx="5287108" cy="2502773"/>
            <wp:effectExtent l="0" t="0" r="889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S bodeplots before after P7 paysage.jpg"/>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287779" cy="2503091"/>
                    </a:xfrm>
                    <a:prstGeom prst="rect">
                      <a:avLst/>
                    </a:prstGeom>
                    <a:ln>
                      <a:noFill/>
                    </a:ln>
                    <a:extLst>
                      <a:ext uri="{53640926-AAD7-44D8-BBD7-CCE9431645EC}">
                        <a14:shadowObscured xmlns:a14="http://schemas.microsoft.com/office/drawing/2010/main"/>
                      </a:ext>
                    </a:extLst>
                  </pic:spPr>
                </pic:pic>
              </a:graphicData>
            </a:graphic>
          </wp:inline>
        </w:drawing>
      </w:r>
    </w:p>
    <w:p w:rsidR="002B56B3" w:rsidRPr="00B44DDC" w:rsidRDefault="002B56B3" w:rsidP="002B56B3">
      <w:pPr>
        <w:jc w:val="both"/>
        <w:rPr>
          <w:lang w:val="en-CA"/>
        </w:rPr>
      </w:pPr>
      <w:r w:rsidRPr="00B44DDC">
        <w:rPr>
          <w:b/>
          <w:lang w:val="en-CA"/>
        </w:rPr>
        <w:t xml:space="preserve">Figure </w:t>
      </w:r>
      <w:proofErr w:type="gramStart"/>
      <w:r w:rsidR="00E86F92" w:rsidRPr="00B44DDC">
        <w:rPr>
          <w:b/>
          <w:lang w:val="en-CA"/>
        </w:rPr>
        <w:t>SI</w:t>
      </w:r>
      <w:r w:rsidR="00E86F92">
        <w:rPr>
          <w:b/>
          <w:lang w:val="en-US"/>
        </w:rPr>
        <w:t>4</w:t>
      </w:r>
      <w:r w:rsidR="00E86F92" w:rsidRPr="00B44DDC">
        <w:rPr>
          <w:b/>
          <w:lang w:val="en-CA"/>
        </w:rPr>
        <w:t> </w:t>
      </w:r>
      <w:r w:rsidRPr="00B44DDC">
        <w:rPr>
          <w:b/>
          <w:lang w:val="en-CA"/>
        </w:rPr>
        <w:t>:</w:t>
      </w:r>
      <w:proofErr w:type="gramEnd"/>
      <w:r w:rsidRPr="00B44DDC">
        <w:rPr>
          <w:lang w:val="en-CA"/>
        </w:rPr>
        <w:t xml:space="preserve"> Electrical impedance spectroscopy (EIS) spectra of an asolectin supported lipid bilayer</w:t>
      </w:r>
      <w:r w:rsidR="0019528B" w:rsidRPr="00B44DDC">
        <w:rPr>
          <w:lang w:val="en-CA"/>
        </w:rPr>
        <w:t xml:space="preserve"> of 2.1 mm</w:t>
      </w:r>
      <w:r w:rsidR="0019528B" w:rsidRPr="00B44DDC">
        <w:rPr>
          <w:vertAlign w:val="superscript"/>
          <w:lang w:val="en-CA"/>
        </w:rPr>
        <w:t>2</w:t>
      </w:r>
      <w:r w:rsidR="0019528B" w:rsidRPr="00B44DDC">
        <w:rPr>
          <w:lang w:val="en-CA"/>
        </w:rPr>
        <w:t xml:space="preserve"> in area</w:t>
      </w:r>
      <w:r w:rsidR="00B62F99" w:rsidRPr="00B44DDC">
        <w:rPr>
          <w:lang w:val="en-CA"/>
        </w:rPr>
        <w:t>. The Bode plots are the spectra</w:t>
      </w:r>
      <w:r w:rsidRPr="00B44DDC">
        <w:rPr>
          <w:lang w:val="en-CA"/>
        </w:rPr>
        <w:t xml:space="preserve"> </w:t>
      </w:r>
      <w:r w:rsidR="006F627D" w:rsidRPr="00B44DDC">
        <w:rPr>
          <w:lang w:val="en-CA"/>
        </w:rPr>
        <w:t xml:space="preserve">for </w:t>
      </w:r>
      <w:r w:rsidR="006F627D" w:rsidRPr="00B44DDC">
        <w:rPr>
          <w:b/>
          <w:lang w:val="en-CA"/>
        </w:rPr>
        <w:t>(A)</w:t>
      </w:r>
      <w:r w:rsidR="006F627D" w:rsidRPr="00B44DDC">
        <w:rPr>
          <w:lang w:val="en-CA"/>
        </w:rPr>
        <w:t xml:space="preserve"> the impedance and </w:t>
      </w:r>
      <w:r w:rsidR="006F627D" w:rsidRPr="00B44DDC">
        <w:rPr>
          <w:b/>
          <w:lang w:val="en-CA"/>
        </w:rPr>
        <w:t>(B)</w:t>
      </w:r>
      <w:r w:rsidR="006F627D" w:rsidRPr="00B44DDC">
        <w:rPr>
          <w:lang w:val="en-CA"/>
        </w:rPr>
        <w:t xml:space="preserve"> the phase </w:t>
      </w:r>
      <w:r w:rsidRPr="00B44DDC">
        <w:rPr>
          <w:lang w:val="en-CA"/>
        </w:rPr>
        <w:t xml:space="preserve">before </w:t>
      </w:r>
      <w:r w:rsidR="00D0654D" w:rsidRPr="00B44DDC">
        <w:rPr>
          <w:i/>
          <w:lang w:val="en-CA"/>
        </w:rPr>
        <w:t>(open circles)</w:t>
      </w:r>
      <w:r w:rsidR="00D0654D" w:rsidRPr="00B44DDC">
        <w:rPr>
          <w:lang w:val="en-CA"/>
        </w:rPr>
        <w:t xml:space="preserve"> </w:t>
      </w:r>
      <w:r w:rsidRPr="00B44DDC">
        <w:rPr>
          <w:lang w:val="en-CA"/>
        </w:rPr>
        <w:t xml:space="preserve">and after </w:t>
      </w:r>
      <w:r w:rsidR="00D0654D" w:rsidRPr="00B44DDC">
        <w:rPr>
          <w:i/>
          <w:lang w:val="en-CA"/>
        </w:rPr>
        <w:t>(closed circles)</w:t>
      </w:r>
      <w:r w:rsidR="00D0654D" w:rsidRPr="00B44DDC">
        <w:rPr>
          <w:lang w:val="en-CA"/>
        </w:rPr>
        <w:t xml:space="preserve"> </w:t>
      </w:r>
      <w:r w:rsidRPr="00B44DDC">
        <w:rPr>
          <w:lang w:val="en-CA"/>
        </w:rPr>
        <w:t xml:space="preserve">the direct integration of </w:t>
      </w:r>
      <w:r w:rsidR="000C6E93" w:rsidRPr="00B44DDC">
        <w:rPr>
          <w:lang w:val="en-CA"/>
        </w:rPr>
        <w:t>p</w:t>
      </w:r>
      <w:r w:rsidRPr="00B44DDC">
        <w:rPr>
          <w:lang w:val="en-CA"/>
        </w:rPr>
        <w:t>7 using the cell-free expression protocol.</w:t>
      </w:r>
      <w:r w:rsidR="00D0654D" w:rsidRPr="00B44DDC">
        <w:rPr>
          <w:lang w:val="en-CA"/>
        </w:rPr>
        <w:t xml:space="preserve"> The inset shows the equivalent circuit model for the supported bilayer. The resistor R</w:t>
      </w:r>
      <w:r w:rsidR="00D0654D" w:rsidRPr="00B44DDC">
        <w:rPr>
          <w:vertAlign w:val="subscript"/>
          <w:lang w:val="en-CA"/>
        </w:rPr>
        <w:t>s</w:t>
      </w:r>
      <w:r w:rsidR="00D0654D" w:rsidRPr="00B44DDC">
        <w:rPr>
          <w:lang w:val="en-CA"/>
        </w:rPr>
        <w:t xml:space="preserve"> models the resistance of the solutions, R</w:t>
      </w:r>
      <w:r w:rsidR="00D0654D" w:rsidRPr="00B44DDC">
        <w:rPr>
          <w:vertAlign w:val="subscript"/>
          <w:lang w:val="en-CA"/>
        </w:rPr>
        <w:t>m</w:t>
      </w:r>
      <w:r w:rsidR="00D0654D" w:rsidRPr="00B44DDC">
        <w:rPr>
          <w:lang w:val="en-CA"/>
        </w:rPr>
        <w:t xml:space="preserve"> is the resistance of the lipid bilay</w:t>
      </w:r>
      <w:r w:rsidR="00B62F99" w:rsidRPr="00B44DDC">
        <w:rPr>
          <w:lang w:val="en-CA"/>
        </w:rPr>
        <w:t>er membrane, C</w:t>
      </w:r>
      <w:r w:rsidR="00B62F99" w:rsidRPr="00B44DDC">
        <w:rPr>
          <w:vertAlign w:val="subscript"/>
          <w:lang w:val="en-CA"/>
        </w:rPr>
        <w:t>m</w:t>
      </w:r>
      <w:r w:rsidR="00B62F99" w:rsidRPr="00B44DDC">
        <w:rPr>
          <w:lang w:val="en-CA"/>
        </w:rPr>
        <w:t xml:space="preserve"> is the capacit</w:t>
      </w:r>
      <w:r w:rsidR="00D0654D" w:rsidRPr="00B44DDC">
        <w:rPr>
          <w:lang w:val="en-CA"/>
        </w:rPr>
        <w:t>ance of the lipid bilayer membrane and C</w:t>
      </w:r>
      <w:r w:rsidR="00D0654D" w:rsidRPr="00B44DDC">
        <w:rPr>
          <w:vertAlign w:val="subscript"/>
          <w:lang w:val="en-CA"/>
        </w:rPr>
        <w:t>2</w:t>
      </w:r>
      <w:r w:rsidR="00D0654D" w:rsidRPr="00B44DDC">
        <w:rPr>
          <w:lang w:val="en-CA"/>
        </w:rPr>
        <w:t xml:space="preserve"> represents the capacitance of the </w:t>
      </w:r>
      <w:r w:rsidR="00B62F99" w:rsidRPr="00B44DDC">
        <w:rPr>
          <w:lang w:val="en-CA"/>
        </w:rPr>
        <w:t xml:space="preserve">gold substrate and return electrode. </w:t>
      </w:r>
      <w:r w:rsidR="002F4F46" w:rsidRPr="00B44DDC">
        <w:rPr>
          <w:lang w:val="en-CA"/>
        </w:rPr>
        <w:t>The value for R</w:t>
      </w:r>
      <w:r w:rsidR="002F4F46" w:rsidRPr="00B44DDC">
        <w:rPr>
          <w:vertAlign w:val="subscript"/>
          <w:lang w:val="en-CA"/>
        </w:rPr>
        <w:t>s</w:t>
      </w:r>
      <w:r w:rsidR="002F4F46" w:rsidRPr="00B44DDC">
        <w:rPr>
          <w:lang w:val="en-CA"/>
        </w:rPr>
        <w:t xml:space="preserve"> (</w:t>
      </w:r>
      <w:proofErr w:type="gramStart"/>
      <w:r w:rsidR="002F4F46" w:rsidRPr="00B44DDC">
        <w:rPr>
          <w:lang w:val="en-CA"/>
        </w:rPr>
        <w:t xml:space="preserve">130 </w:t>
      </w:r>
      <w:proofErr w:type="gramEnd"/>
      <w:r w:rsidR="002F4F46" w:rsidRPr="00B44DDC">
        <w:rPr>
          <w:lang w:val="en-CA"/>
        </w:rPr>
        <w:sym w:font="Symbol" w:char="F057"/>
      </w:r>
      <w:r w:rsidR="002F4F46" w:rsidRPr="00B44DDC">
        <w:rPr>
          <w:lang w:val="en-CA"/>
        </w:rPr>
        <w:t xml:space="preserve">) obtained from that fit was fixed for the fit of the spectrum after the integration of </w:t>
      </w:r>
      <w:r w:rsidR="000C6E93" w:rsidRPr="00B44DDC">
        <w:rPr>
          <w:lang w:val="en-CA"/>
        </w:rPr>
        <w:t>p7</w:t>
      </w:r>
      <w:r w:rsidR="002F4F46" w:rsidRPr="00B44DDC">
        <w:rPr>
          <w:lang w:val="en-CA"/>
        </w:rPr>
        <w:t>. The results of the fit</w:t>
      </w:r>
      <w:r w:rsidR="0019528B" w:rsidRPr="00B44DDC">
        <w:rPr>
          <w:lang w:val="en-CA"/>
        </w:rPr>
        <w:t>s</w:t>
      </w:r>
      <w:r w:rsidR="002F4F46" w:rsidRPr="00B44DDC">
        <w:rPr>
          <w:lang w:val="en-CA"/>
        </w:rPr>
        <w:t xml:space="preserve"> to the equivalent circuit model are shown in Table SI3.</w:t>
      </w:r>
      <w:r w:rsidR="0019528B" w:rsidRPr="00B44DDC">
        <w:rPr>
          <w:lang w:val="en-CA"/>
        </w:rPr>
        <w:t xml:space="preserve"> The membrane before the integration of </w:t>
      </w:r>
      <w:r w:rsidR="000C6E93" w:rsidRPr="00B44DDC">
        <w:rPr>
          <w:lang w:val="en-CA"/>
        </w:rPr>
        <w:t>p</w:t>
      </w:r>
      <w:r w:rsidR="0019528B" w:rsidRPr="00B44DDC">
        <w:rPr>
          <w:lang w:val="en-CA"/>
        </w:rPr>
        <w:t>7 was characterised by a resistance of R</w:t>
      </w:r>
      <w:r w:rsidR="0019528B" w:rsidRPr="00B44DDC">
        <w:rPr>
          <w:vertAlign w:val="subscript"/>
          <w:lang w:val="en-CA"/>
        </w:rPr>
        <w:t>m</w:t>
      </w:r>
      <w:r w:rsidR="0019528B" w:rsidRPr="00B44DDC">
        <w:rPr>
          <w:lang w:val="en-CA"/>
        </w:rPr>
        <w:t xml:space="preserve"> = 20.2 M</w:t>
      </w:r>
      <w:r w:rsidR="0019528B" w:rsidRPr="00B44DDC">
        <w:rPr>
          <w:lang w:val="en-CA"/>
        </w:rPr>
        <w:sym w:font="Symbol" w:char="F057"/>
      </w:r>
      <w:r w:rsidR="0019528B" w:rsidRPr="00B44DDC">
        <w:rPr>
          <w:lang w:val="en-CA"/>
        </w:rPr>
        <w:t xml:space="preserve"> and a capacitance of C</w:t>
      </w:r>
      <w:r w:rsidR="0019528B" w:rsidRPr="00B44DDC">
        <w:rPr>
          <w:vertAlign w:val="subscript"/>
          <w:lang w:val="en-CA"/>
        </w:rPr>
        <w:t>m</w:t>
      </w:r>
      <w:r w:rsidR="0019528B" w:rsidRPr="00B44DDC">
        <w:rPr>
          <w:lang w:val="en-CA"/>
        </w:rPr>
        <w:t xml:space="preserve"> = </w:t>
      </w:r>
      <w:r w:rsidR="00A1162E" w:rsidRPr="00B44DDC">
        <w:rPr>
          <w:lang w:val="en-CA"/>
        </w:rPr>
        <w:t>11</w:t>
      </w:r>
      <w:r w:rsidR="0019528B" w:rsidRPr="00B44DDC">
        <w:rPr>
          <w:lang w:val="en-CA"/>
        </w:rPr>
        <w:t>.</w:t>
      </w:r>
      <w:r w:rsidR="00A1162E" w:rsidRPr="00B44DDC">
        <w:rPr>
          <w:lang w:val="en-CA"/>
        </w:rPr>
        <w:t>7</w:t>
      </w:r>
      <w:r w:rsidR="0019528B" w:rsidRPr="00B44DDC">
        <w:rPr>
          <w:lang w:val="en-CA"/>
        </w:rPr>
        <w:t xml:space="preserve"> </w:t>
      </w:r>
      <w:proofErr w:type="gramStart"/>
      <w:r w:rsidR="0019528B" w:rsidRPr="00B44DDC">
        <w:rPr>
          <w:lang w:val="en-CA"/>
        </w:rPr>
        <w:t>nF</w:t>
      </w:r>
      <w:proofErr w:type="gramEnd"/>
      <w:r w:rsidR="0019528B" w:rsidRPr="00B44DDC">
        <w:rPr>
          <w:lang w:val="en-CA"/>
        </w:rPr>
        <w:t>; with C</w:t>
      </w:r>
      <w:r w:rsidR="0019528B" w:rsidRPr="00B44DDC">
        <w:rPr>
          <w:vertAlign w:val="subscript"/>
          <w:lang w:val="en-CA"/>
        </w:rPr>
        <w:t>2</w:t>
      </w:r>
      <w:r w:rsidR="0019528B" w:rsidRPr="00B44DDC">
        <w:rPr>
          <w:lang w:val="en-CA"/>
        </w:rPr>
        <w:t xml:space="preserve"> = 110 nF. After the integration of </w:t>
      </w:r>
      <w:r w:rsidR="000C6E93" w:rsidRPr="00B44DDC">
        <w:rPr>
          <w:lang w:val="en-CA"/>
        </w:rPr>
        <w:t>p</w:t>
      </w:r>
      <w:r w:rsidR="0019528B" w:rsidRPr="00B44DDC">
        <w:rPr>
          <w:lang w:val="en-CA"/>
        </w:rPr>
        <w:t>7 the membrane became more conductive, with the membrane resistance reduced to R</w:t>
      </w:r>
      <w:r w:rsidR="0019528B" w:rsidRPr="00B44DDC">
        <w:rPr>
          <w:vertAlign w:val="subscript"/>
          <w:lang w:val="en-CA"/>
        </w:rPr>
        <w:t>m</w:t>
      </w:r>
      <w:r w:rsidR="0019528B" w:rsidRPr="00B44DDC">
        <w:rPr>
          <w:lang w:val="en-CA"/>
        </w:rPr>
        <w:t xml:space="preserve"> = </w:t>
      </w:r>
      <w:r w:rsidR="00A1162E" w:rsidRPr="00B44DDC">
        <w:rPr>
          <w:lang w:val="en-CA"/>
        </w:rPr>
        <w:t>0.0025</w:t>
      </w:r>
      <w:r w:rsidR="0019528B" w:rsidRPr="00B44DDC">
        <w:rPr>
          <w:lang w:val="en-CA"/>
        </w:rPr>
        <w:t xml:space="preserve"> </w:t>
      </w:r>
      <w:r w:rsidR="00A1162E" w:rsidRPr="00B44DDC">
        <w:rPr>
          <w:lang w:val="en-CA"/>
        </w:rPr>
        <w:t>M</w:t>
      </w:r>
      <w:r w:rsidR="0019528B" w:rsidRPr="00B44DDC">
        <w:rPr>
          <w:lang w:val="en-CA"/>
        </w:rPr>
        <w:sym w:font="Symbol" w:char="F057"/>
      </w:r>
      <w:r w:rsidR="0019528B" w:rsidRPr="00B44DDC">
        <w:rPr>
          <w:lang w:val="en-CA"/>
        </w:rPr>
        <w:t xml:space="preserve">. After the integration of </w:t>
      </w:r>
      <w:r w:rsidR="000C6E93" w:rsidRPr="00B44DDC">
        <w:rPr>
          <w:lang w:val="en-CA"/>
        </w:rPr>
        <w:t>p</w:t>
      </w:r>
      <w:r w:rsidR="0019528B" w:rsidRPr="00B44DDC">
        <w:rPr>
          <w:lang w:val="en-CA"/>
        </w:rPr>
        <w:t xml:space="preserve">7 the membrane capacitance was </w:t>
      </w:r>
      <w:r w:rsidR="00A1162E" w:rsidRPr="00B44DDC">
        <w:rPr>
          <w:lang w:val="en-CA"/>
        </w:rPr>
        <w:t>unchanged at</w:t>
      </w:r>
      <w:r w:rsidR="0019528B" w:rsidRPr="00B44DDC">
        <w:rPr>
          <w:lang w:val="en-CA"/>
        </w:rPr>
        <w:t xml:space="preserve"> C</w:t>
      </w:r>
      <w:r w:rsidR="0019528B" w:rsidRPr="00B44DDC">
        <w:rPr>
          <w:vertAlign w:val="subscript"/>
          <w:lang w:val="en-CA"/>
        </w:rPr>
        <w:t>m</w:t>
      </w:r>
      <w:r w:rsidR="0019528B" w:rsidRPr="00B44DDC">
        <w:rPr>
          <w:lang w:val="en-CA"/>
        </w:rPr>
        <w:t xml:space="preserve"> = 12.0 nF </w:t>
      </w:r>
      <w:r w:rsidR="00A1162E" w:rsidRPr="00B44DDC">
        <w:rPr>
          <w:lang w:val="en-CA"/>
        </w:rPr>
        <w:t>but</w:t>
      </w:r>
      <w:r w:rsidR="0019528B" w:rsidRPr="00B44DDC">
        <w:rPr>
          <w:lang w:val="en-CA"/>
        </w:rPr>
        <w:t xml:space="preserve"> the capacitance C</w:t>
      </w:r>
      <w:r w:rsidR="0019528B" w:rsidRPr="00B44DDC">
        <w:rPr>
          <w:vertAlign w:val="subscript"/>
          <w:lang w:val="en-CA"/>
        </w:rPr>
        <w:t>2</w:t>
      </w:r>
      <w:r w:rsidR="0019528B" w:rsidRPr="00B44DDC">
        <w:rPr>
          <w:lang w:val="en-CA"/>
        </w:rPr>
        <w:t xml:space="preserve"> needed to be modelled as a constant phase element, most likely due to a non-ideal capacitive behaviour following the integration of the </w:t>
      </w:r>
      <w:r w:rsidR="000C6E93" w:rsidRPr="00B44DDC">
        <w:rPr>
          <w:lang w:val="en-CA"/>
        </w:rPr>
        <w:t>p</w:t>
      </w:r>
      <w:r w:rsidR="0019528B" w:rsidRPr="00B44DDC">
        <w:rPr>
          <w:lang w:val="en-CA"/>
        </w:rPr>
        <w:t>7 conducting por</w:t>
      </w:r>
      <w:r w:rsidR="006F627D" w:rsidRPr="00B44DDC">
        <w:rPr>
          <w:lang w:val="en-CA"/>
        </w:rPr>
        <w:t>ins</w:t>
      </w:r>
      <w:r w:rsidR="0019528B" w:rsidRPr="00B44DDC">
        <w:rPr>
          <w:lang w:val="en-CA"/>
        </w:rPr>
        <w:t xml:space="preserve"> combined with the capacitance of the gold substrate and return electrode.</w:t>
      </w:r>
      <w:r w:rsidR="000C0BBC" w:rsidRPr="00B44DDC">
        <w:rPr>
          <w:lang w:val="en-CA"/>
        </w:rPr>
        <w:t xml:space="preserve"> For this condition of </w:t>
      </w:r>
      <w:r w:rsidR="000C6E93" w:rsidRPr="00B44DDC">
        <w:rPr>
          <w:lang w:val="en-CA"/>
        </w:rPr>
        <w:t>p</w:t>
      </w:r>
      <w:r w:rsidR="000C0BBC" w:rsidRPr="00B44DDC">
        <w:rPr>
          <w:lang w:val="en-CA"/>
        </w:rPr>
        <w:t>7 integration the fitted values of the constant phase element were Q</w:t>
      </w:r>
      <w:r w:rsidR="00A1162E" w:rsidRPr="00B44DDC">
        <w:rPr>
          <w:vertAlign w:val="subscript"/>
          <w:lang w:val="en-CA"/>
        </w:rPr>
        <w:t>2</w:t>
      </w:r>
      <w:r w:rsidR="000C0BBC" w:rsidRPr="00B44DDC">
        <w:rPr>
          <w:lang w:val="en-CA"/>
        </w:rPr>
        <w:t xml:space="preserve"> = 183 </w:t>
      </w:r>
      <w:proofErr w:type="gramStart"/>
      <w:r w:rsidR="000C0BBC" w:rsidRPr="00B44DDC">
        <w:rPr>
          <w:lang w:val="en-CA"/>
        </w:rPr>
        <w:t>nF.s</w:t>
      </w:r>
      <w:r w:rsidR="000C0BBC" w:rsidRPr="00B44DDC">
        <w:rPr>
          <w:vertAlign w:val="superscript"/>
          <w:lang w:val="en-CA"/>
        </w:rPr>
        <w:t>(</w:t>
      </w:r>
      <w:proofErr w:type="gramEnd"/>
      <w:r w:rsidR="000C0BBC" w:rsidRPr="00B44DDC">
        <w:rPr>
          <w:rFonts w:ascii="Symbol" w:hAnsi="Symbol"/>
          <w:vertAlign w:val="superscript"/>
          <w:lang w:val="en-CA"/>
        </w:rPr>
        <w:t></w:t>
      </w:r>
      <w:r w:rsidR="000C0BBC" w:rsidRPr="00B44DDC">
        <w:rPr>
          <w:vertAlign w:val="superscript"/>
          <w:lang w:val="en-CA"/>
        </w:rPr>
        <w:t>-1)</w:t>
      </w:r>
      <w:r w:rsidR="000C0BBC" w:rsidRPr="00B44DDC">
        <w:rPr>
          <w:lang w:val="en-CA"/>
        </w:rPr>
        <w:t xml:space="preserve"> and </w:t>
      </w:r>
      <w:r w:rsidR="000C0BBC" w:rsidRPr="00B44DDC">
        <w:rPr>
          <w:rFonts w:ascii="Symbol" w:hAnsi="Symbol"/>
          <w:lang w:val="en-CA"/>
        </w:rPr>
        <w:t></w:t>
      </w:r>
      <w:r w:rsidR="00A1162E" w:rsidRPr="00B44DDC">
        <w:rPr>
          <w:rFonts w:ascii="Symbol" w:hAnsi="Symbol"/>
          <w:vertAlign w:val="subscript"/>
          <w:lang w:val="en-CA"/>
        </w:rPr>
        <w:t></w:t>
      </w:r>
      <w:r w:rsidR="000C0BBC" w:rsidRPr="00B44DDC">
        <w:rPr>
          <w:lang w:val="en-CA"/>
        </w:rPr>
        <w:t xml:space="preserve"> = 0.505.</w:t>
      </w:r>
    </w:p>
    <w:p w:rsidR="0019528B" w:rsidRDefault="0019528B" w:rsidP="002B56B3">
      <w:pPr>
        <w:jc w:val="both"/>
        <w:rPr>
          <w:color w:val="FF0000"/>
          <w:lang w:val="en-CA"/>
        </w:rPr>
      </w:pPr>
    </w:p>
    <w:p w:rsidR="000C0BBC" w:rsidRPr="00B44DDC" w:rsidRDefault="000C0BBC" w:rsidP="002B56B3">
      <w:pPr>
        <w:jc w:val="both"/>
        <w:rPr>
          <w:lang w:val="en-CA"/>
        </w:rPr>
      </w:pPr>
      <w:r w:rsidRPr="00B44DDC">
        <w:rPr>
          <w:b/>
          <w:lang w:val="en-CA"/>
        </w:rPr>
        <w:t xml:space="preserve">Table </w:t>
      </w:r>
      <w:proofErr w:type="gramStart"/>
      <w:r w:rsidRPr="00B44DDC">
        <w:rPr>
          <w:b/>
          <w:lang w:val="en-CA"/>
        </w:rPr>
        <w:t>SI</w:t>
      </w:r>
      <w:r w:rsidRPr="00B44DDC">
        <w:rPr>
          <w:b/>
          <w:lang w:val="en-US"/>
        </w:rPr>
        <w:t>3</w:t>
      </w:r>
      <w:r w:rsidRPr="00B44DDC">
        <w:rPr>
          <w:b/>
          <w:lang w:val="en-CA"/>
        </w:rPr>
        <w:t> :</w:t>
      </w:r>
      <w:proofErr w:type="gramEnd"/>
      <w:r w:rsidRPr="00B44DDC">
        <w:rPr>
          <w:lang w:val="en-CA"/>
        </w:rPr>
        <w:t xml:space="preserve"> Fit parameters for asolectin bilayers before and after the direct integration of </w:t>
      </w:r>
      <w:r w:rsidR="000C6E93" w:rsidRPr="00B44DDC">
        <w:rPr>
          <w:lang w:val="en-CA"/>
        </w:rPr>
        <w:t>p</w:t>
      </w:r>
      <w:r w:rsidRPr="00B44DDC">
        <w:rPr>
          <w:lang w:val="en-CA"/>
        </w:rPr>
        <w:t xml:space="preserve">7 using the cell-free protocol. The </w:t>
      </w:r>
      <w:r w:rsidR="00B44DDC">
        <w:rPr>
          <w:lang w:val="en-CA"/>
        </w:rPr>
        <w:t>goodness-of-</w:t>
      </w:r>
      <w:r w:rsidRPr="00B44DDC">
        <w:rPr>
          <w:lang w:val="en-CA"/>
        </w:rPr>
        <w:t xml:space="preserve">fits are indicated by the </w:t>
      </w:r>
      <w:r w:rsidR="00B44DDC" w:rsidRPr="00B44DDC">
        <w:rPr>
          <w:i/>
          <w:lang w:val="en-CA"/>
        </w:rPr>
        <w:sym w:font="Symbol" w:char="F063"/>
      </w:r>
      <w:r w:rsidR="00B44DDC" w:rsidRPr="00B44DDC">
        <w:rPr>
          <w:vertAlign w:val="superscript"/>
          <w:lang w:val="en-CA"/>
        </w:rPr>
        <w:t>2</w:t>
      </w:r>
      <w:r w:rsidR="00B44DDC" w:rsidRPr="00B44DDC">
        <w:rPr>
          <w:lang w:val="en-CA"/>
        </w:rPr>
        <w:t xml:space="preserve"> and </w:t>
      </w:r>
      <w:r w:rsidR="00B44DDC" w:rsidRPr="00B44DDC">
        <w:rPr>
          <w:position w:val="-10"/>
          <w:lang w:val="en-CA"/>
        </w:rPr>
        <w:object w:dxaOrig="74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pt;height:12.6pt" o:ole="">
            <v:imagedata r:id="rId12" o:title=""/>
          </v:shape>
          <o:OLEObject Type="Embed" ProgID="Equation.3" ShapeID="_x0000_i1025" DrawAspect="Content" ObjectID="_1555405587" r:id="rId13"/>
        </w:object>
      </w:r>
      <w:r w:rsidR="00B44DDC">
        <w:rPr>
          <w:lang w:val="en-CA"/>
        </w:rPr>
        <w:t xml:space="preserve"> values.</w:t>
      </w:r>
    </w:p>
    <w:tbl>
      <w:tblPr>
        <w:tblStyle w:val="TableGrid"/>
        <w:tblW w:w="0" w:type="auto"/>
        <w:tblLook w:val="04A0" w:firstRow="1" w:lastRow="0" w:firstColumn="1" w:lastColumn="0" w:noHBand="0" w:noVBand="1"/>
      </w:tblPr>
      <w:tblGrid>
        <w:gridCol w:w="1377"/>
        <w:gridCol w:w="774"/>
        <w:gridCol w:w="1018"/>
        <w:gridCol w:w="1018"/>
        <w:gridCol w:w="1256"/>
        <w:gridCol w:w="786"/>
        <w:gridCol w:w="1018"/>
        <w:gridCol w:w="1020"/>
        <w:gridCol w:w="1021"/>
      </w:tblGrid>
      <w:tr w:rsidR="00B44DDC" w:rsidRPr="00B44DDC" w:rsidTr="000C6E93">
        <w:tc>
          <w:tcPr>
            <w:tcW w:w="1377" w:type="dxa"/>
            <w:tcBorders>
              <w:bottom w:val="double" w:sz="4" w:space="0" w:color="auto"/>
            </w:tcBorders>
          </w:tcPr>
          <w:p w:rsidR="00A1162E" w:rsidRPr="00B44DDC" w:rsidRDefault="00A1162E" w:rsidP="002B56B3">
            <w:pPr>
              <w:jc w:val="both"/>
              <w:rPr>
                <w:sz w:val="20"/>
                <w:szCs w:val="20"/>
                <w:lang w:val="en-CA"/>
              </w:rPr>
            </w:pPr>
          </w:p>
        </w:tc>
        <w:tc>
          <w:tcPr>
            <w:tcW w:w="774" w:type="dxa"/>
            <w:tcBorders>
              <w:bottom w:val="double" w:sz="4" w:space="0" w:color="auto"/>
            </w:tcBorders>
          </w:tcPr>
          <w:p w:rsidR="00A1162E" w:rsidRPr="00B44DDC" w:rsidRDefault="00A1162E" w:rsidP="00A1162E">
            <w:pPr>
              <w:jc w:val="center"/>
              <w:rPr>
                <w:sz w:val="20"/>
                <w:szCs w:val="20"/>
                <w:lang w:val="en-CA"/>
              </w:rPr>
            </w:pPr>
            <w:r w:rsidRPr="00B44DDC">
              <w:rPr>
                <w:sz w:val="20"/>
                <w:szCs w:val="20"/>
                <w:lang w:val="en-CA"/>
              </w:rPr>
              <w:t>R</w:t>
            </w:r>
            <w:r w:rsidRPr="00B44DDC">
              <w:rPr>
                <w:sz w:val="20"/>
                <w:szCs w:val="20"/>
                <w:vertAlign w:val="subscript"/>
                <w:lang w:val="en-CA"/>
              </w:rPr>
              <w:t>m</w:t>
            </w:r>
          </w:p>
          <w:p w:rsidR="00A1162E" w:rsidRPr="00B44DDC" w:rsidRDefault="00A1162E" w:rsidP="00A1162E">
            <w:pPr>
              <w:jc w:val="center"/>
              <w:rPr>
                <w:sz w:val="20"/>
                <w:szCs w:val="20"/>
                <w:lang w:val="en-CA"/>
              </w:rPr>
            </w:pPr>
            <w:r w:rsidRPr="00B44DDC">
              <w:rPr>
                <w:sz w:val="20"/>
                <w:szCs w:val="20"/>
                <w:lang w:val="en-CA"/>
              </w:rPr>
              <w:t>(M</w:t>
            </w:r>
            <w:r w:rsidRPr="00B44DDC">
              <w:rPr>
                <w:sz w:val="20"/>
                <w:szCs w:val="20"/>
                <w:lang w:val="en-CA"/>
              </w:rPr>
              <w:sym w:font="Symbol" w:char="F057"/>
            </w:r>
            <w:r w:rsidRPr="00B44DDC">
              <w:rPr>
                <w:sz w:val="20"/>
                <w:szCs w:val="20"/>
                <w:lang w:val="en-CA"/>
              </w:rPr>
              <w:t>)</w:t>
            </w:r>
          </w:p>
        </w:tc>
        <w:tc>
          <w:tcPr>
            <w:tcW w:w="1018" w:type="dxa"/>
            <w:tcBorders>
              <w:bottom w:val="double" w:sz="4" w:space="0" w:color="auto"/>
            </w:tcBorders>
          </w:tcPr>
          <w:p w:rsidR="00A1162E" w:rsidRPr="00B44DDC" w:rsidRDefault="00A1162E" w:rsidP="00A1162E">
            <w:pPr>
              <w:jc w:val="center"/>
              <w:rPr>
                <w:sz w:val="20"/>
                <w:szCs w:val="20"/>
                <w:lang w:val="en-CA"/>
              </w:rPr>
            </w:pPr>
            <w:r w:rsidRPr="00B44DDC">
              <w:rPr>
                <w:sz w:val="20"/>
                <w:szCs w:val="20"/>
                <w:lang w:val="en-CA"/>
              </w:rPr>
              <w:t>C</w:t>
            </w:r>
            <w:r w:rsidRPr="00B44DDC">
              <w:rPr>
                <w:sz w:val="20"/>
                <w:szCs w:val="20"/>
                <w:vertAlign w:val="subscript"/>
                <w:lang w:val="en-CA"/>
              </w:rPr>
              <w:t>m</w:t>
            </w:r>
          </w:p>
          <w:p w:rsidR="00A1162E" w:rsidRPr="00B44DDC" w:rsidRDefault="00A1162E" w:rsidP="00A1162E">
            <w:pPr>
              <w:jc w:val="center"/>
              <w:rPr>
                <w:sz w:val="20"/>
                <w:szCs w:val="20"/>
                <w:lang w:val="en-CA"/>
              </w:rPr>
            </w:pPr>
            <w:r w:rsidRPr="00B44DDC">
              <w:rPr>
                <w:sz w:val="20"/>
                <w:szCs w:val="20"/>
                <w:lang w:val="en-CA"/>
              </w:rPr>
              <w:t>(nF)</w:t>
            </w:r>
          </w:p>
        </w:tc>
        <w:tc>
          <w:tcPr>
            <w:tcW w:w="1018" w:type="dxa"/>
            <w:tcBorders>
              <w:bottom w:val="double" w:sz="4" w:space="0" w:color="auto"/>
            </w:tcBorders>
          </w:tcPr>
          <w:p w:rsidR="00A1162E" w:rsidRPr="00B44DDC" w:rsidRDefault="00A1162E" w:rsidP="00A1162E">
            <w:pPr>
              <w:jc w:val="center"/>
              <w:rPr>
                <w:sz w:val="20"/>
                <w:szCs w:val="20"/>
                <w:lang w:val="en-CA"/>
              </w:rPr>
            </w:pPr>
            <w:r w:rsidRPr="00B44DDC">
              <w:rPr>
                <w:sz w:val="20"/>
                <w:szCs w:val="20"/>
                <w:lang w:val="en-CA"/>
              </w:rPr>
              <w:t>C</w:t>
            </w:r>
            <w:r w:rsidRPr="00B44DDC">
              <w:rPr>
                <w:sz w:val="20"/>
                <w:szCs w:val="20"/>
                <w:vertAlign w:val="subscript"/>
                <w:lang w:val="en-CA"/>
              </w:rPr>
              <w:t>2</w:t>
            </w:r>
          </w:p>
          <w:p w:rsidR="00A1162E" w:rsidRPr="00B44DDC" w:rsidRDefault="00A1162E" w:rsidP="00A1162E">
            <w:pPr>
              <w:jc w:val="center"/>
              <w:rPr>
                <w:sz w:val="20"/>
                <w:szCs w:val="20"/>
                <w:lang w:val="en-CA"/>
              </w:rPr>
            </w:pPr>
            <w:r w:rsidRPr="00B44DDC">
              <w:rPr>
                <w:sz w:val="20"/>
                <w:szCs w:val="20"/>
                <w:lang w:val="en-CA"/>
              </w:rPr>
              <w:t>(</w:t>
            </w:r>
            <w:r w:rsidRPr="00B44DDC">
              <w:rPr>
                <w:rFonts w:ascii="Symbol" w:hAnsi="Symbol"/>
                <w:sz w:val="20"/>
                <w:szCs w:val="20"/>
                <w:lang w:val="en-CA"/>
              </w:rPr>
              <w:t></w:t>
            </w:r>
            <w:r w:rsidRPr="00B44DDC">
              <w:rPr>
                <w:sz w:val="20"/>
                <w:szCs w:val="20"/>
                <w:lang w:val="en-CA"/>
              </w:rPr>
              <w:t>F)</w:t>
            </w:r>
          </w:p>
        </w:tc>
        <w:tc>
          <w:tcPr>
            <w:tcW w:w="1256" w:type="dxa"/>
            <w:tcBorders>
              <w:bottom w:val="double" w:sz="4" w:space="0" w:color="auto"/>
            </w:tcBorders>
          </w:tcPr>
          <w:p w:rsidR="00A1162E" w:rsidRPr="00B44DDC" w:rsidRDefault="00A1162E" w:rsidP="00A1162E">
            <w:pPr>
              <w:jc w:val="center"/>
              <w:rPr>
                <w:sz w:val="20"/>
                <w:szCs w:val="20"/>
                <w:lang w:val="en-CA"/>
              </w:rPr>
            </w:pPr>
            <w:r w:rsidRPr="00B44DDC">
              <w:rPr>
                <w:sz w:val="20"/>
                <w:szCs w:val="20"/>
                <w:lang w:val="en-CA"/>
              </w:rPr>
              <w:t>Q</w:t>
            </w:r>
            <w:r w:rsidRPr="00B44DDC">
              <w:rPr>
                <w:sz w:val="20"/>
                <w:szCs w:val="20"/>
                <w:vertAlign w:val="subscript"/>
                <w:lang w:val="en-CA"/>
              </w:rPr>
              <w:t>2</w:t>
            </w:r>
          </w:p>
          <w:p w:rsidR="00A1162E" w:rsidRPr="00B44DDC" w:rsidRDefault="00A1162E" w:rsidP="00A1162E">
            <w:pPr>
              <w:jc w:val="center"/>
              <w:rPr>
                <w:sz w:val="20"/>
                <w:szCs w:val="20"/>
                <w:lang w:val="en-CA"/>
              </w:rPr>
            </w:pPr>
            <w:r w:rsidRPr="00B44DDC">
              <w:rPr>
                <w:sz w:val="20"/>
                <w:szCs w:val="20"/>
                <w:lang w:val="en-CA"/>
              </w:rPr>
              <w:t>(</w:t>
            </w:r>
            <w:r w:rsidRPr="00B44DDC">
              <w:rPr>
                <w:rFonts w:ascii="Symbol" w:hAnsi="Symbol"/>
                <w:sz w:val="20"/>
                <w:szCs w:val="20"/>
                <w:lang w:val="en-CA"/>
              </w:rPr>
              <w:t></w:t>
            </w:r>
            <w:r w:rsidRPr="00B44DDC">
              <w:rPr>
                <w:sz w:val="20"/>
                <w:szCs w:val="20"/>
                <w:lang w:val="en-CA"/>
              </w:rPr>
              <w:t>F.s</w:t>
            </w:r>
            <w:r w:rsidRPr="00B44DDC">
              <w:rPr>
                <w:sz w:val="20"/>
                <w:szCs w:val="20"/>
                <w:vertAlign w:val="superscript"/>
                <w:lang w:val="en-CA"/>
              </w:rPr>
              <w:t>(</w:t>
            </w:r>
            <w:r w:rsidRPr="00B44DDC">
              <w:rPr>
                <w:rFonts w:ascii="Symbol" w:hAnsi="Symbol"/>
                <w:sz w:val="20"/>
                <w:szCs w:val="20"/>
                <w:vertAlign w:val="superscript"/>
                <w:lang w:val="en-CA"/>
              </w:rPr>
              <w:t></w:t>
            </w:r>
            <w:r w:rsidRPr="00B44DDC">
              <w:rPr>
                <w:sz w:val="20"/>
                <w:szCs w:val="20"/>
                <w:vertAlign w:val="superscript"/>
                <w:lang w:val="en-CA"/>
              </w:rPr>
              <w:t>-1)</w:t>
            </w:r>
            <w:r w:rsidRPr="00B44DDC">
              <w:rPr>
                <w:sz w:val="20"/>
                <w:szCs w:val="20"/>
                <w:lang w:val="en-CA"/>
              </w:rPr>
              <w:t>)</w:t>
            </w:r>
          </w:p>
        </w:tc>
        <w:tc>
          <w:tcPr>
            <w:tcW w:w="786" w:type="dxa"/>
            <w:tcBorders>
              <w:bottom w:val="double" w:sz="4" w:space="0" w:color="auto"/>
            </w:tcBorders>
            <w:vAlign w:val="center"/>
          </w:tcPr>
          <w:p w:rsidR="00A1162E" w:rsidRPr="00B44DDC" w:rsidRDefault="00A1162E" w:rsidP="00A1162E">
            <w:pPr>
              <w:jc w:val="center"/>
              <w:rPr>
                <w:sz w:val="20"/>
                <w:szCs w:val="20"/>
                <w:lang w:val="en-CA"/>
              </w:rPr>
            </w:pPr>
            <w:r w:rsidRPr="00B44DDC">
              <w:rPr>
                <w:rFonts w:ascii="Symbol" w:hAnsi="Symbol"/>
                <w:sz w:val="20"/>
                <w:szCs w:val="20"/>
                <w:lang w:val="en-CA"/>
              </w:rPr>
              <w:t></w:t>
            </w:r>
            <w:r w:rsidRPr="00B44DDC">
              <w:rPr>
                <w:sz w:val="20"/>
                <w:szCs w:val="20"/>
                <w:vertAlign w:val="subscript"/>
                <w:lang w:val="en-CA"/>
              </w:rPr>
              <w:t>2</w:t>
            </w:r>
          </w:p>
        </w:tc>
        <w:tc>
          <w:tcPr>
            <w:tcW w:w="1018" w:type="dxa"/>
            <w:tcBorders>
              <w:bottom w:val="double" w:sz="4" w:space="0" w:color="auto"/>
            </w:tcBorders>
          </w:tcPr>
          <w:p w:rsidR="00A1162E" w:rsidRPr="00B44DDC" w:rsidRDefault="00A1162E" w:rsidP="00A1162E">
            <w:pPr>
              <w:jc w:val="center"/>
              <w:rPr>
                <w:sz w:val="20"/>
                <w:szCs w:val="20"/>
                <w:lang w:val="en-CA"/>
              </w:rPr>
            </w:pPr>
            <w:r w:rsidRPr="00B44DDC">
              <w:rPr>
                <w:sz w:val="20"/>
                <w:szCs w:val="20"/>
                <w:lang w:val="en-CA"/>
              </w:rPr>
              <w:t>R</w:t>
            </w:r>
            <w:r w:rsidRPr="00B44DDC">
              <w:rPr>
                <w:sz w:val="20"/>
                <w:szCs w:val="20"/>
                <w:vertAlign w:val="subscript"/>
                <w:lang w:val="en-CA"/>
              </w:rPr>
              <w:t>s</w:t>
            </w:r>
          </w:p>
          <w:p w:rsidR="00A1162E" w:rsidRPr="00B44DDC" w:rsidRDefault="00A1162E" w:rsidP="00A1162E">
            <w:pPr>
              <w:jc w:val="center"/>
              <w:rPr>
                <w:sz w:val="20"/>
                <w:szCs w:val="20"/>
                <w:lang w:val="en-CA"/>
              </w:rPr>
            </w:pPr>
            <w:r w:rsidRPr="00B44DDC">
              <w:rPr>
                <w:sz w:val="20"/>
                <w:szCs w:val="20"/>
                <w:lang w:val="en-CA"/>
              </w:rPr>
              <w:t>(</w:t>
            </w:r>
            <w:r w:rsidRPr="00B44DDC">
              <w:rPr>
                <w:sz w:val="20"/>
                <w:szCs w:val="20"/>
                <w:lang w:val="en-CA"/>
              </w:rPr>
              <w:sym w:font="Symbol" w:char="F057"/>
            </w:r>
            <w:r w:rsidRPr="00B44DDC">
              <w:rPr>
                <w:sz w:val="20"/>
                <w:szCs w:val="20"/>
                <w:lang w:val="en-CA"/>
              </w:rPr>
              <w:t>)</w:t>
            </w:r>
          </w:p>
        </w:tc>
        <w:tc>
          <w:tcPr>
            <w:tcW w:w="1020" w:type="dxa"/>
            <w:tcBorders>
              <w:bottom w:val="double" w:sz="4" w:space="0" w:color="auto"/>
            </w:tcBorders>
            <w:vAlign w:val="center"/>
          </w:tcPr>
          <w:p w:rsidR="00A1162E" w:rsidRPr="00B44DDC" w:rsidRDefault="00A1162E" w:rsidP="00A1162E">
            <w:pPr>
              <w:jc w:val="center"/>
              <w:rPr>
                <w:sz w:val="20"/>
                <w:szCs w:val="20"/>
                <w:lang w:val="en-CA"/>
              </w:rPr>
            </w:pPr>
            <w:r w:rsidRPr="00B44DDC">
              <w:rPr>
                <w:i/>
                <w:lang w:val="en-CA"/>
              </w:rPr>
              <w:sym w:font="Symbol" w:char="F063"/>
            </w:r>
            <w:r w:rsidRPr="00B44DDC">
              <w:rPr>
                <w:vertAlign w:val="superscript"/>
                <w:lang w:val="en-CA"/>
              </w:rPr>
              <w:t>2</w:t>
            </w:r>
          </w:p>
        </w:tc>
        <w:tc>
          <w:tcPr>
            <w:tcW w:w="1021" w:type="dxa"/>
            <w:tcBorders>
              <w:bottom w:val="double" w:sz="4" w:space="0" w:color="auto"/>
            </w:tcBorders>
            <w:vAlign w:val="center"/>
          </w:tcPr>
          <w:p w:rsidR="00A1162E" w:rsidRPr="00B44DDC" w:rsidRDefault="00A1162E" w:rsidP="00A1162E">
            <w:pPr>
              <w:jc w:val="center"/>
              <w:rPr>
                <w:sz w:val="20"/>
                <w:szCs w:val="20"/>
                <w:lang w:val="en-CA"/>
              </w:rPr>
            </w:pPr>
            <w:r w:rsidRPr="00B44DDC">
              <w:rPr>
                <w:position w:val="-10"/>
                <w:lang w:val="en-CA"/>
              </w:rPr>
              <w:object w:dxaOrig="740" w:dyaOrig="380">
                <v:shape id="_x0000_i1026" type="#_x0000_t75" style="width:26.2pt;height:12.6pt" o:ole="">
                  <v:imagedata r:id="rId12" o:title=""/>
                </v:shape>
                <o:OLEObject Type="Embed" ProgID="Equation.3" ShapeID="_x0000_i1026" DrawAspect="Content" ObjectID="_1555405588" r:id="rId14"/>
              </w:object>
            </w:r>
          </w:p>
        </w:tc>
      </w:tr>
      <w:tr w:rsidR="00B44DDC" w:rsidRPr="00B44DDC" w:rsidTr="000C6E93">
        <w:tc>
          <w:tcPr>
            <w:tcW w:w="1377" w:type="dxa"/>
            <w:tcBorders>
              <w:top w:val="double" w:sz="4" w:space="0" w:color="auto"/>
            </w:tcBorders>
          </w:tcPr>
          <w:p w:rsidR="00A1162E" w:rsidRPr="00B44DDC" w:rsidRDefault="00A1162E" w:rsidP="000C6E93">
            <w:pPr>
              <w:jc w:val="both"/>
              <w:rPr>
                <w:sz w:val="20"/>
                <w:szCs w:val="20"/>
                <w:lang w:val="en-CA"/>
              </w:rPr>
            </w:pPr>
            <w:r w:rsidRPr="00B44DDC">
              <w:rPr>
                <w:sz w:val="20"/>
                <w:szCs w:val="20"/>
                <w:lang w:val="en-CA"/>
              </w:rPr>
              <w:t xml:space="preserve">before </w:t>
            </w:r>
            <w:r w:rsidR="000C6E93" w:rsidRPr="00B44DDC">
              <w:rPr>
                <w:sz w:val="20"/>
                <w:szCs w:val="20"/>
                <w:lang w:val="en-CA"/>
              </w:rPr>
              <w:t>p</w:t>
            </w:r>
            <w:r w:rsidRPr="00B44DDC">
              <w:rPr>
                <w:sz w:val="20"/>
                <w:szCs w:val="20"/>
                <w:lang w:val="en-CA"/>
              </w:rPr>
              <w:t>7</w:t>
            </w:r>
          </w:p>
        </w:tc>
        <w:tc>
          <w:tcPr>
            <w:tcW w:w="774" w:type="dxa"/>
            <w:tcBorders>
              <w:top w:val="double" w:sz="4" w:space="0" w:color="auto"/>
            </w:tcBorders>
          </w:tcPr>
          <w:p w:rsidR="00A1162E" w:rsidRPr="00B44DDC" w:rsidRDefault="00A1162E" w:rsidP="00A1162E">
            <w:pPr>
              <w:jc w:val="center"/>
              <w:rPr>
                <w:sz w:val="20"/>
                <w:szCs w:val="20"/>
                <w:lang w:val="en-CA"/>
              </w:rPr>
            </w:pPr>
            <w:r w:rsidRPr="00B44DDC">
              <w:rPr>
                <w:sz w:val="20"/>
                <w:szCs w:val="20"/>
                <w:lang w:val="en-CA"/>
              </w:rPr>
              <w:t>20.2</w:t>
            </w:r>
          </w:p>
        </w:tc>
        <w:tc>
          <w:tcPr>
            <w:tcW w:w="1018" w:type="dxa"/>
            <w:tcBorders>
              <w:top w:val="double" w:sz="4" w:space="0" w:color="auto"/>
            </w:tcBorders>
          </w:tcPr>
          <w:p w:rsidR="00A1162E" w:rsidRPr="00B44DDC" w:rsidRDefault="00A1162E" w:rsidP="00A1162E">
            <w:pPr>
              <w:jc w:val="center"/>
              <w:rPr>
                <w:sz w:val="20"/>
                <w:szCs w:val="20"/>
                <w:lang w:val="en-CA"/>
              </w:rPr>
            </w:pPr>
            <w:r w:rsidRPr="00B44DDC">
              <w:rPr>
                <w:sz w:val="20"/>
                <w:szCs w:val="20"/>
                <w:lang w:val="en-CA"/>
              </w:rPr>
              <w:t>11.7</w:t>
            </w:r>
          </w:p>
        </w:tc>
        <w:tc>
          <w:tcPr>
            <w:tcW w:w="1018" w:type="dxa"/>
            <w:tcBorders>
              <w:top w:val="double" w:sz="4" w:space="0" w:color="auto"/>
            </w:tcBorders>
          </w:tcPr>
          <w:p w:rsidR="00A1162E" w:rsidRPr="00B44DDC" w:rsidRDefault="00A1162E" w:rsidP="00A1162E">
            <w:pPr>
              <w:jc w:val="center"/>
              <w:rPr>
                <w:sz w:val="20"/>
                <w:szCs w:val="20"/>
                <w:lang w:val="en-CA"/>
              </w:rPr>
            </w:pPr>
            <w:r w:rsidRPr="00B44DDC">
              <w:rPr>
                <w:sz w:val="20"/>
                <w:szCs w:val="20"/>
                <w:lang w:val="en-CA"/>
              </w:rPr>
              <w:t>110</w:t>
            </w:r>
          </w:p>
        </w:tc>
        <w:tc>
          <w:tcPr>
            <w:tcW w:w="1256" w:type="dxa"/>
            <w:tcBorders>
              <w:top w:val="double" w:sz="4" w:space="0" w:color="auto"/>
            </w:tcBorders>
          </w:tcPr>
          <w:p w:rsidR="00A1162E" w:rsidRPr="00B44DDC" w:rsidRDefault="00CF04B8" w:rsidP="00A1162E">
            <w:pPr>
              <w:jc w:val="center"/>
              <w:rPr>
                <w:sz w:val="20"/>
                <w:szCs w:val="20"/>
                <w:lang w:val="en-CA"/>
              </w:rPr>
            </w:pPr>
            <w:r w:rsidRPr="00B44DDC">
              <w:rPr>
                <w:sz w:val="20"/>
                <w:szCs w:val="20"/>
                <w:lang w:val="en-CA"/>
              </w:rPr>
              <w:t>-</w:t>
            </w:r>
          </w:p>
        </w:tc>
        <w:tc>
          <w:tcPr>
            <w:tcW w:w="786" w:type="dxa"/>
            <w:tcBorders>
              <w:top w:val="double" w:sz="4" w:space="0" w:color="auto"/>
            </w:tcBorders>
          </w:tcPr>
          <w:p w:rsidR="00A1162E" w:rsidRPr="00B44DDC" w:rsidRDefault="00CF04B8" w:rsidP="00A1162E">
            <w:pPr>
              <w:jc w:val="center"/>
              <w:rPr>
                <w:sz w:val="20"/>
                <w:szCs w:val="20"/>
                <w:lang w:val="en-CA"/>
              </w:rPr>
            </w:pPr>
            <w:r w:rsidRPr="00B44DDC">
              <w:rPr>
                <w:sz w:val="20"/>
                <w:szCs w:val="20"/>
                <w:lang w:val="en-CA"/>
              </w:rPr>
              <w:t>-</w:t>
            </w:r>
          </w:p>
        </w:tc>
        <w:tc>
          <w:tcPr>
            <w:tcW w:w="1018" w:type="dxa"/>
            <w:tcBorders>
              <w:top w:val="double" w:sz="4" w:space="0" w:color="auto"/>
            </w:tcBorders>
          </w:tcPr>
          <w:p w:rsidR="00A1162E" w:rsidRPr="00B44DDC" w:rsidRDefault="00CF04B8" w:rsidP="00A1162E">
            <w:pPr>
              <w:jc w:val="center"/>
              <w:rPr>
                <w:sz w:val="20"/>
                <w:szCs w:val="20"/>
                <w:lang w:val="en-CA"/>
              </w:rPr>
            </w:pPr>
            <w:r w:rsidRPr="00B44DDC">
              <w:rPr>
                <w:sz w:val="20"/>
                <w:szCs w:val="20"/>
                <w:lang w:val="en-CA"/>
              </w:rPr>
              <w:t>130</w:t>
            </w:r>
          </w:p>
        </w:tc>
        <w:tc>
          <w:tcPr>
            <w:tcW w:w="1020" w:type="dxa"/>
            <w:tcBorders>
              <w:top w:val="double" w:sz="4" w:space="0" w:color="auto"/>
            </w:tcBorders>
          </w:tcPr>
          <w:p w:rsidR="00A1162E" w:rsidRPr="00B44DDC" w:rsidRDefault="00CF04B8" w:rsidP="00A1162E">
            <w:pPr>
              <w:jc w:val="center"/>
              <w:rPr>
                <w:sz w:val="20"/>
                <w:szCs w:val="20"/>
                <w:lang w:val="en-CA"/>
              </w:rPr>
            </w:pPr>
            <w:r w:rsidRPr="00B44DDC">
              <w:rPr>
                <w:sz w:val="20"/>
                <w:szCs w:val="20"/>
                <w:lang w:val="en-CA"/>
              </w:rPr>
              <w:t>0.188</w:t>
            </w:r>
          </w:p>
        </w:tc>
        <w:tc>
          <w:tcPr>
            <w:tcW w:w="1021" w:type="dxa"/>
            <w:tcBorders>
              <w:top w:val="double" w:sz="4" w:space="0" w:color="auto"/>
            </w:tcBorders>
          </w:tcPr>
          <w:p w:rsidR="00A1162E" w:rsidRPr="00B44DDC" w:rsidRDefault="00CF04B8" w:rsidP="00A1162E">
            <w:pPr>
              <w:jc w:val="center"/>
              <w:rPr>
                <w:sz w:val="20"/>
                <w:szCs w:val="20"/>
                <w:lang w:val="en-CA"/>
              </w:rPr>
            </w:pPr>
            <w:r w:rsidRPr="00B44DDC">
              <w:rPr>
                <w:sz w:val="20"/>
                <w:szCs w:val="20"/>
                <w:lang w:val="en-CA"/>
              </w:rPr>
              <w:t>0.116</w:t>
            </w:r>
          </w:p>
        </w:tc>
      </w:tr>
      <w:tr w:rsidR="00B44DDC" w:rsidRPr="00B44DDC" w:rsidTr="000C6E93">
        <w:tc>
          <w:tcPr>
            <w:tcW w:w="1377" w:type="dxa"/>
          </w:tcPr>
          <w:p w:rsidR="00A1162E" w:rsidRPr="00B44DDC" w:rsidRDefault="00A1162E" w:rsidP="000C6E93">
            <w:pPr>
              <w:jc w:val="both"/>
              <w:rPr>
                <w:sz w:val="20"/>
                <w:szCs w:val="20"/>
                <w:lang w:val="en-CA"/>
              </w:rPr>
            </w:pPr>
            <w:r w:rsidRPr="00B44DDC">
              <w:rPr>
                <w:sz w:val="20"/>
                <w:szCs w:val="20"/>
                <w:lang w:val="en-CA"/>
              </w:rPr>
              <w:t xml:space="preserve">after </w:t>
            </w:r>
            <w:r w:rsidR="000C6E93" w:rsidRPr="00B44DDC">
              <w:rPr>
                <w:sz w:val="20"/>
                <w:szCs w:val="20"/>
                <w:lang w:val="en-CA"/>
              </w:rPr>
              <w:t>p</w:t>
            </w:r>
            <w:r w:rsidRPr="00B44DDC">
              <w:rPr>
                <w:sz w:val="20"/>
                <w:szCs w:val="20"/>
                <w:lang w:val="en-CA"/>
              </w:rPr>
              <w:t>7</w:t>
            </w:r>
          </w:p>
        </w:tc>
        <w:tc>
          <w:tcPr>
            <w:tcW w:w="774" w:type="dxa"/>
          </w:tcPr>
          <w:p w:rsidR="00A1162E" w:rsidRPr="00B44DDC" w:rsidRDefault="00CF04B8" w:rsidP="00A1162E">
            <w:pPr>
              <w:jc w:val="center"/>
              <w:rPr>
                <w:sz w:val="20"/>
                <w:szCs w:val="20"/>
                <w:lang w:val="en-CA"/>
              </w:rPr>
            </w:pPr>
            <w:r w:rsidRPr="00B44DDC">
              <w:rPr>
                <w:sz w:val="20"/>
                <w:szCs w:val="20"/>
                <w:lang w:val="en-CA"/>
              </w:rPr>
              <w:t>0.0025</w:t>
            </w:r>
          </w:p>
        </w:tc>
        <w:tc>
          <w:tcPr>
            <w:tcW w:w="1018" w:type="dxa"/>
          </w:tcPr>
          <w:p w:rsidR="00A1162E" w:rsidRPr="00B44DDC" w:rsidRDefault="00CF04B8" w:rsidP="00A1162E">
            <w:pPr>
              <w:jc w:val="center"/>
              <w:rPr>
                <w:sz w:val="20"/>
                <w:szCs w:val="20"/>
                <w:lang w:val="en-CA"/>
              </w:rPr>
            </w:pPr>
            <w:r w:rsidRPr="00B44DDC">
              <w:rPr>
                <w:sz w:val="20"/>
                <w:szCs w:val="20"/>
                <w:lang w:val="en-CA"/>
              </w:rPr>
              <w:t>12.0</w:t>
            </w:r>
          </w:p>
        </w:tc>
        <w:tc>
          <w:tcPr>
            <w:tcW w:w="1018" w:type="dxa"/>
          </w:tcPr>
          <w:p w:rsidR="00A1162E" w:rsidRPr="00B44DDC" w:rsidRDefault="00CF04B8" w:rsidP="00A1162E">
            <w:pPr>
              <w:jc w:val="center"/>
              <w:rPr>
                <w:sz w:val="20"/>
                <w:szCs w:val="20"/>
                <w:lang w:val="en-CA"/>
              </w:rPr>
            </w:pPr>
            <w:r w:rsidRPr="00B44DDC">
              <w:rPr>
                <w:sz w:val="20"/>
                <w:szCs w:val="20"/>
                <w:lang w:val="en-CA"/>
              </w:rPr>
              <w:t>-</w:t>
            </w:r>
          </w:p>
        </w:tc>
        <w:tc>
          <w:tcPr>
            <w:tcW w:w="1256" w:type="dxa"/>
          </w:tcPr>
          <w:p w:rsidR="00A1162E" w:rsidRPr="00B44DDC" w:rsidRDefault="00CF04B8" w:rsidP="00A1162E">
            <w:pPr>
              <w:jc w:val="center"/>
              <w:rPr>
                <w:sz w:val="20"/>
                <w:szCs w:val="20"/>
                <w:lang w:val="en-CA"/>
              </w:rPr>
            </w:pPr>
            <w:r w:rsidRPr="00B44DDC">
              <w:rPr>
                <w:sz w:val="20"/>
                <w:szCs w:val="20"/>
                <w:lang w:val="en-CA"/>
              </w:rPr>
              <w:t>183</w:t>
            </w:r>
          </w:p>
        </w:tc>
        <w:tc>
          <w:tcPr>
            <w:tcW w:w="786" w:type="dxa"/>
          </w:tcPr>
          <w:p w:rsidR="00A1162E" w:rsidRPr="00B44DDC" w:rsidRDefault="00CF04B8" w:rsidP="00A1162E">
            <w:pPr>
              <w:jc w:val="center"/>
              <w:rPr>
                <w:sz w:val="20"/>
                <w:szCs w:val="20"/>
                <w:lang w:val="en-CA"/>
              </w:rPr>
            </w:pPr>
            <w:r w:rsidRPr="00B44DDC">
              <w:rPr>
                <w:sz w:val="20"/>
                <w:szCs w:val="20"/>
                <w:lang w:val="en-CA"/>
              </w:rPr>
              <w:t>0.505</w:t>
            </w:r>
          </w:p>
        </w:tc>
        <w:tc>
          <w:tcPr>
            <w:tcW w:w="1018" w:type="dxa"/>
          </w:tcPr>
          <w:p w:rsidR="00A1162E" w:rsidRPr="00B44DDC" w:rsidRDefault="00CF04B8" w:rsidP="00A1162E">
            <w:pPr>
              <w:jc w:val="center"/>
              <w:rPr>
                <w:sz w:val="20"/>
                <w:szCs w:val="20"/>
                <w:lang w:val="en-CA"/>
              </w:rPr>
            </w:pPr>
            <w:r w:rsidRPr="00B44DDC">
              <w:rPr>
                <w:sz w:val="20"/>
                <w:szCs w:val="20"/>
                <w:lang w:val="en-CA"/>
              </w:rPr>
              <w:t>130</w:t>
            </w:r>
          </w:p>
        </w:tc>
        <w:tc>
          <w:tcPr>
            <w:tcW w:w="1020" w:type="dxa"/>
          </w:tcPr>
          <w:p w:rsidR="00A1162E" w:rsidRPr="00B44DDC" w:rsidRDefault="00CF04B8" w:rsidP="00A1162E">
            <w:pPr>
              <w:jc w:val="center"/>
              <w:rPr>
                <w:sz w:val="20"/>
                <w:szCs w:val="20"/>
                <w:lang w:val="en-CA"/>
              </w:rPr>
            </w:pPr>
            <w:r w:rsidRPr="00B44DDC">
              <w:rPr>
                <w:sz w:val="20"/>
                <w:szCs w:val="20"/>
                <w:lang w:val="en-CA"/>
              </w:rPr>
              <w:t>0.063</w:t>
            </w:r>
          </w:p>
        </w:tc>
        <w:tc>
          <w:tcPr>
            <w:tcW w:w="1021" w:type="dxa"/>
          </w:tcPr>
          <w:p w:rsidR="00A1162E" w:rsidRPr="00B44DDC" w:rsidRDefault="00CF04B8" w:rsidP="00A1162E">
            <w:pPr>
              <w:jc w:val="center"/>
              <w:rPr>
                <w:sz w:val="20"/>
                <w:szCs w:val="20"/>
                <w:lang w:val="en-CA"/>
              </w:rPr>
            </w:pPr>
            <w:r w:rsidRPr="00B44DDC">
              <w:rPr>
                <w:sz w:val="20"/>
                <w:szCs w:val="20"/>
                <w:lang w:val="en-CA"/>
              </w:rPr>
              <w:t>0.067</w:t>
            </w:r>
          </w:p>
        </w:tc>
      </w:tr>
    </w:tbl>
    <w:p w:rsidR="000C6E93" w:rsidRDefault="000C6E93" w:rsidP="000C6E93">
      <w:pPr>
        <w:jc w:val="both"/>
        <w:rPr>
          <w:rFonts w:cstheme="minorHAnsi"/>
          <w:b/>
          <w:color w:val="FF0000"/>
          <w:lang w:val="en-US"/>
        </w:rPr>
      </w:pPr>
    </w:p>
    <w:p w:rsidR="004B2363" w:rsidRDefault="004B2363" w:rsidP="000C6E93">
      <w:pPr>
        <w:jc w:val="both"/>
        <w:rPr>
          <w:rFonts w:cstheme="minorHAnsi"/>
          <w:b/>
          <w:color w:val="FF0000"/>
          <w:lang w:val="en-US"/>
        </w:rPr>
      </w:pPr>
    </w:p>
    <w:p w:rsidR="00E76C56" w:rsidRDefault="00E76C56" w:rsidP="000C6E93">
      <w:pPr>
        <w:jc w:val="both"/>
        <w:rPr>
          <w:rFonts w:cstheme="minorHAnsi"/>
          <w:b/>
          <w:color w:val="FF0000"/>
          <w:lang w:val="en-US"/>
        </w:rPr>
      </w:pPr>
    </w:p>
    <w:p w:rsidR="00E76C56" w:rsidRPr="009F57ED" w:rsidRDefault="00E76C56" w:rsidP="00E76C56">
      <w:pPr>
        <w:jc w:val="both"/>
        <w:rPr>
          <w:b/>
          <w:lang w:val="en-US"/>
        </w:rPr>
      </w:pPr>
      <w:r w:rsidRPr="00124F49">
        <w:rPr>
          <w:rFonts w:cstheme="minorHAnsi"/>
          <w:b/>
          <w:lang w:val="en-US"/>
        </w:rPr>
        <w:t>Discussion</w:t>
      </w:r>
    </w:p>
    <w:p w:rsidR="00E76C56" w:rsidRPr="009F57ED" w:rsidRDefault="00E76C56" w:rsidP="00E76C56">
      <w:pPr>
        <w:jc w:val="both"/>
        <w:rPr>
          <w:i/>
          <w:lang w:val="en-US"/>
        </w:rPr>
      </w:pPr>
      <w:r w:rsidRPr="009F57ED">
        <w:rPr>
          <w:i/>
          <w:lang w:val="en-US"/>
        </w:rPr>
        <w:t>Role of lipid environment on the insertion of p7</w:t>
      </w:r>
    </w:p>
    <w:p w:rsidR="00E76C56" w:rsidRPr="00124F49" w:rsidRDefault="00E76C56" w:rsidP="00E76C56">
      <w:pPr>
        <w:rPr>
          <w:lang w:val="en-CA"/>
        </w:rPr>
      </w:pPr>
      <w:r w:rsidRPr="00124F49">
        <w:rPr>
          <w:lang w:val="en-CA"/>
        </w:rPr>
        <w:t>Our NR results indicate that protein insertion depends on the lipid environment and potentially on the intrinsic properties of the lipids. POPC is a zwitterionic lipid with a relatively large head group. It is possible that these two characteristics are responsible for the lower integration of p7 in the POPC bilayers compared to asolectin, indicating a role for steric and electrostatic forces in protein insertion. Asolectin is a lipid mixture mainly composed of lecithin (phosphatidylcholine, PC), cephalin (phosphatidylserine, PS) and phosphatidylinositol (PI) in equal proportions with 14% mono-unsaturated and 62% poly-unsaturated fatty acids. This lipid composition resulted in greater insertion of p7 proteins into supported bilayers. This increase in integration may be attributed to the presence of PS and PI, especially to their negative charges. The presence of poly-unsaturated fatty acids in the asolectin bilayer may also play a major role in protein insertion. Cis-unsaturation of the fatty tail creates a kink or bend which disrupts the in-plane packing of the tails and results in hydrophobic cavities and higher permeablity to water and other small molecules</w:t>
      </w:r>
      <w:r w:rsidR="004B49B8" w:rsidRPr="00124F49">
        <w:rPr>
          <w:lang w:val="en-CA"/>
        </w:rPr>
        <w:fldChar w:fldCharType="begin" w:fldLock="1"/>
      </w:r>
      <w:r w:rsidR="005B3C34">
        <w:rPr>
          <w:lang w:val="en-CA"/>
        </w:rPr>
        <w:instrText>ADDIN CSL_CITATION { "citationItems" : [ { "id" : "ITEM-1", "itemData" : { "DOI" : "10.1038/ncomms5916", "ISSN" : "2041-1723", "PMID" : "25222832", "abstract" : "Two parameters of biological membranes, curvature and lipid composition, direct the recruitment of many peripheral proteins to cellular organelles. Although these traits are often studied independently, it is their combination that generates the unique interfacial properties of cellular membranes. Here, we use a combination of in vivo, in vitro and in silico approaches to provide a comprehensive map of how these parameters modulate membrane adhesive properties. The correlation between the membrane partitioning of model amphipathic helices and the distribution of lipid-packing defects in membranes of different shape and composition explains how macroscopic membrane properties modulate protein recruitment by changing the molecular topography of the membrane interfacial region. Furthermore, our results suggest that the range of conditions that can be obtained in a cellular context is remarkably large because lipid composition and curvature have, under most circumstances, cumulative effects.", "author" : [ { "dropping-particle" : "", "family" : "Vanni", "given" : "Stefano", "non-dropping-particle" : "", "parse-names" : false, "suffix" : "" }, { "dropping-particle" : "", "family" : "Hirose", "given" : "Hisaaki", "non-dropping-particle" : "", "parse-names" : false, "suffix" : "" }, { "dropping-particle" : "", "family" : "Barelli", "given" : "H\u00e9l\u00e8ne", "non-dropping-particle" : "", "parse-names" : false, "suffix" : "" }, { "dropping-particle" : "", "family" : "Antonny", "given" : "Bruno", "non-dropping-particle" : "", "parse-names" : false, "suffix" : "" }, { "dropping-particle" : "", "family" : "Gautier", "given" : "Romain", "non-dropping-particle" : "", "parse-names" : false, "suffix" : "" } ], "container-title" : "Nature Comms", "id" : "ITEM-1", "issued" : { "date-parts" : [ [ "2014" ] ] }, "page" : "4916", "title" : "A sub-nanometre view of how membrane curvature and composition modulate lipid packing and protein recruitment.", "type" : "article-journal", "volume" : "5" }, "uris" : [ "http://www.mendeley.com/documents/?uuid=a5afd2d7-a108-4a9a-aa94-ff6ccdfd9144" ] } ], "mendeley" : { "formattedCitation" : "&lt;sup&gt;14&lt;/sup&gt;", "plainTextFormattedCitation" : "14", "previouslyFormattedCitation" : "&lt;sup&gt;14&lt;/sup&gt;" }, "properties" : { "noteIndex" : 0 }, "schema" : "https://github.com/citation-style-language/schema/raw/master/csl-citation.json" }</w:instrText>
      </w:r>
      <w:r w:rsidR="004B49B8" w:rsidRPr="00124F49">
        <w:rPr>
          <w:lang w:val="en-CA"/>
        </w:rPr>
        <w:fldChar w:fldCharType="separate"/>
      </w:r>
      <w:r w:rsidR="005B3C34" w:rsidRPr="005B3C34">
        <w:rPr>
          <w:noProof/>
          <w:vertAlign w:val="superscript"/>
          <w:lang w:val="en-CA"/>
        </w:rPr>
        <w:t>14</w:t>
      </w:r>
      <w:r w:rsidR="004B49B8" w:rsidRPr="00124F49">
        <w:rPr>
          <w:lang w:val="en-CA"/>
        </w:rPr>
        <w:fldChar w:fldCharType="end"/>
      </w:r>
      <w:r w:rsidRPr="00124F49">
        <w:rPr>
          <w:lang w:val="en-CA"/>
        </w:rPr>
        <w:t>. The exposed free space could drive membrane protein insertion and lead to a high proportion of p7 proteins in asolectin bilayers compared to a more tightly packed POPC bilayer. Additionally, our measurements suggest that the region corresponding to the polar heads of asolectin is thicker (13.5 Å) than that of POPC (9 Å). This thickness does not necessarily reflect larger head groups, but may indicate different spatial arrangements due to variation in the size of the hydrophobic tails. Such arrangements in asolectin could favor the insertion of the p7 protein into the membrane by alleviating steric interactions with the substrate.</w:t>
      </w:r>
    </w:p>
    <w:p w:rsidR="00CD49AD" w:rsidRPr="00124F49" w:rsidRDefault="00CD49AD" w:rsidP="00E76C56">
      <w:pPr>
        <w:rPr>
          <w:lang w:val="en-CA"/>
        </w:rPr>
      </w:pPr>
    </w:p>
    <w:p w:rsidR="00CD49AD" w:rsidRPr="00124F49" w:rsidRDefault="00CD49AD" w:rsidP="00E76C56">
      <w:pPr>
        <w:rPr>
          <w:i/>
          <w:lang w:val="en-CA"/>
        </w:rPr>
      </w:pPr>
      <w:r w:rsidRPr="00124F49">
        <w:rPr>
          <w:i/>
          <w:lang w:val="en-CA"/>
        </w:rPr>
        <w:t>Differences in insertion of deuterated and hydrogenated p7</w:t>
      </w:r>
    </w:p>
    <w:p w:rsidR="00CD49AD" w:rsidRPr="00124F49" w:rsidRDefault="00CD49AD" w:rsidP="00E76C56">
      <w:pPr>
        <w:rPr>
          <w:rFonts w:cs="Arial"/>
          <w:lang w:val="en-CA"/>
        </w:rPr>
      </w:pPr>
      <w:r w:rsidRPr="009F57ED">
        <w:rPr>
          <w:rFonts w:cs="Arial"/>
          <w:lang w:val="en-CA"/>
        </w:rPr>
        <w:t>In the case of p7 insertion into asolectin bilayers, a large difference in the area fraction of p7 incorporated into the bilayers was observed for the two isotopic compositions of the protein. The hydrogenated protein (h-p7) comprised 23.6% of the membrane while the deuterated protein (d-p7</w:t>
      </w:r>
      <w:r w:rsidR="00E624C2">
        <w:rPr>
          <w:rFonts w:cs="Arial"/>
          <w:lang w:val="en-CA"/>
        </w:rPr>
        <w:t xml:space="preserve">) </w:t>
      </w:r>
      <w:r w:rsidRPr="009F57ED">
        <w:rPr>
          <w:rFonts w:cs="Arial"/>
          <w:lang w:val="en-CA"/>
        </w:rPr>
        <w:t xml:space="preserve">only made up 12.8%. It is not immediately clear why there was such a significant difference between the amounts of protein inserted for the two different isotopic compositions. One possibility is that the difference is linked to random variation in the protein yield using the cell-free expression system employed. Another possibility is that there is a fundamental difference in either the yield of cell-free expression using deuterated amino acids or in the energetics of the insertion mechanism for deuterated proteins. </w:t>
      </w:r>
      <w:r w:rsidR="00865DB9" w:rsidRPr="00124F49">
        <w:rPr>
          <w:rFonts w:cs="Arial"/>
          <w:lang w:val="en-CA"/>
        </w:rPr>
        <w:t xml:space="preserve">Despite the common assumption in neutron scattering that isotopic substitution does not influence the structure/interactions of the system, this is an approximation at best and there are frequently significant differences in the behavior of isotopically manipulated molecules. </w:t>
      </w:r>
      <w:r w:rsidRPr="009F57ED">
        <w:rPr>
          <w:rFonts w:cs="Arial"/>
          <w:lang w:val="en-CA"/>
        </w:rPr>
        <w:t>However, we are currently unable to distinguish between these two options.</w:t>
      </w:r>
      <w:r w:rsidR="00865DB9" w:rsidRPr="00124F49">
        <w:rPr>
          <w:rFonts w:cs="Arial"/>
          <w:lang w:val="en-CA"/>
        </w:rPr>
        <w:t xml:space="preserve"> </w:t>
      </w:r>
    </w:p>
    <w:p w:rsidR="00235AEE" w:rsidRPr="003E7CC0" w:rsidRDefault="00235AEE" w:rsidP="00E76C56">
      <w:pPr>
        <w:rPr>
          <w:rFonts w:cs="Arial"/>
          <w:color w:val="FF0000"/>
          <w:lang w:val="en-CA"/>
        </w:rPr>
      </w:pPr>
    </w:p>
    <w:p w:rsidR="00235AEE" w:rsidRPr="003E7CC0" w:rsidRDefault="00235AEE" w:rsidP="00E76C56">
      <w:pPr>
        <w:rPr>
          <w:rFonts w:cs="Arial"/>
          <w:lang w:val="en-CA"/>
        </w:rPr>
      </w:pPr>
    </w:p>
    <w:p w:rsidR="00E76C56" w:rsidRDefault="00E76C56" w:rsidP="00E76C56">
      <w:pPr>
        <w:jc w:val="both"/>
        <w:rPr>
          <w:rFonts w:cstheme="minorHAnsi"/>
          <w:b/>
          <w:color w:val="FF0000"/>
          <w:lang w:val="en-US"/>
        </w:rPr>
      </w:pPr>
    </w:p>
    <w:p w:rsidR="000C6E93" w:rsidRPr="003E7CC0" w:rsidRDefault="00343360" w:rsidP="000C6E93">
      <w:pPr>
        <w:jc w:val="both"/>
        <w:rPr>
          <w:rFonts w:cstheme="minorHAnsi"/>
          <w:lang w:val="en-US"/>
        </w:rPr>
      </w:pPr>
      <w:r w:rsidRPr="003E7CC0">
        <w:rPr>
          <w:rFonts w:cstheme="minorHAnsi"/>
          <w:lang w:val="en-US"/>
        </w:rPr>
        <w:t>REFERENCES</w:t>
      </w:r>
    </w:p>
    <w:p w:rsidR="005B3C34" w:rsidRPr="008A0CCD" w:rsidRDefault="000C6E93" w:rsidP="005B3C34">
      <w:pPr>
        <w:widowControl w:val="0"/>
        <w:autoSpaceDE w:val="0"/>
        <w:autoSpaceDN w:val="0"/>
        <w:adjustRightInd w:val="0"/>
        <w:spacing w:line="240" w:lineRule="auto"/>
        <w:ind w:left="640" w:hanging="640"/>
        <w:rPr>
          <w:rFonts w:ascii="Calibri" w:hAnsi="Calibri" w:cs="Times New Roman"/>
          <w:noProof/>
          <w:szCs w:val="24"/>
          <w:lang w:val="en-US"/>
        </w:rPr>
      </w:pPr>
      <w:r w:rsidRPr="00964FEC">
        <w:rPr>
          <w:rFonts w:cstheme="minorHAnsi"/>
          <w:color w:val="FF0000"/>
          <w:lang w:val="en-US"/>
        </w:rPr>
        <w:fldChar w:fldCharType="begin" w:fldLock="1"/>
      </w:r>
      <w:r w:rsidRPr="00964FEC">
        <w:rPr>
          <w:rFonts w:cstheme="minorHAnsi"/>
          <w:color w:val="FF0000"/>
          <w:lang w:val="en-US"/>
        </w:rPr>
        <w:instrText xml:space="preserve">ADDIN Mendeley Bibliography CSL_BIBLIOGRAPHY </w:instrText>
      </w:r>
      <w:r w:rsidRPr="00964FEC">
        <w:rPr>
          <w:rFonts w:cstheme="minorHAnsi"/>
          <w:color w:val="FF0000"/>
          <w:lang w:val="en-US"/>
        </w:rPr>
        <w:fldChar w:fldCharType="separate"/>
      </w:r>
      <w:r w:rsidR="005B3C34" w:rsidRPr="008A0CCD">
        <w:rPr>
          <w:rFonts w:ascii="Calibri" w:hAnsi="Calibri" w:cs="Times New Roman"/>
          <w:noProof/>
          <w:szCs w:val="24"/>
          <w:lang w:val="en-US"/>
        </w:rPr>
        <w:t>1.</w:t>
      </w:r>
      <w:r w:rsidR="005B3C34" w:rsidRPr="008A0CCD">
        <w:rPr>
          <w:rFonts w:ascii="Calibri" w:hAnsi="Calibri" w:cs="Times New Roman"/>
          <w:noProof/>
          <w:szCs w:val="24"/>
          <w:lang w:val="en-US"/>
        </w:rPr>
        <w:tab/>
        <w:t>Spirin, A. S. Continuous cell-free translation systems : history of the invention , reaction modes , and applications. (1989).</w:t>
      </w:r>
    </w:p>
    <w:p w:rsidR="005B3C34" w:rsidRPr="008A0CCD" w:rsidRDefault="005B3C34" w:rsidP="005B3C34">
      <w:pPr>
        <w:widowControl w:val="0"/>
        <w:autoSpaceDE w:val="0"/>
        <w:autoSpaceDN w:val="0"/>
        <w:adjustRightInd w:val="0"/>
        <w:spacing w:line="240" w:lineRule="auto"/>
        <w:ind w:left="640" w:hanging="640"/>
        <w:rPr>
          <w:rFonts w:ascii="Calibri" w:hAnsi="Calibri" w:cs="Times New Roman"/>
          <w:noProof/>
          <w:szCs w:val="24"/>
          <w:lang w:val="en-US"/>
        </w:rPr>
      </w:pPr>
      <w:r w:rsidRPr="008A0CCD">
        <w:rPr>
          <w:rFonts w:ascii="Calibri" w:hAnsi="Calibri" w:cs="Times New Roman"/>
          <w:noProof/>
          <w:szCs w:val="24"/>
          <w:lang w:val="en-US"/>
        </w:rPr>
        <w:t>2.</w:t>
      </w:r>
      <w:r w:rsidRPr="008A0CCD">
        <w:rPr>
          <w:rFonts w:ascii="Calibri" w:hAnsi="Calibri" w:cs="Times New Roman"/>
          <w:noProof/>
          <w:szCs w:val="24"/>
          <w:lang w:val="en-US"/>
        </w:rPr>
        <w:tab/>
        <w:t xml:space="preserve">Sitaraman, K. </w:t>
      </w:r>
      <w:r w:rsidRPr="008A0CCD">
        <w:rPr>
          <w:rFonts w:ascii="Calibri" w:hAnsi="Calibri" w:cs="Times New Roman"/>
          <w:i/>
          <w:iCs/>
          <w:noProof/>
          <w:szCs w:val="24"/>
          <w:lang w:val="en-US"/>
        </w:rPr>
        <w:t>et al.</w:t>
      </w:r>
      <w:r w:rsidRPr="008A0CCD">
        <w:rPr>
          <w:rFonts w:ascii="Calibri" w:hAnsi="Calibri" w:cs="Times New Roman"/>
          <w:noProof/>
          <w:szCs w:val="24"/>
          <w:lang w:val="en-US"/>
        </w:rPr>
        <w:t xml:space="preserve"> A novel cell-free protein synthesis system. </w:t>
      </w:r>
      <w:r w:rsidRPr="008A0CCD">
        <w:rPr>
          <w:rFonts w:ascii="Calibri" w:hAnsi="Calibri" w:cs="Times New Roman"/>
          <w:i/>
          <w:iCs/>
          <w:noProof/>
          <w:szCs w:val="24"/>
          <w:lang w:val="en-US"/>
        </w:rPr>
        <w:t>J. Biotechnol.</w:t>
      </w:r>
      <w:r w:rsidRPr="008A0CCD">
        <w:rPr>
          <w:rFonts w:ascii="Calibri" w:hAnsi="Calibri" w:cs="Times New Roman"/>
          <w:noProof/>
          <w:szCs w:val="24"/>
          <w:lang w:val="en-US"/>
        </w:rPr>
        <w:t xml:space="preserve"> </w:t>
      </w:r>
      <w:r w:rsidRPr="008A0CCD">
        <w:rPr>
          <w:rFonts w:ascii="Calibri" w:hAnsi="Calibri" w:cs="Times New Roman"/>
          <w:b/>
          <w:bCs/>
          <w:noProof/>
          <w:szCs w:val="24"/>
          <w:lang w:val="en-US"/>
        </w:rPr>
        <w:t>110,</w:t>
      </w:r>
      <w:r w:rsidRPr="008A0CCD">
        <w:rPr>
          <w:rFonts w:ascii="Calibri" w:hAnsi="Calibri" w:cs="Times New Roman"/>
          <w:noProof/>
          <w:szCs w:val="24"/>
          <w:lang w:val="en-US"/>
        </w:rPr>
        <w:t xml:space="preserve"> 257–263 (2004).</w:t>
      </w:r>
    </w:p>
    <w:p w:rsidR="005B3C34" w:rsidRPr="008A0CCD" w:rsidRDefault="005B3C34" w:rsidP="005B3C34">
      <w:pPr>
        <w:widowControl w:val="0"/>
        <w:autoSpaceDE w:val="0"/>
        <w:autoSpaceDN w:val="0"/>
        <w:adjustRightInd w:val="0"/>
        <w:spacing w:line="240" w:lineRule="auto"/>
        <w:ind w:left="640" w:hanging="640"/>
        <w:rPr>
          <w:rFonts w:ascii="Calibri" w:hAnsi="Calibri" w:cs="Times New Roman"/>
          <w:noProof/>
          <w:szCs w:val="24"/>
          <w:lang w:val="en-US"/>
        </w:rPr>
      </w:pPr>
      <w:r w:rsidRPr="008A0CCD">
        <w:rPr>
          <w:rFonts w:ascii="Calibri" w:hAnsi="Calibri" w:cs="Times New Roman"/>
          <w:noProof/>
          <w:szCs w:val="24"/>
          <w:lang w:val="en-US"/>
        </w:rPr>
        <w:t>3.</w:t>
      </w:r>
      <w:r w:rsidRPr="008A0CCD">
        <w:rPr>
          <w:rFonts w:ascii="Calibri" w:hAnsi="Calibri" w:cs="Times New Roman"/>
          <w:noProof/>
          <w:szCs w:val="24"/>
          <w:lang w:val="en-US"/>
        </w:rPr>
        <w:tab/>
        <w:t xml:space="preserve">Kuem, J., Kim, T., Park, C., Choi, C. &amp; Kim, D. Oxalate Enhances Protein Synthesis in Cell-Free Synthesis System Utilizing 3-Phosphoglycerate as Energy Source. </w:t>
      </w:r>
      <w:r w:rsidRPr="008A0CCD">
        <w:rPr>
          <w:rFonts w:ascii="Calibri" w:hAnsi="Calibri" w:cs="Times New Roman"/>
          <w:i/>
          <w:iCs/>
          <w:noProof/>
          <w:szCs w:val="24"/>
          <w:lang w:val="en-US"/>
        </w:rPr>
        <w:t>J. Biosci. Biongineering</w:t>
      </w:r>
      <w:r w:rsidRPr="008A0CCD">
        <w:rPr>
          <w:rFonts w:ascii="Calibri" w:hAnsi="Calibri" w:cs="Times New Roman"/>
          <w:noProof/>
          <w:szCs w:val="24"/>
          <w:lang w:val="en-US"/>
        </w:rPr>
        <w:t xml:space="preserve"> </w:t>
      </w:r>
      <w:r w:rsidRPr="008A0CCD">
        <w:rPr>
          <w:rFonts w:ascii="Calibri" w:hAnsi="Calibri" w:cs="Times New Roman"/>
          <w:b/>
          <w:bCs/>
          <w:noProof/>
          <w:szCs w:val="24"/>
          <w:lang w:val="en-US"/>
        </w:rPr>
        <w:t>101,</w:t>
      </w:r>
      <w:r w:rsidRPr="008A0CCD">
        <w:rPr>
          <w:rFonts w:ascii="Calibri" w:hAnsi="Calibri" w:cs="Times New Roman"/>
          <w:noProof/>
          <w:szCs w:val="24"/>
          <w:lang w:val="en-US"/>
        </w:rPr>
        <w:t xml:space="preserve"> 162–165 (2006).</w:t>
      </w:r>
    </w:p>
    <w:p w:rsidR="005B3C34" w:rsidRPr="008A0CCD" w:rsidRDefault="005B3C34" w:rsidP="005B3C34">
      <w:pPr>
        <w:widowControl w:val="0"/>
        <w:autoSpaceDE w:val="0"/>
        <w:autoSpaceDN w:val="0"/>
        <w:adjustRightInd w:val="0"/>
        <w:spacing w:line="240" w:lineRule="auto"/>
        <w:ind w:left="640" w:hanging="640"/>
        <w:rPr>
          <w:rFonts w:ascii="Calibri" w:hAnsi="Calibri" w:cs="Times New Roman"/>
          <w:noProof/>
          <w:szCs w:val="24"/>
          <w:lang w:val="en-US"/>
        </w:rPr>
      </w:pPr>
      <w:r w:rsidRPr="008A0CCD">
        <w:rPr>
          <w:rFonts w:ascii="Calibri" w:hAnsi="Calibri" w:cs="Times New Roman"/>
          <w:noProof/>
          <w:szCs w:val="24"/>
          <w:lang w:val="en-US"/>
        </w:rPr>
        <w:t>4.</w:t>
      </w:r>
      <w:r w:rsidRPr="008A0CCD">
        <w:rPr>
          <w:rFonts w:ascii="Calibri" w:hAnsi="Calibri" w:cs="Times New Roman"/>
          <w:noProof/>
          <w:szCs w:val="24"/>
          <w:lang w:val="en-US"/>
        </w:rPr>
        <w:tab/>
        <w:t xml:space="preserve">Chalmeau, J., Monina, N., Shin, J., Vieu, C. &amp; Noireaux, V. </w:t>
      </w:r>
      <w:r w:rsidRPr="005B3C34">
        <w:rPr>
          <w:rFonts w:ascii="Calibri" w:hAnsi="Calibri" w:cs="Times New Roman"/>
          <w:noProof/>
          <w:szCs w:val="24"/>
        </w:rPr>
        <w:t>α</w:t>
      </w:r>
      <w:r w:rsidRPr="008A0CCD">
        <w:rPr>
          <w:rFonts w:ascii="Calibri" w:hAnsi="Calibri" w:cs="Times New Roman"/>
          <w:noProof/>
          <w:szCs w:val="24"/>
          <w:lang w:val="en-US"/>
        </w:rPr>
        <w:t xml:space="preserve">-Hemolysin pore formation into a supported phospholipid bilayer using cell-free expression. </w:t>
      </w:r>
      <w:r w:rsidRPr="008A0CCD">
        <w:rPr>
          <w:rFonts w:ascii="Calibri" w:hAnsi="Calibri" w:cs="Times New Roman"/>
          <w:i/>
          <w:iCs/>
          <w:noProof/>
          <w:szCs w:val="24"/>
          <w:lang w:val="en-US"/>
        </w:rPr>
        <w:t>Biochim. Biophys. Acta - Biomembr.</w:t>
      </w:r>
      <w:r w:rsidRPr="008A0CCD">
        <w:rPr>
          <w:rFonts w:ascii="Calibri" w:hAnsi="Calibri" w:cs="Times New Roman"/>
          <w:noProof/>
          <w:szCs w:val="24"/>
          <w:lang w:val="en-US"/>
        </w:rPr>
        <w:t xml:space="preserve"> </w:t>
      </w:r>
      <w:r w:rsidRPr="008A0CCD">
        <w:rPr>
          <w:rFonts w:ascii="Calibri" w:hAnsi="Calibri" w:cs="Times New Roman"/>
          <w:b/>
          <w:bCs/>
          <w:noProof/>
          <w:szCs w:val="24"/>
          <w:lang w:val="en-US"/>
        </w:rPr>
        <w:t>1808,</w:t>
      </w:r>
      <w:r w:rsidRPr="008A0CCD">
        <w:rPr>
          <w:rFonts w:ascii="Calibri" w:hAnsi="Calibri" w:cs="Times New Roman"/>
          <w:noProof/>
          <w:szCs w:val="24"/>
          <w:lang w:val="en-US"/>
        </w:rPr>
        <w:t xml:space="preserve"> 271–278 (2011).</w:t>
      </w:r>
    </w:p>
    <w:p w:rsidR="005B3C34" w:rsidRPr="008A0CCD" w:rsidRDefault="005B3C34" w:rsidP="005B3C34">
      <w:pPr>
        <w:widowControl w:val="0"/>
        <w:autoSpaceDE w:val="0"/>
        <w:autoSpaceDN w:val="0"/>
        <w:adjustRightInd w:val="0"/>
        <w:spacing w:line="240" w:lineRule="auto"/>
        <w:ind w:left="640" w:hanging="640"/>
        <w:rPr>
          <w:rFonts w:ascii="Calibri" w:hAnsi="Calibri" w:cs="Times New Roman"/>
          <w:noProof/>
          <w:szCs w:val="24"/>
          <w:lang w:val="en-US"/>
        </w:rPr>
      </w:pPr>
      <w:r w:rsidRPr="008A0CCD">
        <w:rPr>
          <w:rFonts w:ascii="Calibri" w:hAnsi="Calibri" w:cs="Times New Roman"/>
          <w:noProof/>
          <w:szCs w:val="24"/>
          <w:lang w:val="en-US"/>
        </w:rPr>
        <w:t>5.</w:t>
      </w:r>
      <w:r w:rsidRPr="008A0CCD">
        <w:rPr>
          <w:rFonts w:ascii="Calibri" w:hAnsi="Calibri" w:cs="Times New Roman"/>
          <w:noProof/>
          <w:szCs w:val="24"/>
          <w:lang w:val="en-US"/>
        </w:rPr>
        <w:tab/>
        <w:t xml:space="preserve">Montserret, R. </w:t>
      </w:r>
      <w:r w:rsidRPr="008A0CCD">
        <w:rPr>
          <w:rFonts w:ascii="Calibri" w:hAnsi="Calibri" w:cs="Times New Roman"/>
          <w:i/>
          <w:iCs/>
          <w:noProof/>
          <w:szCs w:val="24"/>
          <w:lang w:val="en-US"/>
        </w:rPr>
        <w:t>et al.</w:t>
      </w:r>
      <w:r w:rsidRPr="008A0CCD">
        <w:rPr>
          <w:rFonts w:ascii="Calibri" w:hAnsi="Calibri" w:cs="Times New Roman"/>
          <w:noProof/>
          <w:szCs w:val="24"/>
          <w:lang w:val="en-US"/>
        </w:rPr>
        <w:t xml:space="preserve"> NMR Structure and Ion Channel Activity of the p7 Protein from Hepatitis C Virus. </w:t>
      </w:r>
      <w:r w:rsidRPr="008A0CCD">
        <w:rPr>
          <w:rFonts w:ascii="Calibri" w:hAnsi="Calibri" w:cs="Times New Roman"/>
          <w:i/>
          <w:iCs/>
          <w:noProof/>
          <w:szCs w:val="24"/>
          <w:lang w:val="en-US"/>
        </w:rPr>
        <w:t>J. Biol. Chem.</w:t>
      </w:r>
      <w:r w:rsidRPr="008A0CCD">
        <w:rPr>
          <w:rFonts w:ascii="Calibri" w:hAnsi="Calibri" w:cs="Times New Roman"/>
          <w:noProof/>
          <w:szCs w:val="24"/>
          <w:lang w:val="en-US"/>
        </w:rPr>
        <w:t xml:space="preserve"> </w:t>
      </w:r>
      <w:r w:rsidRPr="008A0CCD">
        <w:rPr>
          <w:rFonts w:ascii="Calibri" w:hAnsi="Calibri" w:cs="Times New Roman"/>
          <w:b/>
          <w:bCs/>
          <w:noProof/>
          <w:szCs w:val="24"/>
          <w:lang w:val="en-US"/>
        </w:rPr>
        <w:t>285,</w:t>
      </w:r>
      <w:r w:rsidRPr="008A0CCD">
        <w:rPr>
          <w:rFonts w:ascii="Calibri" w:hAnsi="Calibri" w:cs="Times New Roman"/>
          <w:noProof/>
          <w:szCs w:val="24"/>
          <w:lang w:val="en-US"/>
        </w:rPr>
        <w:t xml:space="preserve"> 31446–31461 (2010).</w:t>
      </w:r>
    </w:p>
    <w:p w:rsidR="005B3C34" w:rsidRPr="008A0CCD" w:rsidRDefault="005B3C34" w:rsidP="005B3C34">
      <w:pPr>
        <w:widowControl w:val="0"/>
        <w:autoSpaceDE w:val="0"/>
        <w:autoSpaceDN w:val="0"/>
        <w:adjustRightInd w:val="0"/>
        <w:spacing w:line="240" w:lineRule="auto"/>
        <w:ind w:left="640" w:hanging="640"/>
        <w:rPr>
          <w:rFonts w:ascii="Calibri" w:hAnsi="Calibri" w:cs="Times New Roman"/>
          <w:noProof/>
          <w:szCs w:val="24"/>
          <w:lang w:val="en-US"/>
        </w:rPr>
      </w:pPr>
      <w:r w:rsidRPr="008A0CCD">
        <w:rPr>
          <w:rFonts w:ascii="Calibri" w:hAnsi="Calibri" w:cs="Times New Roman"/>
          <w:noProof/>
          <w:szCs w:val="24"/>
          <w:lang w:val="en-US"/>
        </w:rPr>
        <w:t>6.</w:t>
      </w:r>
      <w:r w:rsidRPr="008A0CCD">
        <w:rPr>
          <w:rFonts w:ascii="Calibri" w:hAnsi="Calibri" w:cs="Times New Roman"/>
          <w:noProof/>
          <w:szCs w:val="24"/>
          <w:lang w:val="en-US"/>
        </w:rPr>
        <w:tab/>
        <w:t xml:space="preserve">Soranzo, T. </w:t>
      </w:r>
      <w:r w:rsidRPr="008A0CCD">
        <w:rPr>
          <w:rFonts w:ascii="Calibri" w:hAnsi="Calibri" w:cs="Times New Roman"/>
          <w:i/>
          <w:iCs/>
          <w:noProof/>
          <w:szCs w:val="24"/>
          <w:lang w:val="en-US"/>
        </w:rPr>
        <w:t>et al.</w:t>
      </w:r>
      <w:r w:rsidRPr="008A0CCD">
        <w:rPr>
          <w:rFonts w:ascii="Calibri" w:hAnsi="Calibri" w:cs="Times New Roman"/>
          <w:noProof/>
          <w:szCs w:val="24"/>
          <w:lang w:val="en-US"/>
        </w:rPr>
        <w:t xml:space="preserve"> Functional characterization of p7 viroporin from hepatitis C virus produced in a cell-free expression system. </w:t>
      </w:r>
      <w:r w:rsidRPr="008A0CCD">
        <w:rPr>
          <w:rFonts w:ascii="Calibri" w:hAnsi="Calibri" w:cs="Times New Roman"/>
          <w:i/>
          <w:iCs/>
          <w:noProof/>
          <w:szCs w:val="24"/>
          <w:lang w:val="en-US"/>
        </w:rPr>
        <w:t>Protein Expr. Purif.</w:t>
      </w:r>
      <w:r w:rsidRPr="008A0CCD">
        <w:rPr>
          <w:rFonts w:ascii="Calibri" w:hAnsi="Calibri" w:cs="Times New Roman"/>
          <w:noProof/>
          <w:szCs w:val="24"/>
          <w:lang w:val="en-US"/>
        </w:rPr>
        <w:t xml:space="preserve"> </w:t>
      </w:r>
      <w:r w:rsidRPr="008A0CCD">
        <w:rPr>
          <w:rFonts w:ascii="Calibri" w:hAnsi="Calibri" w:cs="Times New Roman"/>
          <w:b/>
          <w:bCs/>
          <w:noProof/>
          <w:szCs w:val="24"/>
          <w:lang w:val="en-US"/>
        </w:rPr>
        <w:t>118,</w:t>
      </w:r>
      <w:r w:rsidRPr="008A0CCD">
        <w:rPr>
          <w:rFonts w:ascii="Calibri" w:hAnsi="Calibri" w:cs="Times New Roman"/>
          <w:noProof/>
          <w:szCs w:val="24"/>
          <w:lang w:val="en-US"/>
        </w:rPr>
        <w:t xml:space="preserve"> 83–91 (2016).</w:t>
      </w:r>
    </w:p>
    <w:p w:rsidR="005B3C34" w:rsidRPr="008A0CCD" w:rsidRDefault="005B3C34" w:rsidP="005B3C34">
      <w:pPr>
        <w:widowControl w:val="0"/>
        <w:autoSpaceDE w:val="0"/>
        <w:autoSpaceDN w:val="0"/>
        <w:adjustRightInd w:val="0"/>
        <w:spacing w:line="240" w:lineRule="auto"/>
        <w:ind w:left="640" w:hanging="640"/>
        <w:rPr>
          <w:rFonts w:ascii="Calibri" w:hAnsi="Calibri" w:cs="Times New Roman"/>
          <w:noProof/>
          <w:szCs w:val="24"/>
          <w:lang w:val="en-US"/>
        </w:rPr>
      </w:pPr>
      <w:r w:rsidRPr="008A0CCD">
        <w:rPr>
          <w:rFonts w:ascii="Calibri" w:hAnsi="Calibri" w:cs="Times New Roman"/>
          <w:noProof/>
          <w:szCs w:val="24"/>
          <w:lang w:val="en-US"/>
        </w:rPr>
        <w:t>7.</w:t>
      </w:r>
      <w:r w:rsidRPr="008A0CCD">
        <w:rPr>
          <w:rFonts w:ascii="Calibri" w:hAnsi="Calibri" w:cs="Times New Roman"/>
          <w:noProof/>
          <w:szCs w:val="24"/>
          <w:lang w:val="en-US"/>
        </w:rPr>
        <w:tab/>
        <w:t xml:space="preserve">Cranfield, C. G. </w:t>
      </w:r>
      <w:r w:rsidRPr="008A0CCD">
        <w:rPr>
          <w:rFonts w:ascii="Calibri" w:hAnsi="Calibri" w:cs="Times New Roman"/>
          <w:i/>
          <w:iCs/>
          <w:noProof/>
          <w:szCs w:val="24"/>
          <w:lang w:val="en-US"/>
        </w:rPr>
        <w:t>et al.</w:t>
      </w:r>
      <w:r w:rsidRPr="008A0CCD">
        <w:rPr>
          <w:rFonts w:ascii="Calibri" w:hAnsi="Calibri" w:cs="Times New Roman"/>
          <w:noProof/>
          <w:szCs w:val="24"/>
          <w:lang w:val="en-US"/>
        </w:rPr>
        <w:t xml:space="preserve"> Transient potential gradients and impedance measures of tethered bilayer lipid membranes: Pore-forming peptide insertion and the effect of electroporation. </w:t>
      </w:r>
      <w:r w:rsidRPr="008A0CCD">
        <w:rPr>
          <w:rFonts w:ascii="Calibri" w:hAnsi="Calibri" w:cs="Times New Roman"/>
          <w:i/>
          <w:iCs/>
          <w:noProof/>
          <w:szCs w:val="24"/>
          <w:lang w:val="en-US"/>
        </w:rPr>
        <w:t>Biophys. J.</w:t>
      </w:r>
      <w:r w:rsidRPr="008A0CCD">
        <w:rPr>
          <w:rFonts w:ascii="Calibri" w:hAnsi="Calibri" w:cs="Times New Roman"/>
          <w:noProof/>
          <w:szCs w:val="24"/>
          <w:lang w:val="en-US"/>
        </w:rPr>
        <w:t xml:space="preserve"> </w:t>
      </w:r>
      <w:r w:rsidRPr="008A0CCD">
        <w:rPr>
          <w:rFonts w:ascii="Calibri" w:hAnsi="Calibri" w:cs="Times New Roman"/>
          <w:b/>
          <w:bCs/>
          <w:noProof/>
          <w:szCs w:val="24"/>
          <w:lang w:val="en-US"/>
        </w:rPr>
        <w:t>106,</w:t>
      </w:r>
      <w:r w:rsidRPr="008A0CCD">
        <w:rPr>
          <w:rFonts w:ascii="Calibri" w:hAnsi="Calibri" w:cs="Times New Roman"/>
          <w:noProof/>
          <w:szCs w:val="24"/>
          <w:lang w:val="en-US"/>
        </w:rPr>
        <w:t xml:space="preserve"> 182–189 (2014).</w:t>
      </w:r>
    </w:p>
    <w:p w:rsidR="005B3C34" w:rsidRPr="008A0CCD" w:rsidRDefault="005B3C34" w:rsidP="005B3C34">
      <w:pPr>
        <w:widowControl w:val="0"/>
        <w:autoSpaceDE w:val="0"/>
        <w:autoSpaceDN w:val="0"/>
        <w:adjustRightInd w:val="0"/>
        <w:spacing w:line="240" w:lineRule="auto"/>
        <w:ind w:left="640" w:hanging="640"/>
        <w:rPr>
          <w:rFonts w:ascii="Calibri" w:hAnsi="Calibri" w:cs="Times New Roman"/>
          <w:noProof/>
          <w:szCs w:val="24"/>
          <w:lang w:val="en-US"/>
        </w:rPr>
      </w:pPr>
      <w:r w:rsidRPr="008A0CCD">
        <w:rPr>
          <w:rFonts w:ascii="Calibri" w:hAnsi="Calibri" w:cs="Times New Roman"/>
          <w:noProof/>
          <w:szCs w:val="24"/>
          <w:lang w:val="en-US"/>
        </w:rPr>
        <w:t>8.</w:t>
      </w:r>
      <w:r w:rsidRPr="008A0CCD">
        <w:rPr>
          <w:rFonts w:ascii="Calibri" w:hAnsi="Calibri" w:cs="Times New Roman"/>
          <w:noProof/>
          <w:szCs w:val="24"/>
          <w:lang w:val="en-US"/>
        </w:rPr>
        <w:tab/>
        <w:t xml:space="preserve">Perkins, S. J. Protein volumes and hydration effects. </w:t>
      </w:r>
      <w:r w:rsidRPr="008A0CCD">
        <w:rPr>
          <w:rFonts w:ascii="Calibri" w:hAnsi="Calibri" w:cs="Times New Roman"/>
          <w:i/>
          <w:iCs/>
          <w:noProof/>
          <w:szCs w:val="24"/>
          <w:lang w:val="en-US"/>
        </w:rPr>
        <w:t>Eur. J. Biochem.</w:t>
      </w:r>
      <w:r w:rsidRPr="008A0CCD">
        <w:rPr>
          <w:rFonts w:ascii="Calibri" w:hAnsi="Calibri" w:cs="Times New Roman"/>
          <w:noProof/>
          <w:szCs w:val="24"/>
          <w:lang w:val="en-US"/>
        </w:rPr>
        <w:t xml:space="preserve"> </w:t>
      </w:r>
      <w:r w:rsidRPr="008A0CCD">
        <w:rPr>
          <w:rFonts w:ascii="Calibri" w:hAnsi="Calibri" w:cs="Times New Roman"/>
          <w:b/>
          <w:bCs/>
          <w:noProof/>
          <w:szCs w:val="24"/>
          <w:lang w:val="en-US"/>
        </w:rPr>
        <w:t>157,</w:t>
      </w:r>
      <w:r w:rsidRPr="008A0CCD">
        <w:rPr>
          <w:rFonts w:ascii="Calibri" w:hAnsi="Calibri" w:cs="Times New Roman"/>
          <w:noProof/>
          <w:szCs w:val="24"/>
          <w:lang w:val="en-US"/>
        </w:rPr>
        <w:t xml:space="preserve"> 169–180 (1986).</w:t>
      </w:r>
    </w:p>
    <w:p w:rsidR="005B3C34" w:rsidRPr="008A0CCD" w:rsidRDefault="005B3C34" w:rsidP="005B3C34">
      <w:pPr>
        <w:widowControl w:val="0"/>
        <w:autoSpaceDE w:val="0"/>
        <w:autoSpaceDN w:val="0"/>
        <w:adjustRightInd w:val="0"/>
        <w:spacing w:line="240" w:lineRule="auto"/>
        <w:ind w:left="640" w:hanging="640"/>
        <w:rPr>
          <w:rFonts w:ascii="Calibri" w:hAnsi="Calibri" w:cs="Times New Roman"/>
          <w:noProof/>
          <w:szCs w:val="24"/>
          <w:lang w:val="en-US"/>
        </w:rPr>
      </w:pPr>
      <w:r w:rsidRPr="008A0CCD">
        <w:rPr>
          <w:rFonts w:ascii="Calibri" w:hAnsi="Calibri" w:cs="Times New Roman"/>
          <w:noProof/>
          <w:szCs w:val="24"/>
          <w:lang w:val="en-US"/>
        </w:rPr>
        <w:t>9.</w:t>
      </w:r>
      <w:r w:rsidRPr="008A0CCD">
        <w:rPr>
          <w:rFonts w:ascii="Calibri" w:hAnsi="Calibri" w:cs="Times New Roman"/>
          <w:noProof/>
          <w:szCs w:val="24"/>
          <w:lang w:val="en-US"/>
        </w:rPr>
        <w:tab/>
        <w:t xml:space="preserve">Efimova, Y. M., Wierczinski, B., Haemers, S. &amp; Well, A. A. Van. Changes in the secondary structure of proteins labeled with 125 I : CD spectroscopy and enzymatic activity studies. </w:t>
      </w:r>
      <w:r w:rsidRPr="008A0CCD">
        <w:rPr>
          <w:rFonts w:ascii="Calibri" w:hAnsi="Calibri" w:cs="Times New Roman"/>
          <w:i/>
          <w:iCs/>
          <w:noProof/>
          <w:szCs w:val="24"/>
          <w:lang w:val="en-US"/>
        </w:rPr>
        <w:t>J. Radioanal. Nucl. Chem.</w:t>
      </w:r>
      <w:r w:rsidRPr="008A0CCD">
        <w:rPr>
          <w:rFonts w:ascii="Calibri" w:hAnsi="Calibri" w:cs="Times New Roman"/>
          <w:noProof/>
          <w:szCs w:val="24"/>
          <w:lang w:val="en-US"/>
        </w:rPr>
        <w:t xml:space="preserve"> </w:t>
      </w:r>
      <w:r w:rsidRPr="008A0CCD">
        <w:rPr>
          <w:rFonts w:ascii="Calibri" w:hAnsi="Calibri" w:cs="Times New Roman"/>
          <w:b/>
          <w:bCs/>
          <w:noProof/>
          <w:szCs w:val="24"/>
          <w:lang w:val="en-US"/>
        </w:rPr>
        <w:t>264,</w:t>
      </w:r>
      <w:r w:rsidRPr="008A0CCD">
        <w:rPr>
          <w:rFonts w:ascii="Calibri" w:hAnsi="Calibri" w:cs="Times New Roman"/>
          <w:noProof/>
          <w:szCs w:val="24"/>
          <w:lang w:val="en-US"/>
        </w:rPr>
        <w:t xml:space="preserve"> 91–96 (2005).</w:t>
      </w:r>
    </w:p>
    <w:p w:rsidR="005B3C34" w:rsidRPr="008A0CCD" w:rsidRDefault="005B3C34" w:rsidP="005B3C34">
      <w:pPr>
        <w:widowControl w:val="0"/>
        <w:autoSpaceDE w:val="0"/>
        <w:autoSpaceDN w:val="0"/>
        <w:adjustRightInd w:val="0"/>
        <w:spacing w:line="240" w:lineRule="auto"/>
        <w:ind w:left="640" w:hanging="640"/>
        <w:rPr>
          <w:rFonts w:ascii="Calibri" w:hAnsi="Calibri" w:cs="Times New Roman"/>
          <w:noProof/>
          <w:szCs w:val="24"/>
          <w:lang w:val="en-US"/>
        </w:rPr>
      </w:pPr>
      <w:r w:rsidRPr="008A0CCD">
        <w:rPr>
          <w:rFonts w:ascii="Calibri" w:hAnsi="Calibri" w:cs="Times New Roman"/>
          <w:noProof/>
          <w:szCs w:val="24"/>
          <w:lang w:val="en-US"/>
        </w:rPr>
        <w:t>10.</w:t>
      </w:r>
      <w:r w:rsidRPr="008A0CCD">
        <w:rPr>
          <w:rFonts w:ascii="Calibri" w:hAnsi="Calibri" w:cs="Times New Roman"/>
          <w:noProof/>
          <w:szCs w:val="24"/>
          <w:lang w:val="en-US"/>
        </w:rPr>
        <w:tab/>
        <w:t xml:space="preserve">Long, A. R., Brien, C. C. O. &amp; Alder, N. N. The Cell-Free Integration of a Polytopic Mitochondrial Membrane Protein into Liposomes Occurs Cotranslationally and in a Lipid-Dependent Manner. </w:t>
      </w:r>
      <w:r w:rsidRPr="008A0CCD">
        <w:rPr>
          <w:rFonts w:ascii="Calibri" w:hAnsi="Calibri" w:cs="Times New Roman"/>
          <w:i/>
          <w:iCs/>
          <w:noProof/>
          <w:szCs w:val="24"/>
          <w:lang w:val="en-US"/>
        </w:rPr>
        <w:t>PLoS One</w:t>
      </w:r>
      <w:r w:rsidRPr="008A0CCD">
        <w:rPr>
          <w:rFonts w:ascii="Calibri" w:hAnsi="Calibri" w:cs="Times New Roman"/>
          <w:noProof/>
          <w:szCs w:val="24"/>
          <w:lang w:val="en-US"/>
        </w:rPr>
        <w:t xml:space="preserve"> </w:t>
      </w:r>
      <w:r w:rsidRPr="008A0CCD">
        <w:rPr>
          <w:rFonts w:ascii="Calibri" w:hAnsi="Calibri" w:cs="Times New Roman"/>
          <w:b/>
          <w:bCs/>
          <w:noProof/>
          <w:szCs w:val="24"/>
          <w:lang w:val="en-US"/>
        </w:rPr>
        <w:t>7,</w:t>
      </w:r>
      <w:r w:rsidRPr="008A0CCD">
        <w:rPr>
          <w:rFonts w:ascii="Calibri" w:hAnsi="Calibri" w:cs="Times New Roman"/>
          <w:noProof/>
          <w:szCs w:val="24"/>
          <w:lang w:val="en-US"/>
        </w:rPr>
        <w:t xml:space="preserve"> e46332 (2012).</w:t>
      </w:r>
    </w:p>
    <w:p w:rsidR="005B3C34" w:rsidRPr="008A0CCD" w:rsidRDefault="005B3C34" w:rsidP="005B3C34">
      <w:pPr>
        <w:widowControl w:val="0"/>
        <w:autoSpaceDE w:val="0"/>
        <w:autoSpaceDN w:val="0"/>
        <w:adjustRightInd w:val="0"/>
        <w:spacing w:line="240" w:lineRule="auto"/>
        <w:ind w:left="640" w:hanging="640"/>
        <w:rPr>
          <w:rFonts w:ascii="Calibri" w:hAnsi="Calibri" w:cs="Times New Roman"/>
          <w:noProof/>
          <w:szCs w:val="24"/>
          <w:lang w:val="en-US"/>
        </w:rPr>
      </w:pPr>
      <w:r w:rsidRPr="008A0CCD">
        <w:rPr>
          <w:rFonts w:ascii="Calibri" w:hAnsi="Calibri" w:cs="Times New Roman"/>
          <w:noProof/>
          <w:szCs w:val="24"/>
          <w:lang w:val="en-US"/>
        </w:rPr>
        <w:t>11.</w:t>
      </w:r>
      <w:r w:rsidRPr="008A0CCD">
        <w:rPr>
          <w:rFonts w:ascii="Calibri" w:hAnsi="Calibri" w:cs="Times New Roman"/>
          <w:noProof/>
          <w:szCs w:val="24"/>
          <w:lang w:val="en-US"/>
        </w:rPr>
        <w:tab/>
        <w:t xml:space="preserve">Van der Laan, M. </w:t>
      </w:r>
      <w:r w:rsidRPr="008A0CCD">
        <w:rPr>
          <w:rFonts w:ascii="Calibri" w:hAnsi="Calibri" w:cs="Times New Roman"/>
          <w:i/>
          <w:iCs/>
          <w:noProof/>
          <w:szCs w:val="24"/>
          <w:lang w:val="en-US"/>
        </w:rPr>
        <w:t>et al.</w:t>
      </w:r>
      <w:r w:rsidRPr="008A0CCD">
        <w:rPr>
          <w:rFonts w:ascii="Calibri" w:hAnsi="Calibri" w:cs="Times New Roman"/>
          <w:noProof/>
          <w:szCs w:val="24"/>
          <w:lang w:val="en-US"/>
        </w:rPr>
        <w:t xml:space="preserve"> Motor-free mitochondrial presequence translocase drives membrane integration of preproteins. </w:t>
      </w:r>
      <w:r w:rsidRPr="008A0CCD">
        <w:rPr>
          <w:rFonts w:ascii="Calibri" w:hAnsi="Calibri" w:cs="Times New Roman"/>
          <w:i/>
          <w:iCs/>
          <w:noProof/>
          <w:szCs w:val="24"/>
          <w:lang w:val="en-US"/>
        </w:rPr>
        <w:t>Nat. Cell Biol.</w:t>
      </w:r>
      <w:r w:rsidRPr="008A0CCD">
        <w:rPr>
          <w:rFonts w:ascii="Calibri" w:hAnsi="Calibri" w:cs="Times New Roman"/>
          <w:noProof/>
          <w:szCs w:val="24"/>
          <w:lang w:val="en-US"/>
        </w:rPr>
        <w:t xml:space="preserve"> </w:t>
      </w:r>
      <w:r w:rsidRPr="008A0CCD">
        <w:rPr>
          <w:rFonts w:ascii="Calibri" w:hAnsi="Calibri" w:cs="Times New Roman"/>
          <w:b/>
          <w:bCs/>
          <w:noProof/>
          <w:szCs w:val="24"/>
          <w:lang w:val="en-US"/>
        </w:rPr>
        <w:t>9,</w:t>
      </w:r>
      <w:r w:rsidRPr="008A0CCD">
        <w:rPr>
          <w:rFonts w:ascii="Calibri" w:hAnsi="Calibri" w:cs="Times New Roman"/>
          <w:noProof/>
          <w:szCs w:val="24"/>
          <w:lang w:val="en-US"/>
        </w:rPr>
        <w:t xml:space="preserve"> 1152–9 (2007).</w:t>
      </w:r>
    </w:p>
    <w:p w:rsidR="005B3C34" w:rsidRPr="008A0CCD" w:rsidRDefault="005B3C34" w:rsidP="005B3C34">
      <w:pPr>
        <w:widowControl w:val="0"/>
        <w:autoSpaceDE w:val="0"/>
        <w:autoSpaceDN w:val="0"/>
        <w:adjustRightInd w:val="0"/>
        <w:spacing w:line="240" w:lineRule="auto"/>
        <w:ind w:left="640" w:hanging="640"/>
        <w:rPr>
          <w:rFonts w:ascii="Calibri" w:hAnsi="Calibri" w:cs="Times New Roman"/>
          <w:noProof/>
          <w:szCs w:val="24"/>
          <w:lang w:val="en-US"/>
        </w:rPr>
      </w:pPr>
      <w:r w:rsidRPr="008A0CCD">
        <w:rPr>
          <w:rFonts w:ascii="Calibri" w:hAnsi="Calibri" w:cs="Times New Roman"/>
          <w:noProof/>
          <w:szCs w:val="24"/>
          <w:lang w:val="en-US"/>
        </w:rPr>
        <w:t>12.</w:t>
      </w:r>
      <w:r w:rsidRPr="008A0CCD">
        <w:rPr>
          <w:rFonts w:ascii="Calibri" w:hAnsi="Calibri" w:cs="Times New Roman"/>
          <w:noProof/>
          <w:szCs w:val="24"/>
          <w:lang w:val="en-US"/>
        </w:rPr>
        <w:tab/>
        <w:t xml:space="preserve">Kucerka, N., Nieh, M. P. &amp; Katsaras, J. Fluid phase lipid areas and bilayer thicknesses of commonly used phosphatidylcholines as a function of temperature. </w:t>
      </w:r>
      <w:r w:rsidRPr="008A0CCD">
        <w:rPr>
          <w:rFonts w:ascii="Calibri" w:hAnsi="Calibri" w:cs="Times New Roman"/>
          <w:i/>
          <w:iCs/>
          <w:noProof/>
          <w:szCs w:val="24"/>
          <w:lang w:val="en-US"/>
        </w:rPr>
        <w:t>Biochim. Biophys. Acta - Biomembr.</w:t>
      </w:r>
      <w:r w:rsidRPr="008A0CCD">
        <w:rPr>
          <w:rFonts w:ascii="Calibri" w:hAnsi="Calibri" w:cs="Times New Roman"/>
          <w:noProof/>
          <w:szCs w:val="24"/>
          <w:lang w:val="en-US"/>
        </w:rPr>
        <w:t xml:space="preserve"> </w:t>
      </w:r>
      <w:r w:rsidRPr="008A0CCD">
        <w:rPr>
          <w:rFonts w:ascii="Calibri" w:hAnsi="Calibri" w:cs="Times New Roman"/>
          <w:b/>
          <w:bCs/>
          <w:noProof/>
          <w:szCs w:val="24"/>
          <w:lang w:val="en-US"/>
        </w:rPr>
        <w:t>1808,</w:t>
      </w:r>
      <w:r w:rsidRPr="008A0CCD">
        <w:rPr>
          <w:rFonts w:ascii="Calibri" w:hAnsi="Calibri" w:cs="Times New Roman"/>
          <w:noProof/>
          <w:szCs w:val="24"/>
          <w:lang w:val="en-US"/>
        </w:rPr>
        <w:t xml:space="preserve"> 2761–2771 (2011).</w:t>
      </w:r>
    </w:p>
    <w:p w:rsidR="005B3C34" w:rsidRPr="008A0CCD" w:rsidRDefault="005B3C34" w:rsidP="005B3C34">
      <w:pPr>
        <w:widowControl w:val="0"/>
        <w:autoSpaceDE w:val="0"/>
        <w:autoSpaceDN w:val="0"/>
        <w:adjustRightInd w:val="0"/>
        <w:spacing w:line="240" w:lineRule="auto"/>
        <w:ind w:left="640" w:hanging="640"/>
        <w:rPr>
          <w:rFonts w:ascii="Calibri" w:hAnsi="Calibri" w:cs="Times New Roman"/>
          <w:noProof/>
          <w:szCs w:val="24"/>
          <w:lang w:val="en-US"/>
        </w:rPr>
      </w:pPr>
      <w:r w:rsidRPr="008A0CCD">
        <w:rPr>
          <w:rFonts w:ascii="Calibri" w:hAnsi="Calibri" w:cs="Times New Roman"/>
          <w:noProof/>
          <w:szCs w:val="24"/>
          <w:lang w:val="en-US"/>
        </w:rPr>
        <w:t>13.</w:t>
      </w:r>
      <w:r w:rsidRPr="008A0CCD">
        <w:rPr>
          <w:rFonts w:ascii="Calibri" w:hAnsi="Calibri" w:cs="Times New Roman"/>
          <w:noProof/>
          <w:szCs w:val="24"/>
          <w:lang w:val="en-US"/>
        </w:rPr>
        <w:tab/>
        <w:t xml:space="preserve">Nagle, J. F. &amp; Tristam-Nagle, S. Structure of lipid bilayers. </w:t>
      </w:r>
      <w:r w:rsidRPr="008A0CCD">
        <w:rPr>
          <w:rFonts w:ascii="Calibri" w:hAnsi="Calibri" w:cs="Times New Roman"/>
          <w:i/>
          <w:iCs/>
          <w:noProof/>
          <w:szCs w:val="24"/>
          <w:lang w:val="en-US"/>
        </w:rPr>
        <w:t>Biochim. Biophys. Acta</w:t>
      </w:r>
      <w:r w:rsidRPr="008A0CCD">
        <w:rPr>
          <w:rFonts w:ascii="Calibri" w:hAnsi="Calibri" w:cs="Times New Roman"/>
          <w:noProof/>
          <w:szCs w:val="24"/>
          <w:lang w:val="en-US"/>
        </w:rPr>
        <w:t xml:space="preserve"> </w:t>
      </w:r>
      <w:r w:rsidRPr="008A0CCD">
        <w:rPr>
          <w:rFonts w:ascii="Calibri" w:hAnsi="Calibri" w:cs="Times New Roman"/>
          <w:b/>
          <w:bCs/>
          <w:noProof/>
          <w:szCs w:val="24"/>
          <w:lang w:val="en-US"/>
        </w:rPr>
        <w:t>1469,</w:t>
      </w:r>
      <w:r w:rsidRPr="008A0CCD">
        <w:rPr>
          <w:rFonts w:ascii="Calibri" w:hAnsi="Calibri" w:cs="Times New Roman"/>
          <w:noProof/>
          <w:szCs w:val="24"/>
          <w:lang w:val="en-US"/>
        </w:rPr>
        <w:t xml:space="preserve"> 159–195 (2000).</w:t>
      </w:r>
    </w:p>
    <w:p w:rsidR="005B3C34" w:rsidRPr="005B3C34" w:rsidRDefault="005B3C34" w:rsidP="005B3C34">
      <w:pPr>
        <w:widowControl w:val="0"/>
        <w:autoSpaceDE w:val="0"/>
        <w:autoSpaceDN w:val="0"/>
        <w:adjustRightInd w:val="0"/>
        <w:spacing w:line="240" w:lineRule="auto"/>
        <w:ind w:left="640" w:hanging="640"/>
        <w:rPr>
          <w:rFonts w:ascii="Calibri" w:hAnsi="Calibri"/>
          <w:noProof/>
        </w:rPr>
      </w:pPr>
      <w:r w:rsidRPr="008A0CCD">
        <w:rPr>
          <w:rFonts w:ascii="Calibri" w:hAnsi="Calibri" w:cs="Times New Roman"/>
          <w:noProof/>
          <w:szCs w:val="24"/>
          <w:lang w:val="en-US"/>
        </w:rPr>
        <w:t>14.</w:t>
      </w:r>
      <w:r w:rsidRPr="008A0CCD">
        <w:rPr>
          <w:rFonts w:ascii="Calibri" w:hAnsi="Calibri" w:cs="Times New Roman"/>
          <w:noProof/>
          <w:szCs w:val="24"/>
          <w:lang w:val="en-US"/>
        </w:rPr>
        <w:tab/>
        <w:t xml:space="preserve">Vanni, S., Hirose, H., Barelli, H., Antonny, B. &amp; Gautier, R. A sub-nanometre view of how membrane curvature and composition modulate lipid packing and protein recruitment. </w:t>
      </w:r>
      <w:r w:rsidRPr="005B3C34">
        <w:rPr>
          <w:rFonts w:ascii="Calibri" w:hAnsi="Calibri" w:cs="Times New Roman"/>
          <w:i/>
          <w:iCs/>
          <w:noProof/>
          <w:szCs w:val="24"/>
        </w:rPr>
        <w:t>Nat. Comms</w:t>
      </w:r>
      <w:r w:rsidRPr="005B3C34">
        <w:rPr>
          <w:rFonts w:ascii="Calibri" w:hAnsi="Calibri" w:cs="Times New Roman"/>
          <w:noProof/>
          <w:szCs w:val="24"/>
        </w:rPr>
        <w:t xml:space="preserve"> </w:t>
      </w:r>
      <w:r w:rsidRPr="005B3C34">
        <w:rPr>
          <w:rFonts w:ascii="Calibri" w:hAnsi="Calibri" w:cs="Times New Roman"/>
          <w:b/>
          <w:bCs/>
          <w:noProof/>
          <w:szCs w:val="24"/>
        </w:rPr>
        <w:t>5,</w:t>
      </w:r>
      <w:r w:rsidRPr="005B3C34">
        <w:rPr>
          <w:rFonts w:ascii="Calibri" w:hAnsi="Calibri" w:cs="Times New Roman"/>
          <w:noProof/>
          <w:szCs w:val="24"/>
        </w:rPr>
        <w:t xml:space="preserve"> 4916 (2014).</w:t>
      </w:r>
    </w:p>
    <w:p w:rsidR="00160DE7" w:rsidRPr="00B947F3" w:rsidRDefault="000C6E93" w:rsidP="005B3C34">
      <w:pPr>
        <w:widowControl w:val="0"/>
        <w:autoSpaceDE w:val="0"/>
        <w:autoSpaceDN w:val="0"/>
        <w:adjustRightInd w:val="0"/>
        <w:spacing w:line="240" w:lineRule="auto"/>
        <w:ind w:left="640" w:hanging="640"/>
        <w:rPr>
          <w:rFonts w:ascii="Arial" w:hAnsi="Arial" w:cs="Arial"/>
          <w:noProof/>
          <w:szCs w:val="24"/>
        </w:rPr>
      </w:pPr>
      <w:r w:rsidRPr="00964FEC">
        <w:rPr>
          <w:rFonts w:cstheme="minorHAnsi"/>
          <w:color w:val="FF0000"/>
          <w:lang w:val="en-US"/>
        </w:rPr>
        <w:fldChar w:fldCharType="end"/>
      </w:r>
    </w:p>
    <w:p w:rsidR="002B56B3" w:rsidRPr="002B56B3" w:rsidRDefault="002B56B3" w:rsidP="004B2363">
      <w:pPr>
        <w:widowControl w:val="0"/>
        <w:autoSpaceDE w:val="0"/>
        <w:autoSpaceDN w:val="0"/>
        <w:adjustRightInd w:val="0"/>
        <w:spacing w:line="240" w:lineRule="auto"/>
        <w:ind w:left="640" w:hanging="640"/>
        <w:rPr>
          <w:rFonts w:ascii="Times" w:hAnsi="Times"/>
          <w:color w:val="FF0000"/>
          <w:lang w:val="en-CA"/>
        </w:rPr>
      </w:pPr>
    </w:p>
    <w:sectPr w:rsidR="002B56B3" w:rsidRPr="002B56B3" w:rsidSect="00A03AA5">
      <w:headerReference w:type="even" r:id="rId15"/>
      <w:headerReference w:type="default" r:id="rId16"/>
      <w:footerReference w:type="even" r:id="rId17"/>
      <w:footerReference w:type="default" r:id="rId18"/>
      <w:headerReference w:type="first" r:id="rId19"/>
      <w:footerReference w:type="first" r:id="rId20"/>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007" w:rsidRDefault="00A06007" w:rsidP="001C6900">
      <w:pPr>
        <w:spacing w:after="0" w:line="240" w:lineRule="auto"/>
      </w:pPr>
      <w:r>
        <w:separator/>
      </w:r>
    </w:p>
  </w:endnote>
  <w:endnote w:type="continuationSeparator" w:id="0">
    <w:p w:rsidR="00A06007" w:rsidRDefault="00A06007" w:rsidP="001C6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CCD" w:rsidRDefault="008A0C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CCD" w:rsidRDefault="008A0C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CCD" w:rsidRDefault="008A0C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007" w:rsidRDefault="00A06007" w:rsidP="001C6900">
      <w:pPr>
        <w:spacing w:after="0" w:line="240" w:lineRule="auto"/>
      </w:pPr>
      <w:r>
        <w:separator/>
      </w:r>
    </w:p>
  </w:footnote>
  <w:footnote w:type="continuationSeparator" w:id="0">
    <w:p w:rsidR="00A06007" w:rsidRDefault="00A06007" w:rsidP="001C69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CCD" w:rsidRDefault="008A0C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CCD" w:rsidRDefault="008A0C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CCD" w:rsidRDefault="008A0C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movePersonalInformation/>
  <w:removeDateAndTime/>
  <w:doNotDisplayPageBoundaries/>
  <w:hideSpellingErrors/>
  <w:hideGrammaticalErrors/>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94F"/>
    <w:rsid w:val="00033A70"/>
    <w:rsid w:val="00071348"/>
    <w:rsid w:val="000832B9"/>
    <w:rsid w:val="000C0BBC"/>
    <w:rsid w:val="000C6E93"/>
    <w:rsid w:val="000E51CB"/>
    <w:rsid w:val="000F12D8"/>
    <w:rsid w:val="00123A83"/>
    <w:rsid w:val="00124F49"/>
    <w:rsid w:val="0015678D"/>
    <w:rsid w:val="00160DE7"/>
    <w:rsid w:val="00176CB8"/>
    <w:rsid w:val="0019528B"/>
    <w:rsid w:val="001C6900"/>
    <w:rsid w:val="001F6B59"/>
    <w:rsid w:val="00235AEE"/>
    <w:rsid w:val="00246448"/>
    <w:rsid w:val="00280FEF"/>
    <w:rsid w:val="002B56B3"/>
    <w:rsid w:val="002D782A"/>
    <w:rsid w:val="002E64DF"/>
    <w:rsid w:val="002F4F46"/>
    <w:rsid w:val="0033660C"/>
    <w:rsid w:val="00343360"/>
    <w:rsid w:val="00356C97"/>
    <w:rsid w:val="0036228D"/>
    <w:rsid w:val="00366327"/>
    <w:rsid w:val="003854FF"/>
    <w:rsid w:val="003B0C97"/>
    <w:rsid w:val="003B2E35"/>
    <w:rsid w:val="003E7CC0"/>
    <w:rsid w:val="004568B2"/>
    <w:rsid w:val="004B2363"/>
    <w:rsid w:val="004B49B8"/>
    <w:rsid w:val="004C5526"/>
    <w:rsid w:val="004E19B2"/>
    <w:rsid w:val="004E29B2"/>
    <w:rsid w:val="005134CC"/>
    <w:rsid w:val="00550A38"/>
    <w:rsid w:val="00592F7A"/>
    <w:rsid w:val="00595A51"/>
    <w:rsid w:val="005A67CB"/>
    <w:rsid w:val="005B3C34"/>
    <w:rsid w:val="006852D8"/>
    <w:rsid w:val="006C6F7B"/>
    <w:rsid w:val="006F627D"/>
    <w:rsid w:val="00715030"/>
    <w:rsid w:val="00732C9A"/>
    <w:rsid w:val="00744A30"/>
    <w:rsid w:val="007464CB"/>
    <w:rsid w:val="0077294F"/>
    <w:rsid w:val="007867B3"/>
    <w:rsid w:val="0079027C"/>
    <w:rsid w:val="007C74EE"/>
    <w:rsid w:val="0080309C"/>
    <w:rsid w:val="008248C4"/>
    <w:rsid w:val="00865DB9"/>
    <w:rsid w:val="008A0CCD"/>
    <w:rsid w:val="008A7F26"/>
    <w:rsid w:val="008F5569"/>
    <w:rsid w:val="008F74CC"/>
    <w:rsid w:val="00900E86"/>
    <w:rsid w:val="00943FE8"/>
    <w:rsid w:val="00964FEC"/>
    <w:rsid w:val="00982CD3"/>
    <w:rsid w:val="009F57ED"/>
    <w:rsid w:val="00A03AA5"/>
    <w:rsid w:val="00A06007"/>
    <w:rsid w:val="00A1162E"/>
    <w:rsid w:val="00A7562C"/>
    <w:rsid w:val="00A95BFB"/>
    <w:rsid w:val="00AB11AD"/>
    <w:rsid w:val="00B00095"/>
    <w:rsid w:val="00B23C3F"/>
    <w:rsid w:val="00B44DDC"/>
    <w:rsid w:val="00B62F99"/>
    <w:rsid w:val="00B90A88"/>
    <w:rsid w:val="00BF58C1"/>
    <w:rsid w:val="00BF63C5"/>
    <w:rsid w:val="00C077EF"/>
    <w:rsid w:val="00C34AB1"/>
    <w:rsid w:val="00C66797"/>
    <w:rsid w:val="00C92189"/>
    <w:rsid w:val="00C974EF"/>
    <w:rsid w:val="00CC1EF5"/>
    <w:rsid w:val="00CC3835"/>
    <w:rsid w:val="00CD0B92"/>
    <w:rsid w:val="00CD49AD"/>
    <w:rsid w:val="00CE41DC"/>
    <w:rsid w:val="00CF04B8"/>
    <w:rsid w:val="00CF67BA"/>
    <w:rsid w:val="00D0654D"/>
    <w:rsid w:val="00D21AF8"/>
    <w:rsid w:val="00D425D7"/>
    <w:rsid w:val="00D70BF0"/>
    <w:rsid w:val="00D8533D"/>
    <w:rsid w:val="00D8669B"/>
    <w:rsid w:val="00DB42BD"/>
    <w:rsid w:val="00DB7936"/>
    <w:rsid w:val="00DC2B70"/>
    <w:rsid w:val="00DE5134"/>
    <w:rsid w:val="00E2781E"/>
    <w:rsid w:val="00E415C3"/>
    <w:rsid w:val="00E624C2"/>
    <w:rsid w:val="00E64C7E"/>
    <w:rsid w:val="00E76362"/>
    <w:rsid w:val="00E76C56"/>
    <w:rsid w:val="00E845C6"/>
    <w:rsid w:val="00E86F92"/>
    <w:rsid w:val="00E9063C"/>
    <w:rsid w:val="00F3272E"/>
    <w:rsid w:val="00F90BCB"/>
    <w:rsid w:val="00FA45A0"/>
    <w:rsid w:val="00FA6CE1"/>
    <w:rsid w:val="00FD3CB9"/>
    <w:rsid w:val="00FD5B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67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CTableBody">
    <w:name w:val="TC_Table_Body"/>
    <w:basedOn w:val="Normal"/>
    <w:rsid w:val="0015678D"/>
    <w:pPr>
      <w:spacing w:line="240" w:lineRule="auto"/>
      <w:jc w:val="both"/>
    </w:pPr>
    <w:rPr>
      <w:rFonts w:ascii="Times" w:eastAsia="Times New Roman" w:hAnsi="Times" w:cs="Times New Roman"/>
      <w:sz w:val="24"/>
      <w:szCs w:val="20"/>
      <w:lang w:val="en-US"/>
    </w:rPr>
  </w:style>
  <w:style w:type="paragraph" w:styleId="NoSpacing">
    <w:name w:val="No Spacing"/>
    <w:uiPriority w:val="1"/>
    <w:qFormat/>
    <w:rsid w:val="0015678D"/>
    <w:pPr>
      <w:spacing w:after="0" w:line="240" w:lineRule="auto"/>
    </w:pPr>
  </w:style>
  <w:style w:type="paragraph" w:styleId="Header">
    <w:name w:val="header"/>
    <w:basedOn w:val="Normal"/>
    <w:link w:val="HeaderChar"/>
    <w:uiPriority w:val="99"/>
    <w:unhideWhenUsed/>
    <w:rsid w:val="001C6900"/>
    <w:pPr>
      <w:tabs>
        <w:tab w:val="center" w:pos="4536"/>
        <w:tab w:val="right" w:pos="9072"/>
      </w:tabs>
      <w:spacing w:after="0" w:line="240" w:lineRule="auto"/>
    </w:pPr>
  </w:style>
  <w:style w:type="character" w:customStyle="1" w:styleId="HeaderChar">
    <w:name w:val="Header Char"/>
    <w:basedOn w:val="DefaultParagraphFont"/>
    <w:link w:val="Header"/>
    <w:uiPriority w:val="99"/>
    <w:rsid w:val="001C6900"/>
  </w:style>
  <w:style w:type="paragraph" w:styleId="Footer">
    <w:name w:val="footer"/>
    <w:basedOn w:val="Normal"/>
    <w:link w:val="FooterChar"/>
    <w:uiPriority w:val="99"/>
    <w:unhideWhenUsed/>
    <w:rsid w:val="001C690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C6900"/>
  </w:style>
  <w:style w:type="paragraph" w:styleId="BalloonText">
    <w:name w:val="Balloon Text"/>
    <w:basedOn w:val="Normal"/>
    <w:link w:val="BalloonTextChar"/>
    <w:uiPriority w:val="99"/>
    <w:semiHidden/>
    <w:unhideWhenUsed/>
    <w:rsid w:val="00D42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25D7"/>
    <w:rPr>
      <w:rFonts w:ascii="Tahoma" w:hAnsi="Tahoma" w:cs="Tahoma"/>
      <w:sz w:val="16"/>
      <w:szCs w:val="16"/>
    </w:rPr>
  </w:style>
  <w:style w:type="paragraph" w:styleId="Caption">
    <w:name w:val="caption"/>
    <w:basedOn w:val="Normal"/>
    <w:next w:val="Normal"/>
    <w:uiPriority w:val="35"/>
    <w:unhideWhenUsed/>
    <w:qFormat/>
    <w:rsid w:val="00D425D7"/>
    <w:pPr>
      <w:spacing w:line="240" w:lineRule="auto"/>
    </w:pPr>
    <w:rPr>
      <w:b/>
      <w:bCs/>
      <w:color w:val="4F81BD" w:themeColor="accent1"/>
      <w:sz w:val="18"/>
      <w:szCs w:val="18"/>
    </w:rPr>
  </w:style>
  <w:style w:type="character" w:customStyle="1" w:styleId="object">
    <w:name w:val="object"/>
    <w:basedOn w:val="DefaultParagraphFont"/>
    <w:rsid w:val="00F3272E"/>
  </w:style>
  <w:style w:type="character" w:styleId="Hyperlink">
    <w:name w:val="Hyperlink"/>
    <w:basedOn w:val="DefaultParagraphFont"/>
    <w:uiPriority w:val="99"/>
    <w:semiHidden/>
    <w:unhideWhenUsed/>
    <w:rsid w:val="00F3272E"/>
    <w:rPr>
      <w:color w:val="0000FF"/>
      <w:u w:val="single"/>
    </w:rPr>
  </w:style>
  <w:style w:type="character" w:styleId="CommentReference">
    <w:name w:val="annotation reference"/>
    <w:basedOn w:val="DefaultParagraphFont"/>
    <w:uiPriority w:val="99"/>
    <w:semiHidden/>
    <w:unhideWhenUsed/>
    <w:rsid w:val="00E76C56"/>
    <w:rPr>
      <w:sz w:val="16"/>
      <w:szCs w:val="16"/>
    </w:rPr>
  </w:style>
  <w:style w:type="paragraph" w:styleId="CommentText">
    <w:name w:val="annotation text"/>
    <w:basedOn w:val="Normal"/>
    <w:link w:val="CommentTextChar"/>
    <w:uiPriority w:val="99"/>
    <w:semiHidden/>
    <w:unhideWhenUsed/>
    <w:rsid w:val="00E76C56"/>
    <w:pPr>
      <w:spacing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semiHidden/>
    <w:rsid w:val="00E76C56"/>
    <w:rPr>
      <w:rFonts w:eastAsiaTheme="minorHAnsi"/>
      <w:sz w:val="20"/>
      <w:szCs w:val="20"/>
      <w:lang w:val="en-US" w:eastAsia="en-US"/>
    </w:rPr>
  </w:style>
  <w:style w:type="character" w:customStyle="1" w:styleId="apple-converted-space">
    <w:name w:val="apple-converted-space"/>
    <w:basedOn w:val="DefaultParagraphFont"/>
    <w:rsid w:val="00865DB9"/>
  </w:style>
  <w:style w:type="paragraph" w:styleId="Revision">
    <w:name w:val="Revision"/>
    <w:hidden/>
    <w:uiPriority w:val="99"/>
    <w:semiHidden/>
    <w:rsid w:val="0036632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67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CTableBody">
    <w:name w:val="TC_Table_Body"/>
    <w:basedOn w:val="Normal"/>
    <w:rsid w:val="0015678D"/>
    <w:pPr>
      <w:spacing w:line="240" w:lineRule="auto"/>
      <w:jc w:val="both"/>
    </w:pPr>
    <w:rPr>
      <w:rFonts w:ascii="Times" w:eastAsia="Times New Roman" w:hAnsi="Times" w:cs="Times New Roman"/>
      <w:sz w:val="24"/>
      <w:szCs w:val="20"/>
      <w:lang w:val="en-US"/>
    </w:rPr>
  </w:style>
  <w:style w:type="paragraph" w:styleId="NoSpacing">
    <w:name w:val="No Spacing"/>
    <w:uiPriority w:val="1"/>
    <w:qFormat/>
    <w:rsid w:val="0015678D"/>
    <w:pPr>
      <w:spacing w:after="0" w:line="240" w:lineRule="auto"/>
    </w:pPr>
  </w:style>
  <w:style w:type="paragraph" w:styleId="Header">
    <w:name w:val="header"/>
    <w:basedOn w:val="Normal"/>
    <w:link w:val="HeaderChar"/>
    <w:uiPriority w:val="99"/>
    <w:unhideWhenUsed/>
    <w:rsid w:val="001C6900"/>
    <w:pPr>
      <w:tabs>
        <w:tab w:val="center" w:pos="4536"/>
        <w:tab w:val="right" w:pos="9072"/>
      </w:tabs>
      <w:spacing w:after="0" w:line="240" w:lineRule="auto"/>
    </w:pPr>
  </w:style>
  <w:style w:type="character" w:customStyle="1" w:styleId="HeaderChar">
    <w:name w:val="Header Char"/>
    <w:basedOn w:val="DefaultParagraphFont"/>
    <w:link w:val="Header"/>
    <w:uiPriority w:val="99"/>
    <w:rsid w:val="001C6900"/>
  </w:style>
  <w:style w:type="paragraph" w:styleId="Footer">
    <w:name w:val="footer"/>
    <w:basedOn w:val="Normal"/>
    <w:link w:val="FooterChar"/>
    <w:uiPriority w:val="99"/>
    <w:unhideWhenUsed/>
    <w:rsid w:val="001C690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C6900"/>
  </w:style>
  <w:style w:type="paragraph" w:styleId="BalloonText">
    <w:name w:val="Balloon Text"/>
    <w:basedOn w:val="Normal"/>
    <w:link w:val="BalloonTextChar"/>
    <w:uiPriority w:val="99"/>
    <w:semiHidden/>
    <w:unhideWhenUsed/>
    <w:rsid w:val="00D42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25D7"/>
    <w:rPr>
      <w:rFonts w:ascii="Tahoma" w:hAnsi="Tahoma" w:cs="Tahoma"/>
      <w:sz w:val="16"/>
      <w:szCs w:val="16"/>
    </w:rPr>
  </w:style>
  <w:style w:type="paragraph" w:styleId="Caption">
    <w:name w:val="caption"/>
    <w:basedOn w:val="Normal"/>
    <w:next w:val="Normal"/>
    <w:uiPriority w:val="35"/>
    <w:unhideWhenUsed/>
    <w:qFormat/>
    <w:rsid w:val="00D425D7"/>
    <w:pPr>
      <w:spacing w:line="240" w:lineRule="auto"/>
    </w:pPr>
    <w:rPr>
      <w:b/>
      <w:bCs/>
      <w:color w:val="4F81BD" w:themeColor="accent1"/>
      <w:sz w:val="18"/>
      <w:szCs w:val="18"/>
    </w:rPr>
  </w:style>
  <w:style w:type="character" w:customStyle="1" w:styleId="object">
    <w:name w:val="object"/>
    <w:basedOn w:val="DefaultParagraphFont"/>
    <w:rsid w:val="00F3272E"/>
  </w:style>
  <w:style w:type="character" w:styleId="Hyperlink">
    <w:name w:val="Hyperlink"/>
    <w:basedOn w:val="DefaultParagraphFont"/>
    <w:uiPriority w:val="99"/>
    <w:semiHidden/>
    <w:unhideWhenUsed/>
    <w:rsid w:val="00F3272E"/>
    <w:rPr>
      <w:color w:val="0000FF"/>
      <w:u w:val="single"/>
    </w:rPr>
  </w:style>
  <w:style w:type="character" w:styleId="CommentReference">
    <w:name w:val="annotation reference"/>
    <w:basedOn w:val="DefaultParagraphFont"/>
    <w:uiPriority w:val="99"/>
    <w:semiHidden/>
    <w:unhideWhenUsed/>
    <w:rsid w:val="00E76C56"/>
    <w:rPr>
      <w:sz w:val="16"/>
      <w:szCs w:val="16"/>
    </w:rPr>
  </w:style>
  <w:style w:type="paragraph" w:styleId="CommentText">
    <w:name w:val="annotation text"/>
    <w:basedOn w:val="Normal"/>
    <w:link w:val="CommentTextChar"/>
    <w:uiPriority w:val="99"/>
    <w:semiHidden/>
    <w:unhideWhenUsed/>
    <w:rsid w:val="00E76C56"/>
    <w:pPr>
      <w:spacing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semiHidden/>
    <w:rsid w:val="00E76C56"/>
    <w:rPr>
      <w:rFonts w:eastAsiaTheme="minorHAnsi"/>
      <w:sz w:val="20"/>
      <w:szCs w:val="20"/>
      <w:lang w:val="en-US" w:eastAsia="en-US"/>
    </w:rPr>
  </w:style>
  <w:style w:type="character" w:customStyle="1" w:styleId="apple-converted-space">
    <w:name w:val="apple-converted-space"/>
    <w:basedOn w:val="DefaultParagraphFont"/>
    <w:rsid w:val="00865DB9"/>
  </w:style>
  <w:style w:type="paragraph" w:styleId="Revision">
    <w:name w:val="Revision"/>
    <w:hidden/>
    <w:uiPriority w:val="99"/>
    <w:semiHidden/>
    <w:rsid w:val="003663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oleObject" Target="embeddings/oleObject1.bin"/><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oleObject" Target="embeddings/oleObject2.bin"/><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7452</Words>
  <Characters>42479</Characters>
  <Application>Microsoft Office Word</Application>
  <DocSecurity>4</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2017-05-04T11:20:00Z</dcterms:created>
  <dcterms:modified xsi:type="dcterms:W3CDTF">2017-05-04T11:20:00Z</dcterms:modified>
</cp:coreProperties>
</file>