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9D4" w:rsidRPr="00206AA9" w:rsidRDefault="00EC79D4" w:rsidP="00EC79D4">
      <w:r w:rsidRPr="00206AA9">
        <w:t xml:space="preserve">Supplementary </w:t>
      </w:r>
      <w:r>
        <w:t>I</w:t>
      </w:r>
      <w:r w:rsidRPr="00206AA9">
        <w:t xml:space="preserve">nformation </w:t>
      </w:r>
      <w:r>
        <w:t>F</w:t>
      </w:r>
      <w:r w:rsidRPr="00206AA9">
        <w:t>ile</w:t>
      </w:r>
    </w:p>
    <w:p w:rsidR="00EC79D4" w:rsidRPr="00FB5110" w:rsidRDefault="00EC79D4" w:rsidP="00EC79D4">
      <w:pPr>
        <w:rPr>
          <w:b/>
          <w:bCs/>
          <w:sz w:val="24"/>
          <w:szCs w:val="24"/>
        </w:rPr>
      </w:pPr>
      <w:r w:rsidRPr="00FB5110">
        <w:rPr>
          <w:b/>
          <w:bCs/>
          <w:sz w:val="24"/>
          <w:szCs w:val="24"/>
        </w:rPr>
        <w:t xml:space="preserve">The Value of Coastal Wetlands for Flood </w:t>
      </w:r>
      <w:r>
        <w:rPr>
          <w:b/>
          <w:bCs/>
          <w:sz w:val="24"/>
          <w:szCs w:val="24"/>
        </w:rPr>
        <w:t xml:space="preserve">Damage </w:t>
      </w:r>
      <w:r w:rsidRPr="00FB5110">
        <w:rPr>
          <w:b/>
          <w:bCs/>
          <w:sz w:val="24"/>
          <w:szCs w:val="24"/>
        </w:rPr>
        <w:t xml:space="preserve">Reduction in </w:t>
      </w:r>
      <w:r>
        <w:rPr>
          <w:b/>
          <w:bCs/>
          <w:sz w:val="24"/>
          <w:szCs w:val="24"/>
        </w:rPr>
        <w:t xml:space="preserve">the </w:t>
      </w:r>
      <w:r w:rsidRPr="00FB5110">
        <w:rPr>
          <w:b/>
          <w:bCs/>
          <w:sz w:val="24"/>
          <w:szCs w:val="24"/>
        </w:rPr>
        <w:t>Northeastern USA</w:t>
      </w:r>
    </w:p>
    <w:p w:rsidR="00EC79D4" w:rsidRPr="00206AA9" w:rsidRDefault="00EC79D4" w:rsidP="00EC79D4">
      <w:r w:rsidRPr="00206AA9">
        <w:rPr>
          <w:b/>
          <w:bCs/>
          <w:sz w:val="24"/>
          <w:szCs w:val="24"/>
        </w:rPr>
        <w:t>Authors</w:t>
      </w:r>
      <w:r w:rsidRPr="00206AA9">
        <w:t>: Siddharth Narayan</w:t>
      </w:r>
      <w:r w:rsidRPr="00206AA9">
        <w:rPr>
          <w:vertAlign w:val="superscript"/>
        </w:rPr>
        <w:t>1*</w:t>
      </w:r>
      <w:r w:rsidRPr="00206AA9">
        <w:t>, Michael W. Beck</w:t>
      </w:r>
      <w:r w:rsidRPr="00206AA9">
        <w:rPr>
          <w:vertAlign w:val="superscript"/>
        </w:rPr>
        <w:t>1,2</w:t>
      </w:r>
      <w:r w:rsidRPr="00206AA9">
        <w:t>, Paul Wilson</w:t>
      </w:r>
      <w:r w:rsidRPr="00206AA9">
        <w:rPr>
          <w:vertAlign w:val="superscript"/>
        </w:rPr>
        <w:t>3</w:t>
      </w:r>
      <w:r w:rsidRPr="00206AA9">
        <w:t xml:space="preserve">, Christopher </w:t>
      </w:r>
      <w:r>
        <w:t xml:space="preserve">J. </w:t>
      </w:r>
      <w:r w:rsidRPr="00206AA9">
        <w:t>Thomas</w:t>
      </w:r>
      <w:r w:rsidRPr="00206AA9">
        <w:rPr>
          <w:vertAlign w:val="superscript"/>
        </w:rPr>
        <w:t>3</w:t>
      </w:r>
      <w:r w:rsidRPr="00206AA9">
        <w:t>, Alexandra Guerrero</w:t>
      </w:r>
      <w:r w:rsidRPr="00206AA9">
        <w:rPr>
          <w:vertAlign w:val="superscript"/>
        </w:rPr>
        <w:t>3</w:t>
      </w:r>
      <w:r w:rsidRPr="00206AA9">
        <w:t xml:space="preserve">, Christine </w:t>
      </w:r>
      <w:r>
        <w:t xml:space="preserve">C. </w:t>
      </w:r>
      <w:r w:rsidRPr="00206AA9">
        <w:t>Shepard</w:t>
      </w:r>
      <w:r w:rsidRPr="00206AA9">
        <w:rPr>
          <w:vertAlign w:val="superscript"/>
        </w:rPr>
        <w:t>4</w:t>
      </w:r>
      <w:r w:rsidRPr="00206AA9">
        <w:t>, Borja G. Reguero</w:t>
      </w:r>
      <w:r w:rsidRPr="00206AA9">
        <w:rPr>
          <w:vertAlign w:val="superscript"/>
        </w:rPr>
        <w:t>1,2</w:t>
      </w:r>
      <w:r w:rsidRPr="00206AA9">
        <w:t>, Guillermo Franco</w:t>
      </w:r>
      <w:r w:rsidRPr="00206AA9">
        <w:rPr>
          <w:vertAlign w:val="superscript"/>
        </w:rPr>
        <w:t>5</w:t>
      </w:r>
      <w:r w:rsidRPr="00206AA9">
        <w:t>, Jane Carter Ingram</w:t>
      </w:r>
      <w:r w:rsidRPr="00206AA9">
        <w:rPr>
          <w:vertAlign w:val="superscript"/>
        </w:rPr>
        <w:t>6</w:t>
      </w:r>
      <w:r w:rsidRPr="00206AA9">
        <w:t>, Dania Trespalacios</w:t>
      </w:r>
      <w:r w:rsidRPr="00206AA9">
        <w:rPr>
          <w:vertAlign w:val="superscript"/>
        </w:rPr>
        <w:t>2</w:t>
      </w:r>
    </w:p>
    <w:p w:rsidR="00EC79D4" w:rsidRPr="00206AA9" w:rsidRDefault="00EC79D4" w:rsidP="00EC79D4">
      <w:r w:rsidRPr="00206AA9">
        <w:t>SI FIGURES AND TABLES</w:t>
      </w:r>
    </w:p>
    <w:p w:rsidR="00EC79D4" w:rsidRPr="00206AA9" w:rsidRDefault="006C7E71" w:rsidP="00EC79D4">
      <w:r w:rsidRPr="00166299">
        <w:rPr>
          <w:lang w:eastAsia="en-GB" w:bidi="ta-IN"/>
        </w:rPr>
        <w:drawing>
          <wp:inline distT="0" distB="0" distL="0" distR="0">
            <wp:extent cx="5947410" cy="3427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7410" cy="3427095"/>
                    </a:xfrm>
                    <a:prstGeom prst="rect">
                      <a:avLst/>
                    </a:prstGeom>
                    <a:noFill/>
                    <a:ln>
                      <a:noFill/>
                    </a:ln>
                  </pic:spPr>
                </pic:pic>
              </a:graphicData>
            </a:graphic>
          </wp:inline>
        </w:drawing>
      </w:r>
    </w:p>
    <w:p w:rsidR="00EC79D4" w:rsidRPr="00206AA9" w:rsidRDefault="00EC79D4" w:rsidP="00EC79D4">
      <w:pPr>
        <w:rPr>
          <w:b/>
        </w:rPr>
      </w:pPr>
      <w:r w:rsidRPr="00206AA9">
        <w:rPr>
          <w:b/>
        </w:rPr>
        <w:t xml:space="preserve">Figure SI </w:t>
      </w:r>
      <w:r w:rsidRPr="00206AA9">
        <w:rPr>
          <w:b/>
        </w:rPr>
        <w:fldChar w:fldCharType="begin"/>
      </w:r>
      <w:r w:rsidRPr="00206AA9">
        <w:rPr>
          <w:b/>
        </w:rPr>
        <w:instrText xml:space="preserve"> SEQ Figure_SI \* ARABIC </w:instrText>
      </w:r>
      <w:r w:rsidRPr="00206AA9">
        <w:rPr>
          <w:b/>
        </w:rPr>
        <w:fldChar w:fldCharType="separate"/>
      </w:r>
      <w:r w:rsidR="004F04B2">
        <w:rPr>
          <w:b/>
        </w:rPr>
        <w:t>1</w:t>
      </w:r>
      <w:r w:rsidRPr="00206AA9">
        <w:rPr>
          <w:b/>
        </w:rPr>
        <w:fldChar w:fldCharType="end"/>
      </w:r>
      <w:r w:rsidRPr="00206AA9">
        <w:rPr>
          <w:b/>
        </w:rPr>
        <w:t xml:space="preserve">: Wetland Cover versus Avoided Damages by State. </w:t>
      </w:r>
      <w:r w:rsidRPr="00206AA9">
        <w:t xml:space="preserve">Plot shows % Wetland Cover by </w:t>
      </w:r>
      <w:r>
        <w:t>S</w:t>
      </w:r>
      <w:r w:rsidRPr="00206AA9">
        <w:t>tate versus average Avoided Damages by State expressed as % of the scenario "Wetlands Present</w:t>
      </w:r>
      <w:r>
        <w:t>”</w:t>
      </w:r>
      <w:r w:rsidRPr="00206AA9">
        <w:t xml:space="preserve"> (R</w:t>
      </w:r>
      <w:r w:rsidRPr="00206AA9">
        <w:rPr>
          <w:vertAlign w:val="superscript"/>
        </w:rPr>
        <w:t>2</w:t>
      </w:r>
      <w:r w:rsidRPr="00206AA9">
        <w:t xml:space="preserve"> = 0.8, p&lt;0.0</w:t>
      </w:r>
      <w:r>
        <w:t>01</w:t>
      </w:r>
      <w:r w:rsidRPr="00206AA9">
        <w:t xml:space="preserve">). Labels </w:t>
      </w:r>
      <w:r>
        <w:t xml:space="preserve">in plot </w:t>
      </w:r>
      <w:r w:rsidRPr="00206AA9">
        <w:t>indicate state codes.</w:t>
      </w:r>
      <w:r>
        <w:t xml:space="preserve"> </w:t>
      </w:r>
      <w:r w:rsidRPr="00206AA9">
        <w:t xml:space="preserve">Results </w:t>
      </w:r>
      <w:r>
        <w:t>exclude</w:t>
      </w:r>
      <w:r w:rsidRPr="00206AA9">
        <w:t xml:space="preserve"> North Carolina (NC) </w:t>
      </w:r>
      <w:r>
        <w:t>which</w:t>
      </w:r>
      <w:r w:rsidRPr="00206AA9">
        <w:t xml:space="preserve"> has a wetland cover of 74% but a 6% increase in damages (i.e. a 6% decrease in Avoided Damages</w:t>
      </w:r>
      <w:r>
        <w:t>; s</w:t>
      </w:r>
      <w:r w:rsidRPr="00206AA9">
        <w:t>ee Table 1)</w:t>
      </w:r>
      <w:r>
        <w:t>.</w:t>
      </w:r>
    </w:p>
    <w:p w:rsidR="00EC79D4" w:rsidRPr="00206AA9" w:rsidRDefault="006C7E71" w:rsidP="00EC79D4">
      <w:r w:rsidRPr="00166299">
        <w:rPr>
          <w:lang w:eastAsia="en-GB" w:bidi="ta-IN"/>
        </w:rPr>
        <w:lastRenderedPageBreak/>
        <w:drawing>
          <wp:inline distT="0" distB="0" distL="0" distR="0">
            <wp:extent cx="6146165" cy="359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6165" cy="3594100"/>
                    </a:xfrm>
                    <a:prstGeom prst="rect">
                      <a:avLst/>
                    </a:prstGeom>
                    <a:noFill/>
                    <a:ln>
                      <a:noFill/>
                    </a:ln>
                  </pic:spPr>
                </pic:pic>
              </a:graphicData>
            </a:graphic>
          </wp:inline>
        </w:drawing>
      </w:r>
    </w:p>
    <w:p w:rsidR="00EC79D4" w:rsidRPr="00206AA9" w:rsidRDefault="00EC79D4" w:rsidP="00EC79D4">
      <w:pPr>
        <w:rPr>
          <w:bCs/>
        </w:rPr>
      </w:pPr>
      <w:r w:rsidRPr="00206AA9">
        <w:rPr>
          <w:b/>
          <w:bCs/>
        </w:rPr>
        <w:t xml:space="preserve">Figure SI </w:t>
      </w:r>
      <w:r w:rsidRPr="00206AA9">
        <w:rPr>
          <w:b/>
          <w:bCs/>
        </w:rPr>
        <w:fldChar w:fldCharType="begin"/>
      </w:r>
      <w:r w:rsidRPr="00206AA9">
        <w:rPr>
          <w:b/>
          <w:bCs/>
        </w:rPr>
        <w:instrText xml:space="preserve"> SEQ Figure_SI \* ARABIC </w:instrText>
      </w:r>
      <w:r w:rsidRPr="00206AA9">
        <w:rPr>
          <w:b/>
          <w:bCs/>
        </w:rPr>
        <w:fldChar w:fldCharType="separate"/>
      </w:r>
      <w:r w:rsidR="004F04B2">
        <w:rPr>
          <w:b/>
          <w:bCs/>
        </w:rPr>
        <w:t>2</w:t>
      </w:r>
      <w:r w:rsidRPr="00206AA9">
        <w:rPr>
          <w:b/>
          <w:bCs/>
        </w:rPr>
        <w:fldChar w:fldCharType="end"/>
      </w:r>
      <w:r w:rsidRPr="00206AA9">
        <w:rPr>
          <w:b/>
          <w:bCs/>
        </w:rPr>
        <w:t xml:space="preserve">: Annual Loss Costs versus Elevation for the local study. </w:t>
      </w:r>
      <w:r w:rsidRPr="00206AA9">
        <w:t>Annual loss costs are plotted versus their elevation in met</w:t>
      </w:r>
      <w:r>
        <w:t>re</w:t>
      </w:r>
      <w:r w:rsidRPr="00206AA9">
        <w:t xml:space="preserve">s for all flooded properties in </w:t>
      </w:r>
      <w:r>
        <w:t xml:space="preserve">Barnegat Bay, </w:t>
      </w:r>
      <w:r w:rsidRPr="00206AA9">
        <w:t>Ocean County. Properties were either “With Marsh” (blue, n=1345) or “Without Marsh” (red. n=4268). Average Annual Loss costs were assessed for correlation with elevation (R</w:t>
      </w:r>
      <w:r w:rsidRPr="00206AA9">
        <w:rPr>
          <w:vertAlign w:val="superscript"/>
        </w:rPr>
        <w:t>2</w:t>
      </w:r>
      <w:r w:rsidRPr="00206AA9">
        <w:t xml:space="preserve"> = 0.48, p&lt;0.001). Elevations are with respect to the national datum NAVD88. </w:t>
      </w:r>
      <w:r w:rsidRPr="00206AA9">
        <w:rPr>
          <w:bCs/>
        </w:rPr>
        <w:t>Annual loss costs represent the loss to a property normalized by the insurable value of the property and expressed per $1,000. Here all properties are assumed to have an insurable value of $1,000,000.</w:t>
      </w:r>
      <w:r w:rsidR="00F56899" w:rsidRPr="00F56899">
        <w:t xml:space="preserve"> </w:t>
      </w:r>
      <w:r w:rsidR="00F56899">
        <w:t>We do not show loss cost values less than 0.1 (i.e. annual losses less than $100 per $1,000,000 property).</w:t>
      </w:r>
    </w:p>
    <w:p w:rsidR="00EC79D4" w:rsidRPr="00206AA9" w:rsidRDefault="00EC79D4" w:rsidP="00EC79D4"/>
    <w:p w:rsidR="00EC79D4" w:rsidRPr="00206AA9" w:rsidRDefault="006C7E71" w:rsidP="00EC79D4">
      <w:r w:rsidRPr="00166299">
        <w:rPr>
          <w:lang w:eastAsia="en-GB" w:bidi="ta-IN"/>
        </w:rPr>
        <w:lastRenderedPageBreak/>
        <w:drawing>
          <wp:inline distT="0" distB="0" distL="0" distR="0">
            <wp:extent cx="5947410" cy="25844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7410" cy="2584450"/>
                    </a:xfrm>
                    <a:prstGeom prst="rect">
                      <a:avLst/>
                    </a:prstGeom>
                    <a:noFill/>
                    <a:ln>
                      <a:noFill/>
                    </a:ln>
                  </pic:spPr>
                </pic:pic>
              </a:graphicData>
            </a:graphic>
          </wp:inline>
        </w:drawing>
      </w:r>
    </w:p>
    <w:p w:rsidR="00EC79D4" w:rsidRPr="00206AA9" w:rsidRDefault="00EC79D4" w:rsidP="00EC79D4">
      <w:r w:rsidRPr="00206AA9">
        <w:t xml:space="preserve">Figure SI </w:t>
      </w:r>
      <w:r w:rsidRPr="00206AA9">
        <w:fldChar w:fldCharType="begin"/>
      </w:r>
      <w:r w:rsidRPr="00206AA9">
        <w:instrText xml:space="preserve"> SEQ Figure_SI \* ARABIC </w:instrText>
      </w:r>
      <w:r w:rsidRPr="00206AA9">
        <w:fldChar w:fldCharType="separate"/>
      </w:r>
      <w:r w:rsidR="004F04B2">
        <w:t>3</w:t>
      </w:r>
      <w:r w:rsidRPr="00206AA9">
        <w:fldChar w:fldCharType="end"/>
      </w:r>
      <w:r w:rsidRPr="00206AA9">
        <w:t xml:space="preserve">: </w:t>
      </w:r>
      <w:r w:rsidRPr="0098730B">
        <w:rPr>
          <w:b/>
          <w:bCs/>
        </w:rPr>
        <w:t>Annual loss costs from flooding versus elevation for properties with and without marshes.</w:t>
      </w:r>
      <w:r w:rsidRPr="00206AA9">
        <w:t xml:space="preserve">  Annual loss costs are shown for properties with marshes and without marshes, from -</w:t>
      </w:r>
      <w:r>
        <w:t>1</w:t>
      </w:r>
      <w:r w:rsidRPr="00206AA9">
        <w:t xml:space="preserve"> to +</w:t>
      </w:r>
      <w:r>
        <w:t>2.2</w:t>
      </w:r>
      <w:r w:rsidRPr="00206AA9">
        <w:t xml:space="preserve">5 m above datum. Coloured bars show the range of loss costs for each </w:t>
      </w:r>
      <w:r>
        <w:t xml:space="preserve">elevation </w:t>
      </w:r>
      <w:r w:rsidRPr="00206AA9">
        <w:t>class. Black dots represent the mean loss costs and black bars represent one standard deviation from the mean. Numbers on top of each bar give the number of properties assessed. Annual loss costs represent the loss to a property normalized by the insurable value of the property and expressed per $1,000. Here all properties are assumed to have an insurable value of $1,000,000.</w:t>
      </w:r>
      <w:r w:rsidRPr="0092046F">
        <w:t xml:space="preserve"> </w:t>
      </w:r>
      <w:r>
        <w:t>We do not show loss cost values less than 0.1 (i.e. annual losses less than $100 per $1,000,000 property).</w:t>
      </w:r>
    </w:p>
    <w:p w:rsidR="00EC79D4" w:rsidRPr="00206AA9" w:rsidRDefault="00EC79D4" w:rsidP="00EC79D4"/>
    <w:p w:rsidR="00EC79D4" w:rsidRPr="00206AA9" w:rsidRDefault="006C7E71" w:rsidP="00EC79D4">
      <w:r w:rsidRPr="00166299">
        <w:rPr>
          <w:lang w:eastAsia="en-GB" w:bidi="ta-IN"/>
        </w:rPr>
        <w:lastRenderedPageBreak/>
        <w:drawing>
          <wp:inline distT="0" distB="0" distL="0" distR="0">
            <wp:extent cx="6369050" cy="372935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9050" cy="3729355"/>
                    </a:xfrm>
                    <a:prstGeom prst="rect">
                      <a:avLst/>
                    </a:prstGeom>
                    <a:noFill/>
                    <a:ln>
                      <a:noFill/>
                    </a:ln>
                  </pic:spPr>
                </pic:pic>
              </a:graphicData>
            </a:graphic>
          </wp:inline>
        </w:drawing>
      </w:r>
    </w:p>
    <w:p w:rsidR="00EC79D4" w:rsidRPr="00206AA9" w:rsidRDefault="00EC79D4" w:rsidP="00EC79D4">
      <w:pPr>
        <w:rPr>
          <w:b/>
          <w:bCs/>
        </w:rPr>
      </w:pPr>
      <w:r w:rsidRPr="00206AA9">
        <w:rPr>
          <w:b/>
          <w:bCs/>
        </w:rPr>
        <w:t xml:space="preserve">Figure SI </w:t>
      </w:r>
      <w:r w:rsidRPr="00206AA9">
        <w:rPr>
          <w:b/>
          <w:bCs/>
        </w:rPr>
        <w:fldChar w:fldCharType="begin"/>
      </w:r>
      <w:r w:rsidRPr="00206AA9">
        <w:rPr>
          <w:b/>
          <w:bCs/>
        </w:rPr>
        <w:instrText xml:space="preserve"> SEQ Figure_SI \* ARABIC </w:instrText>
      </w:r>
      <w:r w:rsidRPr="00206AA9">
        <w:rPr>
          <w:b/>
          <w:bCs/>
        </w:rPr>
        <w:fldChar w:fldCharType="separate"/>
      </w:r>
      <w:r w:rsidR="004F04B2">
        <w:rPr>
          <w:b/>
          <w:bCs/>
        </w:rPr>
        <w:t>4</w:t>
      </w:r>
      <w:r w:rsidRPr="00206AA9">
        <w:rPr>
          <w:b/>
          <w:bCs/>
        </w:rPr>
        <w:fldChar w:fldCharType="end"/>
      </w:r>
      <w:r w:rsidRPr="00206AA9">
        <w:rPr>
          <w:b/>
          <w:bCs/>
        </w:rPr>
        <w:t xml:space="preserve">: Annual Loss Costs versus Distance for </w:t>
      </w:r>
      <w:r>
        <w:rPr>
          <w:b/>
          <w:bCs/>
        </w:rPr>
        <w:t>the local study</w:t>
      </w:r>
      <w:r w:rsidRPr="00206AA9">
        <w:rPr>
          <w:b/>
          <w:bCs/>
        </w:rPr>
        <w:t xml:space="preserve">. </w:t>
      </w:r>
      <w:r w:rsidRPr="00206AA9">
        <w:t>Annual loss costs are plotted versus their distance from coast in met</w:t>
      </w:r>
      <w:r>
        <w:t>re</w:t>
      </w:r>
      <w:r w:rsidRPr="00206AA9">
        <w:t xml:space="preserve">s for all flooded properties in </w:t>
      </w:r>
      <w:r>
        <w:t xml:space="preserve">Barnegat Bay, </w:t>
      </w:r>
      <w:r w:rsidRPr="00206AA9">
        <w:t>Ocean County. Properties are categorized based on whether the properties were “With Marsh” (blue, n=1345) or “Without Marsh” (red, n=4268). Average Annual Loss costs were assessed for correlation with distance to coast (R</w:t>
      </w:r>
      <w:r w:rsidRPr="00206AA9">
        <w:rPr>
          <w:vertAlign w:val="superscript"/>
        </w:rPr>
        <w:t>2</w:t>
      </w:r>
      <w:r w:rsidRPr="00206AA9">
        <w:t xml:space="preserve"> =0.0002, p&lt;0.001). </w:t>
      </w:r>
      <w:r w:rsidRPr="00206AA9">
        <w:rPr>
          <w:bCs/>
        </w:rPr>
        <w:t xml:space="preserve">Annual loss costs represent the loss to a property normalized by the insurable value of the property and expressed per $1,000. Here all properties are assumed to have an insurable value of $1,000,000. </w:t>
      </w:r>
      <w:r w:rsidR="00F56899">
        <w:t>We do not show loss cost values less than 0.1 (i.e. annual losses less than $100 per $1,000,000 property).</w:t>
      </w:r>
    </w:p>
    <w:p w:rsidR="00EC79D4" w:rsidRPr="00206AA9" w:rsidRDefault="00EC79D4" w:rsidP="00EC79D4"/>
    <w:p w:rsidR="00EC79D4" w:rsidRPr="00206AA9" w:rsidRDefault="001A12CC" w:rsidP="00EC79D4">
      <w:r>
        <w:lastRenderedPageBreak/>
        <w:drawing>
          <wp:inline distT="0" distB="0" distL="0" distR="0">
            <wp:extent cx="3339548" cy="4246151"/>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I5_Wetlandsredirectflows_latlon.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3720" cy="4251456"/>
                    </a:xfrm>
                    <a:prstGeom prst="rect">
                      <a:avLst/>
                    </a:prstGeom>
                  </pic:spPr>
                </pic:pic>
              </a:graphicData>
            </a:graphic>
          </wp:inline>
        </w:drawing>
      </w:r>
    </w:p>
    <w:p w:rsidR="00EC79D4" w:rsidRPr="00206AA9" w:rsidRDefault="00EC79D4" w:rsidP="00EC79D4">
      <w:pPr>
        <w:rPr>
          <w:b/>
          <w:bCs/>
        </w:rPr>
      </w:pPr>
      <w:r w:rsidRPr="00206AA9">
        <w:rPr>
          <w:b/>
          <w:bCs/>
        </w:rPr>
        <w:t xml:space="preserve">Figure SI </w:t>
      </w:r>
      <w:r w:rsidRPr="00206AA9">
        <w:rPr>
          <w:b/>
          <w:bCs/>
        </w:rPr>
        <w:fldChar w:fldCharType="begin"/>
      </w:r>
      <w:r w:rsidRPr="00206AA9">
        <w:rPr>
          <w:b/>
          <w:bCs/>
        </w:rPr>
        <w:instrText xml:space="preserve"> SEQ Figure_SI \* ARABIC </w:instrText>
      </w:r>
      <w:r w:rsidRPr="00206AA9">
        <w:rPr>
          <w:b/>
          <w:bCs/>
        </w:rPr>
        <w:fldChar w:fldCharType="separate"/>
      </w:r>
      <w:r w:rsidR="004F04B2">
        <w:rPr>
          <w:b/>
          <w:bCs/>
        </w:rPr>
        <w:t>5</w:t>
      </w:r>
      <w:r w:rsidRPr="00206AA9">
        <w:rPr>
          <w:b/>
          <w:bCs/>
        </w:rPr>
        <w:fldChar w:fldCharType="end"/>
      </w:r>
      <w:r w:rsidRPr="00206AA9">
        <w:rPr>
          <w:b/>
          <w:bCs/>
        </w:rPr>
        <w:t xml:space="preserve">: Wetlands re-direct flood flows in Chesapeake Bay. </w:t>
      </w:r>
      <w:r w:rsidRPr="00206AA9">
        <w:t>This figure illustrates the effect that some wetlands have of increasing flood heights</w:t>
      </w:r>
      <w:r w:rsidR="001A12CC">
        <w:t xml:space="preserve"> </w:t>
      </w:r>
      <w:r w:rsidR="001A12CC" w:rsidRPr="00206AA9">
        <w:t>in some areas</w:t>
      </w:r>
      <w:r w:rsidRPr="00206AA9">
        <w:t xml:space="preserve"> (areas in yellow-orange</w:t>
      </w:r>
      <w:r>
        <w:t>, with negative values</w:t>
      </w:r>
      <w:r w:rsidRPr="00206AA9">
        <w:t xml:space="preserve">) and reducing flood heights </w:t>
      </w:r>
      <w:r w:rsidR="001A12CC" w:rsidRPr="00206AA9">
        <w:t>in others</w:t>
      </w:r>
      <w:r w:rsidR="001A12CC" w:rsidRPr="00206AA9">
        <w:t xml:space="preserve"> </w:t>
      </w:r>
      <w:r w:rsidRPr="00206AA9">
        <w:t>(areas in blue</w:t>
      </w:r>
      <w:r>
        <w:t>, with positive values</w:t>
      </w:r>
      <w:r w:rsidRPr="00206AA9">
        <w:t xml:space="preserve">). Generally, flood heights are increased in front of the wetland (i.e. between the wetland and the incoming surge) and in adjacent channels but are reduced behind the wetland. This is similar to a </w:t>
      </w:r>
      <w:r w:rsidR="001A12CC">
        <w:t xml:space="preserve">permeable </w:t>
      </w:r>
      <w:r w:rsidRPr="00206AA9">
        <w:t xml:space="preserve">wall that re-directs </w:t>
      </w:r>
      <w:r w:rsidR="001A12CC">
        <w:t xml:space="preserve">some of </w:t>
      </w:r>
      <w:r w:rsidRPr="00206AA9">
        <w:t>the flow of the incoming surge around it. This figure shows wetlands in Chesapeake Bay. Similar effects were observed in North Carolina resulting in higher damages to properties in front of the wetlands (see Results, Table 1).</w:t>
      </w:r>
      <w:r w:rsidRPr="00511352">
        <w:rPr>
          <w:b/>
          <w:bCs/>
        </w:rPr>
        <w:t xml:space="preserve"> </w:t>
      </w:r>
      <w:r w:rsidRPr="00511352">
        <w:t>The map is produced with the results of the Regional Study using ArcMAP v10.4.1 software.</w:t>
      </w:r>
      <w:r>
        <w:rPr>
          <w:b/>
          <w:bCs/>
        </w:rPr>
        <w:t xml:space="preserve"> </w:t>
      </w:r>
      <w:r>
        <w:t xml:space="preserve">Light Grey </w:t>
      </w:r>
      <w:r w:rsidRPr="00136499">
        <w:t>Canvas basemap is the intellectual property of Esri and is reprinted from Esri under a CC BY license with permission from Esri and its licensors, all rights reserved. Sources: Esri, DeLorme, HERE, MapmyIndia.</w:t>
      </w:r>
    </w:p>
    <w:p w:rsidR="00EC79D4" w:rsidRPr="00206AA9" w:rsidRDefault="001A12CC" w:rsidP="00EC79D4">
      <w:r>
        <w:lastRenderedPageBreak/>
        <w:drawing>
          <wp:inline distT="0" distB="0" distL="0" distR="0">
            <wp:extent cx="4508390" cy="5732302"/>
            <wp:effectExtent l="0" t="0" r="698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I6_FloodModelValidation_WaterLevels_latlon.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14600" cy="5740198"/>
                    </a:xfrm>
                    <a:prstGeom prst="rect">
                      <a:avLst/>
                    </a:prstGeom>
                  </pic:spPr>
                </pic:pic>
              </a:graphicData>
            </a:graphic>
          </wp:inline>
        </w:drawing>
      </w:r>
    </w:p>
    <w:p w:rsidR="00EC79D4" w:rsidRDefault="00EC79D4" w:rsidP="00EC79D4">
      <w:r w:rsidRPr="00206AA9">
        <w:rPr>
          <w:b/>
          <w:bCs/>
        </w:rPr>
        <w:t xml:space="preserve">Figure SI </w:t>
      </w:r>
      <w:r w:rsidRPr="00206AA9">
        <w:rPr>
          <w:b/>
          <w:bCs/>
        </w:rPr>
        <w:fldChar w:fldCharType="begin"/>
      </w:r>
      <w:r w:rsidRPr="00206AA9">
        <w:rPr>
          <w:b/>
          <w:bCs/>
        </w:rPr>
        <w:instrText xml:space="preserve"> SEQ Figure_SI \* ARABIC </w:instrText>
      </w:r>
      <w:r w:rsidRPr="00206AA9">
        <w:rPr>
          <w:b/>
          <w:bCs/>
        </w:rPr>
        <w:fldChar w:fldCharType="separate"/>
      </w:r>
      <w:r w:rsidR="004F04B2">
        <w:rPr>
          <w:b/>
          <w:bCs/>
        </w:rPr>
        <w:t>6</w:t>
      </w:r>
      <w:r w:rsidRPr="00206AA9">
        <w:rPr>
          <w:b/>
          <w:bCs/>
        </w:rPr>
        <w:fldChar w:fldCharType="end"/>
      </w:r>
      <w:r w:rsidRPr="00206AA9">
        <w:rPr>
          <w:b/>
          <w:bCs/>
        </w:rPr>
        <w:t>: Flood Model Validation</w:t>
      </w:r>
      <w:r>
        <w:rPr>
          <w:b/>
          <w:bCs/>
        </w:rPr>
        <w:t xml:space="preserve"> (Observed Water Levels)</w:t>
      </w:r>
      <w:r w:rsidRPr="00206AA9">
        <w:rPr>
          <w:b/>
          <w:bCs/>
        </w:rPr>
        <w:t xml:space="preserve"> for regional study for scenario “Wetlands Present”. </w:t>
      </w:r>
      <w:r w:rsidRPr="00206AA9">
        <w:t>Validation of flood model results for flood heights and ex</w:t>
      </w:r>
      <w:r>
        <w:t xml:space="preserve">tents for Hurricane Sandy using </w:t>
      </w:r>
      <w:r w:rsidRPr="00206AA9">
        <w:t>NOAA Station Observations</w:t>
      </w:r>
      <w:bookmarkStart w:id="0" w:name="Mendeley_Bookmark_HxHg5z9Ry3"/>
      <w:r w:rsidRPr="006F1C92">
        <w:rPr>
          <w:vertAlign w:val="superscript"/>
        </w:rPr>
        <w:t>1–3</w:t>
      </w:r>
      <w:bookmarkEnd w:id="0"/>
      <w:r>
        <w:t xml:space="preserve"> </w:t>
      </w:r>
      <w:r w:rsidRPr="00206AA9">
        <w:t>(only New Jersey/New York coastlines shown here). This validation is performed for the “Wetlands Present” scenario.</w:t>
      </w:r>
      <w:r w:rsidRPr="00511352">
        <w:rPr>
          <w:b/>
          <w:bCs/>
        </w:rPr>
        <w:t xml:space="preserve"> </w:t>
      </w:r>
      <w:r w:rsidRPr="00511352">
        <w:t>The map is produced with the results of the Regional Study using ArcMAP v10.4.1 software.</w:t>
      </w:r>
      <w:r>
        <w:rPr>
          <w:b/>
          <w:bCs/>
        </w:rPr>
        <w:t xml:space="preserve"> </w:t>
      </w:r>
      <w:r>
        <w:t xml:space="preserve">Light Grey </w:t>
      </w:r>
      <w:r w:rsidRPr="00136499">
        <w:t>Canvas basemap is the intellectual property of Esri and is reprinted from Esri under a CC BY license with permission from Esri and its licensors, all rights reserved. Sources: Esri, DeLorme, HERE, MapmyIndia.</w:t>
      </w:r>
    </w:p>
    <w:p w:rsidR="00EC79D4" w:rsidRDefault="001A12CC" w:rsidP="00EC79D4">
      <w:pPr>
        <w:rPr>
          <w:b/>
          <w:bCs/>
        </w:rPr>
      </w:pPr>
      <w:r>
        <w:rPr>
          <w:b/>
          <w:bCs/>
        </w:rPr>
        <w:lastRenderedPageBreak/>
        <w:drawing>
          <wp:inline distT="0" distB="0" distL="0" distR="0">
            <wp:extent cx="4321244" cy="5494351"/>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andy_Fema_SI7_2_latlon.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1773" cy="5495023"/>
                    </a:xfrm>
                    <a:prstGeom prst="rect">
                      <a:avLst/>
                    </a:prstGeom>
                  </pic:spPr>
                </pic:pic>
              </a:graphicData>
            </a:graphic>
          </wp:inline>
        </w:drawing>
      </w:r>
    </w:p>
    <w:p w:rsidR="00EC79D4" w:rsidRDefault="00EC79D4" w:rsidP="00EC79D4">
      <w:r w:rsidRPr="00206AA9">
        <w:rPr>
          <w:b/>
          <w:bCs/>
        </w:rPr>
        <w:t xml:space="preserve">Figure SI </w:t>
      </w:r>
      <w:r w:rsidRPr="00206AA9">
        <w:rPr>
          <w:b/>
          <w:bCs/>
        </w:rPr>
        <w:fldChar w:fldCharType="begin"/>
      </w:r>
      <w:r w:rsidRPr="00206AA9">
        <w:rPr>
          <w:b/>
          <w:bCs/>
        </w:rPr>
        <w:instrText xml:space="preserve"> SEQ Figure_SI \* ARABIC </w:instrText>
      </w:r>
      <w:r w:rsidRPr="00206AA9">
        <w:rPr>
          <w:b/>
          <w:bCs/>
        </w:rPr>
        <w:fldChar w:fldCharType="separate"/>
      </w:r>
      <w:r w:rsidR="004F04B2">
        <w:rPr>
          <w:b/>
          <w:bCs/>
        </w:rPr>
        <w:t>7</w:t>
      </w:r>
      <w:r w:rsidRPr="00206AA9">
        <w:rPr>
          <w:b/>
          <w:bCs/>
        </w:rPr>
        <w:fldChar w:fldCharType="end"/>
      </w:r>
      <w:r w:rsidRPr="00206AA9">
        <w:rPr>
          <w:b/>
          <w:bCs/>
        </w:rPr>
        <w:t>: Flood Model Validation</w:t>
      </w:r>
      <w:r>
        <w:rPr>
          <w:b/>
          <w:bCs/>
        </w:rPr>
        <w:t xml:space="preserve"> (Flood Extents)</w:t>
      </w:r>
      <w:r w:rsidRPr="00206AA9">
        <w:rPr>
          <w:b/>
          <w:bCs/>
        </w:rPr>
        <w:t xml:space="preserve"> for regional study for scenario “Wetlands Present”. </w:t>
      </w:r>
      <w:r w:rsidRPr="00206AA9">
        <w:t>Validation of flood model results for flood ex</w:t>
      </w:r>
      <w:r>
        <w:t>tents for Hurricane Sandy using simulated FEMA Surge Extents</w:t>
      </w:r>
      <w:bookmarkStart w:id="1" w:name="Mendeley_Bookmark_z6cWio9DvW"/>
      <w:r w:rsidRPr="006F1C92">
        <w:rPr>
          <w:vertAlign w:val="superscript"/>
        </w:rPr>
        <w:t>4</w:t>
      </w:r>
      <w:bookmarkEnd w:id="1"/>
      <w:r>
        <w:t xml:space="preserve"> (</w:t>
      </w:r>
      <w:r w:rsidRPr="00206AA9">
        <w:t xml:space="preserve">only </w:t>
      </w:r>
      <w:r>
        <w:t xml:space="preserve">for </w:t>
      </w:r>
      <w:r w:rsidRPr="00206AA9">
        <w:t>New Jersey/New York coastlines). This validation is performed for the “Wetlands Present” scenario.</w:t>
      </w:r>
      <w:r w:rsidRPr="00511352">
        <w:rPr>
          <w:b/>
          <w:bCs/>
        </w:rPr>
        <w:t xml:space="preserve"> </w:t>
      </w:r>
      <w:r>
        <w:t>The RMS model flood extent is shown on a variable-resolution structured grid, with coarser resolution (larger squares) in areas of low exposure.</w:t>
      </w:r>
      <w:r>
        <w:rPr>
          <w:b/>
          <w:bCs/>
        </w:rPr>
        <w:t xml:space="preserve"> </w:t>
      </w:r>
      <w:r w:rsidRPr="00511352">
        <w:t>The map is produced with the results of the Regional Study using ArcMAP v10.4.1 software.</w:t>
      </w:r>
    </w:p>
    <w:p w:rsidR="00EC79D4" w:rsidRPr="00206AA9" w:rsidRDefault="001A12CC" w:rsidP="00EC79D4">
      <w:r>
        <w:lastRenderedPageBreak/>
        <w:drawing>
          <wp:inline distT="0" distB="0" distL="0" distR="0">
            <wp:extent cx="4158650" cy="5287617"/>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I8_SaltMarshPresence_BarnegatBay_latlon.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59516" cy="5288718"/>
                    </a:xfrm>
                    <a:prstGeom prst="rect">
                      <a:avLst/>
                    </a:prstGeom>
                  </pic:spPr>
                </pic:pic>
              </a:graphicData>
            </a:graphic>
          </wp:inline>
        </w:drawing>
      </w:r>
    </w:p>
    <w:p w:rsidR="00EC79D4" w:rsidRPr="00206AA9" w:rsidRDefault="00EC79D4" w:rsidP="00EC79D4">
      <w:pPr>
        <w:rPr>
          <w:b/>
          <w:bCs/>
        </w:rPr>
      </w:pPr>
      <w:r w:rsidRPr="00206AA9">
        <w:rPr>
          <w:b/>
          <w:bCs/>
        </w:rPr>
        <w:t xml:space="preserve">Figure SI </w:t>
      </w:r>
      <w:r w:rsidRPr="00206AA9">
        <w:rPr>
          <w:b/>
          <w:bCs/>
        </w:rPr>
        <w:fldChar w:fldCharType="begin"/>
      </w:r>
      <w:r w:rsidRPr="00206AA9">
        <w:rPr>
          <w:b/>
          <w:bCs/>
        </w:rPr>
        <w:instrText xml:space="preserve"> SEQ Figure_SI \* ARABIC </w:instrText>
      </w:r>
      <w:r w:rsidRPr="00206AA9">
        <w:rPr>
          <w:b/>
          <w:bCs/>
        </w:rPr>
        <w:fldChar w:fldCharType="separate"/>
      </w:r>
      <w:r w:rsidR="004F04B2">
        <w:rPr>
          <w:b/>
          <w:bCs/>
        </w:rPr>
        <w:t>8</w:t>
      </w:r>
      <w:r w:rsidRPr="00206AA9">
        <w:rPr>
          <w:b/>
          <w:bCs/>
        </w:rPr>
        <w:fldChar w:fldCharType="end"/>
      </w:r>
      <w:r w:rsidRPr="00206AA9">
        <w:rPr>
          <w:b/>
          <w:bCs/>
        </w:rPr>
        <w:t xml:space="preserve">: Salt marsh presence in </w:t>
      </w:r>
      <w:r w:rsidR="00FB6AA9">
        <w:rPr>
          <w:b/>
          <w:bCs/>
        </w:rPr>
        <w:t xml:space="preserve">Barnegat Bay, </w:t>
      </w:r>
      <w:r w:rsidRPr="00206AA9">
        <w:rPr>
          <w:b/>
          <w:bCs/>
        </w:rPr>
        <w:t xml:space="preserve">Ocean County, New Jersey. </w:t>
      </w:r>
      <w:r w:rsidRPr="00206AA9">
        <w:t>Satellite image of Barnegat Bay shoreline in Ocean County, New Jersey showing existing salt marshes (yellow) and their watersheds ('zones of influence' in red)</w:t>
      </w:r>
      <w:r>
        <w:t xml:space="preserve"> assessed for their risk reduction benefits</w:t>
      </w:r>
      <w:r w:rsidRPr="00206AA9">
        <w:t>. The areas between the marshes on this stretch of shoreline, that are now urbanized, used to be mostly covered with salt marshes in the past</w:t>
      </w:r>
      <w:bookmarkStart w:id="2" w:name="Mendeley_Bookmark_EWXKCnZvTx"/>
      <w:r w:rsidRPr="006F1C92">
        <w:rPr>
          <w:vertAlign w:val="superscript"/>
        </w:rPr>
        <w:t>5</w:t>
      </w:r>
      <w:bookmarkEnd w:id="2"/>
      <w:r w:rsidRPr="00206AA9">
        <w:t>.</w:t>
      </w:r>
      <w:r w:rsidRPr="00511352">
        <w:rPr>
          <w:b/>
          <w:bCs/>
        </w:rPr>
        <w:t xml:space="preserve"> </w:t>
      </w:r>
      <w:r w:rsidRPr="00511352">
        <w:t>The map is produced with the results of the Regional Study using ArcMAP v10.4.1 software</w:t>
      </w:r>
      <w:r>
        <w:t>.</w:t>
      </w:r>
      <w:r w:rsidRPr="00136499">
        <w:t xml:space="preserve"> </w:t>
      </w:r>
      <w:r w:rsidR="00303EFE">
        <w:t>Imagery</w:t>
      </w:r>
      <w:r w:rsidRPr="00136499">
        <w:t xml:space="preserve"> basemap is the intellectual property of Esri and is reprinted from Esri under a CC BY license with permission from Esri and its licensors, all rights reserved. Sources: Esri, DeLorme, HERE, MapmyIndia.</w:t>
      </w:r>
    </w:p>
    <w:p w:rsidR="00EC79D4" w:rsidRPr="00206AA9" w:rsidRDefault="00C62DB3" w:rsidP="00EC79D4">
      <w:r>
        <w:lastRenderedPageBreak/>
        <w:drawing>
          <wp:inline distT="0" distB="0" distL="0" distR="0">
            <wp:extent cx="3314413" cy="4214191"/>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SI9_PropertyDistribution_BarnegatBay_latlon.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22404" cy="4224351"/>
                    </a:xfrm>
                    <a:prstGeom prst="rect">
                      <a:avLst/>
                    </a:prstGeom>
                  </pic:spPr>
                </pic:pic>
              </a:graphicData>
            </a:graphic>
          </wp:inline>
        </w:drawing>
      </w:r>
    </w:p>
    <w:p w:rsidR="00EC79D4" w:rsidRDefault="00EC79D4" w:rsidP="00EC79D4">
      <w:r w:rsidRPr="00206AA9">
        <w:t xml:space="preserve">Figure SI </w:t>
      </w:r>
      <w:r w:rsidRPr="00206AA9">
        <w:fldChar w:fldCharType="begin"/>
      </w:r>
      <w:r w:rsidRPr="00206AA9">
        <w:instrText xml:space="preserve"> SEQ Figure_SI \* ARABIC </w:instrText>
      </w:r>
      <w:r w:rsidRPr="00206AA9">
        <w:fldChar w:fldCharType="separate"/>
      </w:r>
      <w:r w:rsidR="004F04B2">
        <w:t>9</w:t>
      </w:r>
      <w:r w:rsidRPr="00206AA9">
        <w:fldChar w:fldCharType="end"/>
      </w:r>
      <w:r w:rsidRPr="00206AA9">
        <w:t xml:space="preserve">: </w:t>
      </w:r>
      <w:r w:rsidRPr="00FE3582">
        <w:rPr>
          <w:b/>
          <w:bCs/>
        </w:rPr>
        <w:t xml:space="preserve">Property distribution for “With Marsh” and “Without Marsh” scenarios in </w:t>
      </w:r>
      <w:r w:rsidR="00FB6AA9">
        <w:rPr>
          <w:b/>
          <w:bCs/>
        </w:rPr>
        <w:t xml:space="preserve">Barnegat Bay, </w:t>
      </w:r>
      <w:r w:rsidRPr="00FE3582">
        <w:rPr>
          <w:b/>
          <w:bCs/>
        </w:rPr>
        <w:t>Ocean County, New Jersey</w:t>
      </w:r>
      <w:r w:rsidRPr="00206AA9">
        <w:t xml:space="preserve">. This figure shows the assumed property distributions with and without marshes along the </w:t>
      </w:r>
      <w:r w:rsidR="001A12CC">
        <w:t xml:space="preserve">Barnegat Bay shorelinen in </w:t>
      </w:r>
      <w:r w:rsidRPr="00206AA9">
        <w:t>Ocean County, NJ, for the local study</w:t>
      </w:r>
      <w:r w:rsidR="00C62DB3">
        <w:t xml:space="preserve"> (see Methods)</w:t>
      </w:r>
      <w:r w:rsidRPr="00206AA9">
        <w:t>. Areas in green are the marsh watersheds, where it is assumed that no properties exist. Areas in blue are areas behind marshes where properties are classified as “With Marsh.” Areas in yellow are areas where there are no marshes, and these properties are classified as “Without Marsh.”</w:t>
      </w:r>
      <w:r w:rsidR="001A12CC">
        <w:t xml:space="preserve"> </w:t>
      </w:r>
      <w:r w:rsidRPr="00206AA9">
        <w:t>Flood and loss model parameters are the same for all properties and all properties are assumed to be single family dwellings with the same insurable value.</w:t>
      </w:r>
      <w:r w:rsidRPr="00511352">
        <w:rPr>
          <w:b/>
          <w:bCs/>
        </w:rPr>
        <w:t xml:space="preserve"> </w:t>
      </w:r>
      <w:r w:rsidRPr="00511352">
        <w:t>The map is produced with the results of the Regional Study using ArcMAP v10.4.1 software.</w:t>
      </w:r>
      <w:r>
        <w:rPr>
          <w:b/>
          <w:bCs/>
        </w:rPr>
        <w:t xml:space="preserve"> </w:t>
      </w:r>
      <w:r>
        <w:t xml:space="preserve">Light Grey </w:t>
      </w:r>
      <w:r w:rsidRPr="00136499">
        <w:t>Canvas basemap is the intellectual property of Esri and is reprinted from Esri under a CC BY license with permission from Esri and its licensors, all rights reserved. Sources: Esri, DeLorme, HERE, MapmyIndia.</w:t>
      </w:r>
    </w:p>
    <w:p w:rsidR="00FB6AA9" w:rsidRPr="00206AA9" w:rsidRDefault="00FB6AA9" w:rsidP="00EC79D4">
      <w:pPr>
        <w:sectPr w:rsidR="00FB6AA9" w:rsidRPr="00206AA9">
          <w:pgSz w:w="12240" w:h="15840"/>
          <w:pgMar w:top="1440" w:right="1440" w:bottom="1440" w:left="1440" w:header="720" w:footer="720" w:gutter="0"/>
          <w:cols w:space="720"/>
          <w:docGrid w:linePitch="360"/>
        </w:sectPr>
      </w:pPr>
    </w:p>
    <w:p w:rsidR="00EC79D4" w:rsidRPr="00206AA9" w:rsidRDefault="00EC79D4" w:rsidP="00EC79D4">
      <w:r w:rsidRPr="00206AA9">
        <w:lastRenderedPageBreak/>
        <w:t xml:space="preserve">Table SI </w:t>
      </w:r>
      <w:r w:rsidRPr="00206AA9">
        <w:fldChar w:fldCharType="begin"/>
      </w:r>
      <w:r w:rsidRPr="00206AA9">
        <w:instrText xml:space="preserve"> SEQ Table_SI \* ARABIC </w:instrText>
      </w:r>
      <w:r w:rsidRPr="00206AA9">
        <w:fldChar w:fldCharType="separate"/>
      </w:r>
      <w:r w:rsidR="004F04B2">
        <w:t>1</w:t>
      </w:r>
      <w:r w:rsidRPr="00206AA9">
        <w:fldChar w:fldCharType="end"/>
      </w:r>
      <w:r w:rsidRPr="00206AA9">
        <w:t>: % Reduction in mean Average Annual Loss costs (AALs) due to salt marshes across all elevations</w:t>
      </w:r>
      <w:r w:rsidR="00C62DB3">
        <w:t xml:space="preserve"> in Barnegat Bay, Ocean County, NJ.</w:t>
      </w:r>
      <w:bookmarkStart w:id="3" w:name="_GoBack"/>
      <w:bookmarkEnd w:id="3"/>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923"/>
        <w:gridCol w:w="3118"/>
        <w:gridCol w:w="2552"/>
      </w:tblGrid>
      <w:tr w:rsidR="00EC79D4" w:rsidRPr="00206AA9" w:rsidTr="00EC79D4">
        <w:trPr>
          <w:trHeight w:val="592"/>
        </w:trPr>
        <w:tc>
          <w:tcPr>
            <w:tcW w:w="0" w:type="auto"/>
            <w:shd w:val="clear" w:color="auto" w:fill="auto"/>
            <w:noWrap/>
          </w:tcPr>
          <w:p w:rsidR="00EC79D4" w:rsidRPr="00EC79D4" w:rsidRDefault="00EC79D4" w:rsidP="00EC79D4">
            <w:pPr>
              <w:spacing w:after="0"/>
              <w:rPr>
                <w:lang w:val="en-US"/>
              </w:rPr>
            </w:pPr>
            <w:r w:rsidRPr="00EC79D4">
              <w:rPr>
                <w:lang w:val="en-US"/>
              </w:rPr>
              <w:t>No.</w:t>
            </w:r>
          </w:p>
        </w:tc>
        <w:tc>
          <w:tcPr>
            <w:tcW w:w="1923" w:type="dxa"/>
            <w:shd w:val="clear" w:color="auto" w:fill="auto"/>
            <w:noWrap/>
          </w:tcPr>
          <w:p w:rsidR="00EC79D4" w:rsidRPr="00EC79D4" w:rsidRDefault="00EC79D4" w:rsidP="00EC79D4">
            <w:pPr>
              <w:spacing w:after="0"/>
              <w:rPr>
                <w:lang w:val="en-US"/>
              </w:rPr>
            </w:pPr>
            <w:r w:rsidRPr="00EC79D4">
              <w:rPr>
                <w:lang w:val="en-US"/>
              </w:rPr>
              <w:t>Elevation Class (m)</w:t>
            </w:r>
          </w:p>
        </w:tc>
        <w:tc>
          <w:tcPr>
            <w:tcW w:w="3118" w:type="dxa"/>
            <w:shd w:val="clear" w:color="auto" w:fill="auto"/>
          </w:tcPr>
          <w:p w:rsidR="00EC79D4" w:rsidRPr="00EC79D4" w:rsidRDefault="00EC79D4" w:rsidP="00EC79D4">
            <w:pPr>
              <w:spacing w:after="0"/>
              <w:rPr>
                <w:lang w:val="en-US"/>
              </w:rPr>
            </w:pPr>
            <w:r w:rsidRPr="00EC79D4">
              <w:rPr>
                <w:lang w:val="en-US"/>
              </w:rPr>
              <w:t>Difference in AALs</w:t>
            </w:r>
          </w:p>
          <w:p w:rsidR="00EC79D4" w:rsidRPr="00EC79D4" w:rsidRDefault="00EC79D4" w:rsidP="00EC79D4">
            <w:pPr>
              <w:spacing w:after="0"/>
              <w:rPr>
                <w:lang w:val="en-US"/>
              </w:rPr>
            </w:pPr>
            <w:r w:rsidRPr="00EC79D4">
              <w:rPr>
                <w:lang w:val="en-US"/>
              </w:rPr>
              <w:t>(Without Marsh – With Marsh)</w:t>
            </w:r>
          </w:p>
        </w:tc>
        <w:tc>
          <w:tcPr>
            <w:tcW w:w="2552" w:type="dxa"/>
            <w:shd w:val="clear" w:color="auto" w:fill="auto"/>
            <w:noWrap/>
          </w:tcPr>
          <w:p w:rsidR="00EC79D4" w:rsidRPr="00EC79D4" w:rsidRDefault="00EC79D4" w:rsidP="00EC79D4">
            <w:pPr>
              <w:spacing w:after="0"/>
              <w:rPr>
                <w:lang w:val="en-US"/>
              </w:rPr>
            </w:pPr>
            <w:r w:rsidRPr="00EC79D4">
              <w:rPr>
                <w:lang w:val="en-US"/>
              </w:rPr>
              <w:t>% Difference in AALs due to marshes</w:t>
            </w:r>
          </w:p>
        </w:tc>
      </w:tr>
      <w:tr w:rsidR="00EC79D4" w:rsidRPr="00206AA9" w:rsidTr="00EC79D4">
        <w:trPr>
          <w:trHeight w:val="345"/>
        </w:trPr>
        <w:tc>
          <w:tcPr>
            <w:tcW w:w="0" w:type="auto"/>
            <w:shd w:val="clear" w:color="auto" w:fill="auto"/>
            <w:noWrap/>
          </w:tcPr>
          <w:p w:rsidR="00EC79D4" w:rsidRPr="00EC79D4" w:rsidRDefault="00EC79D4" w:rsidP="00EC79D4">
            <w:pPr>
              <w:spacing w:after="0"/>
              <w:rPr>
                <w:lang w:val="en-US"/>
              </w:rPr>
            </w:pPr>
            <w:r w:rsidRPr="00EC79D4">
              <w:rPr>
                <w:lang w:val="en-US"/>
              </w:rPr>
              <w:t>1</w:t>
            </w:r>
          </w:p>
        </w:tc>
        <w:tc>
          <w:tcPr>
            <w:tcW w:w="1923" w:type="dxa"/>
            <w:shd w:val="clear" w:color="auto" w:fill="auto"/>
            <w:noWrap/>
          </w:tcPr>
          <w:p w:rsidR="00EC79D4" w:rsidRPr="00EC79D4" w:rsidRDefault="00EC79D4" w:rsidP="00EC79D4">
            <w:pPr>
              <w:spacing w:after="0"/>
              <w:rPr>
                <w:lang w:val="en-US"/>
              </w:rPr>
            </w:pPr>
            <w:r w:rsidRPr="00EC79D4">
              <w:rPr>
                <w:lang w:val="en-US"/>
              </w:rPr>
              <w:t>-1 to -0.75</w:t>
            </w:r>
          </w:p>
        </w:tc>
        <w:tc>
          <w:tcPr>
            <w:tcW w:w="3118" w:type="dxa"/>
            <w:shd w:val="clear" w:color="auto" w:fill="auto"/>
            <w:vAlign w:val="bottom"/>
          </w:tcPr>
          <w:p w:rsidR="00EC79D4" w:rsidRPr="00EC79D4" w:rsidRDefault="00EC79D4" w:rsidP="00EC79D4">
            <w:pPr>
              <w:spacing w:after="0"/>
              <w:rPr>
                <w:lang w:val="en-US"/>
              </w:rPr>
            </w:pPr>
            <w:r w:rsidRPr="00EC79D4">
              <w:rPr>
                <w:lang w:val="en-US"/>
              </w:rPr>
              <w:t>2.29</w:t>
            </w:r>
          </w:p>
        </w:tc>
        <w:tc>
          <w:tcPr>
            <w:tcW w:w="2552" w:type="dxa"/>
            <w:shd w:val="clear" w:color="auto" w:fill="auto"/>
            <w:noWrap/>
          </w:tcPr>
          <w:p w:rsidR="00EC79D4" w:rsidRPr="00EC79D4" w:rsidRDefault="00EC79D4" w:rsidP="00EC79D4">
            <w:pPr>
              <w:spacing w:after="0"/>
              <w:rPr>
                <w:lang w:val="en-US"/>
              </w:rPr>
            </w:pPr>
            <w:r w:rsidRPr="00EC79D4">
              <w:rPr>
                <w:lang w:val="en-US"/>
              </w:rPr>
              <w:t>100.00</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2</w:t>
            </w:r>
          </w:p>
        </w:tc>
        <w:tc>
          <w:tcPr>
            <w:tcW w:w="1923" w:type="dxa"/>
            <w:shd w:val="clear" w:color="auto" w:fill="auto"/>
            <w:noWrap/>
            <w:hideMark/>
          </w:tcPr>
          <w:p w:rsidR="00EC79D4" w:rsidRPr="00EC79D4" w:rsidRDefault="00EC79D4" w:rsidP="00EC79D4">
            <w:pPr>
              <w:spacing w:after="0"/>
              <w:rPr>
                <w:lang w:val="en-US"/>
              </w:rPr>
            </w:pPr>
            <w:r w:rsidRPr="00EC79D4">
              <w:rPr>
                <w:lang w:val="en-US"/>
              </w:rPr>
              <w:t>-0.75 to -0.5</w:t>
            </w:r>
          </w:p>
        </w:tc>
        <w:tc>
          <w:tcPr>
            <w:tcW w:w="3118" w:type="dxa"/>
            <w:shd w:val="clear" w:color="auto" w:fill="auto"/>
            <w:vAlign w:val="bottom"/>
          </w:tcPr>
          <w:p w:rsidR="00EC79D4" w:rsidRPr="00EC79D4" w:rsidRDefault="00EC79D4" w:rsidP="00EC79D4">
            <w:pPr>
              <w:spacing w:after="0"/>
              <w:rPr>
                <w:lang w:val="en-US"/>
              </w:rPr>
            </w:pPr>
            <w:r w:rsidRPr="00EC79D4">
              <w:rPr>
                <w:lang w:val="en-US"/>
              </w:rPr>
              <w:t>-1.94</w:t>
            </w:r>
          </w:p>
        </w:tc>
        <w:tc>
          <w:tcPr>
            <w:tcW w:w="2552" w:type="dxa"/>
            <w:shd w:val="clear" w:color="auto" w:fill="auto"/>
            <w:noWrap/>
            <w:hideMark/>
          </w:tcPr>
          <w:p w:rsidR="00EC79D4" w:rsidRPr="00EC79D4" w:rsidRDefault="00EC79D4" w:rsidP="00EC79D4">
            <w:pPr>
              <w:spacing w:after="0"/>
              <w:rPr>
                <w:lang w:val="en-US"/>
              </w:rPr>
            </w:pPr>
            <w:r w:rsidRPr="00EC79D4">
              <w:rPr>
                <w:lang w:val="en-US"/>
              </w:rPr>
              <w:t>-87.78</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3</w:t>
            </w:r>
          </w:p>
        </w:tc>
        <w:tc>
          <w:tcPr>
            <w:tcW w:w="1923" w:type="dxa"/>
            <w:shd w:val="clear" w:color="auto" w:fill="auto"/>
            <w:noWrap/>
            <w:hideMark/>
          </w:tcPr>
          <w:p w:rsidR="00EC79D4" w:rsidRPr="00EC79D4" w:rsidRDefault="00EC79D4" w:rsidP="00EC79D4">
            <w:pPr>
              <w:spacing w:after="0"/>
              <w:rPr>
                <w:lang w:val="en-US"/>
              </w:rPr>
            </w:pPr>
            <w:r w:rsidRPr="00EC79D4">
              <w:rPr>
                <w:lang w:val="en-US"/>
              </w:rPr>
              <w:t>-0.5 to -0.25</w:t>
            </w:r>
          </w:p>
        </w:tc>
        <w:tc>
          <w:tcPr>
            <w:tcW w:w="3118" w:type="dxa"/>
            <w:shd w:val="clear" w:color="auto" w:fill="auto"/>
            <w:vAlign w:val="bottom"/>
          </w:tcPr>
          <w:p w:rsidR="00EC79D4" w:rsidRPr="00EC79D4" w:rsidRDefault="00EC79D4" w:rsidP="00EC79D4">
            <w:pPr>
              <w:spacing w:after="0"/>
              <w:rPr>
                <w:lang w:val="en-US"/>
              </w:rPr>
            </w:pPr>
            <w:r w:rsidRPr="00EC79D4">
              <w:rPr>
                <w:lang w:val="en-US"/>
              </w:rPr>
              <w:t>-0.99</w:t>
            </w:r>
          </w:p>
        </w:tc>
        <w:tc>
          <w:tcPr>
            <w:tcW w:w="2552" w:type="dxa"/>
            <w:shd w:val="clear" w:color="auto" w:fill="auto"/>
            <w:noWrap/>
            <w:hideMark/>
          </w:tcPr>
          <w:p w:rsidR="00EC79D4" w:rsidRPr="00EC79D4" w:rsidRDefault="00EC79D4" w:rsidP="00EC79D4">
            <w:pPr>
              <w:spacing w:after="0"/>
              <w:rPr>
                <w:lang w:val="en-US"/>
              </w:rPr>
            </w:pPr>
            <w:r w:rsidRPr="00EC79D4">
              <w:rPr>
                <w:lang w:val="en-US"/>
              </w:rPr>
              <w:t>-61.76</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4</w:t>
            </w:r>
          </w:p>
        </w:tc>
        <w:tc>
          <w:tcPr>
            <w:tcW w:w="1923" w:type="dxa"/>
            <w:shd w:val="clear" w:color="auto" w:fill="auto"/>
            <w:noWrap/>
            <w:hideMark/>
          </w:tcPr>
          <w:p w:rsidR="00EC79D4" w:rsidRPr="00EC79D4" w:rsidRDefault="00EC79D4" w:rsidP="00EC79D4">
            <w:pPr>
              <w:spacing w:after="0"/>
              <w:rPr>
                <w:lang w:val="en-US"/>
              </w:rPr>
            </w:pPr>
            <w:r w:rsidRPr="00EC79D4">
              <w:rPr>
                <w:lang w:val="en-US"/>
              </w:rPr>
              <w:t>-0.25 to 0</w:t>
            </w:r>
          </w:p>
        </w:tc>
        <w:tc>
          <w:tcPr>
            <w:tcW w:w="3118" w:type="dxa"/>
            <w:shd w:val="clear" w:color="auto" w:fill="auto"/>
            <w:vAlign w:val="bottom"/>
          </w:tcPr>
          <w:p w:rsidR="00EC79D4" w:rsidRPr="00EC79D4" w:rsidRDefault="00EC79D4" w:rsidP="00EC79D4">
            <w:pPr>
              <w:spacing w:after="0"/>
              <w:rPr>
                <w:lang w:val="en-US"/>
              </w:rPr>
            </w:pPr>
            <w:r w:rsidRPr="00EC79D4">
              <w:rPr>
                <w:lang w:val="en-US"/>
              </w:rPr>
              <w:t>1.65</w:t>
            </w:r>
          </w:p>
        </w:tc>
        <w:tc>
          <w:tcPr>
            <w:tcW w:w="2552" w:type="dxa"/>
            <w:shd w:val="clear" w:color="auto" w:fill="auto"/>
            <w:noWrap/>
            <w:hideMark/>
          </w:tcPr>
          <w:p w:rsidR="00EC79D4" w:rsidRPr="00EC79D4" w:rsidRDefault="00EC79D4" w:rsidP="00EC79D4">
            <w:pPr>
              <w:spacing w:after="0"/>
              <w:rPr>
                <w:lang w:val="en-US"/>
              </w:rPr>
            </w:pPr>
            <w:r w:rsidRPr="00EC79D4">
              <w:rPr>
                <w:lang w:val="en-US"/>
              </w:rPr>
              <w:t>67.69</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5</w:t>
            </w:r>
          </w:p>
        </w:tc>
        <w:tc>
          <w:tcPr>
            <w:tcW w:w="1923" w:type="dxa"/>
            <w:shd w:val="clear" w:color="auto" w:fill="auto"/>
            <w:noWrap/>
            <w:hideMark/>
          </w:tcPr>
          <w:p w:rsidR="00EC79D4" w:rsidRPr="00EC79D4" w:rsidRDefault="00EC79D4" w:rsidP="00EC79D4">
            <w:pPr>
              <w:spacing w:after="0"/>
              <w:rPr>
                <w:lang w:val="en-US"/>
              </w:rPr>
            </w:pPr>
            <w:r w:rsidRPr="00EC79D4">
              <w:rPr>
                <w:lang w:val="en-US"/>
              </w:rPr>
              <w:t>0 to 0.25</w:t>
            </w:r>
          </w:p>
        </w:tc>
        <w:tc>
          <w:tcPr>
            <w:tcW w:w="3118" w:type="dxa"/>
            <w:shd w:val="clear" w:color="auto" w:fill="auto"/>
            <w:vAlign w:val="bottom"/>
          </w:tcPr>
          <w:p w:rsidR="00EC79D4" w:rsidRPr="00EC79D4" w:rsidRDefault="00EC79D4" w:rsidP="00EC79D4">
            <w:pPr>
              <w:spacing w:after="0"/>
              <w:rPr>
                <w:lang w:val="en-US"/>
              </w:rPr>
            </w:pPr>
            <w:r w:rsidRPr="00EC79D4">
              <w:rPr>
                <w:lang w:val="en-US"/>
              </w:rPr>
              <w:t>0.06</w:t>
            </w:r>
          </w:p>
        </w:tc>
        <w:tc>
          <w:tcPr>
            <w:tcW w:w="2552" w:type="dxa"/>
            <w:shd w:val="clear" w:color="auto" w:fill="auto"/>
            <w:noWrap/>
            <w:hideMark/>
          </w:tcPr>
          <w:p w:rsidR="00EC79D4" w:rsidRPr="00EC79D4" w:rsidRDefault="00EC79D4" w:rsidP="00EC79D4">
            <w:pPr>
              <w:spacing w:after="0"/>
              <w:rPr>
                <w:lang w:val="en-US"/>
              </w:rPr>
            </w:pPr>
            <w:r w:rsidRPr="00EC79D4">
              <w:rPr>
                <w:lang w:val="en-US"/>
              </w:rPr>
              <w:t>12.68</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6</w:t>
            </w:r>
          </w:p>
        </w:tc>
        <w:tc>
          <w:tcPr>
            <w:tcW w:w="1923" w:type="dxa"/>
            <w:shd w:val="clear" w:color="auto" w:fill="auto"/>
            <w:noWrap/>
            <w:hideMark/>
          </w:tcPr>
          <w:p w:rsidR="00EC79D4" w:rsidRPr="00EC79D4" w:rsidRDefault="00EC79D4" w:rsidP="00EC79D4">
            <w:pPr>
              <w:spacing w:after="0"/>
              <w:rPr>
                <w:lang w:val="en-US"/>
              </w:rPr>
            </w:pPr>
            <w:r w:rsidRPr="00EC79D4">
              <w:rPr>
                <w:lang w:val="en-US"/>
              </w:rPr>
              <w:t>0.25 to 0.5</w:t>
            </w:r>
          </w:p>
        </w:tc>
        <w:tc>
          <w:tcPr>
            <w:tcW w:w="3118" w:type="dxa"/>
            <w:shd w:val="clear" w:color="auto" w:fill="auto"/>
            <w:vAlign w:val="bottom"/>
          </w:tcPr>
          <w:p w:rsidR="00EC79D4" w:rsidRPr="00EC79D4" w:rsidRDefault="00EC79D4" w:rsidP="00EC79D4">
            <w:pPr>
              <w:spacing w:after="0"/>
              <w:rPr>
                <w:lang w:val="en-US"/>
              </w:rPr>
            </w:pPr>
            <w:r w:rsidRPr="00EC79D4">
              <w:rPr>
                <w:lang w:val="en-US"/>
              </w:rPr>
              <w:t>0.14</w:t>
            </w:r>
          </w:p>
        </w:tc>
        <w:tc>
          <w:tcPr>
            <w:tcW w:w="2552" w:type="dxa"/>
            <w:shd w:val="clear" w:color="auto" w:fill="auto"/>
            <w:noWrap/>
            <w:hideMark/>
          </w:tcPr>
          <w:p w:rsidR="00EC79D4" w:rsidRPr="00EC79D4" w:rsidRDefault="00EC79D4" w:rsidP="00EC79D4">
            <w:pPr>
              <w:spacing w:after="0"/>
              <w:rPr>
                <w:lang w:val="en-US"/>
              </w:rPr>
            </w:pPr>
            <w:r w:rsidRPr="00EC79D4">
              <w:rPr>
                <w:lang w:val="en-US"/>
              </w:rPr>
              <w:t>24.30</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7</w:t>
            </w:r>
          </w:p>
        </w:tc>
        <w:tc>
          <w:tcPr>
            <w:tcW w:w="1923" w:type="dxa"/>
            <w:shd w:val="clear" w:color="auto" w:fill="auto"/>
            <w:noWrap/>
            <w:hideMark/>
          </w:tcPr>
          <w:p w:rsidR="00EC79D4" w:rsidRPr="00EC79D4" w:rsidRDefault="00EC79D4" w:rsidP="00EC79D4">
            <w:pPr>
              <w:spacing w:after="0"/>
              <w:rPr>
                <w:lang w:val="en-US"/>
              </w:rPr>
            </w:pPr>
            <w:r w:rsidRPr="00EC79D4">
              <w:rPr>
                <w:lang w:val="en-US"/>
              </w:rPr>
              <w:t>0.5 to 0.75</w:t>
            </w:r>
          </w:p>
        </w:tc>
        <w:tc>
          <w:tcPr>
            <w:tcW w:w="3118" w:type="dxa"/>
            <w:shd w:val="clear" w:color="auto" w:fill="auto"/>
            <w:vAlign w:val="bottom"/>
          </w:tcPr>
          <w:p w:rsidR="00EC79D4" w:rsidRPr="00EC79D4" w:rsidRDefault="00EC79D4" w:rsidP="00EC79D4">
            <w:pPr>
              <w:spacing w:after="0"/>
              <w:rPr>
                <w:lang w:val="en-US"/>
              </w:rPr>
            </w:pPr>
            <w:r w:rsidRPr="00EC79D4">
              <w:rPr>
                <w:lang w:val="en-US"/>
              </w:rPr>
              <w:t>0.92</w:t>
            </w:r>
          </w:p>
        </w:tc>
        <w:tc>
          <w:tcPr>
            <w:tcW w:w="2552" w:type="dxa"/>
            <w:shd w:val="clear" w:color="auto" w:fill="auto"/>
            <w:noWrap/>
            <w:hideMark/>
          </w:tcPr>
          <w:p w:rsidR="00EC79D4" w:rsidRPr="00EC79D4" w:rsidRDefault="00EC79D4" w:rsidP="00EC79D4">
            <w:pPr>
              <w:spacing w:after="0"/>
              <w:rPr>
                <w:lang w:val="en-US"/>
              </w:rPr>
            </w:pPr>
            <w:r w:rsidRPr="00EC79D4">
              <w:rPr>
                <w:lang w:val="en-US"/>
              </w:rPr>
              <w:t>71.09</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8</w:t>
            </w:r>
          </w:p>
        </w:tc>
        <w:tc>
          <w:tcPr>
            <w:tcW w:w="1923" w:type="dxa"/>
            <w:shd w:val="clear" w:color="auto" w:fill="auto"/>
            <w:noWrap/>
            <w:hideMark/>
          </w:tcPr>
          <w:p w:rsidR="00EC79D4" w:rsidRPr="00EC79D4" w:rsidRDefault="00EC79D4" w:rsidP="00EC79D4">
            <w:pPr>
              <w:spacing w:after="0"/>
              <w:rPr>
                <w:lang w:val="en-US"/>
              </w:rPr>
            </w:pPr>
            <w:r w:rsidRPr="00EC79D4">
              <w:rPr>
                <w:lang w:val="en-US"/>
              </w:rPr>
              <w:t>0.75 to 1</w:t>
            </w:r>
          </w:p>
        </w:tc>
        <w:tc>
          <w:tcPr>
            <w:tcW w:w="3118" w:type="dxa"/>
            <w:shd w:val="clear" w:color="auto" w:fill="auto"/>
            <w:vAlign w:val="bottom"/>
          </w:tcPr>
          <w:p w:rsidR="00EC79D4" w:rsidRPr="00EC79D4" w:rsidRDefault="00EC79D4" w:rsidP="00EC79D4">
            <w:pPr>
              <w:spacing w:after="0"/>
              <w:rPr>
                <w:lang w:val="en-US"/>
              </w:rPr>
            </w:pPr>
            <w:r w:rsidRPr="00EC79D4">
              <w:rPr>
                <w:lang w:val="en-US"/>
              </w:rPr>
              <w:t>0.09</w:t>
            </w:r>
          </w:p>
        </w:tc>
        <w:tc>
          <w:tcPr>
            <w:tcW w:w="2552" w:type="dxa"/>
            <w:shd w:val="clear" w:color="auto" w:fill="auto"/>
            <w:noWrap/>
            <w:hideMark/>
          </w:tcPr>
          <w:p w:rsidR="00EC79D4" w:rsidRPr="00EC79D4" w:rsidRDefault="00EC79D4" w:rsidP="00EC79D4">
            <w:pPr>
              <w:spacing w:after="0"/>
              <w:rPr>
                <w:lang w:val="en-US"/>
              </w:rPr>
            </w:pPr>
            <w:r w:rsidRPr="00EC79D4">
              <w:rPr>
                <w:lang w:val="en-US"/>
              </w:rPr>
              <w:t>19.00</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9</w:t>
            </w:r>
          </w:p>
        </w:tc>
        <w:tc>
          <w:tcPr>
            <w:tcW w:w="1923" w:type="dxa"/>
            <w:shd w:val="clear" w:color="auto" w:fill="auto"/>
            <w:noWrap/>
            <w:hideMark/>
          </w:tcPr>
          <w:p w:rsidR="00EC79D4" w:rsidRPr="00EC79D4" w:rsidRDefault="00EC79D4" w:rsidP="00EC79D4">
            <w:pPr>
              <w:spacing w:after="0"/>
              <w:rPr>
                <w:lang w:val="en-US"/>
              </w:rPr>
            </w:pPr>
            <w:r w:rsidRPr="00EC79D4">
              <w:rPr>
                <w:lang w:val="en-US"/>
              </w:rPr>
              <w:t>1 to 1.25</w:t>
            </w:r>
          </w:p>
        </w:tc>
        <w:tc>
          <w:tcPr>
            <w:tcW w:w="3118" w:type="dxa"/>
            <w:shd w:val="clear" w:color="auto" w:fill="auto"/>
            <w:vAlign w:val="bottom"/>
          </w:tcPr>
          <w:p w:rsidR="00EC79D4" w:rsidRPr="00EC79D4" w:rsidRDefault="00EC79D4" w:rsidP="00EC79D4">
            <w:pPr>
              <w:spacing w:after="0"/>
              <w:rPr>
                <w:lang w:val="en-US"/>
              </w:rPr>
            </w:pPr>
            <w:r w:rsidRPr="00EC79D4">
              <w:rPr>
                <w:lang w:val="en-US"/>
              </w:rPr>
              <w:t>0.01</w:t>
            </w:r>
          </w:p>
        </w:tc>
        <w:tc>
          <w:tcPr>
            <w:tcW w:w="2552" w:type="dxa"/>
            <w:shd w:val="clear" w:color="auto" w:fill="auto"/>
            <w:noWrap/>
            <w:hideMark/>
          </w:tcPr>
          <w:p w:rsidR="00EC79D4" w:rsidRPr="00EC79D4" w:rsidRDefault="00EC79D4" w:rsidP="00EC79D4">
            <w:pPr>
              <w:spacing w:after="0"/>
              <w:rPr>
                <w:lang w:val="en-US"/>
              </w:rPr>
            </w:pPr>
            <w:r w:rsidRPr="00EC79D4">
              <w:rPr>
                <w:lang w:val="en-US"/>
              </w:rPr>
              <w:t>2.19</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10</w:t>
            </w:r>
          </w:p>
        </w:tc>
        <w:tc>
          <w:tcPr>
            <w:tcW w:w="1923" w:type="dxa"/>
            <w:shd w:val="clear" w:color="auto" w:fill="auto"/>
            <w:noWrap/>
            <w:hideMark/>
          </w:tcPr>
          <w:p w:rsidR="00EC79D4" w:rsidRPr="00EC79D4" w:rsidRDefault="00EC79D4" w:rsidP="00EC79D4">
            <w:pPr>
              <w:spacing w:after="0"/>
              <w:rPr>
                <w:lang w:val="en-US"/>
              </w:rPr>
            </w:pPr>
            <w:r w:rsidRPr="00EC79D4">
              <w:rPr>
                <w:lang w:val="en-US"/>
              </w:rPr>
              <w:t>1.25 to 1.5</w:t>
            </w:r>
          </w:p>
        </w:tc>
        <w:tc>
          <w:tcPr>
            <w:tcW w:w="3118" w:type="dxa"/>
            <w:shd w:val="clear" w:color="auto" w:fill="auto"/>
            <w:vAlign w:val="bottom"/>
          </w:tcPr>
          <w:p w:rsidR="00EC79D4" w:rsidRPr="00EC79D4" w:rsidRDefault="00EC79D4" w:rsidP="00EC79D4">
            <w:pPr>
              <w:spacing w:after="0"/>
              <w:rPr>
                <w:lang w:val="en-US"/>
              </w:rPr>
            </w:pPr>
            <w:r w:rsidRPr="00EC79D4">
              <w:rPr>
                <w:lang w:val="en-US"/>
              </w:rPr>
              <w:t>0.02</w:t>
            </w:r>
          </w:p>
        </w:tc>
        <w:tc>
          <w:tcPr>
            <w:tcW w:w="2552" w:type="dxa"/>
            <w:shd w:val="clear" w:color="auto" w:fill="auto"/>
            <w:noWrap/>
            <w:hideMark/>
          </w:tcPr>
          <w:p w:rsidR="00EC79D4" w:rsidRPr="00EC79D4" w:rsidRDefault="00EC79D4" w:rsidP="00EC79D4">
            <w:pPr>
              <w:spacing w:after="0"/>
              <w:rPr>
                <w:lang w:val="en-US"/>
              </w:rPr>
            </w:pPr>
            <w:r w:rsidRPr="00EC79D4">
              <w:rPr>
                <w:lang w:val="en-US"/>
              </w:rPr>
              <w:t>8.10</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11</w:t>
            </w:r>
          </w:p>
        </w:tc>
        <w:tc>
          <w:tcPr>
            <w:tcW w:w="1923" w:type="dxa"/>
            <w:shd w:val="clear" w:color="auto" w:fill="auto"/>
            <w:noWrap/>
            <w:hideMark/>
          </w:tcPr>
          <w:p w:rsidR="00EC79D4" w:rsidRPr="00EC79D4" w:rsidRDefault="00EC79D4" w:rsidP="00EC79D4">
            <w:pPr>
              <w:spacing w:after="0"/>
              <w:rPr>
                <w:lang w:val="en-US"/>
              </w:rPr>
            </w:pPr>
            <w:r w:rsidRPr="00EC79D4">
              <w:rPr>
                <w:lang w:val="en-US"/>
              </w:rPr>
              <w:t>1.5 to 1.75</w:t>
            </w:r>
          </w:p>
        </w:tc>
        <w:tc>
          <w:tcPr>
            <w:tcW w:w="3118" w:type="dxa"/>
            <w:shd w:val="clear" w:color="auto" w:fill="auto"/>
            <w:vAlign w:val="bottom"/>
          </w:tcPr>
          <w:p w:rsidR="00EC79D4" w:rsidRPr="00EC79D4" w:rsidRDefault="00EC79D4" w:rsidP="00EC79D4">
            <w:pPr>
              <w:spacing w:after="0"/>
              <w:rPr>
                <w:lang w:val="en-US"/>
              </w:rPr>
            </w:pPr>
            <w:r w:rsidRPr="00EC79D4">
              <w:rPr>
                <w:lang w:val="en-US"/>
              </w:rPr>
              <w:t>0.15</w:t>
            </w:r>
          </w:p>
        </w:tc>
        <w:tc>
          <w:tcPr>
            <w:tcW w:w="2552" w:type="dxa"/>
            <w:shd w:val="clear" w:color="auto" w:fill="auto"/>
            <w:noWrap/>
            <w:hideMark/>
          </w:tcPr>
          <w:p w:rsidR="00EC79D4" w:rsidRPr="00EC79D4" w:rsidRDefault="00EC79D4" w:rsidP="00EC79D4">
            <w:pPr>
              <w:spacing w:after="0"/>
              <w:rPr>
                <w:lang w:val="en-US"/>
              </w:rPr>
            </w:pPr>
            <w:r w:rsidRPr="00EC79D4">
              <w:rPr>
                <w:lang w:val="en-US"/>
              </w:rPr>
              <w:t>30.64</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12</w:t>
            </w:r>
          </w:p>
        </w:tc>
        <w:tc>
          <w:tcPr>
            <w:tcW w:w="1923" w:type="dxa"/>
            <w:shd w:val="clear" w:color="auto" w:fill="auto"/>
            <w:noWrap/>
            <w:hideMark/>
          </w:tcPr>
          <w:p w:rsidR="00EC79D4" w:rsidRPr="00EC79D4" w:rsidRDefault="00EC79D4" w:rsidP="00EC79D4">
            <w:pPr>
              <w:spacing w:after="0"/>
              <w:rPr>
                <w:lang w:val="en-US"/>
              </w:rPr>
            </w:pPr>
            <w:r w:rsidRPr="00EC79D4">
              <w:rPr>
                <w:lang w:val="en-US"/>
              </w:rPr>
              <w:t>1.75 to 2</w:t>
            </w:r>
          </w:p>
        </w:tc>
        <w:tc>
          <w:tcPr>
            <w:tcW w:w="3118" w:type="dxa"/>
            <w:shd w:val="clear" w:color="auto" w:fill="auto"/>
            <w:vAlign w:val="bottom"/>
          </w:tcPr>
          <w:p w:rsidR="00EC79D4" w:rsidRPr="00EC79D4" w:rsidRDefault="00EC79D4" w:rsidP="00EC79D4">
            <w:pPr>
              <w:spacing w:after="0"/>
              <w:rPr>
                <w:lang w:val="en-US"/>
              </w:rPr>
            </w:pPr>
            <w:r w:rsidRPr="00EC79D4">
              <w:rPr>
                <w:lang w:val="en-US"/>
              </w:rPr>
              <w:t>0.03</w:t>
            </w:r>
          </w:p>
        </w:tc>
        <w:tc>
          <w:tcPr>
            <w:tcW w:w="2552" w:type="dxa"/>
            <w:shd w:val="clear" w:color="auto" w:fill="auto"/>
            <w:noWrap/>
            <w:hideMark/>
          </w:tcPr>
          <w:p w:rsidR="00EC79D4" w:rsidRPr="00EC79D4" w:rsidRDefault="00EC79D4" w:rsidP="00EC79D4">
            <w:pPr>
              <w:spacing w:after="0"/>
              <w:rPr>
                <w:lang w:val="en-US"/>
              </w:rPr>
            </w:pPr>
            <w:r w:rsidRPr="00EC79D4">
              <w:rPr>
                <w:lang w:val="en-US"/>
              </w:rPr>
              <w:t>16.97</w:t>
            </w:r>
          </w:p>
        </w:tc>
      </w:tr>
      <w:tr w:rsidR="00EC79D4" w:rsidRPr="00206AA9" w:rsidTr="00EC79D4">
        <w:trPr>
          <w:trHeight w:val="345"/>
        </w:trPr>
        <w:tc>
          <w:tcPr>
            <w:tcW w:w="0" w:type="auto"/>
            <w:shd w:val="clear" w:color="auto" w:fill="auto"/>
            <w:noWrap/>
            <w:hideMark/>
          </w:tcPr>
          <w:p w:rsidR="00EC79D4" w:rsidRPr="00EC79D4" w:rsidRDefault="00EC79D4" w:rsidP="00EC79D4">
            <w:pPr>
              <w:spacing w:after="0"/>
              <w:rPr>
                <w:lang w:val="en-US"/>
              </w:rPr>
            </w:pPr>
            <w:r w:rsidRPr="00EC79D4">
              <w:rPr>
                <w:lang w:val="en-US"/>
              </w:rPr>
              <w:t>13</w:t>
            </w:r>
          </w:p>
        </w:tc>
        <w:tc>
          <w:tcPr>
            <w:tcW w:w="1923" w:type="dxa"/>
            <w:shd w:val="clear" w:color="auto" w:fill="auto"/>
            <w:noWrap/>
            <w:hideMark/>
          </w:tcPr>
          <w:p w:rsidR="00EC79D4" w:rsidRPr="00EC79D4" w:rsidRDefault="00EC79D4" w:rsidP="00EC79D4">
            <w:pPr>
              <w:spacing w:after="0"/>
              <w:rPr>
                <w:lang w:val="en-US"/>
              </w:rPr>
            </w:pPr>
            <w:r w:rsidRPr="00EC79D4">
              <w:rPr>
                <w:lang w:val="en-US"/>
              </w:rPr>
              <w:t>2 to 2.25</w:t>
            </w:r>
          </w:p>
        </w:tc>
        <w:tc>
          <w:tcPr>
            <w:tcW w:w="3118" w:type="dxa"/>
            <w:shd w:val="clear" w:color="auto" w:fill="auto"/>
            <w:vAlign w:val="bottom"/>
          </w:tcPr>
          <w:p w:rsidR="00EC79D4" w:rsidRPr="00EC79D4" w:rsidRDefault="00EC79D4" w:rsidP="00EC79D4">
            <w:pPr>
              <w:spacing w:after="0"/>
              <w:rPr>
                <w:lang w:val="en-US"/>
              </w:rPr>
            </w:pPr>
            <w:r w:rsidRPr="00EC79D4">
              <w:rPr>
                <w:lang w:val="en-US"/>
              </w:rPr>
              <w:t>-0.001</w:t>
            </w:r>
          </w:p>
        </w:tc>
        <w:tc>
          <w:tcPr>
            <w:tcW w:w="2552" w:type="dxa"/>
            <w:shd w:val="clear" w:color="auto" w:fill="auto"/>
            <w:noWrap/>
            <w:hideMark/>
          </w:tcPr>
          <w:p w:rsidR="00EC79D4" w:rsidRPr="00EC79D4" w:rsidRDefault="00EC79D4" w:rsidP="00EC79D4">
            <w:pPr>
              <w:spacing w:after="0"/>
              <w:rPr>
                <w:lang w:val="en-US"/>
              </w:rPr>
            </w:pPr>
            <w:r w:rsidRPr="00EC79D4">
              <w:rPr>
                <w:lang w:val="en-US"/>
              </w:rPr>
              <w:t>-0.62</w:t>
            </w:r>
          </w:p>
        </w:tc>
      </w:tr>
    </w:tbl>
    <w:p w:rsidR="00EC79D4" w:rsidRPr="00206AA9" w:rsidRDefault="00EC79D4" w:rsidP="00EC79D4"/>
    <w:p w:rsidR="00EC79D4" w:rsidRDefault="00EC79D4" w:rsidP="00EC79D4">
      <w:r w:rsidRPr="00206AA9">
        <w:t>SI REFERENCES</w:t>
      </w:r>
    </w:p>
    <w:p w:rsidR="00EC79D4" w:rsidRPr="005B409F" w:rsidRDefault="00EC79D4" w:rsidP="00EC79D4">
      <w:bookmarkStart w:id="4" w:name="Mendeley_Bookmark_IPORSGzJxe"/>
      <w:r w:rsidRPr="005B409F">
        <w:t>1.</w:t>
      </w:r>
      <w:r w:rsidRPr="005B409F">
        <w:tab/>
        <w:t xml:space="preserve">National Oceanic and Atmospheric Administration. NOAA Tides and Currents. </w:t>
      </w:r>
      <w:r w:rsidRPr="005B409F">
        <w:rPr>
          <w:i/>
        </w:rPr>
        <w:t>NOAA Tides and Currents</w:t>
      </w:r>
      <w:r w:rsidRPr="005B409F">
        <w:t xml:space="preserve"> (2012). Available at: http://tidesandcurrents.noaa.gov/map/. (Accessed: 21st April 2015)</w:t>
      </w:r>
    </w:p>
    <w:p w:rsidR="00EC79D4" w:rsidRPr="005B409F" w:rsidRDefault="00EC79D4" w:rsidP="00EC79D4">
      <w:r w:rsidRPr="005B409F">
        <w:t>2.</w:t>
      </w:r>
      <w:r w:rsidRPr="005B409F">
        <w:tab/>
        <w:t xml:space="preserve">United States Geological Survey. USGS Storm Tide and Rapid Deployment Streamgages Used During Hurricane Sandy. (2012). Available at: </w:t>
      </w:r>
      <w:r w:rsidRPr="005B409F">
        <w:lastRenderedPageBreak/>
        <w:t>http://water.usgs.gov/floods/events/2012/sandy/StormTideAndRDG.html. (Accessed: 21st July 2015)</w:t>
      </w:r>
    </w:p>
    <w:p w:rsidR="00EC79D4" w:rsidRPr="005B409F" w:rsidRDefault="00EC79D4" w:rsidP="00EC79D4">
      <w:r w:rsidRPr="005B409F">
        <w:t>3.</w:t>
      </w:r>
      <w:r w:rsidRPr="005B409F">
        <w:tab/>
        <w:t>United States Geological Survey. Hurricane Sandy Storm Tide Mapper. (2012). Available at: http://water.usgs.gov/floods/events/2012/sandy/sandymapper.html. (Accessed: 21st July 2015)</w:t>
      </w:r>
    </w:p>
    <w:p w:rsidR="00EC79D4" w:rsidRPr="005B409F" w:rsidRDefault="00EC79D4" w:rsidP="00EC79D4">
      <w:r w:rsidRPr="005B409F">
        <w:t>4.</w:t>
      </w:r>
      <w:r w:rsidRPr="005B409F">
        <w:tab/>
        <w:t xml:space="preserve">FEMA MOdelling Task Force. FEMA MOTF Sandy Data Archive. </w:t>
      </w:r>
      <w:r w:rsidRPr="005B409F">
        <w:rPr>
          <w:i/>
        </w:rPr>
        <w:t>Hurricane Sandy Data</w:t>
      </w:r>
      <w:r w:rsidRPr="005B409F">
        <w:t xml:space="preserve"> (2012). Available at: https://data.femadata.com/MOTF/Hurricane_Sandy/. </w:t>
      </w:r>
    </w:p>
    <w:p w:rsidR="00EC79D4" w:rsidRPr="005B409F" w:rsidRDefault="00EC79D4" w:rsidP="00EC79D4">
      <w:r w:rsidRPr="005B409F">
        <w:t>5.</w:t>
      </w:r>
      <w:r w:rsidRPr="005B409F">
        <w:tab/>
        <w:t xml:space="preserve">Lathrop, R. G. &amp; Haag, S. M. </w:t>
      </w:r>
      <w:r w:rsidRPr="005B409F">
        <w:rPr>
          <w:i/>
        </w:rPr>
        <w:t>Assessment of Land Use Change and Riparian Zone Status in the Barnegat Bay and Little Egg Harbor Watershed: Assessment of Land Use Change and Riparian Zone Status in the Barnegat Bay and Little Egg Harbor</w:t>
      </w:r>
      <w:r w:rsidRPr="005B409F">
        <w:t>. (2007).</w:t>
      </w:r>
    </w:p>
    <w:bookmarkEnd w:id="4"/>
    <w:p w:rsidR="00EC79D4" w:rsidRPr="00206AA9" w:rsidRDefault="00EC79D4" w:rsidP="00EC79D4"/>
    <w:p w:rsidR="00262759" w:rsidRDefault="00262759"/>
    <w:sectPr w:rsidR="00262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9D4"/>
    <w:rsid w:val="001A12CC"/>
    <w:rsid w:val="00262759"/>
    <w:rsid w:val="0029316D"/>
    <w:rsid w:val="003034FC"/>
    <w:rsid w:val="00303EFE"/>
    <w:rsid w:val="004F04B2"/>
    <w:rsid w:val="005A039D"/>
    <w:rsid w:val="006C7E71"/>
    <w:rsid w:val="006F1C92"/>
    <w:rsid w:val="00A80466"/>
    <w:rsid w:val="00C62DB3"/>
    <w:rsid w:val="00EC79D4"/>
    <w:rsid w:val="00F56899"/>
    <w:rsid w:val="00FB6AA9"/>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A6AB"/>
  <w15:chartTrackingRefBased/>
  <w15:docId w15:val="{DA1CDBE0-9E56-42DF-8DCA-F74F1B40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Latha"/>
        <w:lang w:val="en-GB" w:eastAsia="en-GB" w:bidi="ta-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79D4"/>
    <w:pPr>
      <w:spacing w:after="160" w:line="480" w:lineRule="auto"/>
      <w:jc w:val="both"/>
    </w:pPr>
    <w:rPr>
      <w:rFonts w:ascii="Arial" w:eastAsia="Times New Roman" w:hAnsi="Arial" w:cs="Mangal"/>
      <w:noProof/>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EC79D4"/>
    <w:pPr>
      <w:jc w:val="both"/>
    </w:pPr>
    <w:rPr>
      <w:rFonts w:eastAsia="Times New Roman"/>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C7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tiff"/><Relationship Id="rId5" Type="http://schemas.openxmlformats.org/officeDocument/2006/relationships/image" Target="media/image2.jpeg"/><Relationship Id="rId10" Type="http://schemas.openxmlformats.org/officeDocument/2006/relationships/image" Target="media/image7.tiff"/><Relationship Id="rId4" Type="http://schemas.openxmlformats.org/officeDocument/2006/relationships/image" Target="media/image1.jpeg"/><Relationship Id="rId9" Type="http://schemas.openxmlformats.org/officeDocument/2006/relationships/image" Target="media/image6.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Siddharth Narayan</dc:creator>
  <cp:keywords/>
  <dc:description/>
  <cp:lastModifiedBy>Sid</cp:lastModifiedBy>
  <cp:revision>3</cp:revision>
  <cp:lastPrinted>2017-07-24T18:23:00Z</cp:lastPrinted>
  <dcterms:created xsi:type="dcterms:W3CDTF">2017-08-07T19:50:00Z</dcterms:created>
  <dcterms:modified xsi:type="dcterms:W3CDTF">2017-08-07T20:01:00Z</dcterms:modified>
</cp:coreProperties>
</file>