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0"/>
        </w:rPr>
      </w:pPr>
      <w:bookmarkStart w:id="0" w:name="OLE_LINK33"/>
      <w:bookmarkStart w:id="1" w:name="OLE_LINK72"/>
      <w:bookmarkStart w:id="2" w:name="OLE_LINK32"/>
      <w:bookmarkStart w:id="3" w:name="OLE_LINK71"/>
      <w:bookmarkStart w:id="4" w:name="OLE_LINK36"/>
      <w:bookmarkStart w:id="5" w:name="OLE_LINK34"/>
      <w:bookmarkStart w:id="6" w:name="OLE_LINK6"/>
      <w:bookmarkStart w:id="7" w:name="OLE_LINK45"/>
      <w:bookmarkStart w:id="8" w:name="OLE_LINK48"/>
      <w:bookmarkStart w:id="9" w:name="OLE_LINK29"/>
      <w:bookmarkStart w:id="10" w:name="OLE_LINK28"/>
      <w:r>
        <w:rPr>
          <w:rFonts w:ascii="Times New Roman" w:hAnsi="Times New Roman" w:cs="Times New Roman"/>
          <w:b/>
          <w:sz w:val="20"/>
        </w:rPr>
        <w:t>Type of contribution:</w:t>
      </w:r>
      <w:r>
        <w:rPr>
          <w:rFonts w:ascii="Times New Roman" w:hAnsi="Times New Roman" w:cs="Times New Roman"/>
          <w:sz w:val="20"/>
        </w:rPr>
        <w:t xml:space="preserve"> regular papers</w:t>
      </w:r>
    </w:p>
    <w:p>
      <w:pPr>
        <w:spacing w:line="260" w:lineRule="atLeast"/>
        <w:rPr>
          <w:rFonts w:ascii="Times New Roman" w:hAnsi="Times New Roman" w:cs="Times New Roman"/>
          <w:b/>
          <w:bCs/>
          <w:sz w:val="36"/>
          <w:szCs w:val="36"/>
          <w:lang w:val="en-GB"/>
        </w:rPr>
      </w:pPr>
      <w:r>
        <w:rPr>
          <w:rFonts w:ascii="Times New Roman" w:hAnsi="Times New Roman" w:cs="Times New Roman"/>
          <w:b/>
          <w:sz w:val="24"/>
        </w:rPr>
        <w:t xml:space="preserve">Title: </w:t>
      </w:r>
      <w:bookmarkStart w:id="11" w:name="OLE_LINK22"/>
      <w:bookmarkStart w:id="12" w:name="OLE_LINK21"/>
      <w:r>
        <w:rPr>
          <w:rFonts w:ascii="Times New Roman" w:hAnsi="Times New Roman" w:cs="Times New Roman"/>
          <w:bCs/>
          <w:sz w:val="20"/>
          <w:lang w:val="en-GB"/>
        </w:rPr>
        <w:t>Hydrogen gas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bCs/>
          <w:sz w:val="20"/>
          <w:lang w:val="en-GB"/>
        </w:rPr>
        <w:t xml:space="preserve"> mediates ascorbic acid accumulation and antioxidant system enhancement in soybean sprouts under UV-A</w:t>
      </w:r>
      <w:bookmarkStart w:id="13" w:name="OLE_LINK1"/>
      <w:bookmarkStart w:id="14" w:name="OLE_LINK2"/>
      <w:r>
        <w:rPr>
          <w:rFonts w:ascii="Times New Roman" w:hAnsi="Times New Roman" w:cs="Times New Roman"/>
          <w:bCs/>
          <w:sz w:val="20"/>
          <w:lang w:val="en-GB"/>
        </w:rPr>
        <w:t xml:space="preserve"> irradiation</w:t>
      </w:r>
      <w:bookmarkEnd w:id="11"/>
      <w:bookmarkEnd w:id="12"/>
      <w:bookmarkEnd w:id="13"/>
      <w:bookmarkEnd w:id="14"/>
    </w:p>
    <w:bookmarkEnd w:id="4"/>
    <w:bookmarkEnd w:id="5"/>
    <w:bookmarkEnd w:id="6"/>
    <w:bookmarkEnd w:id="7"/>
    <w:bookmarkEnd w:id="8"/>
    <w:p>
      <w:pPr>
        <w:spacing w:line="260" w:lineRule="atLeast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b/>
          <w:sz w:val="24"/>
        </w:rPr>
        <w:t xml:space="preserve">Author names: </w:t>
      </w:r>
      <w:r>
        <w:rPr>
          <w:rFonts w:ascii="Times New Roman" w:hAnsi="Times New Roman" w:cs="Times New Roman"/>
          <w:sz w:val="20"/>
          <w:lang w:val="en-GB"/>
        </w:rPr>
        <w:t>Li Jia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Jiyuan Tian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Shengjun Wei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Xiaoyan Zhang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Xuan Xu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Zhenguo Shen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Wenbiao Shen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, Jin Cui</w:t>
      </w: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*</w:t>
      </w:r>
    </w:p>
    <w:p>
      <w:pPr>
        <w:spacing w:line="260" w:lineRule="atLeast"/>
        <w:rPr>
          <w:rFonts w:ascii="Times New Roman" w:hAnsi="Times New Roman" w:cs="Times New Roman"/>
          <w:sz w:val="20"/>
          <w:lang w:val="en-GB"/>
        </w:rPr>
      </w:pPr>
      <w:bookmarkStart w:id="15" w:name="OLE_LINK10"/>
      <w:bookmarkStart w:id="16" w:name="OLE_LINK25"/>
      <w:r>
        <w:rPr>
          <w:rFonts w:ascii="Times New Roman" w:hAnsi="Times New Roman" w:cs="Times New Roman"/>
          <w:b/>
          <w:bCs/>
          <w:iCs/>
          <w:sz w:val="24"/>
        </w:rPr>
        <w:t>Affiliation:</w:t>
      </w:r>
    </w:p>
    <w:p>
      <w:pPr>
        <w:spacing w:line="260" w:lineRule="atLeast"/>
        <w:ind w:firstLine="180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sz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sz w:val="20"/>
          <w:lang w:val="en-GB"/>
        </w:rPr>
        <w:t>College of Life Sciences</w:t>
      </w:r>
      <w:bookmarkEnd w:id="15"/>
      <w:bookmarkEnd w:id="16"/>
      <w:r>
        <w:rPr>
          <w:rFonts w:ascii="Times New Roman" w:hAnsi="Times New Roman" w:cs="Times New Roman"/>
          <w:sz w:val="20"/>
          <w:lang w:val="en-GB"/>
        </w:rPr>
        <w:t>, Nanjing Agricultural University, Nanjing, Jiangsu 210095,China</w:t>
      </w:r>
    </w:p>
    <w:p>
      <w:pPr>
        <w:spacing w:line="260" w:lineRule="atLeas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iCs/>
          <w:sz w:val="24"/>
        </w:rPr>
        <w:t>*Corresponding author:</w:t>
      </w:r>
      <w:r>
        <w:rPr>
          <w:rFonts w:ascii="Times New Roman" w:hAnsi="Times New Roman" w:cs="Times New Roman"/>
          <w:sz w:val="20"/>
          <w:lang w:val="en-GB"/>
        </w:rPr>
        <w:t xml:space="preserve"> Jin Cui</w:t>
      </w:r>
      <w:r>
        <w:rPr>
          <w:rFonts w:ascii="Times New Roman" w:hAnsi="Times New Roman" w:cs="Times New Roman"/>
          <w:sz w:val="20"/>
        </w:rPr>
        <w:t xml:space="preserve">; </w:t>
      </w:r>
      <w:r>
        <w:rPr>
          <w:rFonts w:ascii="Times New Roman" w:hAnsi="Times New Roman" w:cs="Times New Roman"/>
          <w:sz w:val="20"/>
          <w:lang w:val="en-GB"/>
        </w:rPr>
        <w:t>E-mail: cuijin@njau.edu.cn</w:t>
      </w:r>
    </w:p>
    <w:p>
      <w:pPr>
        <w:spacing w:line="260" w:lineRule="atLeast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b/>
          <w:bCs/>
          <w:iCs/>
          <w:sz w:val="24"/>
        </w:rPr>
        <w:t xml:space="preserve">*Correspondence: </w:t>
      </w:r>
      <w:r>
        <w:rPr>
          <w:rFonts w:ascii="Times New Roman" w:hAnsi="Times New Roman" w:cs="Times New Roman"/>
          <w:sz w:val="20"/>
          <w:lang w:val="en-GB"/>
        </w:rPr>
        <w:t>E-mail: cuijin@njau.edu.cn</w:t>
      </w:r>
      <w:r>
        <w:rPr>
          <w:rFonts w:ascii="Times New Roman" w:hAnsi="Times New Roman" w:cs="Times New Roman"/>
          <w:sz w:val="20"/>
        </w:rPr>
        <w:t>;</w:t>
      </w:r>
      <w:r>
        <w:rPr>
          <w:rFonts w:ascii="Times New Roman" w:hAnsi="Times New Roman" w:cs="Times New Roman"/>
          <w:sz w:val="20"/>
          <w:lang w:val="en-GB"/>
        </w:rPr>
        <w:t xml:space="preserve"> Telephone number: </w:t>
      </w:r>
      <w:bookmarkStart w:id="17" w:name="OLE_LINK9"/>
      <w:r>
        <w:rPr>
          <w:rFonts w:ascii="Times New Roman" w:hAnsi="Times New Roman" w:cs="Times New Roman"/>
          <w:sz w:val="20"/>
          <w:lang w:val="en-GB"/>
        </w:rPr>
        <w:t>+86 025 84395920</w:t>
      </w:r>
      <w:bookmarkEnd w:id="17"/>
    </w:p>
    <w:bookmarkEnd w:id="9"/>
    <w:bookmarkEnd w:id="10"/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Supplementary Materials:</w:t>
      </w:r>
    </w:p>
    <w:p>
      <w:pPr>
        <w:autoSpaceDE w:val="0"/>
        <w:autoSpaceDN w:val="0"/>
        <w:spacing w:line="260" w:lineRule="atLeast"/>
        <w:jc w:val="both"/>
        <w:rPr>
          <w:rFonts w:hint="eastAsia" w:ascii="Times New Roman" w:hAnsi="Times New Roman" w:eastAsia="微软雅黑" w:cs="Times New Roman"/>
          <w:b/>
          <w:sz w:val="20"/>
          <w:lang w:eastAsia="zh-CN"/>
        </w:rPr>
      </w:pPr>
      <w:r>
        <w:rPr>
          <w:rFonts w:hint="eastAsia" w:ascii="Times New Roman" w:hAnsi="Times New Roman" w:eastAsia="微软雅黑" w:cs="Times New Roman"/>
          <w:b/>
          <w:sz w:val="20"/>
          <w:lang w:eastAsia="zh-CN"/>
        </w:rPr>
        <w:drawing>
          <wp:inline distT="0" distB="0" distL="114300" distR="114300">
            <wp:extent cx="5267960" cy="2985135"/>
            <wp:effectExtent l="0" t="0" r="8890" b="5715"/>
            <wp:docPr id="1" name="图片 1" descr="Supplemental 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l Fig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pacing w:line="260" w:lineRule="atLeast"/>
        <w:rPr>
          <w:rFonts w:ascii="Times New Roman" w:hAnsi="Times New Roman" w:cs="Times New Roman"/>
          <w:b/>
          <w:sz w:val="20"/>
        </w:rPr>
      </w:pPr>
      <w:bookmarkStart w:id="18" w:name="OLE_LINK3"/>
      <w:r>
        <w:rPr>
          <w:rFonts w:ascii="Times New Roman" w:hAnsi="Times New Roman" w:cs="Times New Roman"/>
          <w:b/>
          <w:sz w:val="20"/>
          <w:lang w:val="en-GB"/>
        </w:rPr>
        <w:t xml:space="preserve">Supplemental </w:t>
      </w:r>
      <w:r>
        <w:rPr>
          <w:rFonts w:hint="eastAsia" w:ascii="Times New Roman" w:hAnsi="Times New Roman" w:cs="Times New Roman"/>
          <w:b/>
          <w:sz w:val="20"/>
          <w:lang w:val="en-GB" w:eastAsia="zh-CN"/>
        </w:rPr>
        <w:t>Fig</w:t>
      </w:r>
      <w:r>
        <w:rPr>
          <w:rFonts w:ascii="Times New Roman" w:hAnsi="Times New Roman" w:cs="Times New Roman"/>
          <w:b/>
          <w:sz w:val="20"/>
          <w:lang w:val="en-GB"/>
        </w:rPr>
        <w:t xml:space="preserve"> 1</w:t>
      </w:r>
      <w:bookmarkEnd w:id="18"/>
      <w:r>
        <w:rPr>
          <w:rFonts w:ascii="Times New Roman" w:hAnsi="Times New Roman" w:eastAsia="仿宋" w:cs="Times New Roman"/>
          <w:b/>
          <w:bCs/>
          <w:sz w:val="20"/>
          <w:lang w:val="en-GB"/>
        </w:rPr>
        <w:t>.</w:t>
      </w:r>
      <w:r>
        <w:rPr>
          <w:rFonts w:ascii="Times New Roman" w:hAnsi="Times New Roman" w:cs="Times New Roman"/>
          <w:sz w:val="20"/>
          <w:lang w:val="en-GB"/>
        </w:rPr>
        <w:t xml:space="preserve"> </w:t>
      </w:r>
      <w:r>
        <w:rPr>
          <w:rFonts w:ascii="Times New Roman" w:hAnsi="Times New Roman" w:eastAsia="AdvGulliv-R" w:cs="Times New Roman"/>
          <w:sz w:val="20"/>
          <w:lang w:val="en-GB"/>
        </w:rPr>
        <w:t>Effects of the different light qualities on the appearance of soybean sprouts.</w:t>
      </w:r>
      <w:r>
        <w:rPr>
          <w:rFonts w:ascii="Times New Roman" w:hAnsi="Times New Roman" w:eastAsia="AdvP403A40" w:cs="Times New Roman"/>
          <w:sz w:val="20"/>
          <w:lang w:val="en-GB"/>
        </w:rPr>
        <w:t xml:space="preserve"> </w:t>
      </w:r>
      <w:r>
        <w:rPr>
          <w:rFonts w:ascii="Times New Roman" w:hAnsi="Times New Roman" w:eastAsia="AdvGulliv-R" w:cs="Times New Roman"/>
          <w:sz w:val="20"/>
          <w:lang w:val="en-GB"/>
        </w:rPr>
        <w:t>Sprouts cultivated in distilled water (H</w:t>
      </w:r>
      <w:r>
        <w:rPr>
          <w:rFonts w:ascii="Times New Roman" w:hAnsi="Times New Roman" w:eastAsia="AdvGulliv-R" w:cs="Times New Roman"/>
          <w:sz w:val="20"/>
          <w:vertAlign w:val="subscript"/>
          <w:lang w:val="en-GB"/>
        </w:rPr>
        <w:t>2</w:t>
      </w:r>
      <w:r>
        <w:rPr>
          <w:rFonts w:ascii="Times New Roman" w:hAnsi="Times New Roman" w:eastAsia="AdvGulliv-R" w:cs="Times New Roman"/>
          <w:sz w:val="20"/>
          <w:lang w:val="en-GB"/>
        </w:rPr>
        <w:t xml:space="preserve">O) or HRW were exposed to white light or UV-A for 36 h. </w:t>
      </w:r>
      <w:r>
        <w:rPr>
          <w:rFonts w:hint="default" w:ascii="Times New Roman" w:hAnsi="Times New Roman" w:eastAsia="AdvGulliv-R" w:cs="Times New Roman"/>
          <w:sz w:val="20"/>
          <w:lang w:val="en-US"/>
        </w:rPr>
        <w:t>W</w:t>
      </w:r>
      <w:r>
        <w:rPr>
          <w:rFonts w:ascii="Times New Roman" w:hAnsi="Times New Roman" w:eastAsia="AdvGulliv-R" w:cs="Times New Roman"/>
          <w:sz w:val="20"/>
          <w:lang w:val="en-GB"/>
        </w:rPr>
        <w:t>: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</w:t>
      </w:r>
      <w:r>
        <w:rPr>
          <w:rFonts w:ascii="Times New Roman" w:hAnsi="Times New Roman" w:eastAsia="AdvGulliv-R" w:cs="Times New Roman"/>
          <w:sz w:val="20"/>
          <w:lang w:val="en-GB"/>
        </w:rPr>
        <w:t>Sprouts cultivated in distilled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</w:t>
      </w:r>
      <w:r>
        <w:rPr>
          <w:rFonts w:ascii="Times New Roman" w:hAnsi="Times New Roman" w:eastAsia="AdvGulliv-R" w:cs="Times New Roman"/>
          <w:sz w:val="20"/>
          <w:lang w:val="en-GB"/>
        </w:rPr>
        <w:t>water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under white light; W+</w:t>
      </w:r>
      <w:r>
        <w:rPr>
          <w:rFonts w:ascii="Times New Roman" w:hAnsi="Times New Roman" w:eastAsia="AdvGulliv-R" w:cs="Times New Roman"/>
          <w:sz w:val="20"/>
          <w:lang w:val="en-GB"/>
        </w:rPr>
        <w:t>HRW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: </w:t>
      </w:r>
      <w:r>
        <w:rPr>
          <w:rFonts w:ascii="Times New Roman" w:hAnsi="Times New Roman" w:eastAsia="AdvGulliv-R" w:cs="Times New Roman"/>
          <w:sz w:val="20"/>
          <w:lang w:val="en-GB"/>
        </w:rPr>
        <w:t>Sprouts cultivated in HRW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under white light; UV-A: </w:t>
      </w:r>
      <w:r>
        <w:rPr>
          <w:rFonts w:ascii="Times New Roman" w:hAnsi="Times New Roman" w:eastAsia="AdvGulliv-R" w:cs="Times New Roman"/>
          <w:sz w:val="20"/>
          <w:lang w:val="en-GB"/>
        </w:rPr>
        <w:t>Sprouts cultivated in distilled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</w:t>
      </w:r>
      <w:r>
        <w:rPr>
          <w:rFonts w:ascii="Times New Roman" w:hAnsi="Times New Roman" w:eastAsia="AdvGulliv-R" w:cs="Times New Roman"/>
          <w:sz w:val="20"/>
          <w:lang w:val="en-GB"/>
        </w:rPr>
        <w:t>water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under UV-A; UV-A+HRW: </w:t>
      </w:r>
      <w:r>
        <w:rPr>
          <w:rFonts w:ascii="Times New Roman" w:hAnsi="Times New Roman" w:eastAsia="AdvGulliv-R" w:cs="Times New Roman"/>
          <w:sz w:val="20"/>
          <w:lang w:val="en-GB"/>
        </w:rPr>
        <w:t>Sprouts cultivated in HRW</w:t>
      </w:r>
      <w:r>
        <w:rPr>
          <w:rFonts w:ascii="Times New Roman" w:hAnsi="Times New Roman" w:eastAsia="AdvGulliv-R" w:cs="Times New Roman"/>
          <w:sz w:val="20"/>
          <w:lang w:val="en-US"/>
        </w:rPr>
        <w:t xml:space="preserve"> under UV-A</w:t>
      </w:r>
      <w:r>
        <w:rPr>
          <w:rFonts w:ascii="Times New Roman" w:hAnsi="Times New Roman" w:eastAsia="AdvGulliv-R" w:cs="Times New Roman"/>
          <w:sz w:val="20"/>
          <w:lang w:val="en-GB"/>
        </w:rPr>
        <w:t>.Bar = 2 cm.</w:t>
      </w: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  <w:bookmarkStart w:id="19" w:name="_GoBack"/>
      <w:bookmarkEnd w:id="19"/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b/>
          <w:sz w:val="20"/>
          <w:lang w:val="en-GB"/>
        </w:rPr>
        <w:t xml:space="preserve">Supplemental </w:t>
      </w:r>
      <w:r>
        <w:rPr>
          <w:rFonts w:ascii="Times New Roman" w:hAnsi="Times New Roman" w:cs="Times New Roman"/>
          <w:b/>
          <w:bCs/>
          <w:sz w:val="20"/>
          <w:lang w:val="en-GB"/>
        </w:rPr>
        <w:t>Table 1</w:t>
      </w:r>
    </w:p>
    <w:p>
      <w:pPr>
        <w:spacing w:line="260" w:lineRule="atLeast"/>
        <w:rPr>
          <w:rFonts w:ascii="Times New Roman" w:hAnsi="Times New Roman" w:eastAsia="AdvGulliv-R" w:cs="Times New Roman"/>
          <w:sz w:val="20"/>
          <w:lang w:val="en-GB"/>
        </w:rPr>
      </w:pPr>
      <w:r>
        <w:rPr>
          <w:rFonts w:ascii="Times New Roman" w:hAnsi="Times New Roman" w:cs="Times New Roman"/>
          <w:sz w:val="20"/>
          <w:lang w:val="en-GB"/>
        </w:rPr>
        <w:t xml:space="preserve">Effects of </w:t>
      </w:r>
      <w:r>
        <w:rPr>
          <w:rFonts w:ascii="Times New Roman" w:hAnsi="Times New Roman" w:eastAsia="AdvGulliv-R" w:cs="Times New Roman"/>
          <w:sz w:val="20"/>
          <w:lang w:val="en-GB"/>
        </w:rPr>
        <w:t>different light qualities on the appearance of soybean sprouts.</w:t>
      </w:r>
    </w:p>
    <w:tbl>
      <w:tblPr>
        <w:tblStyle w:val="6"/>
        <w:tblW w:w="814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1"/>
        <w:gridCol w:w="1559"/>
        <w:gridCol w:w="1276"/>
        <w:gridCol w:w="1276"/>
        <w:gridCol w:w="1276"/>
        <w:gridCol w:w="99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761" w:type="dxa"/>
            <w:tcBorders>
              <w:top w:val="single" w:color="3D3F41" w:sz="8" w:space="0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eastAsia="AdvGulliv-R" w:cs="Times New Roman"/>
                <w:sz w:val="20"/>
                <w:lang w:val="en-GB"/>
              </w:rPr>
              <w:t>Treatment</w:t>
            </w:r>
          </w:p>
        </w:tc>
        <w:tc>
          <w:tcPr>
            <w:tcW w:w="1559" w:type="dxa"/>
            <w:tcBorders>
              <w:top w:val="single" w:color="3D3F41" w:sz="8" w:space="0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Root length/cm</w:t>
            </w:r>
          </w:p>
        </w:tc>
        <w:tc>
          <w:tcPr>
            <w:tcW w:w="1276" w:type="dxa"/>
            <w:tcBorders>
              <w:top w:val="single" w:color="3D3F41" w:sz="8" w:space="0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Hypocotyl length/cm</w:t>
            </w:r>
          </w:p>
        </w:tc>
        <w:tc>
          <w:tcPr>
            <w:tcW w:w="1276" w:type="dxa"/>
            <w:tcBorders>
              <w:top w:val="single" w:color="3D3F41" w:sz="8" w:space="0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GB"/>
              </w:rPr>
              <w:t>Fresh weight/g</w:t>
            </w:r>
          </w:p>
        </w:tc>
        <w:tc>
          <w:tcPr>
            <w:tcW w:w="1276" w:type="dxa"/>
            <w:tcBorders>
              <w:top w:val="single" w:color="3D3F41" w:sz="8" w:space="0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Edible Fresh weight/g</w:t>
            </w:r>
          </w:p>
        </w:tc>
        <w:tc>
          <w:tcPr>
            <w:tcW w:w="994" w:type="dxa"/>
            <w:tcBorders>
              <w:top w:val="single" w:color="3D3F41" w:sz="8" w:space="0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Edible rate/%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 w:hRule="atLeast"/>
          <w:jc w:val="center"/>
        </w:trPr>
        <w:tc>
          <w:tcPr>
            <w:tcW w:w="1761" w:type="dxa"/>
            <w:tcBorders>
              <w:top w:val="single" w:color="3D3F41" w:sz="8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W</w:t>
            </w:r>
          </w:p>
        </w:tc>
        <w:tc>
          <w:tcPr>
            <w:tcW w:w="1559" w:type="dxa"/>
            <w:tcBorders>
              <w:top w:val="single" w:color="3D3F41" w:sz="8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10.51±0.80a</w:t>
            </w:r>
          </w:p>
        </w:tc>
        <w:tc>
          <w:tcPr>
            <w:tcW w:w="1276" w:type="dxa"/>
            <w:tcBorders>
              <w:top w:val="single" w:color="3D3F41" w:sz="8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9.31±0.83a</w:t>
            </w:r>
          </w:p>
        </w:tc>
        <w:tc>
          <w:tcPr>
            <w:tcW w:w="1276" w:type="dxa"/>
            <w:tcBorders>
              <w:top w:val="single" w:color="3D3F41" w:sz="8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0.57±0.05a</w:t>
            </w:r>
          </w:p>
        </w:tc>
        <w:tc>
          <w:tcPr>
            <w:tcW w:w="1276" w:type="dxa"/>
            <w:tcBorders>
              <w:top w:val="single" w:color="3D3F41" w:sz="8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0.45±0.04a</w:t>
            </w:r>
          </w:p>
        </w:tc>
        <w:tc>
          <w:tcPr>
            <w:tcW w:w="994" w:type="dxa"/>
            <w:tcBorders>
              <w:top w:val="single" w:color="3D3F41" w:sz="8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0.79±0.02a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W+HRW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10.09±1.19a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8.71±0.82a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0.56±0.10a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0.46±0.07a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0.82±0.03a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UV-A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10.05±0.59a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6.23±0.33b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0.50±0.02b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0.4±0.02b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0.81±0.01a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" w:hRule="atLeast"/>
          <w:jc w:val="center"/>
        </w:trPr>
        <w:tc>
          <w:tcPr>
            <w:tcW w:w="1761" w:type="dxa"/>
            <w:tcBorders>
              <w:top w:val="nil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UV-A+HRW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10.15±0.52a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8.13±0.41 a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0.55±0.05a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0.44±0.02a</w:t>
            </w:r>
          </w:p>
        </w:tc>
        <w:tc>
          <w:tcPr>
            <w:tcW w:w="994" w:type="dxa"/>
            <w:tcBorders>
              <w:top w:val="nil"/>
              <w:left w:val="nil"/>
              <w:bottom w:val="single" w:color="3D3F41" w:sz="8" w:space="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0.81±0.03a</w:t>
            </w:r>
          </w:p>
        </w:tc>
      </w:tr>
    </w:tbl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b/>
          <w:sz w:val="20"/>
          <w:lang w:val="en-GB"/>
        </w:rPr>
      </w:pPr>
    </w:p>
    <w:p>
      <w:pPr>
        <w:spacing w:line="260" w:lineRule="atLeast"/>
        <w:rPr>
          <w:rFonts w:ascii="Times New Roman" w:hAnsi="Times New Roman" w:cs="Times New Roman"/>
          <w:sz w:val="20"/>
          <w:lang w:val="en-GB"/>
        </w:rPr>
      </w:pPr>
      <w:r>
        <w:rPr>
          <w:rFonts w:ascii="Times New Roman" w:hAnsi="Times New Roman" w:cs="Times New Roman"/>
          <w:b/>
          <w:sz w:val="20"/>
          <w:lang w:val="en-GB"/>
        </w:rPr>
        <w:t>Supplemental Table 2</w:t>
      </w:r>
    </w:p>
    <w:p>
      <w:pPr>
        <w:spacing w:line="260" w:lineRule="atLeast"/>
        <w:rPr>
          <w:rFonts w:ascii="Times New Roman" w:hAnsi="Times New Roman" w:cs="Times New Roman"/>
          <w:color w:val="000000"/>
          <w:sz w:val="20"/>
          <w:lang w:val="en-GB"/>
        </w:rPr>
      </w:pPr>
      <w:r>
        <w:rPr>
          <w:rFonts w:ascii="Times New Roman" w:hAnsi="Times New Roman" w:cs="Times New Roman"/>
          <w:sz w:val="20"/>
          <w:lang w:val="en-GB"/>
        </w:rPr>
        <w:t>The nucleotide sequence of primers used in RT-PCR</w:t>
      </w:r>
    </w:p>
    <w:tbl>
      <w:tblPr>
        <w:tblStyle w:val="6"/>
        <w:tblW w:w="8897" w:type="dxa"/>
        <w:jc w:val="center"/>
        <w:tblInd w:w="420" w:type="dxa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1376"/>
        <w:gridCol w:w="1747"/>
        <w:gridCol w:w="3073"/>
        <w:gridCol w:w="2693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84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eastAsia="AdvGulliv-R" w:cs="Times New Roman"/>
                <w:sz w:val="20"/>
                <w:lang w:val="en-GB"/>
              </w:rPr>
            </w:pPr>
            <w:r>
              <w:rPr>
                <w:rFonts w:ascii="Times New Roman" w:hAnsi="Times New Roman" w:eastAsia="AdvGulliv-R" w:cs="Times New Roman"/>
                <w:sz w:val="20"/>
                <w:lang w:val="en-GB"/>
              </w:rPr>
              <w:t>Gene name</w:t>
            </w:r>
          </w:p>
        </w:tc>
        <w:tc>
          <w:tcPr>
            <w:tcW w:w="1747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60" w:lineRule="atLeast"/>
              <w:rPr>
                <w:rFonts w:ascii="Times New Roman" w:hAnsi="Times New Roman" w:eastAsia="AdvGulliv-R" w:cs="Times New Roman"/>
                <w:sz w:val="20"/>
                <w:lang w:val="en-GB"/>
              </w:rPr>
            </w:pPr>
            <w:r>
              <w:rPr>
                <w:rFonts w:ascii="Times New Roman" w:hAnsi="Times New Roman" w:eastAsia="AdvGulliv-R" w:cs="Times New Roman"/>
                <w:sz w:val="20"/>
                <w:lang w:val="en-GB"/>
              </w:rPr>
              <w:t>Gene NCBI ID</w:t>
            </w:r>
          </w:p>
        </w:tc>
        <w:tc>
          <w:tcPr>
            <w:tcW w:w="307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60" w:lineRule="atLeast"/>
              <w:rPr>
                <w:rFonts w:ascii="Times New Roman" w:hAnsi="Times New Roman" w:eastAsia="AdvGulliv-R" w:cs="Times New Roman"/>
                <w:sz w:val="20"/>
                <w:lang w:val="en-GB"/>
              </w:rPr>
            </w:pPr>
            <w:r>
              <w:rPr>
                <w:rFonts w:ascii="Times New Roman" w:hAnsi="Times New Roman" w:eastAsia="AdvGulliv-R" w:cs="Times New Roman"/>
                <w:sz w:val="20"/>
                <w:lang w:val="en-GB"/>
              </w:rPr>
              <w:t>Prime forward</w:t>
            </w:r>
          </w:p>
        </w:tc>
        <w:tc>
          <w:tcPr>
            <w:tcW w:w="269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260" w:lineRule="atLeast"/>
              <w:rPr>
                <w:rFonts w:ascii="Times New Roman" w:hAnsi="Times New Roman" w:eastAsia="AdvGulliv-R" w:cs="Times New Roman"/>
                <w:sz w:val="20"/>
                <w:lang w:val="en-GB"/>
              </w:rPr>
            </w:pPr>
            <w:r>
              <w:rPr>
                <w:rFonts w:ascii="Times New Roman" w:hAnsi="Times New Roman" w:eastAsia="AdvGulliv-R" w:cs="Times New Roman"/>
                <w:sz w:val="20"/>
                <w:lang w:val="en-GB"/>
              </w:rPr>
              <w:t>Prime reverse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  <w:tcBorders>
              <w:top w:val="single" w:color="000000" w:sz="4" w:space="0"/>
            </w:tcBorders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Actin</w:t>
            </w:r>
          </w:p>
        </w:tc>
        <w:tc>
          <w:tcPr>
            <w:tcW w:w="1747" w:type="dxa"/>
            <w:tcBorders>
              <w:top w:val="single" w:color="000000" w:sz="4" w:space="0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hd w:val="clear" w:color="auto" w:fill="FFFFFF"/>
                <w:lang w:val="en-GB"/>
              </w:rPr>
              <w:t>J01298.1</w:t>
            </w:r>
          </w:p>
        </w:tc>
        <w:tc>
          <w:tcPr>
            <w:tcW w:w="3073" w:type="dxa"/>
            <w:tcBorders>
              <w:top w:val="single" w:color="000000" w:sz="4" w:space="0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TCCCAGTATTGTTGGCCGA</w:t>
            </w:r>
          </w:p>
        </w:tc>
        <w:tc>
          <w:tcPr>
            <w:tcW w:w="2693" w:type="dxa"/>
            <w:tcBorders>
              <w:top w:val="single" w:color="000000" w:sz="4" w:space="0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TTCCATGTCATCCCAGTTGCT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GMP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FJ792604.1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AAAACACACGGAGGAGAGGC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CCCGGTAGTCTCCTCCATCA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GME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LOC100806498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GGCTCCTGCTGCTTTTTGTC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TCTGAGCACCCCTTCAACAC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VTC2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HQ636607.1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TTGAGAAGGCCCCCACTAAGA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GCCACCCTCAAAGACGAGA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VTC4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LOC100817591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GTGGCTCCTGTGCTCTGAAT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ACAGCACCACCTGCTACATC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337" w:hRule="atLeast"/>
          <w:jc w:val="center"/>
        </w:trPr>
        <w:tc>
          <w:tcPr>
            <w:tcW w:w="1376" w:type="dxa"/>
            <w:tcBorders>
              <w:bottom w:val="nil"/>
            </w:tcBorders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GDH</w:t>
            </w:r>
          </w:p>
        </w:tc>
        <w:tc>
          <w:tcPr>
            <w:tcW w:w="1747" w:type="dxa"/>
            <w:tcBorders>
              <w:bottom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LOC100809400</w:t>
            </w:r>
          </w:p>
        </w:tc>
        <w:tc>
          <w:tcPr>
            <w:tcW w:w="3073" w:type="dxa"/>
            <w:tcBorders>
              <w:bottom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CGCTGGATGTTGTGCTTTCA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lang w:val="en-GB"/>
              </w:rPr>
              <w:t>TCGGTGAGAAGGCCCATAGA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85" w:hRule="atLeast"/>
          <w:jc w:val="center"/>
        </w:trPr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GLDH</w:t>
            </w: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60" w:lineRule="atLeast"/>
              <w:rPr>
                <w:rFonts w:ascii="Times New Roman" w:hAnsi="Times New Roman" w:eastAsia="黑体" w:cs="Times New Roman"/>
                <w:b/>
                <w:bCs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GB"/>
              </w:rPr>
              <w:t>LOC100526948</w:t>
            </w:r>
          </w:p>
        </w:tc>
        <w:tc>
          <w:tcPr>
            <w:tcW w:w="30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ACTCCAGCGGCAATTCTCAT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GB"/>
              </w:rPr>
              <w:t>CGGGAGGGGGAATGTGTAGT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  <w:tcBorders>
              <w:top w:val="nil"/>
            </w:tcBorders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APX1</w:t>
            </w:r>
          </w:p>
        </w:tc>
        <w:tc>
          <w:tcPr>
            <w:tcW w:w="1747" w:type="dxa"/>
            <w:tcBorders>
              <w:top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NM_001250856.1</w:t>
            </w:r>
          </w:p>
        </w:tc>
        <w:tc>
          <w:tcPr>
            <w:tcW w:w="3073" w:type="dxa"/>
            <w:tcBorders>
              <w:top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TTGACAAGGGCACGAAGACC</w:t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TTGAGTGGCTCCAAAAGCCT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APX2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AB082932.1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CTTACGACGTGAGCTCGAAGA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GCTCCAAAAGCCTAACAGCG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AO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XM_003555611.2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TAGAGGAAGAAAGCCTAGCACC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ATTCCAAAGGGGTGTGATGGG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MDHAR</w:t>
            </w:r>
          </w:p>
        </w:tc>
        <w:tc>
          <w:tcPr>
            <w:tcW w:w="1747" w:type="dxa"/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AB442087.1</w:t>
            </w:r>
          </w:p>
        </w:tc>
        <w:tc>
          <w:tcPr>
            <w:tcW w:w="307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TGTGGACATGGTTGTGGTGG</w:t>
            </w:r>
          </w:p>
        </w:tc>
        <w:tc>
          <w:tcPr>
            <w:tcW w:w="2693" w:type="dxa"/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TTCGTGTTTCCCCAACTGCT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  <w:tcBorders>
              <w:bottom w:val="nil"/>
            </w:tcBorders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DHAR</w:t>
            </w:r>
          </w:p>
        </w:tc>
        <w:tc>
          <w:tcPr>
            <w:tcW w:w="1747" w:type="dxa"/>
            <w:tcBorders>
              <w:bottom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NM_001250000.1</w:t>
            </w:r>
          </w:p>
        </w:tc>
        <w:tc>
          <w:tcPr>
            <w:tcW w:w="3073" w:type="dxa"/>
            <w:tcBorders>
              <w:bottom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ACAAGTGCACAACCACAGGA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0"/>
                <w:shd w:val="clear" w:color="auto" w:fill="FFFFFF"/>
                <w:lang w:val="en-GB"/>
              </w:rPr>
              <w:t>TGTTGGGGTATAGTCCTCAGAGT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268" w:hRule="atLeast"/>
          <w:jc w:val="center"/>
        </w:trPr>
        <w:tc>
          <w:tcPr>
            <w:tcW w:w="1376" w:type="dxa"/>
            <w:tcBorders>
              <w:top w:val="nil"/>
              <w:bottom w:val="single" w:color="3D3F41" w:sz="8" w:space="0"/>
            </w:tcBorders>
          </w:tcPr>
          <w:p>
            <w:pPr>
              <w:spacing w:line="260" w:lineRule="atLeast"/>
              <w:ind w:firstLine="150" w:firstLineChars="75"/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lang w:val="en-GB"/>
              </w:rPr>
              <w:t>GR</w:t>
            </w:r>
          </w:p>
        </w:tc>
        <w:tc>
          <w:tcPr>
            <w:tcW w:w="1747" w:type="dxa"/>
            <w:tcBorders>
              <w:top w:val="nil"/>
              <w:bottom w:val="single" w:color="3D3F41" w:sz="8" w:space="0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lang w:val="en-GB"/>
              </w:rPr>
              <w:t>L11632.1</w:t>
            </w:r>
          </w:p>
        </w:tc>
        <w:tc>
          <w:tcPr>
            <w:tcW w:w="3073" w:type="dxa"/>
            <w:tcBorders>
              <w:top w:val="nil"/>
              <w:bottom w:val="single" w:color="3D3F41" w:sz="8" w:space="0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en-GB"/>
              </w:rPr>
              <w:t>CGGTGCCTCAAGGGAAGAAAT</w:t>
            </w:r>
          </w:p>
        </w:tc>
        <w:tc>
          <w:tcPr>
            <w:tcW w:w="2693" w:type="dxa"/>
            <w:tcBorders>
              <w:top w:val="nil"/>
              <w:bottom w:val="single" w:color="3D3F41" w:sz="8" w:space="0"/>
            </w:tcBorders>
          </w:tcPr>
          <w:p>
            <w:pPr>
              <w:spacing w:line="260" w:lineRule="atLeast"/>
              <w:rPr>
                <w:rFonts w:ascii="Times New Roman" w:hAnsi="Times New Roman" w:cs="Times New Roman"/>
                <w:color w:val="000000"/>
                <w:sz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hd w:val="clear" w:color="auto" w:fill="FFFFFF"/>
                <w:lang w:val="en-GB"/>
              </w:rPr>
              <w:t>TTCACTCGACTTCCAGGCTC</w:t>
            </w:r>
          </w:p>
        </w:tc>
      </w:tr>
    </w:tbl>
    <w:p>
      <w:pPr>
        <w:autoSpaceDE w:val="0"/>
        <w:autoSpaceDN w:val="0"/>
        <w:spacing w:line="260" w:lineRule="atLeast"/>
        <w:ind w:firstLine="150" w:firstLineChars="75"/>
        <w:rPr>
          <w:rFonts w:ascii="Times New Roman" w:hAnsi="Times New Roman" w:eastAsia="AdvGulliv-R" w:cs="Times New Roman"/>
          <w:sz w:val="20"/>
          <w:lang w:val="en-GB"/>
        </w:rPr>
      </w:pPr>
    </w:p>
    <w:p>
      <w:pPr>
        <w:spacing w:line="220" w:lineRule="atLeas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lnNumType w:countBy="1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vGulliv-R">
    <w:altName w:val="hakuyoxingshu7000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dvP403A40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imes New Roman Baltic">
    <w:altName w:val="Times New Roman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Gulliv-R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dvOT2e364b11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Î¢ÈíÑÅºÚ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HelveticaNeueLTStd-Lt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95F81"/>
    <w:rsid w:val="00323B43"/>
    <w:rsid w:val="00367DF2"/>
    <w:rsid w:val="003D37D8"/>
    <w:rsid w:val="00426133"/>
    <w:rsid w:val="004358AB"/>
    <w:rsid w:val="004C60B9"/>
    <w:rsid w:val="0080528A"/>
    <w:rsid w:val="008B7726"/>
    <w:rsid w:val="00D31D50"/>
    <w:rsid w:val="11CC602C"/>
    <w:rsid w:val="19861968"/>
    <w:rsid w:val="201C284F"/>
    <w:rsid w:val="4281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5">
    <w:name w:val="line number"/>
    <w:basedOn w:val="4"/>
    <w:unhideWhenUsed/>
    <w:qFormat/>
    <w:uiPriority w:val="99"/>
  </w:style>
  <w:style w:type="character" w:customStyle="1" w:styleId="7">
    <w:name w:val="页眉 Char"/>
    <w:basedOn w:val="4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326</Words>
  <Characters>1860</Characters>
  <Lines>15</Lines>
  <Paragraphs>4</Paragraphs>
  <ScaleCrop>false</ScaleCrop>
  <LinksUpToDate>false</LinksUpToDate>
  <CharactersWithSpaces>2182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2017-10-08T06:28:25Z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