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6EB" w:rsidRDefault="00AB26EB" w:rsidP="00AB26EB">
      <w:pPr>
        <w:spacing w:line="480" w:lineRule="auto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High Dose </w:t>
      </w:r>
      <w:r w:rsidR="00B8645D">
        <w:rPr>
          <w:b/>
          <w:color w:val="000000" w:themeColor="text1"/>
          <w:sz w:val="32"/>
          <w:szCs w:val="32"/>
        </w:rPr>
        <w:t>Parenteral</w:t>
      </w:r>
      <w:r>
        <w:rPr>
          <w:b/>
          <w:color w:val="000000" w:themeColor="text1"/>
          <w:sz w:val="32"/>
          <w:szCs w:val="32"/>
        </w:rPr>
        <w:t xml:space="preserve"> Ascorbate Inhibited Pancreatic Cancer Growth and Metastasis: Mechanisms and a Phase I/IIa study</w:t>
      </w:r>
    </w:p>
    <w:p w:rsidR="00AB26EB" w:rsidRDefault="00AB26EB" w:rsidP="00AB26EB">
      <w:pPr>
        <w:spacing w:line="480" w:lineRule="auto"/>
        <w:rPr>
          <w:rFonts w:eastAsia="Times New Roman"/>
          <w:b/>
          <w:color w:val="000000" w:themeColor="text1"/>
          <w:sz w:val="24"/>
          <w:szCs w:val="24"/>
        </w:rPr>
      </w:pPr>
    </w:p>
    <w:p w:rsidR="00AB26EB" w:rsidRDefault="00AB26EB" w:rsidP="00AB26EB">
      <w:pPr>
        <w:spacing w:line="480" w:lineRule="auto"/>
        <w:rPr>
          <w:color w:val="000000" w:themeColor="text1"/>
          <w:sz w:val="24"/>
          <w:szCs w:val="24"/>
          <w:vertAlign w:val="superscript"/>
        </w:rPr>
      </w:pPr>
      <w:r>
        <w:rPr>
          <w:rFonts w:eastAsia="Times New Roman"/>
          <w:b/>
          <w:color w:val="000000" w:themeColor="text1"/>
          <w:sz w:val="24"/>
          <w:szCs w:val="24"/>
        </w:rPr>
        <w:t>Authors: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4"/>
          <w:szCs w:val="24"/>
        </w:rPr>
        <w:t>Kishore Polire</w:t>
      </w:r>
      <w:bookmarkStart w:id="0" w:name="_GoBack"/>
      <w:bookmarkEnd w:id="0"/>
      <w:r>
        <w:rPr>
          <w:color w:val="000000" w:themeColor="text1"/>
          <w:sz w:val="24"/>
          <w:szCs w:val="24"/>
        </w:rPr>
        <w:t>ddy</w:t>
      </w:r>
      <w:r>
        <w:rPr>
          <w:color w:val="000000" w:themeColor="text1"/>
          <w:sz w:val="24"/>
          <w:szCs w:val="24"/>
          <w:vertAlign w:val="superscript"/>
        </w:rPr>
        <w:t>1,2</w:t>
      </w:r>
      <w:r>
        <w:rPr>
          <w:color w:val="000000" w:themeColor="text1"/>
          <w:sz w:val="24"/>
          <w:szCs w:val="24"/>
        </w:rPr>
        <w:t>, Ruochen Dong</w:t>
      </w:r>
      <w:r>
        <w:rPr>
          <w:color w:val="000000" w:themeColor="text1"/>
          <w:sz w:val="24"/>
          <w:szCs w:val="24"/>
          <w:vertAlign w:val="superscript"/>
        </w:rPr>
        <w:t>1,2</w:t>
      </w:r>
      <w:r>
        <w:rPr>
          <w:color w:val="000000" w:themeColor="text1"/>
          <w:sz w:val="24"/>
          <w:szCs w:val="24"/>
        </w:rPr>
        <w:t>, Gregory Reed</w:t>
      </w:r>
      <w:r>
        <w:rPr>
          <w:color w:val="000000" w:themeColor="text1"/>
          <w:sz w:val="24"/>
          <w:szCs w:val="24"/>
          <w:vertAlign w:val="superscript"/>
        </w:rPr>
        <w:t>1</w:t>
      </w:r>
      <w:r>
        <w:rPr>
          <w:color w:val="000000" w:themeColor="text1"/>
          <w:sz w:val="24"/>
          <w:szCs w:val="24"/>
        </w:rPr>
        <w:t>, Jun Yu</w:t>
      </w:r>
      <w:r>
        <w:rPr>
          <w:color w:val="000000" w:themeColor="text1"/>
          <w:sz w:val="24"/>
          <w:szCs w:val="24"/>
          <w:vertAlign w:val="superscript"/>
        </w:rPr>
        <w:t>1,2</w:t>
      </w:r>
      <w:r>
        <w:rPr>
          <w:color w:val="000000" w:themeColor="text1"/>
          <w:sz w:val="24"/>
          <w:szCs w:val="24"/>
        </w:rPr>
        <w:t>, Ping Chen</w:t>
      </w:r>
      <w:r>
        <w:rPr>
          <w:color w:val="000000" w:themeColor="text1"/>
          <w:sz w:val="24"/>
          <w:szCs w:val="24"/>
          <w:vertAlign w:val="superscript"/>
        </w:rPr>
        <w:t>1</w:t>
      </w:r>
      <w:r w:rsidR="00F2513D">
        <w:rPr>
          <w:color w:val="000000" w:themeColor="text1"/>
          <w:sz w:val="24"/>
          <w:szCs w:val="24"/>
          <w:vertAlign w:val="superscript"/>
        </w:rPr>
        <w:t>,2</w:t>
      </w:r>
      <w:r>
        <w:rPr>
          <w:color w:val="000000" w:themeColor="text1"/>
          <w:sz w:val="24"/>
          <w:szCs w:val="24"/>
        </w:rPr>
        <w:t>, Stephen Williamson</w:t>
      </w:r>
      <w:r>
        <w:rPr>
          <w:color w:val="000000" w:themeColor="text1"/>
          <w:sz w:val="24"/>
          <w:szCs w:val="24"/>
          <w:vertAlign w:val="superscript"/>
        </w:rPr>
        <w:t>3</w:t>
      </w:r>
      <w:r>
        <w:rPr>
          <w:color w:val="000000" w:themeColor="text1"/>
          <w:sz w:val="24"/>
          <w:szCs w:val="24"/>
        </w:rPr>
        <w:t>, Pierre-Christian Violet</w:t>
      </w:r>
      <w:r>
        <w:rPr>
          <w:color w:val="000000" w:themeColor="text1"/>
          <w:sz w:val="24"/>
          <w:szCs w:val="24"/>
          <w:vertAlign w:val="superscript"/>
        </w:rPr>
        <w:t>5</w:t>
      </w:r>
      <w:r>
        <w:rPr>
          <w:color w:val="000000" w:themeColor="text1"/>
          <w:sz w:val="24"/>
          <w:szCs w:val="24"/>
        </w:rPr>
        <w:t>, Ziyan Pessetto</w:t>
      </w:r>
      <w:r>
        <w:rPr>
          <w:color w:val="000000" w:themeColor="text1"/>
          <w:sz w:val="24"/>
          <w:szCs w:val="24"/>
          <w:vertAlign w:val="superscript"/>
        </w:rPr>
        <w:t>4</w:t>
      </w:r>
      <w:r>
        <w:rPr>
          <w:color w:val="000000" w:themeColor="text1"/>
          <w:sz w:val="24"/>
          <w:szCs w:val="24"/>
        </w:rPr>
        <w:t>, Andrew K Godwin</w:t>
      </w:r>
      <w:r>
        <w:rPr>
          <w:color w:val="000000" w:themeColor="text1"/>
          <w:sz w:val="24"/>
          <w:szCs w:val="24"/>
          <w:vertAlign w:val="superscript"/>
        </w:rPr>
        <w:t>4</w:t>
      </w:r>
      <w:r>
        <w:rPr>
          <w:color w:val="000000" w:themeColor="text1"/>
          <w:sz w:val="24"/>
          <w:szCs w:val="24"/>
        </w:rPr>
        <w:t>, Fang Fan</w:t>
      </w:r>
      <w:r>
        <w:rPr>
          <w:color w:val="000000" w:themeColor="text1"/>
          <w:sz w:val="24"/>
          <w:szCs w:val="24"/>
          <w:vertAlign w:val="superscript"/>
        </w:rPr>
        <w:t>4</w:t>
      </w:r>
      <w:r>
        <w:rPr>
          <w:color w:val="000000" w:themeColor="text1"/>
          <w:sz w:val="24"/>
          <w:szCs w:val="24"/>
        </w:rPr>
        <w:t>, Mark Levine</w:t>
      </w:r>
      <w:r>
        <w:rPr>
          <w:color w:val="000000" w:themeColor="text1"/>
          <w:sz w:val="24"/>
          <w:szCs w:val="24"/>
          <w:vertAlign w:val="superscript"/>
        </w:rPr>
        <w:t>5</w:t>
      </w:r>
      <w:r>
        <w:rPr>
          <w:color w:val="000000" w:themeColor="text1"/>
          <w:sz w:val="24"/>
          <w:szCs w:val="24"/>
        </w:rPr>
        <w:t>, Jeanne A Drisko</w:t>
      </w:r>
      <w:r>
        <w:rPr>
          <w:color w:val="000000" w:themeColor="text1"/>
          <w:sz w:val="24"/>
          <w:szCs w:val="24"/>
          <w:vertAlign w:val="superscript"/>
        </w:rPr>
        <w:t>2,3, *</w:t>
      </w:r>
      <w:r>
        <w:rPr>
          <w:color w:val="000000" w:themeColor="text1"/>
          <w:sz w:val="24"/>
          <w:szCs w:val="24"/>
        </w:rPr>
        <w:t>, Qi Chen</w:t>
      </w:r>
      <w:r>
        <w:rPr>
          <w:color w:val="000000" w:themeColor="text1"/>
          <w:sz w:val="24"/>
          <w:szCs w:val="24"/>
          <w:vertAlign w:val="superscript"/>
        </w:rPr>
        <w:t>1,2,*</w:t>
      </w:r>
    </w:p>
    <w:p w:rsidR="00AB26EB" w:rsidRDefault="00AB26EB" w:rsidP="00AB26EB">
      <w:pPr>
        <w:pStyle w:val="Teaser"/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Affiliations:</w:t>
      </w:r>
    </w:p>
    <w:p w:rsidR="00AB26EB" w:rsidRDefault="00AB26EB" w:rsidP="00AB26EB">
      <w:pPr>
        <w:spacing w:line="48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 xml:space="preserve">1 </w:t>
      </w:r>
      <w:r>
        <w:rPr>
          <w:color w:val="000000" w:themeColor="text1"/>
          <w:sz w:val="24"/>
          <w:szCs w:val="24"/>
        </w:rPr>
        <w:t xml:space="preserve">Department of Pharmacology, Toxicology and Therapeutics; </w:t>
      </w:r>
      <w:r>
        <w:rPr>
          <w:color w:val="000000" w:themeColor="text1"/>
          <w:sz w:val="24"/>
          <w:szCs w:val="24"/>
          <w:vertAlign w:val="superscript"/>
        </w:rPr>
        <w:t xml:space="preserve">2 </w:t>
      </w:r>
      <w:r>
        <w:rPr>
          <w:color w:val="000000" w:themeColor="text1"/>
          <w:sz w:val="24"/>
          <w:szCs w:val="24"/>
        </w:rPr>
        <w:t xml:space="preserve">KU Integrative Medicine; </w:t>
      </w:r>
      <w:r>
        <w:rPr>
          <w:color w:val="000000" w:themeColor="text1"/>
          <w:sz w:val="24"/>
          <w:szCs w:val="24"/>
          <w:vertAlign w:val="superscript"/>
        </w:rPr>
        <w:t xml:space="preserve">3 </w:t>
      </w:r>
      <w:r>
        <w:rPr>
          <w:color w:val="000000" w:themeColor="text1"/>
          <w:sz w:val="24"/>
          <w:szCs w:val="24"/>
        </w:rPr>
        <w:t xml:space="preserve">Department of Internal Medicine, Hematology and Oncology Division; </w:t>
      </w:r>
      <w:r>
        <w:rPr>
          <w:color w:val="000000" w:themeColor="text1"/>
          <w:sz w:val="24"/>
          <w:szCs w:val="24"/>
          <w:vertAlign w:val="superscript"/>
        </w:rPr>
        <w:t xml:space="preserve">4 </w:t>
      </w:r>
      <w:r>
        <w:rPr>
          <w:color w:val="000000" w:themeColor="text1"/>
          <w:sz w:val="24"/>
          <w:szCs w:val="24"/>
        </w:rPr>
        <w:t xml:space="preserve">Department of Pathology and Laboratory Medicine, University of Kansas Medical Center, Kansas City, KS, 66160. </w:t>
      </w:r>
      <w:r>
        <w:rPr>
          <w:color w:val="000000" w:themeColor="text1"/>
          <w:sz w:val="24"/>
          <w:szCs w:val="24"/>
          <w:vertAlign w:val="superscript"/>
        </w:rPr>
        <w:t>5</w:t>
      </w:r>
      <w:r>
        <w:rPr>
          <w:color w:val="000000" w:themeColor="text1"/>
          <w:sz w:val="24"/>
          <w:szCs w:val="24"/>
        </w:rPr>
        <w:t xml:space="preserve">National Institute of Diabetes, Digestive and Kidney Diseases, the National Institutes of Health, Bethesda, MD 20892.   </w:t>
      </w:r>
    </w:p>
    <w:p w:rsidR="00AB26EB" w:rsidRDefault="00AB26EB">
      <w:pPr>
        <w:spacing w:after="160" w:line="259" w:lineRule="auto"/>
        <w:rPr>
          <w:rFonts w:eastAsia="Times New Roman"/>
          <w:b/>
          <w:color w:val="000000" w:themeColor="text1"/>
          <w:kern w:val="28"/>
          <w:sz w:val="24"/>
          <w:szCs w:val="24"/>
        </w:rPr>
      </w:pPr>
      <w:r>
        <w:rPr>
          <w:rFonts w:eastAsia="Times New Roman"/>
          <w:b/>
          <w:color w:val="000000" w:themeColor="text1"/>
          <w:kern w:val="28"/>
          <w:sz w:val="24"/>
          <w:szCs w:val="24"/>
        </w:rPr>
        <w:br w:type="page"/>
      </w:r>
    </w:p>
    <w:p w:rsidR="00AB26EB" w:rsidRDefault="00AB26EB" w:rsidP="00AB26EB">
      <w:pPr>
        <w:pStyle w:val="SOMHead"/>
        <w:spacing w:line="480" w:lineRule="auto"/>
        <w:rPr>
          <w:color w:val="000000" w:themeColor="text1"/>
        </w:rPr>
      </w:pPr>
      <w:r>
        <w:rPr>
          <w:color w:val="000000" w:themeColor="text1"/>
        </w:rPr>
        <w:lastRenderedPageBreak/>
        <w:t>Supplementary Data:</w:t>
      </w:r>
    </w:p>
    <w:p w:rsidR="0090179B" w:rsidRDefault="0090179B" w:rsidP="00AB26EB">
      <w:pPr>
        <w:pStyle w:val="SOMHead"/>
        <w:spacing w:line="480" w:lineRule="auto"/>
        <w:rPr>
          <w:color w:val="000000" w:themeColor="text1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Fig. S1</w:t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>
            <wp:extent cx="3352800" cy="2667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6EB" w:rsidRDefault="00AB26EB" w:rsidP="00AB26EB">
      <w:pPr>
        <w:spacing w:line="480" w:lineRule="auto"/>
        <w:rPr>
          <w:b/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 xml:space="preserve">Figure S1. </w:t>
      </w:r>
      <w:r>
        <w:rPr>
          <w:b/>
          <w:bCs/>
          <w:color w:val="000000" w:themeColor="text1"/>
          <w:sz w:val="24"/>
          <w:szCs w:val="24"/>
        </w:rPr>
        <w:t>Dose-response curve of ascorbate inhibiting PANC-1 cell viability</w:t>
      </w:r>
      <w:r>
        <w:rPr>
          <w:b/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PANC-1 cells in log-growth phase were incubated with indicated concentrations of ascorbate for 48 hrs. Cell viability was detected by MTT assay. Data represent average ± SD of 3 independent experiments each done in triplicates.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9D11E3" w:rsidRDefault="009D11E3">
      <w:pPr>
        <w:spacing w:after="160" w:line="259" w:lineRule="auto"/>
        <w:rPr>
          <w:rFonts w:eastAsia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</w:p>
    <w:p w:rsidR="009D11E3" w:rsidRDefault="009D11E3" w:rsidP="009D11E3">
      <w:pPr>
        <w:pStyle w:val="SOMHead"/>
        <w:spacing w:line="480" w:lineRule="auto"/>
        <w:rPr>
          <w:color w:val="000000" w:themeColor="text1"/>
        </w:rPr>
      </w:pPr>
      <w:r>
        <w:rPr>
          <w:color w:val="000000" w:themeColor="text1"/>
        </w:rPr>
        <w:lastRenderedPageBreak/>
        <w:t>Fig. S2</w:t>
      </w:r>
    </w:p>
    <w:p w:rsidR="009D11E3" w:rsidRDefault="009D11E3" w:rsidP="009D11E3">
      <w:pPr>
        <w:pStyle w:val="SOMHead"/>
        <w:spacing w:line="480" w:lineRule="auto"/>
        <w:rPr>
          <w:color w:val="000000" w:themeColor="text1"/>
        </w:rPr>
      </w:pPr>
      <w:r>
        <w:rPr>
          <w:noProof/>
          <w:color w:val="000000" w:themeColor="text1"/>
          <w:lang w:eastAsia="zh-CN"/>
        </w:rPr>
        <w:drawing>
          <wp:inline distT="0" distB="0" distL="0" distR="0" wp14:anchorId="66056F37" wp14:editId="798870D0">
            <wp:extent cx="3305175" cy="43016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 MIAPaCa EMT markers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970" cy="430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6EB" w:rsidRDefault="009D11E3" w:rsidP="001A5DB0">
      <w:pPr>
        <w:pStyle w:val="Paragraph"/>
        <w:spacing w:line="480" w:lineRule="auto"/>
        <w:ind w:firstLine="0"/>
        <w:rPr>
          <w:color w:val="000000" w:themeColor="text1"/>
        </w:rPr>
      </w:pPr>
      <w:r>
        <w:rPr>
          <w:b/>
          <w:color w:val="000000" w:themeColor="text1"/>
        </w:rPr>
        <w:t xml:space="preserve">Figure S2. </w:t>
      </w:r>
      <w:r w:rsidRPr="00DC161F">
        <w:rPr>
          <w:color w:val="000000" w:themeColor="text1"/>
        </w:rPr>
        <w:t>qRT-PCR for changes in EMT markers</w:t>
      </w:r>
      <w:r>
        <w:rPr>
          <w:color w:val="000000" w:themeColor="text1"/>
        </w:rPr>
        <w:t xml:space="preserve"> in MIA PaCa2</w:t>
      </w:r>
      <w:r w:rsidRPr="00DC161F">
        <w:rPr>
          <w:color w:val="000000" w:themeColor="text1"/>
        </w:rPr>
        <w:t xml:space="preserve"> cells</w:t>
      </w:r>
      <w:r>
        <w:rPr>
          <w:color w:val="000000" w:themeColor="text1"/>
        </w:rPr>
        <w:t>. Cells</w:t>
      </w:r>
      <w:r w:rsidRPr="00DC161F">
        <w:rPr>
          <w:color w:val="000000" w:themeColor="text1"/>
        </w:rPr>
        <w:t xml:space="preserve"> were treated with 1.</w:t>
      </w:r>
      <w:r>
        <w:rPr>
          <w:color w:val="000000" w:themeColor="text1"/>
        </w:rPr>
        <w:t>2</w:t>
      </w:r>
      <w:r w:rsidRPr="00DC161F">
        <w:rPr>
          <w:color w:val="000000" w:themeColor="text1"/>
        </w:rPr>
        <w:t xml:space="preserve">5 mM Asc for </w:t>
      </w:r>
      <w:r>
        <w:rPr>
          <w:color w:val="000000" w:themeColor="text1"/>
        </w:rPr>
        <w:t>6</w:t>
      </w:r>
      <w:r w:rsidRPr="00DC161F">
        <w:rPr>
          <w:color w:val="000000" w:themeColor="text1"/>
        </w:rPr>
        <w:t xml:space="preserve"> h. Data was normalized to 18s rR</w:t>
      </w:r>
      <w:r>
        <w:rPr>
          <w:color w:val="000000" w:themeColor="text1"/>
        </w:rPr>
        <w:t xml:space="preserve">NA, and then compared to untreated MIA PaCa2 </w:t>
      </w:r>
      <w:r w:rsidRPr="00DC161F">
        <w:rPr>
          <w:color w:val="000000" w:themeColor="text1"/>
        </w:rPr>
        <w:t>cells for fold change.</w:t>
      </w:r>
      <w:r>
        <w:rPr>
          <w:color w:val="000000" w:themeColor="text1"/>
        </w:rPr>
        <w:t xml:space="preserve"> Data represent Mean ± SD of 2-3</w:t>
      </w:r>
      <w:r w:rsidRPr="00DC161F">
        <w:rPr>
          <w:color w:val="000000" w:themeColor="text1"/>
        </w:rPr>
        <w:t xml:space="preserve"> independent experiments.</w:t>
      </w:r>
      <w:r w:rsidR="00AB26EB">
        <w:rPr>
          <w:color w:val="000000" w:themeColor="text1"/>
        </w:rPr>
        <w:br w:type="page"/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218440</wp:posOffset>
                </wp:positionV>
                <wp:extent cx="333375" cy="333375"/>
                <wp:effectExtent l="0" t="0" r="9525" b="9525"/>
                <wp:wrapNone/>
                <wp:docPr id="505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6EB" w:rsidRDefault="00AB26EB" w:rsidP="00AB26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5" o:spid="_x0000_s1026" type="#_x0000_t202" style="position:absolute;margin-left:-17.25pt;margin-top:17.2pt;width:26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" fillcolor="window" stroked="f" strokeweight=".5pt">
                <v:path arrowok="t"/>
                <v:textbox>
                  <w:txbxContent>
                    <w:p w:rsidR="00AB26EB" w:rsidRDefault="00AB26EB" w:rsidP="00AB26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199390</wp:posOffset>
                </wp:positionV>
                <wp:extent cx="333375" cy="333375"/>
                <wp:effectExtent l="0" t="0" r="9525" b="9525"/>
                <wp:wrapNone/>
                <wp:docPr id="506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6EB" w:rsidRDefault="00AB26EB" w:rsidP="00AB26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6" o:spid="_x0000_s1027" type="#_x0000_t202" style="position:absolute;margin-left:230.25pt;margin-top:15.7pt;width:26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" fillcolor="window" stroked="f" strokeweight=".5pt">
                <v:path arrowok="t"/>
                <v:textbox>
                  <w:txbxContent>
                    <w:p w:rsidR="00AB26EB" w:rsidRDefault="00AB26EB" w:rsidP="00AB26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>Fig. S2</w:t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noProof/>
          <w:color w:val="000000" w:themeColor="text1"/>
          <w:sz w:val="24"/>
          <w:szCs w:val="24"/>
          <w:lang w:eastAsia="zh-CN"/>
        </w:rPr>
      </w:pPr>
      <w:r>
        <w:rPr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>
            <wp:extent cx="2647950" cy="2181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>
            <wp:extent cx="3038475" cy="2066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6EB" w:rsidRDefault="00AB26EB" w:rsidP="00AB26EB">
      <w:pPr>
        <w:rPr>
          <w:b/>
          <w:noProof/>
          <w:color w:val="000000" w:themeColor="text1"/>
          <w:sz w:val="24"/>
          <w:szCs w:val="24"/>
          <w:lang w:eastAsia="zh-CN"/>
        </w:rPr>
      </w:pPr>
    </w:p>
    <w:p w:rsidR="00AB26EB" w:rsidRDefault="003F60D1" w:rsidP="00AB26EB">
      <w:pPr>
        <w:rPr>
          <w:b/>
          <w:noProof/>
          <w:color w:val="000000" w:themeColor="text1"/>
          <w:sz w:val="24"/>
          <w:szCs w:val="24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F5BA8" wp14:editId="343C1426">
                <wp:simplePos x="0" y="0"/>
                <wp:positionH relativeFrom="column">
                  <wp:posOffset>-238125</wp:posOffset>
                </wp:positionH>
                <wp:positionV relativeFrom="paragraph">
                  <wp:posOffset>136525</wp:posOffset>
                </wp:positionV>
                <wp:extent cx="333375" cy="33337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60D1" w:rsidRDefault="003F60D1" w:rsidP="003F60D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F5BA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18.75pt;margin-top:10.75pt;width:26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" fillcolor="window" stroked="f" strokeweight=".5pt">
                <v:path arrowok="t"/>
                <v:textbox>
                  <w:txbxContent>
                    <w:p w:rsidR="003F60D1" w:rsidRDefault="003F60D1" w:rsidP="003F60D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3F60D1" w:rsidRDefault="003F60D1" w:rsidP="00AB26EB">
      <w:pPr>
        <w:spacing w:line="480" w:lineRule="auto"/>
        <w:rPr>
          <w:b/>
          <w:color w:val="000000" w:themeColor="text1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 wp14:anchorId="190534DD" wp14:editId="2DFC6D52">
            <wp:extent cx="3257550" cy="24765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60D1" w:rsidRDefault="003F60D1" w:rsidP="00AB26EB">
      <w:pPr>
        <w:spacing w:line="480" w:lineRule="auto"/>
        <w:rPr>
          <w:b/>
          <w:color w:val="000000" w:themeColor="text1"/>
          <w:sz w:val="24"/>
          <w:szCs w:val="24"/>
        </w:rPr>
      </w:pPr>
    </w:p>
    <w:p w:rsidR="00AB26EB" w:rsidRPr="003F60D1" w:rsidRDefault="00AB26EB" w:rsidP="00AB26EB">
      <w:pPr>
        <w:spacing w:line="48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Figure S2. Western blots of Sirt-2, HDAC6 and </w:t>
      </w:r>
      <w:r>
        <w:rPr>
          <w:b/>
          <w:color w:val="000000" w:themeColor="text1"/>
          <w:sz w:val="24"/>
          <w:szCs w:val="24"/>
          <w:lang w:val="el-GR"/>
        </w:rPr>
        <w:t>α</w:t>
      </w:r>
      <w:r>
        <w:rPr>
          <w:b/>
          <w:color w:val="000000" w:themeColor="text1"/>
          <w:sz w:val="24"/>
          <w:szCs w:val="24"/>
        </w:rPr>
        <w:t xml:space="preserve">-TAT after ascorbate treatment. </w:t>
      </w:r>
      <w:r>
        <w:rPr>
          <w:bCs/>
          <w:iCs/>
          <w:color w:val="000000" w:themeColor="text1"/>
          <w:sz w:val="24"/>
          <w:szCs w:val="24"/>
        </w:rPr>
        <w:t>(</w:t>
      </w:r>
      <w:r>
        <w:rPr>
          <w:b/>
          <w:bCs/>
          <w:iCs/>
          <w:color w:val="000000" w:themeColor="text1"/>
          <w:sz w:val="24"/>
          <w:szCs w:val="24"/>
        </w:rPr>
        <w:t>A</w:t>
      </w:r>
      <w:r>
        <w:rPr>
          <w:bCs/>
          <w:iCs/>
          <w:color w:val="000000" w:themeColor="text1"/>
          <w:sz w:val="24"/>
          <w:szCs w:val="24"/>
        </w:rPr>
        <w:t>)</w:t>
      </w:r>
      <w:r>
        <w:rPr>
          <w:i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Western blot analysis for Sirt-2, HDAC6 and </w:t>
      </w:r>
      <w:r>
        <w:rPr>
          <w:color w:val="000000" w:themeColor="text1"/>
          <w:sz w:val="24"/>
          <w:szCs w:val="24"/>
          <w:lang w:val="el-GR"/>
        </w:rPr>
        <w:t>α</w:t>
      </w:r>
      <w:r>
        <w:rPr>
          <w:color w:val="000000" w:themeColor="text1"/>
          <w:sz w:val="24"/>
          <w:szCs w:val="24"/>
        </w:rPr>
        <w:t>-TAT. PANC-1 and BxPC-3</w:t>
      </w:r>
      <w:r>
        <w:rPr>
          <w:i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cells were treated with ascorbate for 4 h. (</w:t>
      </w:r>
      <w:r>
        <w:rPr>
          <w:b/>
          <w:bCs/>
          <w:iCs/>
          <w:color w:val="000000" w:themeColor="text1"/>
          <w:sz w:val="24"/>
          <w:szCs w:val="24"/>
        </w:rPr>
        <w:t>B</w:t>
      </w:r>
      <w:r>
        <w:rPr>
          <w:bCs/>
          <w:iCs/>
          <w:color w:val="000000" w:themeColor="text1"/>
          <w:sz w:val="24"/>
          <w:szCs w:val="24"/>
        </w:rPr>
        <w:t xml:space="preserve">) </w:t>
      </w:r>
      <w:r>
        <w:rPr>
          <w:color w:val="000000" w:themeColor="text1"/>
          <w:sz w:val="24"/>
          <w:szCs w:val="24"/>
        </w:rPr>
        <w:t xml:space="preserve">Overexpression of Flag tagged HDAC6 in PANC-1 cells and </w:t>
      </w:r>
      <w:r>
        <w:rPr>
          <w:color w:val="000000" w:themeColor="text1"/>
          <w:sz w:val="24"/>
          <w:szCs w:val="24"/>
          <w:lang w:val="el-GR"/>
        </w:rPr>
        <w:t>α-</w:t>
      </w:r>
      <w:r>
        <w:rPr>
          <w:color w:val="000000" w:themeColor="text1"/>
          <w:sz w:val="24"/>
          <w:szCs w:val="24"/>
        </w:rPr>
        <w:t>tubulin acetylation induced by ascorbate (4 h). Vinculin was a loading control.</w:t>
      </w:r>
      <w:r w:rsidR="003F60D1">
        <w:rPr>
          <w:color w:val="000000" w:themeColor="text1"/>
          <w:sz w:val="24"/>
          <w:szCs w:val="24"/>
        </w:rPr>
        <w:t xml:space="preserve"> (C) Sensitivity of PANC-1 cells </w:t>
      </w:r>
      <w:r w:rsidR="00DA7293">
        <w:rPr>
          <w:color w:val="000000" w:themeColor="text1"/>
          <w:sz w:val="24"/>
          <w:szCs w:val="24"/>
        </w:rPr>
        <w:t xml:space="preserve">and PANC-1 cells </w:t>
      </w:r>
      <w:r w:rsidR="003F60D1">
        <w:rPr>
          <w:color w:val="000000" w:themeColor="text1"/>
          <w:sz w:val="24"/>
          <w:szCs w:val="24"/>
        </w:rPr>
        <w:t>overexpressing HDAC6</w:t>
      </w:r>
      <w:r w:rsidR="00E70E39">
        <w:rPr>
          <w:color w:val="000000" w:themeColor="text1"/>
          <w:sz w:val="24"/>
          <w:szCs w:val="24"/>
        </w:rPr>
        <w:t xml:space="preserve"> to ascorbate treatment</w:t>
      </w:r>
      <w:r w:rsidR="003F60D1">
        <w:rPr>
          <w:color w:val="000000" w:themeColor="text1"/>
          <w:sz w:val="24"/>
          <w:szCs w:val="24"/>
        </w:rPr>
        <w:t xml:space="preserve">. Stable overexpression clone (#6) was selected using G418 after transfection with pDDNA3.1-HDAC6. </w:t>
      </w:r>
      <w:r w:rsidR="00E70E39">
        <w:rPr>
          <w:color w:val="000000" w:themeColor="text1"/>
          <w:sz w:val="24"/>
          <w:szCs w:val="24"/>
        </w:rPr>
        <w:lastRenderedPageBreak/>
        <w:t xml:space="preserve">Cells were treated for 48 h and viability was detected by MTT assay. </w:t>
      </w:r>
      <w:r w:rsidR="003F60D1" w:rsidRPr="003F60D1">
        <w:rPr>
          <w:color w:val="000000" w:themeColor="text1"/>
          <w:sz w:val="24"/>
          <w:szCs w:val="24"/>
        </w:rPr>
        <w:t>Data represent Mean ± SD of 2 independent experiments</w:t>
      </w:r>
      <w:r w:rsidR="003F60D1">
        <w:rPr>
          <w:color w:val="000000" w:themeColor="text1"/>
          <w:sz w:val="24"/>
          <w:szCs w:val="24"/>
        </w:rPr>
        <w:t xml:space="preserve"> each done in triplicates</w:t>
      </w:r>
      <w:r w:rsidR="003F60D1" w:rsidRPr="003F60D1">
        <w:rPr>
          <w:color w:val="000000" w:themeColor="text1"/>
          <w:sz w:val="24"/>
          <w:szCs w:val="24"/>
        </w:rPr>
        <w:t>.</w:t>
      </w:r>
    </w:p>
    <w:p w:rsidR="00AB26EB" w:rsidRDefault="00AB26EB" w:rsidP="00AB26EB">
      <w:pPr>
        <w:rPr>
          <w:b/>
          <w:noProof/>
          <w:color w:val="000000" w:themeColor="text1"/>
          <w:sz w:val="24"/>
          <w:szCs w:val="24"/>
          <w:lang w:eastAsia="zh-CN"/>
        </w:rPr>
      </w:pPr>
    </w:p>
    <w:p w:rsidR="00D8425E" w:rsidRDefault="00D8425E">
      <w:pPr>
        <w:spacing w:after="160" w:line="259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  <w:r w:rsidRPr="00DC161F">
        <w:rPr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6E3FD" wp14:editId="09651FEE">
                <wp:simplePos x="0" y="0"/>
                <wp:positionH relativeFrom="leftMargin">
                  <wp:align>right</wp:align>
                </wp:positionH>
                <wp:positionV relativeFrom="paragraph">
                  <wp:posOffset>197485</wp:posOffset>
                </wp:positionV>
                <wp:extent cx="333375" cy="333375"/>
                <wp:effectExtent l="0" t="0" r="9525" b="9525"/>
                <wp:wrapNone/>
                <wp:docPr id="51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425E" w:rsidRPr="00B64D67" w:rsidRDefault="00D8425E" w:rsidP="00D8425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6E3FD" id="Text Box 512" o:spid="_x0000_s1029" type="#_x0000_t202" style="position:absolute;margin-left:-24.95pt;margin-top:15.55pt;width:26.25pt;height:26.25pt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" fillcolor="window" stroked="f" strokeweight=".5pt">
                <v:path arrowok="t"/>
                <v:textbox>
                  <w:txbxContent>
                    <w:p w:rsidR="00D8425E" w:rsidRPr="00B64D67" w:rsidRDefault="00D8425E" w:rsidP="00D8425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>Fig. S3</w:t>
      </w: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  <w:r w:rsidRPr="00DC161F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36CB0" wp14:editId="5B1D5B8D">
                <wp:simplePos x="0" y="0"/>
                <wp:positionH relativeFrom="leftMargin">
                  <wp:align>right</wp:align>
                </wp:positionH>
                <wp:positionV relativeFrom="paragraph">
                  <wp:posOffset>1247775</wp:posOffset>
                </wp:positionV>
                <wp:extent cx="333375" cy="333375"/>
                <wp:effectExtent l="0" t="0" r="9525" b="9525"/>
                <wp:wrapNone/>
                <wp:docPr id="510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425E" w:rsidRPr="00B64D67" w:rsidRDefault="00D8425E" w:rsidP="00D8425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6CB0" id="Text Box 510" o:spid="_x0000_s1030" type="#_x0000_t202" style="position:absolute;margin-left:-24.95pt;margin-top:98.25pt;width:26.25pt;height:26.2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" fillcolor="window" stroked="f" strokeweight=".5pt">
                <v:path arrowok="t"/>
                <v:textbox>
                  <w:txbxContent>
                    <w:p w:rsidR="00D8425E" w:rsidRPr="00B64D67" w:rsidRDefault="00D8425E" w:rsidP="00D8425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161F">
        <w:rPr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26282C5E" wp14:editId="6E3AD3C8">
            <wp:extent cx="5943600" cy="1353230"/>
            <wp:effectExtent l="0" t="0" r="0" b="0"/>
            <wp:docPr id="28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  <w:r w:rsidRPr="00DC161F">
        <w:rPr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39F22DEB" wp14:editId="1AD870F5">
            <wp:extent cx="4722021" cy="3238499"/>
            <wp:effectExtent l="0" t="0" r="2540" b="635"/>
            <wp:docPr id="29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21" cy="32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</w:p>
    <w:p w:rsidR="00D8425E" w:rsidRPr="00DC161F" w:rsidRDefault="00D8425E" w:rsidP="00D8425E">
      <w:pPr>
        <w:spacing w:line="480" w:lineRule="auto"/>
        <w:rPr>
          <w:color w:val="000000" w:themeColor="text1"/>
          <w:sz w:val="24"/>
          <w:szCs w:val="24"/>
        </w:rPr>
      </w:pPr>
      <w:r>
        <w:rPr>
          <w:b/>
          <w:bCs/>
          <w:iCs/>
          <w:color w:val="000000" w:themeColor="text1"/>
          <w:sz w:val="24"/>
          <w:szCs w:val="24"/>
        </w:rPr>
        <w:t>Figure S3.  Tumor Response of subject #8 to the combination treatment of IVC and gemcitabine. A</w:t>
      </w:r>
      <w:r w:rsidRPr="00DC161F">
        <w:rPr>
          <w:bCs/>
          <w:iCs/>
          <w:color w:val="000000" w:themeColor="text1"/>
          <w:sz w:val="24"/>
          <w:szCs w:val="24"/>
        </w:rPr>
        <w:t>. PET-CT images</w:t>
      </w:r>
      <w:r>
        <w:rPr>
          <w:bCs/>
          <w:iCs/>
          <w:color w:val="000000" w:themeColor="text1"/>
          <w:sz w:val="24"/>
          <w:szCs w:val="24"/>
        </w:rPr>
        <w:t>. S</w:t>
      </w:r>
      <w:r w:rsidRPr="00DC161F">
        <w:rPr>
          <w:bCs/>
          <w:iCs/>
          <w:color w:val="000000" w:themeColor="text1"/>
          <w:sz w:val="24"/>
          <w:szCs w:val="24"/>
        </w:rPr>
        <w:t xml:space="preserve">ubject </w:t>
      </w:r>
      <w:r>
        <w:rPr>
          <w:bCs/>
          <w:iCs/>
          <w:color w:val="000000" w:themeColor="text1"/>
          <w:sz w:val="24"/>
          <w:szCs w:val="24"/>
        </w:rPr>
        <w:t xml:space="preserve">#8 </w:t>
      </w:r>
      <w:r w:rsidRPr="00DC161F">
        <w:rPr>
          <w:bCs/>
          <w:iCs/>
          <w:color w:val="000000" w:themeColor="text1"/>
          <w:sz w:val="24"/>
          <w:szCs w:val="24"/>
        </w:rPr>
        <w:t>was diagnosed in 10/2013 with Stage III pancreatic ductal carcinoma not eligible for surgical resection. Initially the subject was treated with FOLFIRINOX for 6 months and disease progressed. At enrollment (5/13/2014), imaging showed infiltrating pancreatic mass of 3.5 cm × 3.3 cm. The second image on 7/18/2014 was taken when the subject had 22 doses of IVC at 100 g/infusion and 3 cycles of gemcitabine at the dose of 1,000 gm/m</w:t>
      </w:r>
      <w:r w:rsidRPr="00DC161F">
        <w:rPr>
          <w:bCs/>
          <w:iCs/>
          <w:color w:val="000000" w:themeColor="text1"/>
          <w:sz w:val="24"/>
          <w:szCs w:val="24"/>
          <w:vertAlign w:val="superscript"/>
        </w:rPr>
        <w:t>2</w:t>
      </w:r>
      <w:r w:rsidRPr="00DC161F">
        <w:rPr>
          <w:bCs/>
          <w:iCs/>
          <w:color w:val="000000" w:themeColor="text1"/>
          <w:sz w:val="24"/>
          <w:szCs w:val="24"/>
        </w:rPr>
        <w:t xml:space="preserve">. There was interval improvement in appearance of mass margins, which are less indiscreet. The third image was on 10/28/2014 when patient received 59 doses of IVC and 8 </w:t>
      </w:r>
      <w:r w:rsidRPr="00DC161F">
        <w:rPr>
          <w:bCs/>
          <w:iCs/>
          <w:color w:val="000000" w:themeColor="text1"/>
          <w:sz w:val="24"/>
          <w:szCs w:val="24"/>
        </w:rPr>
        <w:lastRenderedPageBreak/>
        <w:t xml:space="preserve">cycles of gemcitabine. The last image was on 1/21/2015 after patient had 70 doses of IVC and 9 cycles of gemcitabine. Patient was considered eligible for surgery removal of the tumor at this point.  </w:t>
      </w:r>
      <w:r>
        <w:rPr>
          <w:b/>
          <w:bCs/>
          <w:iCs/>
          <w:color w:val="000000" w:themeColor="text1"/>
          <w:sz w:val="24"/>
          <w:szCs w:val="24"/>
        </w:rPr>
        <w:t>B</w:t>
      </w:r>
      <w:r w:rsidRPr="00DC161F">
        <w:rPr>
          <w:bCs/>
          <w:iCs/>
          <w:color w:val="000000" w:themeColor="text1"/>
          <w:sz w:val="24"/>
          <w:szCs w:val="24"/>
        </w:rPr>
        <w:t xml:space="preserve">. H&amp;E staining of the resected tumor, in comparison to an untreated pancreatic cancer, a FOLFIRINOX treated pancreatic cancer, and a gemcitabine treated pancreatic cancer all from archived pathological slides. Collagen was stained pink/red. </w:t>
      </w:r>
      <w:r w:rsidRPr="00DC161F">
        <w:rPr>
          <w:color w:val="000000" w:themeColor="text1"/>
          <w:sz w:val="24"/>
          <w:szCs w:val="24"/>
        </w:rPr>
        <w:t>Bar graph represents Mean ± SD of % area collagen/cross section, 24 fields from 6 different slices were analyzed for subject #8</w:t>
      </w:r>
      <w:r>
        <w:rPr>
          <w:color w:val="000000" w:themeColor="text1"/>
          <w:sz w:val="24"/>
          <w:szCs w:val="24"/>
        </w:rPr>
        <w:t>, and 5 different fields were analyzed for each of the other samples</w:t>
      </w:r>
      <w:r w:rsidRPr="00DC161F">
        <w:rPr>
          <w:color w:val="000000" w:themeColor="text1"/>
          <w:sz w:val="24"/>
          <w:szCs w:val="24"/>
        </w:rPr>
        <w:t>.</w:t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D8425E" w:rsidRDefault="00D8425E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Table S1</w:t>
      </w:r>
    </w:p>
    <w:tbl>
      <w:tblPr>
        <w:tblpPr w:leftFromText="180" w:rightFromText="180" w:vertAnchor="text" w:horzAnchor="margin" w:tblpXSpec="center" w:tblpY="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2155"/>
        <w:gridCol w:w="1617"/>
        <w:gridCol w:w="1698"/>
      </w:tblGrid>
      <w:tr w:rsidR="00AB26EB" w:rsidTr="00AB26EB">
        <w:trPr>
          <w:trHeight w:val="42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b/>
                <w:color w:val="000000" w:themeColor="text1"/>
                <w:sz w:val="24"/>
                <w:szCs w:val="22"/>
              </w:rPr>
            </w:pPr>
            <w:r>
              <w:rPr>
                <w:b/>
                <w:color w:val="000000" w:themeColor="text1"/>
                <w:sz w:val="24"/>
                <w:szCs w:val="22"/>
              </w:rPr>
              <w:t>Cell line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b/>
                <w:i/>
                <w:color w:val="000000" w:themeColor="text1"/>
                <w:sz w:val="24"/>
                <w:szCs w:val="22"/>
              </w:rPr>
            </w:pPr>
            <w:r>
              <w:rPr>
                <w:b/>
                <w:i/>
                <w:color w:val="000000" w:themeColor="text1"/>
                <w:sz w:val="24"/>
                <w:szCs w:val="22"/>
              </w:rPr>
              <w:t>K-Ras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b/>
                <w:i/>
                <w:color w:val="000000" w:themeColor="text1"/>
                <w:sz w:val="24"/>
                <w:szCs w:val="22"/>
              </w:rPr>
            </w:pPr>
            <w:r>
              <w:rPr>
                <w:b/>
                <w:i/>
                <w:color w:val="000000" w:themeColor="text1"/>
                <w:sz w:val="24"/>
                <w:szCs w:val="22"/>
              </w:rPr>
              <w:t>P53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b/>
                <w:i/>
                <w:color w:val="000000" w:themeColor="text1"/>
                <w:sz w:val="24"/>
                <w:szCs w:val="22"/>
              </w:rPr>
            </w:pPr>
            <w:r>
              <w:rPr>
                <w:b/>
                <w:i/>
                <w:color w:val="000000" w:themeColor="text1"/>
                <w:sz w:val="24"/>
                <w:szCs w:val="22"/>
              </w:rPr>
              <w:t>CDKN2A/p16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b/>
                <w:i/>
                <w:color w:val="000000" w:themeColor="text1"/>
                <w:sz w:val="24"/>
                <w:szCs w:val="22"/>
              </w:rPr>
            </w:pPr>
            <w:r>
              <w:rPr>
                <w:b/>
                <w:i/>
                <w:color w:val="000000" w:themeColor="text1"/>
                <w:sz w:val="24"/>
                <w:szCs w:val="22"/>
              </w:rPr>
              <w:t>SMAD4/DPC4</w:t>
            </w:r>
          </w:p>
        </w:tc>
      </w:tr>
      <w:tr w:rsidR="00AB26EB" w:rsidTr="00AB26EB">
        <w:trPr>
          <w:trHeight w:val="45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BxPC-3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220 Cys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HD</w:t>
            </w:r>
          </w:p>
        </w:tc>
      </w:tr>
      <w:tr w:rsidR="00AB26EB" w:rsidTr="00AB26EB">
        <w:trPr>
          <w:trHeight w:val="45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AsPC-1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12 Asp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135 Δ1 bp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</w:tr>
      <w:tr w:rsidR="00AB26EB" w:rsidTr="00AB26EB">
        <w:trPr>
          <w:trHeight w:val="42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MIA PaCa2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12 Cys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248 Trp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HD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</w:tr>
      <w:tr w:rsidR="00AB26EB" w:rsidTr="00AB26EB">
        <w:trPr>
          <w:trHeight w:val="45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Su86.86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12 Asp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245 Ser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HD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</w:tr>
      <w:tr w:rsidR="00AB26EB" w:rsidTr="00AB26EB">
        <w:trPr>
          <w:trHeight w:val="1329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HPAFII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12 Asp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151 Ser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Δ20–25</w:t>
            </w:r>
            <w:r>
              <w:rPr>
                <w:color w:val="000000" w:themeColor="text1"/>
                <w:sz w:val="24"/>
                <w:szCs w:val="22"/>
              </w:rPr>
              <w:br/>
              <w:t>Δ26–27</w:t>
            </w:r>
            <w:r>
              <w:rPr>
                <w:color w:val="000000" w:themeColor="text1"/>
                <w:sz w:val="24"/>
                <w:szCs w:val="22"/>
              </w:rPr>
              <w:br/>
              <w:t>Δ29–34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</w:tr>
      <w:tr w:rsidR="00AB26EB" w:rsidTr="00AB26EB">
        <w:trPr>
          <w:trHeight w:val="901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HS 766T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br/>
            </w:r>
            <w:r>
              <w:rPr>
                <w:color w:val="000000" w:themeColor="text1"/>
                <w:sz w:val="24"/>
                <w:szCs w:val="22"/>
              </w:rPr>
              <w:t>61 His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Mut 225–282</w:t>
            </w:r>
          </w:p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Δexons 2–4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Intron 2 splice site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HD</w:t>
            </w:r>
          </w:p>
        </w:tc>
      </w:tr>
      <w:tr w:rsidR="00AB26EB" w:rsidTr="00AB26EB">
        <w:trPr>
          <w:trHeight w:val="42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PANC-1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12 Asp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273 His, 273 Cys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HD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WT</w:t>
            </w:r>
          </w:p>
        </w:tc>
      </w:tr>
      <w:tr w:rsidR="00AB26EB" w:rsidTr="00AB26EB">
        <w:trPr>
          <w:trHeight w:val="42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L3.6pl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12 Asp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Default="00AB26EB">
            <w:pPr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Δ</w:t>
            </w:r>
          </w:p>
        </w:tc>
      </w:tr>
    </w:tbl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</w:rPr>
      </w:pPr>
    </w:p>
    <w:p w:rsidR="00AB26EB" w:rsidRDefault="00AB26EB" w:rsidP="00AB26EB">
      <w:pPr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Table S1 Genotype of the human pancreatic cancer cell lines used, showing the most common genetic alternations in pancreatic cancer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fldChar w:fldCharType="begin">
          <w:fldData xml:space="preserve">PEVuZE5vdGU+PENpdGU+PEF1dGhvcj5EZWVyPC9BdXRob3I+PFllYXI+MjAxMDwvWWVhcj48UmVj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</w:fldData>
        </w:fldChar>
      </w:r>
      <w:r>
        <w:rPr>
          <w:color w:val="000000" w:themeColor="text1"/>
          <w:sz w:val="24"/>
        </w:rPr>
        <w:instrText xml:space="preserve"> ADDIN EN.CITE </w:instrText>
      </w:r>
      <w:r>
        <w:rPr>
          <w:color w:val="000000" w:themeColor="text1"/>
          <w:sz w:val="24"/>
        </w:rPr>
        <w:fldChar w:fldCharType="begin">
          <w:fldData xml:space="preserve">PEVuZE5vdGU+PENpdGU+PEF1dGhvcj5EZWVyPC9BdXRob3I+PFllYXI+MjAxMDwvWWVhcj48UmVj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</w:fldData>
        </w:fldChar>
      </w:r>
      <w:r>
        <w:rPr>
          <w:color w:val="000000" w:themeColor="text1"/>
          <w:sz w:val="24"/>
        </w:rPr>
        <w:instrText xml:space="preserve"> ADDIN EN.CITE.DATA </w:instrTex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  <w:fldChar w:fldCharType="end"/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  <w:fldChar w:fldCharType="separate"/>
      </w:r>
      <w:r>
        <w:rPr>
          <w:noProof/>
          <w:color w:val="000000" w:themeColor="text1"/>
          <w:sz w:val="24"/>
        </w:rPr>
        <w:t>(63, 64)</w:t>
      </w:r>
      <w:r>
        <w:rPr>
          <w:color w:val="000000" w:themeColor="text1"/>
          <w:sz w:val="24"/>
        </w:rPr>
        <w:fldChar w:fldCharType="end"/>
      </w:r>
      <w:r>
        <w:rPr>
          <w:color w:val="000000" w:themeColor="text1"/>
          <w:sz w:val="24"/>
        </w:rPr>
        <w:t>.  WT—wild type, Δ—deletion, bp—base pair, HD—homozygous deletion, Mut225-282— mutations found between codons 225-282</w:t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  <w:r>
        <w:rPr>
          <w:b/>
          <w:color w:val="000000" w:themeColor="text1"/>
          <w:sz w:val="24"/>
          <w:szCs w:val="24"/>
        </w:rPr>
        <w:lastRenderedPageBreak/>
        <w:t xml:space="preserve">Table S2a Demographics of Study Population </w:t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tbl>
      <w:tblPr>
        <w:tblStyle w:val="GridTable41"/>
        <w:tblW w:w="4500" w:type="pct"/>
        <w:tblInd w:w="0" w:type="dxa"/>
        <w:tblLook w:val="04A0" w:firstRow="1" w:lastRow="0" w:firstColumn="1" w:lastColumn="0" w:noHBand="0" w:noVBand="1"/>
      </w:tblPr>
      <w:tblGrid>
        <w:gridCol w:w="451"/>
        <w:gridCol w:w="626"/>
        <w:gridCol w:w="966"/>
        <w:gridCol w:w="1730"/>
        <w:gridCol w:w="76"/>
        <w:gridCol w:w="1523"/>
        <w:gridCol w:w="1702"/>
        <w:gridCol w:w="1341"/>
      </w:tblGrid>
      <w:tr w:rsidR="00AB26EB" w:rsidTr="00AB2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ID</w:t>
            </w:r>
          </w:p>
        </w:tc>
        <w:tc>
          <w:tcPr>
            <w:tcW w:w="372" w:type="pct"/>
            <w:hideMark/>
          </w:tcPr>
          <w:p w:rsidR="00AB26EB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Age</w:t>
            </w:r>
          </w:p>
        </w:tc>
        <w:tc>
          <w:tcPr>
            <w:tcW w:w="574" w:type="pct"/>
            <w:hideMark/>
          </w:tcPr>
          <w:p w:rsidR="00AB26EB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Gender</w:t>
            </w:r>
          </w:p>
        </w:tc>
        <w:tc>
          <w:tcPr>
            <w:tcW w:w="1073" w:type="pct"/>
            <w:gridSpan w:val="2"/>
            <w:hideMark/>
          </w:tcPr>
          <w:p w:rsidR="00AB26EB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Prior Therapy before Enrollment</w:t>
            </w:r>
          </w:p>
        </w:tc>
        <w:tc>
          <w:tcPr>
            <w:tcW w:w="904" w:type="pct"/>
            <w:hideMark/>
          </w:tcPr>
          <w:p w:rsidR="00AB26EB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Stage Initial Diagnosis</w:t>
            </w:r>
          </w:p>
        </w:tc>
        <w:tc>
          <w:tcPr>
            <w:tcW w:w="1011" w:type="pct"/>
            <w:hideMark/>
          </w:tcPr>
          <w:p w:rsidR="00AB26EB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Stage Enrollment</w:t>
            </w:r>
          </w:p>
        </w:tc>
        <w:tc>
          <w:tcPr>
            <w:tcW w:w="797" w:type="pct"/>
            <w:hideMark/>
          </w:tcPr>
          <w:p w:rsidR="00AB26EB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ECOG at Enrollment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N1, M1)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Gemcitabine and Kanglaite X 2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(T3, N1, M1)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(T3,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FOLFIRINOX X 3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(T3, N1, M1)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(T3,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Gemcitabine X 1 month until enrollment in IV C trial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 (T2, N1,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Capecitabine and Radiation X 5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IIA (T3, N0,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 (T4, N0, M0)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 (T2, N0, M1)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N0,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IIA (T3, N0,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IIA (T3, N0, M0)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FOLFIRINOX X 6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 (T2, N2,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 (T2, N2, M0)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Gemcitabine X 4 months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N1, M1)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 (T2, N1,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III (T2, N1, M0)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Capecitabin &amp; radiation followed by surgery; FOLFIRINOX, gemcitabine X 19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IIA (T3, N0,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(T2,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Gemcitabine and FOLFIRINOX X 18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(T3, N1, M1)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 (T3, N1, M1)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FOLFIRINOX, FOLFIRI, surgical resection X 20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(T2, N0, M0)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AB26EB" w:rsidTr="00AB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Default="00AB26E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3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57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102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FOLFIRINOX, FOLFIRI X 9 months until progression</w:t>
            </w:r>
          </w:p>
        </w:tc>
        <w:tc>
          <w:tcPr>
            <w:tcW w:w="950" w:type="pct"/>
            <w:gridSpan w:val="2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</w:t>
            </w:r>
          </w:p>
        </w:tc>
        <w:tc>
          <w:tcPr>
            <w:tcW w:w="101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IV</w:t>
            </w:r>
          </w:p>
        </w:tc>
        <w:tc>
          <w:tcPr>
            <w:tcW w:w="79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Table S2b Study Population Treatment Related Information</w:t>
      </w: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tbl>
      <w:tblPr>
        <w:tblStyle w:val="GridTable41"/>
        <w:tblW w:w="5000" w:type="pct"/>
        <w:tblInd w:w="0" w:type="dxa"/>
        <w:tblLook w:val="04A0" w:firstRow="1" w:lastRow="0" w:firstColumn="1" w:lastColumn="0" w:noHBand="0" w:noVBand="1"/>
      </w:tblPr>
      <w:tblGrid>
        <w:gridCol w:w="483"/>
        <w:gridCol w:w="876"/>
        <w:gridCol w:w="1309"/>
        <w:gridCol w:w="1164"/>
        <w:gridCol w:w="1523"/>
        <w:gridCol w:w="3995"/>
      </w:tblGrid>
      <w:tr w:rsidR="00AB26EB" w:rsidRPr="00B50397" w:rsidTr="00B50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ID</w:t>
            </w:r>
          </w:p>
        </w:tc>
        <w:tc>
          <w:tcPr>
            <w:tcW w:w="469" w:type="pct"/>
            <w:hideMark/>
          </w:tcPr>
          <w:p w:rsidR="00AB26EB" w:rsidRPr="00B50397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IVC Dose (g)</w:t>
            </w:r>
          </w:p>
        </w:tc>
        <w:tc>
          <w:tcPr>
            <w:tcW w:w="700" w:type="pct"/>
            <w:hideMark/>
          </w:tcPr>
          <w:p w:rsidR="00AB26EB" w:rsidRPr="00B50397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Treatment Duration</w:t>
            </w:r>
          </w:p>
        </w:tc>
        <w:tc>
          <w:tcPr>
            <w:tcW w:w="622" w:type="pct"/>
            <w:hideMark/>
          </w:tcPr>
          <w:p w:rsidR="00AB26EB" w:rsidRPr="00B50397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Phase II # of IVC Infusions</w:t>
            </w:r>
          </w:p>
        </w:tc>
        <w:tc>
          <w:tcPr>
            <w:tcW w:w="814" w:type="pct"/>
            <w:hideMark/>
          </w:tcPr>
          <w:p w:rsidR="00AB26EB" w:rsidRPr="00B50397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Phase II Gemcitabine Treatment</w:t>
            </w:r>
          </w:p>
        </w:tc>
        <w:tc>
          <w:tcPr>
            <w:tcW w:w="2137" w:type="pct"/>
            <w:hideMark/>
          </w:tcPr>
          <w:p w:rsidR="00AB26EB" w:rsidRPr="00B50397" w:rsidRDefault="00AB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Endpoint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4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Disease progression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17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6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Disease progression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7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3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Disease progression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6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3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Disease progression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32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9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Disease progression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18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6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Disease progression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44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13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 xml:space="preserve">Withdrew 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25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9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Withdrew after imaging revealed response – tumor shrinkage and became eligible for surgical resection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8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2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Withdrew secondary to hip fracture and inability to continue with protocol requirements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4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 cycle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Death unrelated to study drugs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3 weeks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 cycle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Death from opioid overdoses at home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 week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0 cycles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Withdrawal for personal reasons</w:t>
            </w:r>
          </w:p>
        </w:tc>
      </w:tr>
      <w:tr w:rsidR="00AB26EB" w:rsidRPr="00B50397" w:rsidTr="00B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 xml:space="preserve">Withdrew because of cerebrovascular accident </w:t>
            </w:r>
          </w:p>
        </w:tc>
      </w:tr>
      <w:tr w:rsidR="00AB26EB" w:rsidRPr="00B50397" w:rsidTr="00B50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:rsidR="00AB26EB" w:rsidRPr="00B50397" w:rsidRDefault="00AB26E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9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50397">
              <w:rPr>
                <w:rFonts w:eastAsiaTheme="minor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37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AB26EB" w:rsidRPr="00B50397" w:rsidRDefault="00AB2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Withdrew for personal reasons</w:t>
            </w:r>
          </w:p>
        </w:tc>
      </w:tr>
    </w:tbl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</w:p>
    <w:p w:rsidR="00AB26EB" w:rsidRDefault="00AB26EB" w:rsidP="00AB26EB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Table S3 Time schedule of Phase I pharmacokinetic study</w:t>
      </w:r>
    </w:p>
    <w:tbl>
      <w:tblPr>
        <w:tblW w:w="9720" w:type="dxa"/>
        <w:tblInd w:w="-5" w:type="dxa"/>
        <w:tblLook w:val="04A0" w:firstRow="1" w:lastRow="0" w:firstColumn="1" w:lastColumn="0" w:noHBand="0" w:noVBand="1"/>
      </w:tblPr>
      <w:tblGrid>
        <w:gridCol w:w="960"/>
        <w:gridCol w:w="1860"/>
        <w:gridCol w:w="1950"/>
        <w:gridCol w:w="1810"/>
        <w:gridCol w:w="1440"/>
        <w:gridCol w:w="1700"/>
      </w:tblGrid>
      <w:tr w:rsidR="00AB26EB" w:rsidRPr="00B50397" w:rsidTr="00AB26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Week 1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Week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Week 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Week 4</w:t>
            </w:r>
          </w:p>
        </w:tc>
      </w:tr>
      <w:tr w:rsidR="00AB26EB" w:rsidRPr="00B50397" w:rsidTr="00AB26E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Gem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None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PK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PK for Gem+IVC</w:t>
            </w:r>
          </w:p>
        </w:tc>
      </w:tr>
      <w:tr w:rsidR="00AB26EB" w:rsidRPr="00B50397" w:rsidTr="00AB26E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IVC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Dose escalation: 25g, 50g and 75g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Dose escalation: 100 g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PK on final dose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26EB" w:rsidRPr="00B50397" w:rsidRDefault="00AB26EB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B50397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None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6EB" w:rsidRPr="00B50397" w:rsidRDefault="00AB26EB">
            <w:pP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1A5DB0" w:rsidP="00AB26E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Gem, gemcitabine; </w:t>
      </w:r>
      <w:r w:rsidR="00AB26EB">
        <w:rPr>
          <w:color w:val="000000" w:themeColor="text1"/>
          <w:sz w:val="24"/>
          <w:szCs w:val="24"/>
        </w:rPr>
        <w:t>IVC, intravenous ascorbate; PK, pha</w:t>
      </w:r>
      <w:r>
        <w:rPr>
          <w:color w:val="000000" w:themeColor="text1"/>
          <w:sz w:val="24"/>
          <w:szCs w:val="24"/>
        </w:rPr>
        <w:t>r</w:t>
      </w:r>
      <w:r w:rsidR="00AB26EB">
        <w:rPr>
          <w:color w:val="000000" w:themeColor="text1"/>
          <w:sz w:val="24"/>
          <w:szCs w:val="24"/>
        </w:rPr>
        <w:t>macokinetics</w:t>
      </w: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Default="00AB26EB" w:rsidP="00AB26EB">
      <w:pPr>
        <w:rPr>
          <w:color w:val="000000" w:themeColor="text1"/>
          <w:sz w:val="24"/>
          <w:szCs w:val="24"/>
        </w:rPr>
      </w:pPr>
    </w:p>
    <w:p w:rsidR="00AB26EB" w:rsidRPr="00B50397" w:rsidRDefault="00AB26EB" w:rsidP="00AB26EB">
      <w:pPr>
        <w:rPr>
          <w:b/>
          <w:color w:val="000000" w:themeColor="text1"/>
          <w:sz w:val="24"/>
          <w:szCs w:val="24"/>
        </w:rPr>
      </w:pPr>
      <w:r w:rsidRPr="00B50397">
        <w:rPr>
          <w:b/>
          <w:color w:val="000000" w:themeColor="text1"/>
          <w:sz w:val="24"/>
          <w:szCs w:val="24"/>
        </w:rPr>
        <w:t>Table S4 Individual patient dosing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850"/>
        <w:gridCol w:w="1850"/>
        <w:gridCol w:w="1819"/>
        <w:gridCol w:w="2048"/>
      </w:tblGrid>
      <w:tr w:rsidR="00AB26EB" w:rsidRPr="00B50397" w:rsidTr="00AB26EB">
        <w:trPr>
          <w:trHeight w:val="80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B26EB" w:rsidRPr="00B50397" w:rsidRDefault="00AB26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0397">
              <w:rPr>
                <w:b/>
                <w:color w:val="000000" w:themeColor="text1"/>
                <w:sz w:val="24"/>
                <w:szCs w:val="24"/>
              </w:rPr>
              <w:t>Patient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0397">
              <w:rPr>
                <w:b/>
                <w:color w:val="000000" w:themeColor="text1"/>
                <w:sz w:val="24"/>
                <w:szCs w:val="24"/>
              </w:rPr>
              <w:t>Gemcitabine dose as single drug (mg/m2)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0397">
              <w:rPr>
                <w:b/>
                <w:color w:val="000000" w:themeColor="text1"/>
                <w:sz w:val="24"/>
                <w:szCs w:val="24"/>
              </w:rPr>
              <w:t>Gemcitabine in combination (mg/m2)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0397">
              <w:rPr>
                <w:b/>
                <w:color w:val="000000" w:themeColor="text1"/>
                <w:sz w:val="24"/>
                <w:szCs w:val="24"/>
              </w:rPr>
              <w:t xml:space="preserve">Ascorbate dose as single drug (g)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0397">
              <w:rPr>
                <w:b/>
                <w:color w:val="000000" w:themeColor="text1"/>
                <w:sz w:val="24"/>
                <w:szCs w:val="24"/>
              </w:rPr>
              <w:t xml:space="preserve">Ascorbate dose in combination (g) 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B26EB" w:rsidRPr="00B50397" w:rsidTr="00AB26EB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397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AB26EB" w:rsidRPr="00B50397" w:rsidRDefault="00AB26EB" w:rsidP="00AB26EB">
      <w:pPr>
        <w:rPr>
          <w:color w:val="000000" w:themeColor="text1"/>
          <w:sz w:val="24"/>
          <w:szCs w:val="24"/>
        </w:rPr>
      </w:pPr>
    </w:p>
    <w:p w:rsidR="00AB26EB" w:rsidRPr="00B50397" w:rsidRDefault="00AB26EB" w:rsidP="00AB26EB">
      <w:pPr>
        <w:rPr>
          <w:color w:val="000000" w:themeColor="text1"/>
          <w:sz w:val="24"/>
          <w:szCs w:val="24"/>
        </w:rPr>
      </w:pPr>
    </w:p>
    <w:p w:rsidR="00AB26EB" w:rsidRPr="00B50397" w:rsidRDefault="00AB26EB" w:rsidP="00AB26EB">
      <w:pPr>
        <w:rPr>
          <w:b/>
          <w:color w:val="000000" w:themeColor="text1"/>
          <w:sz w:val="24"/>
          <w:szCs w:val="24"/>
        </w:rPr>
      </w:pPr>
      <w:r w:rsidRPr="00B50397">
        <w:rPr>
          <w:b/>
          <w:color w:val="000000" w:themeColor="text1"/>
          <w:sz w:val="24"/>
          <w:szCs w:val="24"/>
        </w:rPr>
        <w:t>Table S5  Gemcitabine and dFdU pharmacokinetic parameters when gemcitabine was administered as single drug or in combination with IVC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350"/>
        <w:gridCol w:w="1440"/>
        <w:gridCol w:w="1440"/>
        <w:gridCol w:w="1620"/>
        <w:gridCol w:w="1440"/>
        <w:gridCol w:w="1620"/>
      </w:tblGrid>
      <w:tr w:rsidR="00AB26EB" w:rsidRPr="00B50397" w:rsidTr="00AB26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T ½,</w:t>
            </w:r>
          </w:p>
          <w:p w:rsidR="00AB26EB" w:rsidRPr="00B50397" w:rsidRDefault="00AB26EB" w:rsidP="001A5DB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Cmax,</w:t>
            </w:r>
          </w:p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µg/mL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Cmax/D’</w:t>
            </w:r>
          </w:p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(µg/mL)/gm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AUC,</w:t>
            </w:r>
          </w:p>
          <w:p w:rsidR="00AB26EB" w:rsidRPr="00B50397" w:rsidRDefault="00AB26EB" w:rsidP="001A5DB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h* µg/mL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 xml:space="preserve">AUC/D, </w:t>
            </w:r>
          </w:p>
          <w:p w:rsidR="00AB26EB" w:rsidRPr="00B50397" w:rsidRDefault="00AB26EB" w:rsidP="001A5DB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0397">
              <w:rPr>
                <w:b/>
                <w:color w:val="000000" w:themeColor="text1"/>
                <w:sz w:val="22"/>
                <w:szCs w:val="22"/>
              </w:rPr>
              <w:t>(h* µg/mL)/gm</w:t>
            </w:r>
          </w:p>
        </w:tc>
      </w:tr>
      <w:tr w:rsidR="00AB26EB" w:rsidRPr="00B50397" w:rsidTr="00AB26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Gem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Single-drug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0.28 ± 0.04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(0.21 – 0.34)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16.9 ± 5.6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(8.9 – 24.5)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0.017 ± 0.005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(0.009 – 0.024)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10.4 ± 3.3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(6.0 – 16.3)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0.011 ± 0.003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(0.006 – 0.016)</w:t>
            </w:r>
          </w:p>
        </w:tc>
      </w:tr>
      <w:tr w:rsidR="00AB26EB" w:rsidRPr="00B50397" w:rsidTr="00AB26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combination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0.25 ± 0.03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(0.20 – 0.30)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14.2 ± 4.0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(7.1 – 21.0)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0.016 ± 0.004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(0.009 – 0.023)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9.2 ± 2.6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(4.5 – 13.1)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0.010 ± 0.003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(0.006 – 0.018)</w:t>
            </w:r>
          </w:p>
        </w:tc>
      </w:tr>
      <w:tr w:rsidR="00AB26EB" w:rsidRPr="00B50397" w:rsidTr="00AB26EB">
        <w:trPr>
          <w:trHeight w:val="3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=0.003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0.187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0.215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0.327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0.449</w:t>
            </w:r>
          </w:p>
        </w:tc>
      </w:tr>
      <w:tr w:rsidR="00AB26EB" w:rsidRPr="00B50397" w:rsidTr="00AB26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dFdU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Single-drug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12.2 ± 2.6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(8.1 – 16.7)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32.9 ± 5.7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(23.9 – 42.0)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0.033 ± 0.005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(0.026 – 0.042)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258. ± 73.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(162. – 425.)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0.262 ± 0.069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(0.174 – 0.425)</w:t>
            </w:r>
          </w:p>
        </w:tc>
      </w:tr>
      <w:tr w:rsidR="00AB26EB" w:rsidRPr="00B50397" w:rsidTr="00AB26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combination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12.1 ± 2.2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(7.9 – 15.4)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31.0 ± 4.8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(21.7 – 38.5)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0.034 ± 0.003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(0.028 – 0.039)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240. ± 60.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(155. – 377.)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0.262 ± 0.056</w:t>
            </w:r>
          </w:p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(0.190 – 0.377)</w:t>
            </w:r>
          </w:p>
        </w:tc>
      </w:tr>
      <w:tr w:rsidR="00AB26EB" w:rsidRPr="00B50397" w:rsidTr="00AB26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B" w:rsidRPr="00B50397" w:rsidRDefault="00AB26E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0.785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0.779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0.506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EB" w:rsidRPr="00B50397" w:rsidRDefault="00AB26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50397">
              <w:rPr>
                <w:color w:val="000000" w:themeColor="text1"/>
                <w:sz w:val="22"/>
                <w:szCs w:val="22"/>
              </w:rPr>
              <w:t>P = 0.997</w:t>
            </w:r>
          </w:p>
        </w:tc>
      </w:tr>
    </w:tbl>
    <w:p w:rsidR="00AB26EB" w:rsidRPr="00B50397" w:rsidRDefault="00AB26EB" w:rsidP="00AB26EB">
      <w:pPr>
        <w:rPr>
          <w:color w:val="000000" w:themeColor="text1"/>
          <w:sz w:val="24"/>
          <w:szCs w:val="24"/>
        </w:rPr>
      </w:pPr>
    </w:p>
    <w:p w:rsidR="00AB26EB" w:rsidRPr="00B50397" w:rsidRDefault="00AB26EB" w:rsidP="00AB26EB">
      <w:pPr>
        <w:spacing w:line="480" w:lineRule="auto"/>
        <w:rPr>
          <w:color w:val="000000" w:themeColor="text1"/>
          <w:sz w:val="24"/>
          <w:szCs w:val="24"/>
        </w:rPr>
      </w:pPr>
    </w:p>
    <w:p w:rsidR="004E3157" w:rsidRPr="00B50397" w:rsidRDefault="00B8645D">
      <w:pPr>
        <w:rPr>
          <w:sz w:val="24"/>
          <w:szCs w:val="24"/>
        </w:rPr>
      </w:pPr>
    </w:p>
    <w:sectPr w:rsidR="004E3157" w:rsidRPr="00B50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EB"/>
    <w:rsid w:val="001136D5"/>
    <w:rsid w:val="001A5DB0"/>
    <w:rsid w:val="003F60D1"/>
    <w:rsid w:val="006E75BC"/>
    <w:rsid w:val="007E274D"/>
    <w:rsid w:val="0090179B"/>
    <w:rsid w:val="009D11E3"/>
    <w:rsid w:val="009E633E"/>
    <w:rsid w:val="00AB26EB"/>
    <w:rsid w:val="00B436E3"/>
    <w:rsid w:val="00B50397"/>
    <w:rsid w:val="00B8645D"/>
    <w:rsid w:val="00B97CE3"/>
    <w:rsid w:val="00BE7635"/>
    <w:rsid w:val="00D556EC"/>
    <w:rsid w:val="00D8425E"/>
    <w:rsid w:val="00DA7293"/>
    <w:rsid w:val="00E70E39"/>
    <w:rsid w:val="00ED6F8D"/>
    <w:rsid w:val="00EF0AD8"/>
    <w:rsid w:val="00F2513D"/>
    <w:rsid w:val="00F6775E"/>
    <w:rsid w:val="00FA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6F9184-90EA-4EA2-B08A-B5A4C32B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6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B26EB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"/>
    <w:rsid w:val="00AB26EB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table" w:customStyle="1" w:styleId="GridTable41">
    <w:name w:val="Grid Table 41"/>
    <w:basedOn w:val="TableNormal"/>
    <w:uiPriority w:val="49"/>
    <w:rsid w:val="00AB26E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aser">
    <w:name w:val="Teaser"/>
    <w:basedOn w:val="Normal"/>
    <w:rsid w:val="00AB26EB"/>
    <w:pPr>
      <w:spacing w:before="120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1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6.tif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Qi\Kishore%20Polireddy\PANC-1%20AA%20MTT%2048%20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16984240606287"/>
          <c:y val="5.4189997083697872E-2"/>
          <c:w val="0.77200758996034591"/>
          <c:h val="0.76004624823826283"/>
        </c:manualLayout>
      </c:layout>
      <c:scatterChart>
        <c:scatterStyle val="lineMarker"/>
        <c:varyColors val="0"/>
        <c:ser>
          <c:idx val="0"/>
          <c:order val="0"/>
          <c:tx>
            <c:strRef>
              <c:f>HDAC6!$D$7</c:f>
              <c:strCache>
                <c:ptCount val="1"/>
                <c:pt idx="0">
                  <c:v>Vetor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HDAC6!$H$9:$H$15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2.5476653449776312</c:v>
                  </c:pt>
                  <c:pt idx="2">
                    <c:v>4.1758101421560507</c:v>
                  </c:pt>
                  <c:pt idx="3">
                    <c:v>6.5348964559509257</c:v>
                  </c:pt>
                  <c:pt idx="4">
                    <c:v>10.727087212441795</c:v>
                  </c:pt>
                  <c:pt idx="5">
                    <c:v>6.8322034959447739</c:v>
                  </c:pt>
                  <c:pt idx="6">
                    <c:v>4.1207880415441576</c:v>
                  </c:pt>
                </c:numCache>
              </c:numRef>
            </c:plus>
            <c:minus>
              <c:numRef>
                <c:f>HDAC6!$H$9:$H$15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2.5476653449776312</c:v>
                  </c:pt>
                  <c:pt idx="2">
                    <c:v>4.1758101421560507</c:v>
                  </c:pt>
                  <c:pt idx="3">
                    <c:v>6.5348964559509257</c:v>
                  </c:pt>
                  <c:pt idx="4">
                    <c:v>10.727087212441795</c:v>
                  </c:pt>
                  <c:pt idx="5">
                    <c:v>6.8322034959447739</c:v>
                  </c:pt>
                  <c:pt idx="6">
                    <c:v>4.1207880415441576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HDAC6!$C$9:$C$15</c:f>
              <c:numCache>
                <c:formatCode>General</c:formatCode>
                <c:ptCount val="7"/>
                <c:pt idx="0">
                  <c:v>0</c:v>
                </c:pt>
                <c:pt idx="1">
                  <c:v>0.625</c:v>
                </c:pt>
                <c:pt idx="2">
                  <c:v>1</c:v>
                </c:pt>
                <c:pt idx="3">
                  <c:v>1.25</c:v>
                </c:pt>
                <c:pt idx="4">
                  <c:v>2</c:v>
                </c:pt>
                <c:pt idx="5">
                  <c:v>2.5</c:v>
                </c:pt>
                <c:pt idx="6">
                  <c:v>5</c:v>
                </c:pt>
              </c:numCache>
            </c:numRef>
          </c:xVal>
          <c:yVal>
            <c:numRef>
              <c:f>HDAC6!$G$9:$G$15</c:f>
              <c:numCache>
                <c:formatCode>General</c:formatCode>
                <c:ptCount val="7"/>
                <c:pt idx="0">
                  <c:v>100</c:v>
                </c:pt>
                <c:pt idx="1">
                  <c:v>100.5163</c:v>
                </c:pt>
                <c:pt idx="2">
                  <c:v>91.917366666666666</c:v>
                </c:pt>
                <c:pt idx="3">
                  <c:v>83.187999999999988</c:v>
                </c:pt>
                <c:pt idx="4">
                  <c:v>61.912633333333339</c:v>
                </c:pt>
                <c:pt idx="5">
                  <c:v>16.267700000000001</c:v>
                </c:pt>
                <c:pt idx="6">
                  <c:v>5.9286333333333339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HDAC6!$J$7</c:f>
              <c:strCache>
                <c:ptCount val="1"/>
                <c:pt idx="0">
                  <c:v>HDAC6</c:v>
                </c:pt>
              </c:strCache>
            </c:strRef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triangle"/>
            <c:size val="7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HDAC6!$O$9:$O$15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5.0575120830305496</c:v>
                  </c:pt>
                  <c:pt idx="2">
                    <c:v>1.6204669892760299</c:v>
                  </c:pt>
                  <c:pt idx="3">
                    <c:v>4.8869696186218885</c:v>
                  </c:pt>
                  <c:pt idx="4">
                    <c:v>13.492441851273629</c:v>
                  </c:pt>
                  <c:pt idx="5">
                    <c:v>11.087657358221957</c:v>
                  </c:pt>
                  <c:pt idx="6">
                    <c:v>4.1874106346683186</c:v>
                  </c:pt>
                </c:numCache>
              </c:numRef>
            </c:plus>
            <c:minus>
              <c:numRef>
                <c:f>HDAC6!$O$9:$O$15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5.0575120830305496</c:v>
                  </c:pt>
                  <c:pt idx="2">
                    <c:v>1.6204669892760299</c:v>
                  </c:pt>
                  <c:pt idx="3">
                    <c:v>4.8869696186218885</c:v>
                  </c:pt>
                  <c:pt idx="4">
                    <c:v>13.492441851273629</c:v>
                  </c:pt>
                  <c:pt idx="5">
                    <c:v>11.087657358221957</c:v>
                  </c:pt>
                  <c:pt idx="6">
                    <c:v>4.1874106346683186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HDAC6!$J$9:$J$15</c:f>
              <c:numCache>
                <c:formatCode>General</c:formatCode>
                <c:ptCount val="7"/>
                <c:pt idx="0">
                  <c:v>0</c:v>
                </c:pt>
                <c:pt idx="1">
                  <c:v>0.625</c:v>
                </c:pt>
                <c:pt idx="2">
                  <c:v>1</c:v>
                </c:pt>
                <c:pt idx="3">
                  <c:v>1.25</c:v>
                </c:pt>
                <c:pt idx="4">
                  <c:v>2</c:v>
                </c:pt>
                <c:pt idx="5">
                  <c:v>2.5</c:v>
                </c:pt>
                <c:pt idx="6">
                  <c:v>5</c:v>
                </c:pt>
              </c:numCache>
            </c:numRef>
          </c:xVal>
          <c:yVal>
            <c:numRef>
              <c:f>HDAC6!$N$9:$N$15</c:f>
              <c:numCache>
                <c:formatCode>General</c:formatCode>
                <c:ptCount val="7"/>
                <c:pt idx="0">
                  <c:v>100</c:v>
                </c:pt>
                <c:pt idx="1">
                  <c:v>99.49860000000001</c:v>
                </c:pt>
                <c:pt idx="2">
                  <c:v>96.943533333333335</c:v>
                </c:pt>
                <c:pt idx="3">
                  <c:v>86.524333333333331</c:v>
                </c:pt>
                <c:pt idx="4">
                  <c:v>70.073899999999995</c:v>
                </c:pt>
                <c:pt idx="5">
                  <c:v>17.888633333333335</c:v>
                </c:pt>
                <c:pt idx="6">
                  <c:v>5.5603333333333333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2044096"/>
        <c:axId val="206565328"/>
      </c:scatterChart>
      <c:valAx>
        <c:axId val="212044096"/>
        <c:scaling>
          <c:orientation val="minMax"/>
          <c:max val="5.0999999999999996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Asc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6565328"/>
        <c:crosses val="autoZero"/>
        <c:crossBetween val="midCat"/>
      </c:valAx>
      <c:valAx>
        <c:axId val="206565328"/>
        <c:scaling>
          <c:orientation val="minMax"/>
          <c:max val="1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% Cell Survival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120440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9211854768153982"/>
          <c:y val="4.9648585593467492E-2"/>
          <c:w val="0.39399256342957129"/>
          <c:h val="0.163314377369495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Kansas Medical Center</Company>
  <LinksUpToDate>false</LinksUpToDate>
  <CharactersWithSpaces>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Chen</dc:creator>
  <cp:keywords/>
  <dc:description/>
  <cp:lastModifiedBy>Qi Chen</cp:lastModifiedBy>
  <cp:revision>4</cp:revision>
  <dcterms:created xsi:type="dcterms:W3CDTF">2017-10-25T16:02:00Z</dcterms:created>
  <dcterms:modified xsi:type="dcterms:W3CDTF">2017-11-02T18:12:00Z</dcterms:modified>
</cp:coreProperties>
</file>