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EB928" w14:textId="28E397D3" w:rsidR="005B06BA" w:rsidRPr="00FE1A26" w:rsidRDefault="005B06BA" w:rsidP="005B06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FE1A26">
        <w:rPr>
          <w:rFonts w:ascii="Arial" w:hAnsi="Arial" w:cs="Arial"/>
          <w:b/>
          <w:sz w:val="24"/>
          <w:szCs w:val="24"/>
        </w:rPr>
        <w:t xml:space="preserve">Fluorine-19 nuclear magnetic resonance cytometry to quantify chimeric antigen </w:t>
      </w:r>
      <w:bookmarkEnd w:id="0"/>
      <w:r w:rsidRPr="00FE1A26">
        <w:rPr>
          <w:rFonts w:ascii="Arial" w:hAnsi="Arial" w:cs="Arial"/>
          <w:b/>
          <w:sz w:val="24"/>
          <w:szCs w:val="24"/>
        </w:rPr>
        <w:t>receptor T cell biodistribution in murine cancer model</w:t>
      </w:r>
    </w:p>
    <w:p w14:paraId="3832257F" w14:textId="77777777" w:rsidR="005B06BA" w:rsidRPr="00FE1A26" w:rsidRDefault="005B06BA" w:rsidP="005B06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D55D8A" w14:textId="77777777" w:rsidR="005B06BA" w:rsidRPr="00FE1A26" w:rsidRDefault="005B06BA" w:rsidP="005B06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726041" w14:textId="5C615B5C" w:rsidR="005B06BA" w:rsidRPr="00FE1A26" w:rsidRDefault="005B06BA" w:rsidP="005B06BA">
      <w:pPr>
        <w:spacing w:after="0" w:line="24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FE1A26">
        <w:rPr>
          <w:rFonts w:ascii="Arial" w:hAnsi="Arial" w:cs="Arial"/>
          <w:sz w:val="24"/>
          <w:szCs w:val="24"/>
        </w:rPr>
        <w:t xml:space="preserve">Fanny Chapelin, Shang Gao, Hideho Okada, Thomas </w:t>
      </w:r>
      <w:r>
        <w:rPr>
          <w:rFonts w:ascii="Arial" w:hAnsi="Arial" w:cs="Arial"/>
          <w:sz w:val="24"/>
          <w:szCs w:val="24"/>
        </w:rPr>
        <w:t>G.</w:t>
      </w:r>
      <w:r w:rsidRPr="00FE1A26">
        <w:rPr>
          <w:rFonts w:ascii="Arial" w:hAnsi="Arial" w:cs="Arial"/>
          <w:sz w:val="24"/>
          <w:szCs w:val="24"/>
        </w:rPr>
        <w:t xml:space="preserve"> Weber,</w:t>
      </w:r>
      <w:r>
        <w:rPr>
          <w:rFonts w:ascii="Arial" w:hAnsi="Arial" w:cs="Arial"/>
          <w:sz w:val="24"/>
          <w:szCs w:val="24"/>
        </w:rPr>
        <w:t xml:space="preserve"> Karen Messer</w:t>
      </w:r>
      <w:r w:rsidRPr="000A6DB6">
        <w:rPr>
          <w:rFonts w:ascii="Arial" w:hAnsi="Arial" w:cs="Arial"/>
          <w:sz w:val="24"/>
          <w:szCs w:val="24"/>
        </w:rPr>
        <w:t>,</w:t>
      </w:r>
      <w:r w:rsidRPr="00FE1A26">
        <w:rPr>
          <w:rFonts w:ascii="Arial" w:hAnsi="Arial" w:cs="Arial"/>
          <w:sz w:val="24"/>
          <w:szCs w:val="24"/>
        </w:rPr>
        <w:t xml:space="preserve"> Eric T. Ahrens</w:t>
      </w:r>
    </w:p>
    <w:p w14:paraId="472FE356" w14:textId="77777777" w:rsidR="005B06BA" w:rsidRDefault="005B06BA" w:rsidP="00881F3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4D5AE92" w14:textId="18228541" w:rsidR="00881F34" w:rsidRPr="00AF2C7A" w:rsidRDefault="00AF2C7A" w:rsidP="00881F34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INFORMATION</w:t>
      </w:r>
    </w:p>
    <w:p w14:paraId="6496D9A6" w14:textId="26CAF71C" w:rsidR="00881F34" w:rsidRPr="00FD1322" w:rsidRDefault="007119F2" w:rsidP="00881F3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figure S1</w:t>
      </w:r>
      <w:r w:rsidR="003F0104">
        <w:rPr>
          <w:rFonts w:ascii="Arial" w:hAnsi="Arial" w:cs="Arial"/>
          <w:sz w:val="24"/>
          <w:szCs w:val="24"/>
        </w:rPr>
        <w:t>:</w:t>
      </w:r>
    </w:p>
    <w:p w14:paraId="36A7B6DB" w14:textId="1DFACE70" w:rsidR="00C52C7F" w:rsidRPr="005B06BA" w:rsidRDefault="00881F34" w:rsidP="005B06BA">
      <w:r>
        <w:rPr>
          <w:noProof/>
        </w:rPr>
        <w:drawing>
          <wp:inline distT="0" distB="0" distL="0" distR="0" wp14:anchorId="53C8906D" wp14:editId="50599923">
            <wp:extent cx="5943600" cy="24790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 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BAE4" w14:textId="07E479FC" w:rsidR="00AF2C7A" w:rsidRDefault="00AF2C7A" w:rsidP="005B06B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E1A26">
        <w:rPr>
          <w:rFonts w:ascii="Arial" w:hAnsi="Arial" w:cs="Arial"/>
          <w:b/>
          <w:sz w:val="24"/>
          <w:szCs w:val="24"/>
        </w:rPr>
        <w:t>Figure S1</w:t>
      </w:r>
      <w:r>
        <w:rPr>
          <w:rFonts w:ascii="Arial" w:hAnsi="Arial" w:cs="Arial"/>
          <w:b/>
          <w:sz w:val="24"/>
          <w:szCs w:val="24"/>
        </w:rPr>
        <w:t>.</w:t>
      </w:r>
      <w:r w:rsidRPr="00FE1A26">
        <w:rPr>
          <w:rFonts w:ascii="Arial" w:hAnsi="Arial" w:cs="Arial"/>
          <w:sz w:val="24"/>
          <w:szCs w:val="24"/>
        </w:rPr>
        <w:t xml:space="preserve"> </w:t>
      </w:r>
      <w:r w:rsidRPr="00647716">
        <w:rPr>
          <w:rFonts w:ascii="Arial" w:hAnsi="Arial" w:cs="Arial"/>
          <w:b/>
          <w:sz w:val="24"/>
          <w:szCs w:val="24"/>
        </w:rPr>
        <w:t>Fluorine-19</w:t>
      </w:r>
      <w:r>
        <w:rPr>
          <w:rFonts w:ascii="Arial" w:hAnsi="Arial" w:cs="Arial"/>
          <w:sz w:val="24"/>
          <w:szCs w:val="24"/>
        </w:rPr>
        <w:t xml:space="preserve"> </w:t>
      </w:r>
      <w:r w:rsidRPr="001D1E35">
        <w:rPr>
          <w:rFonts w:ascii="Arial" w:hAnsi="Arial" w:cs="Arial"/>
          <w:b/>
          <w:sz w:val="24"/>
          <w:szCs w:val="24"/>
        </w:rPr>
        <w:t>NMR limit</w:t>
      </w:r>
      <w:r>
        <w:rPr>
          <w:rFonts w:ascii="Arial" w:hAnsi="Arial" w:cs="Arial"/>
          <w:b/>
          <w:sz w:val="24"/>
          <w:szCs w:val="24"/>
        </w:rPr>
        <w:t xml:space="preserve"> of detection</w:t>
      </w:r>
      <w:r w:rsidRPr="001D1E3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(LOD) estimatio</w:t>
      </w:r>
      <w:r w:rsidRPr="001D1E35">
        <w:rPr>
          <w:rFonts w:ascii="Arial" w:hAnsi="Arial" w:cs="Arial"/>
          <w:b/>
          <w:sz w:val="24"/>
          <w:szCs w:val="24"/>
        </w:rPr>
        <w:t>n.</w:t>
      </w:r>
      <w:r w:rsidRPr="00FE1A26">
        <w:rPr>
          <w:rFonts w:ascii="Arial" w:hAnsi="Arial" w:cs="Arial"/>
          <w:sz w:val="24"/>
          <w:szCs w:val="24"/>
        </w:rPr>
        <w:t xml:space="preserve"> Panels display the signal to noise ratio (SNR) as a function of fluorine concentration </w:t>
      </w:r>
      <w:r>
        <w:rPr>
          <w:rFonts w:ascii="Arial" w:hAnsi="Arial" w:cs="Arial"/>
          <w:sz w:val="24"/>
          <w:szCs w:val="24"/>
        </w:rPr>
        <w:t xml:space="preserve">in sodium </w:t>
      </w:r>
      <w:r w:rsidRPr="00FE1A26">
        <w:rPr>
          <w:rFonts w:ascii="Arial" w:hAnsi="Arial" w:cs="Arial"/>
          <w:sz w:val="24"/>
          <w:szCs w:val="24"/>
        </w:rPr>
        <w:t>trifluor</w:t>
      </w:r>
      <w:r>
        <w:rPr>
          <w:rFonts w:ascii="Arial" w:hAnsi="Arial" w:cs="Arial"/>
          <w:sz w:val="24"/>
          <w:szCs w:val="24"/>
        </w:rPr>
        <w:t>o</w:t>
      </w:r>
      <w:r w:rsidRPr="00FE1A26">
        <w:rPr>
          <w:rFonts w:ascii="Arial" w:hAnsi="Arial" w:cs="Arial"/>
          <w:sz w:val="24"/>
          <w:szCs w:val="24"/>
        </w:rPr>
        <w:t xml:space="preserve">acetate (TFA) reference for </w:t>
      </w:r>
      <w:r>
        <w:rPr>
          <w:rFonts w:ascii="Arial" w:hAnsi="Arial" w:cs="Arial"/>
          <w:sz w:val="24"/>
          <w:szCs w:val="24"/>
        </w:rPr>
        <w:t xml:space="preserve">a standard </w:t>
      </w:r>
      <w:r w:rsidRPr="00FE1A26">
        <w:rPr>
          <w:rFonts w:ascii="Arial" w:hAnsi="Arial" w:cs="Arial"/>
          <w:sz w:val="24"/>
          <w:szCs w:val="24"/>
        </w:rPr>
        <w:t>5 and 10 mm probe</w:t>
      </w:r>
      <w:r>
        <w:rPr>
          <w:rFonts w:ascii="Arial" w:hAnsi="Arial" w:cs="Arial"/>
          <w:sz w:val="24"/>
          <w:szCs w:val="24"/>
        </w:rPr>
        <w:t xml:space="preserve"> (left and right,</w:t>
      </w:r>
      <w:r w:rsidRPr="00FE1A26">
        <w:rPr>
          <w:rFonts w:ascii="Arial" w:hAnsi="Arial" w:cs="Arial"/>
          <w:sz w:val="24"/>
          <w:szCs w:val="24"/>
        </w:rPr>
        <w:t xml:space="preserve"> respectively</w:t>
      </w:r>
      <w:r>
        <w:rPr>
          <w:rFonts w:ascii="Arial" w:hAnsi="Arial" w:cs="Arial"/>
          <w:sz w:val="24"/>
          <w:szCs w:val="24"/>
        </w:rPr>
        <w:t>)</w:t>
      </w:r>
      <w:r w:rsidRPr="00FE1A2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After a linear fit, the </w:t>
      </w:r>
      <w:r w:rsidRPr="00FE1A26">
        <w:rPr>
          <w:rFonts w:ascii="Arial" w:hAnsi="Arial" w:cs="Arial"/>
          <w:sz w:val="24"/>
          <w:szCs w:val="24"/>
        </w:rPr>
        <w:t xml:space="preserve">LOD </w:t>
      </w:r>
      <w:r>
        <w:rPr>
          <w:rFonts w:ascii="Arial" w:hAnsi="Arial" w:cs="Arial"/>
          <w:sz w:val="24"/>
          <w:szCs w:val="24"/>
        </w:rPr>
        <w:t>is</w:t>
      </w:r>
      <w:r w:rsidRPr="00FE1A26">
        <w:rPr>
          <w:rFonts w:ascii="Arial" w:hAnsi="Arial" w:cs="Arial"/>
          <w:sz w:val="24"/>
          <w:szCs w:val="24"/>
        </w:rPr>
        <w:t xml:space="preserve"> defined as the </w:t>
      </w:r>
      <w:r w:rsidRPr="00FE1A26">
        <w:rPr>
          <w:rFonts w:ascii="Arial" w:hAnsi="Arial" w:cs="Arial"/>
          <w:sz w:val="24"/>
          <w:szCs w:val="24"/>
          <w:vertAlign w:val="superscript"/>
        </w:rPr>
        <w:t>19</w:t>
      </w:r>
      <w:r w:rsidRPr="00FE1A26">
        <w:rPr>
          <w:rFonts w:ascii="Arial" w:hAnsi="Arial" w:cs="Arial"/>
          <w:sz w:val="24"/>
          <w:szCs w:val="24"/>
        </w:rPr>
        <w:t>F atom count where the extrapolated SNR=</w:t>
      </w:r>
      <w:r>
        <w:rPr>
          <w:rFonts w:ascii="Arial" w:hAnsi="Arial" w:cs="Arial"/>
          <w:sz w:val="24"/>
          <w:szCs w:val="24"/>
        </w:rPr>
        <w:t xml:space="preserve">2. The results yield a LOD of approximately </w:t>
      </w:r>
      <w:r w:rsidRPr="00FE1A26"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/>
          <w:sz w:val="24"/>
          <w:szCs w:val="24"/>
        </w:rPr>
        <w:t xml:space="preserve"> 10</w:t>
      </w:r>
      <w:r w:rsidRPr="007119E1">
        <w:rPr>
          <w:rFonts w:ascii="Arial" w:hAnsi="Arial" w:cs="Arial"/>
          <w:sz w:val="24"/>
          <w:szCs w:val="24"/>
          <w:vertAlign w:val="superscript"/>
        </w:rPr>
        <w:t xml:space="preserve">14 </w:t>
      </w:r>
      <w:r>
        <w:rPr>
          <w:rFonts w:ascii="Arial" w:hAnsi="Arial" w:cs="Arial"/>
          <w:sz w:val="24"/>
          <w:szCs w:val="24"/>
        </w:rPr>
        <w:t xml:space="preserve">and </w:t>
      </w:r>
      <w:r w:rsidRPr="00FE1A26">
        <w:rPr>
          <w:rFonts w:ascii="Arial" w:hAnsi="Arial" w:cs="Arial"/>
          <w:sz w:val="24"/>
          <w:szCs w:val="24"/>
        </w:rPr>
        <w:t>~</w:t>
      </w:r>
      <w:r>
        <w:rPr>
          <w:rFonts w:ascii="Arial" w:hAnsi="Arial" w:cs="Arial"/>
          <w:sz w:val="24"/>
          <w:szCs w:val="24"/>
        </w:rPr>
        <w:t>10</w:t>
      </w:r>
      <w:r w:rsidRPr="007119E1">
        <w:rPr>
          <w:rFonts w:ascii="Arial" w:hAnsi="Arial" w:cs="Arial"/>
          <w:sz w:val="24"/>
          <w:szCs w:val="24"/>
          <w:vertAlign w:val="superscript"/>
        </w:rPr>
        <w:t>15</w:t>
      </w:r>
      <w:r>
        <w:rPr>
          <w:rFonts w:ascii="Arial" w:hAnsi="Arial" w:cs="Arial"/>
          <w:sz w:val="24"/>
          <w:szCs w:val="24"/>
        </w:rPr>
        <w:t xml:space="preserve"> </w:t>
      </w:r>
      <w:r w:rsidRPr="00647716">
        <w:rPr>
          <w:rFonts w:ascii="Arial" w:hAnsi="Arial" w:cs="Arial"/>
          <w:sz w:val="24"/>
          <w:szCs w:val="24"/>
          <w:vertAlign w:val="superscript"/>
        </w:rPr>
        <w:t>19</w:t>
      </w:r>
      <w:r>
        <w:rPr>
          <w:rFonts w:ascii="Arial" w:hAnsi="Arial" w:cs="Arial"/>
          <w:sz w:val="24"/>
          <w:szCs w:val="24"/>
        </w:rPr>
        <w:t xml:space="preserve">F atoms for the 5 and 10 mm probe respectively, corresponding to </w:t>
      </w:r>
      <w:r w:rsidRPr="00FE1A26">
        <w:rPr>
          <w:rFonts w:ascii="Arial" w:hAnsi="Arial" w:cs="Arial"/>
          <w:sz w:val="24"/>
          <w:szCs w:val="24"/>
        </w:rPr>
        <w:t>~7</w:t>
      </w:r>
      <w:r w:rsidRPr="00FE1A26">
        <w:rPr>
          <w:rFonts w:ascii="Arial" w:hAnsi="Arial" w:cs="Arial"/>
          <w:sz w:val="24"/>
          <w:szCs w:val="24"/>
        </w:rPr>
        <w:sym w:font="Symbol" w:char="F0B4"/>
      </w:r>
      <w:r w:rsidRPr="00FE1A26">
        <w:rPr>
          <w:rFonts w:ascii="Arial" w:hAnsi="Arial" w:cs="Arial"/>
          <w:sz w:val="24"/>
          <w:szCs w:val="24"/>
        </w:rPr>
        <w:t>10</w:t>
      </w:r>
      <w:r w:rsidRPr="00FE1A26"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 and ~4</w:t>
      </w:r>
      <w:r w:rsidRPr="00FE1A26">
        <w:rPr>
          <w:rFonts w:ascii="Arial" w:hAnsi="Arial" w:cs="Arial"/>
          <w:sz w:val="24"/>
          <w:szCs w:val="24"/>
        </w:rPr>
        <w:sym w:font="Symbol" w:char="F0B4"/>
      </w:r>
      <w:r w:rsidRPr="00FE1A2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4"/>
          <w:szCs w:val="24"/>
        </w:rPr>
        <w:t xml:space="preserve"> cells assuming typical </w:t>
      </w:r>
      <w:r w:rsidRPr="00CC1853">
        <w:rPr>
          <w:rFonts w:ascii="Arial" w:hAnsi="Arial" w:cs="Arial"/>
          <w:sz w:val="24"/>
          <w:szCs w:val="24"/>
          <w:vertAlign w:val="superscript"/>
        </w:rPr>
        <w:t>19</w:t>
      </w:r>
      <w:r>
        <w:rPr>
          <w:rFonts w:ascii="Arial" w:hAnsi="Arial" w:cs="Arial"/>
          <w:sz w:val="24"/>
          <w:szCs w:val="24"/>
        </w:rPr>
        <w:t xml:space="preserve">F labeling levels in T cells. All </w:t>
      </w:r>
      <w:r w:rsidRPr="00FE1A26">
        <w:rPr>
          <w:rFonts w:ascii="Arial" w:hAnsi="Arial" w:cs="Arial"/>
          <w:sz w:val="24"/>
          <w:szCs w:val="24"/>
          <w:vertAlign w:val="superscript"/>
        </w:rPr>
        <w:t>19</w:t>
      </w:r>
      <w:r w:rsidRPr="00FE1A26">
        <w:rPr>
          <w:rFonts w:ascii="Arial" w:hAnsi="Arial" w:cs="Arial"/>
          <w:sz w:val="24"/>
          <w:szCs w:val="24"/>
        </w:rPr>
        <w:t xml:space="preserve">F NMR </w:t>
      </w:r>
      <w:r>
        <w:rPr>
          <w:rFonts w:ascii="Arial" w:hAnsi="Arial" w:cs="Arial"/>
          <w:sz w:val="24"/>
          <w:szCs w:val="24"/>
        </w:rPr>
        <w:t>data</w:t>
      </w:r>
      <w:r w:rsidRPr="00FE1A26">
        <w:rPr>
          <w:rFonts w:ascii="Arial" w:hAnsi="Arial" w:cs="Arial"/>
          <w:sz w:val="24"/>
          <w:szCs w:val="24"/>
        </w:rPr>
        <w:t xml:space="preserve"> were acquired on a</w:t>
      </w:r>
      <w:r>
        <w:rPr>
          <w:rFonts w:ascii="Arial" w:hAnsi="Arial" w:cs="Arial"/>
          <w:sz w:val="24"/>
          <w:szCs w:val="24"/>
        </w:rPr>
        <w:t xml:space="preserve">t 376.3 MHz with a 20 min acquisition time and </w:t>
      </w:r>
      <w:r w:rsidRPr="00FE1A26">
        <w:rPr>
          <w:rFonts w:ascii="Arial" w:hAnsi="Arial" w:cs="Arial"/>
          <w:sz w:val="24"/>
          <w:szCs w:val="24"/>
        </w:rPr>
        <w:t>using</w:t>
      </w:r>
      <w:r>
        <w:rPr>
          <w:rFonts w:ascii="Arial" w:hAnsi="Arial" w:cs="Arial"/>
          <w:sz w:val="24"/>
          <w:szCs w:val="24"/>
        </w:rPr>
        <w:t xml:space="preserve"> a</w:t>
      </w:r>
      <w:r w:rsidRPr="00FE1A26">
        <w:rPr>
          <w:rFonts w:ascii="Arial" w:hAnsi="Arial" w:cs="Arial"/>
          <w:sz w:val="24"/>
          <w:szCs w:val="24"/>
        </w:rPr>
        <w:t xml:space="preserve"> 17 </w:t>
      </w:r>
      <w:r w:rsidRPr="00FE1A26">
        <w:rPr>
          <w:rFonts w:ascii="Arial" w:hAnsi="Arial" w:cs="Arial"/>
          <w:sz w:val="24"/>
          <w:szCs w:val="24"/>
        </w:rPr>
        <w:sym w:font="Symbol" w:char="F06D"/>
      </w:r>
      <w:r w:rsidRPr="00FE1A26">
        <w:rPr>
          <w:rFonts w:ascii="Arial" w:hAnsi="Arial" w:cs="Arial"/>
          <w:sz w:val="24"/>
          <w:szCs w:val="24"/>
        </w:rPr>
        <w:t xml:space="preserve">s pulse, 32,000 points </w:t>
      </w:r>
      <w:r>
        <w:rPr>
          <w:rFonts w:ascii="Arial" w:hAnsi="Arial" w:cs="Arial"/>
          <w:sz w:val="24"/>
          <w:szCs w:val="24"/>
        </w:rPr>
        <w:t>of</w:t>
      </w:r>
      <w:r w:rsidRPr="00FE1A26">
        <w:rPr>
          <w:rFonts w:ascii="Arial" w:hAnsi="Arial" w:cs="Arial"/>
          <w:sz w:val="24"/>
          <w:szCs w:val="24"/>
        </w:rPr>
        <w:t xml:space="preserve"> free induction decay (FID), 100 ppm spectral width, </w:t>
      </w:r>
      <w:r>
        <w:rPr>
          <w:rFonts w:ascii="Arial" w:hAnsi="Arial" w:cs="Arial"/>
          <w:sz w:val="24"/>
          <w:szCs w:val="24"/>
        </w:rPr>
        <w:t>128</w:t>
      </w:r>
      <w:r w:rsidRPr="00FE1A26">
        <w:rPr>
          <w:rFonts w:ascii="Arial" w:hAnsi="Arial" w:cs="Arial"/>
          <w:sz w:val="24"/>
          <w:szCs w:val="24"/>
        </w:rPr>
        <w:t xml:space="preserve"> averages</w:t>
      </w:r>
      <w:r>
        <w:rPr>
          <w:rFonts w:ascii="Arial" w:hAnsi="Arial" w:cs="Arial"/>
          <w:sz w:val="24"/>
          <w:szCs w:val="24"/>
        </w:rPr>
        <w:t xml:space="preserve">, and </w:t>
      </w:r>
      <w:r w:rsidRPr="00FE1A26">
        <w:rPr>
          <w:rFonts w:ascii="Arial" w:hAnsi="Arial" w:cs="Arial"/>
          <w:sz w:val="24"/>
          <w:szCs w:val="24"/>
        </w:rPr>
        <w:t xml:space="preserve">recycle delay of </w:t>
      </w:r>
      <w:r>
        <w:rPr>
          <w:rFonts w:ascii="Arial" w:hAnsi="Arial" w:cs="Arial"/>
          <w:sz w:val="24"/>
          <w:szCs w:val="24"/>
        </w:rPr>
        <w:t>10</w:t>
      </w:r>
      <w:r w:rsidRPr="00FE1A26">
        <w:rPr>
          <w:rFonts w:ascii="Arial" w:hAnsi="Arial" w:cs="Arial"/>
          <w:sz w:val="24"/>
          <w:szCs w:val="24"/>
        </w:rPr>
        <w:t xml:space="preserve"> s.</w:t>
      </w:r>
    </w:p>
    <w:p w14:paraId="6843B0DA" w14:textId="2A3CF357" w:rsidR="00A06268" w:rsidRDefault="00A06268" w:rsidP="005B06B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Table 1:</w:t>
      </w:r>
    </w:p>
    <w:p w14:paraId="531FB654" w14:textId="4557B536" w:rsidR="00A06268" w:rsidRDefault="00A06268" w:rsidP="00A06268">
      <w:r>
        <w:rPr>
          <w:noProof/>
        </w:rPr>
        <w:drawing>
          <wp:inline distT="0" distB="0" distL="0" distR="0" wp14:anchorId="30B96335" wp14:editId="3968103C">
            <wp:extent cx="4857750" cy="1640912"/>
            <wp:effectExtent l="0" t="0" r="0" b="0"/>
            <wp:docPr id="2" name="Picture 2" descr="Tab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l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73" cy="164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21608" w14:textId="77777777" w:rsidR="00A06268" w:rsidRDefault="00A06268" w:rsidP="00A0626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8B5C8B8" w14:textId="77777777" w:rsidR="00A06268" w:rsidRPr="00F541CB" w:rsidRDefault="00A06268" w:rsidP="00A06268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541CB">
        <w:rPr>
          <w:rFonts w:ascii="Arial" w:hAnsi="Arial" w:cs="Arial"/>
          <w:b/>
          <w:sz w:val="24"/>
          <w:szCs w:val="24"/>
        </w:rPr>
        <w:t>Table 1. Longitudinal characterization of PFC-labeled CAR T cells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F541CB">
        <w:rPr>
          <w:rFonts w:ascii="Arial" w:hAnsi="Arial" w:cs="Arial"/>
          <w:sz w:val="24"/>
          <w:szCs w:val="24"/>
        </w:rPr>
        <w:t>Table displays</w:t>
      </w:r>
      <w:r>
        <w:rPr>
          <w:rFonts w:ascii="Arial" w:hAnsi="Arial" w:cs="Arial"/>
          <w:sz w:val="24"/>
          <w:szCs w:val="24"/>
        </w:rPr>
        <w:t xml:space="preserve"> average doubling time, CD4/CD8 ratio and viability as measured by flow cytometry of PFC labeled CAR T cells and control unlabeled CAR T cells at days 2, 7 and 14 after PFC labeling (N=3 replicates). No significant differences were seen between labeled and unlabeled CAR T cells for all criteria.</w:t>
      </w:r>
    </w:p>
    <w:p w14:paraId="4E767027" w14:textId="77777777" w:rsidR="00A06268" w:rsidRPr="005B06BA" w:rsidRDefault="00A06268" w:rsidP="005B06BA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A06268" w:rsidRPr="005B06BA" w:rsidSect="007E67B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3F503" w14:textId="77777777" w:rsidR="000109A2" w:rsidRDefault="000109A2">
      <w:pPr>
        <w:spacing w:after="0" w:line="240" w:lineRule="auto"/>
      </w:pPr>
      <w:r>
        <w:separator/>
      </w:r>
    </w:p>
  </w:endnote>
  <w:endnote w:type="continuationSeparator" w:id="0">
    <w:p w14:paraId="561115E9" w14:textId="77777777" w:rsidR="000109A2" w:rsidRDefault="0001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9854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24E83" w14:textId="77777777" w:rsidR="008E5F20" w:rsidRDefault="00C52C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2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CB056F" w14:textId="77777777" w:rsidR="008E5F20" w:rsidRDefault="000109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66986" w14:textId="77777777" w:rsidR="000109A2" w:rsidRDefault="000109A2">
      <w:pPr>
        <w:spacing w:after="0" w:line="240" w:lineRule="auto"/>
      </w:pPr>
      <w:r>
        <w:separator/>
      </w:r>
    </w:p>
  </w:footnote>
  <w:footnote w:type="continuationSeparator" w:id="0">
    <w:p w14:paraId="3368DCE7" w14:textId="77777777" w:rsidR="000109A2" w:rsidRDefault="00010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34"/>
    <w:rsid w:val="000011D0"/>
    <w:rsid w:val="000109A2"/>
    <w:rsid w:val="00385667"/>
    <w:rsid w:val="003F0104"/>
    <w:rsid w:val="0048091D"/>
    <w:rsid w:val="005B06BA"/>
    <w:rsid w:val="006D4808"/>
    <w:rsid w:val="007119F2"/>
    <w:rsid w:val="008122D7"/>
    <w:rsid w:val="00881F34"/>
    <w:rsid w:val="0096303E"/>
    <w:rsid w:val="00986B19"/>
    <w:rsid w:val="00A06268"/>
    <w:rsid w:val="00A372E8"/>
    <w:rsid w:val="00AF2C7A"/>
    <w:rsid w:val="00B01680"/>
    <w:rsid w:val="00C1689F"/>
    <w:rsid w:val="00C52C7F"/>
    <w:rsid w:val="00D67FEE"/>
    <w:rsid w:val="00F3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B5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F3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1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F34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062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0626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268"/>
  </w:style>
  <w:style w:type="paragraph" w:styleId="BalloonText">
    <w:name w:val="Balloon Text"/>
    <w:basedOn w:val="Normal"/>
    <w:link w:val="BalloonTextChar"/>
    <w:uiPriority w:val="99"/>
    <w:semiHidden/>
    <w:unhideWhenUsed/>
    <w:rsid w:val="00A06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Chapelin</dc:creator>
  <cp:keywords/>
  <dc:description/>
  <cp:lastModifiedBy>ETALAB2</cp:lastModifiedBy>
  <cp:revision>8</cp:revision>
  <dcterms:created xsi:type="dcterms:W3CDTF">2017-05-28T03:35:00Z</dcterms:created>
  <dcterms:modified xsi:type="dcterms:W3CDTF">2017-09-07T22:42:00Z</dcterms:modified>
</cp:coreProperties>
</file>