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4C29B" w14:textId="2F00F235" w:rsidR="002960C7" w:rsidRPr="00DC47CD" w:rsidRDefault="002960C7" w:rsidP="00DC47C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40"/>
          <w:szCs w:val="40"/>
        </w:rPr>
      </w:pPr>
      <w:r w:rsidRPr="00DC47CD">
        <w:rPr>
          <w:rFonts w:ascii="Arial" w:hAnsi="Arial" w:cs="Arial"/>
          <w:b/>
          <w:bCs/>
          <w:sz w:val="40"/>
          <w:szCs w:val="40"/>
          <w:lang w:eastAsia="de-DE"/>
        </w:rPr>
        <w:t xml:space="preserve">Ageing potentiates diet-induced glucose intolerance, </w:t>
      </w:r>
      <w:r w:rsidRPr="00DC47CD">
        <w:rPr>
          <w:rFonts w:ascii="Arial" w:hAnsi="Arial" w:cs="Arial"/>
          <w:b/>
          <w:bCs/>
          <w:sz w:val="40"/>
          <w:szCs w:val="40"/>
          <w:lang w:eastAsia="de-DE"/>
        </w:rPr>
        <w:sym w:font="Symbol" w:char="F062"/>
      </w:r>
      <w:r w:rsidRPr="00DC47CD">
        <w:rPr>
          <w:rFonts w:ascii="Arial" w:hAnsi="Arial" w:cs="Arial"/>
          <w:b/>
          <w:bCs/>
          <w:sz w:val="40"/>
          <w:szCs w:val="40"/>
          <w:lang w:eastAsia="de-DE"/>
        </w:rPr>
        <w:t>-cell failure and tissue inflammation through TLR4</w:t>
      </w:r>
    </w:p>
    <w:p w14:paraId="36CAAF0B" w14:textId="77777777" w:rsidR="002960C7" w:rsidRPr="00DC47CD" w:rsidRDefault="002960C7" w:rsidP="00DC47CD">
      <w:pPr>
        <w:spacing w:line="276" w:lineRule="auto"/>
        <w:jc w:val="center"/>
        <w:rPr>
          <w:rFonts w:ascii="Arial" w:hAnsi="Arial" w:cs="Arial"/>
          <w:sz w:val="40"/>
          <w:szCs w:val="40"/>
        </w:rPr>
      </w:pPr>
    </w:p>
    <w:p w14:paraId="5717EB83" w14:textId="77777777" w:rsidR="000F512C" w:rsidRPr="000F512C" w:rsidRDefault="000F512C" w:rsidP="000F512C">
      <w:pPr>
        <w:pStyle w:val="StandardWeb"/>
        <w:spacing w:line="276" w:lineRule="auto"/>
        <w:rPr>
          <w:sz w:val="40"/>
          <w:szCs w:val="40"/>
        </w:rPr>
      </w:pPr>
      <w:r w:rsidRPr="000F512C">
        <w:rPr>
          <w:sz w:val="40"/>
          <w:szCs w:val="40"/>
        </w:rPr>
        <w:t xml:space="preserve">Wei He, Ting Yuan, Dolma </w:t>
      </w:r>
      <w:proofErr w:type="spellStart"/>
      <w:r w:rsidRPr="000F512C">
        <w:rPr>
          <w:sz w:val="40"/>
          <w:szCs w:val="40"/>
        </w:rPr>
        <w:t>Choezom</w:t>
      </w:r>
      <w:proofErr w:type="spellEnd"/>
      <w:r w:rsidRPr="000F512C">
        <w:rPr>
          <w:sz w:val="40"/>
          <w:szCs w:val="40"/>
        </w:rPr>
        <w:t xml:space="preserve">, Hannah </w:t>
      </w:r>
      <w:proofErr w:type="spellStart"/>
      <w:r w:rsidRPr="000F512C">
        <w:rPr>
          <w:sz w:val="40"/>
          <w:szCs w:val="40"/>
        </w:rPr>
        <w:t>Hunkler</w:t>
      </w:r>
      <w:proofErr w:type="spellEnd"/>
      <w:r w:rsidRPr="000F512C">
        <w:rPr>
          <w:sz w:val="40"/>
          <w:szCs w:val="40"/>
        </w:rPr>
        <w:t xml:space="preserve">, Karthika </w:t>
      </w:r>
      <w:proofErr w:type="spellStart"/>
      <w:r w:rsidRPr="000F512C">
        <w:rPr>
          <w:sz w:val="40"/>
          <w:szCs w:val="40"/>
        </w:rPr>
        <w:t>Annamalai</w:t>
      </w:r>
      <w:proofErr w:type="spellEnd"/>
      <w:r w:rsidRPr="000F512C">
        <w:rPr>
          <w:sz w:val="40"/>
          <w:szCs w:val="40"/>
        </w:rPr>
        <w:t xml:space="preserve">, </w:t>
      </w:r>
      <w:proofErr w:type="spellStart"/>
      <w:r w:rsidRPr="000F512C">
        <w:rPr>
          <w:sz w:val="40"/>
          <w:szCs w:val="40"/>
        </w:rPr>
        <w:t>Blaz</w:t>
      </w:r>
      <w:proofErr w:type="spellEnd"/>
      <w:r w:rsidRPr="000F512C">
        <w:rPr>
          <w:sz w:val="40"/>
          <w:szCs w:val="40"/>
        </w:rPr>
        <w:t xml:space="preserve"> </w:t>
      </w:r>
      <w:proofErr w:type="spellStart"/>
      <w:r w:rsidRPr="000F512C">
        <w:rPr>
          <w:sz w:val="40"/>
          <w:szCs w:val="40"/>
        </w:rPr>
        <w:t>Lupse</w:t>
      </w:r>
      <w:proofErr w:type="spellEnd"/>
      <w:r w:rsidRPr="000F512C">
        <w:rPr>
          <w:sz w:val="40"/>
          <w:szCs w:val="40"/>
        </w:rPr>
        <w:t xml:space="preserve"> and Kathrin Maedler</w:t>
      </w:r>
    </w:p>
    <w:p w14:paraId="2B38542E" w14:textId="77777777" w:rsidR="000F512C" w:rsidRDefault="000F512C" w:rsidP="00DC47CD">
      <w:pPr>
        <w:pStyle w:val="StandardWeb"/>
        <w:spacing w:line="276" w:lineRule="auto"/>
        <w:jc w:val="center"/>
        <w:rPr>
          <w:sz w:val="40"/>
          <w:szCs w:val="40"/>
        </w:rPr>
      </w:pPr>
    </w:p>
    <w:p w14:paraId="4CE9CCB6" w14:textId="77777777" w:rsidR="002960C7" w:rsidRPr="00DC47CD" w:rsidRDefault="002960C7" w:rsidP="00DC47CD">
      <w:pPr>
        <w:pStyle w:val="StandardWeb"/>
        <w:spacing w:line="276" w:lineRule="auto"/>
        <w:jc w:val="center"/>
        <w:rPr>
          <w:sz w:val="40"/>
          <w:szCs w:val="40"/>
        </w:rPr>
      </w:pPr>
      <w:r w:rsidRPr="00DC47CD">
        <w:rPr>
          <w:sz w:val="40"/>
          <w:szCs w:val="40"/>
        </w:rPr>
        <w:t xml:space="preserve">Centre for </w:t>
      </w:r>
      <w:proofErr w:type="spellStart"/>
      <w:r w:rsidRPr="00DC47CD">
        <w:rPr>
          <w:sz w:val="40"/>
          <w:szCs w:val="40"/>
        </w:rPr>
        <w:t>Biomolecular</w:t>
      </w:r>
      <w:proofErr w:type="spellEnd"/>
      <w:r w:rsidRPr="00DC47CD">
        <w:rPr>
          <w:sz w:val="40"/>
          <w:szCs w:val="40"/>
        </w:rPr>
        <w:t xml:space="preserve"> Interactions, University of Bremen, Bremen, Germany</w:t>
      </w:r>
    </w:p>
    <w:p w14:paraId="405F3B5B" w14:textId="77777777" w:rsidR="002960C7" w:rsidRPr="00DC47CD" w:rsidRDefault="002960C7" w:rsidP="00DC47CD">
      <w:pPr>
        <w:pStyle w:val="Textkrper3"/>
        <w:spacing w:after="0" w:line="276" w:lineRule="auto"/>
        <w:jc w:val="center"/>
        <w:rPr>
          <w:rFonts w:ascii="Arial" w:hAnsi="Arial" w:cs="Arial"/>
          <w:b/>
          <w:sz w:val="40"/>
          <w:szCs w:val="40"/>
        </w:rPr>
      </w:pPr>
    </w:p>
    <w:p w14:paraId="2BC88D9F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47EDE94C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0D1BEEF7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5258B2D8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2FD1EF46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23D50C00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3F3A1EFC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33C39239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70CD6507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12A9B2F5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13432CC2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1318DA75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3B817506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70733BB2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0FC617AC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3D86ECA3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5948D372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59E49E0B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328FFFD6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59568789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679A87F5" w14:textId="77777777" w:rsidR="00DC47CD" w:rsidRDefault="00DC47CD" w:rsidP="002960C7">
      <w:pPr>
        <w:pStyle w:val="Textkrper3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14:paraId="2764B0E0" w14:textId="2D4EB490" w:rsidR="000F512C" w:rsidRPr="000F512C" w:rsidRDefault="000F512C" w:rsidP="000F512C">
      <w:pPr>
        <w:pStyle w:val="Textkrper3"/>
        <w:spacing w:after="0" w:line="276" w:lineRule="auto"/>
        <w:rPr>
          <w:rFonts w:ascii="Arial" w:hAnsi="Arial" w:cs="Arial"/>
          <w:b/>
          <w:kern w:val="0"/>
          <w:sz w:val="22"/>
        </w:rPr>
      </w:pPr>
      <w:r>
        <w:rPr>
          <w:rFonts w:ascii="Arial" w:hAnsi="Arial" w:cs="Arial"/>
          <w:b/>
          <w:noProof/>
          <w:sz w:val="22"/>
          <w:szCs w:val="22"/>
          <w:lang w:val="de-DE" w:eastAsia="de-DE"/>
        </w:rPr>
        <w:lastRenderedPageBreak/>
        <w:drawing>
          <wp:anchor distT="0" distB="0" distL="114300" distR="114300" simplePos="0" relativeHeight="251658240" behindDoc="0" locked="0" layoutInCell="1" allowOverlap="1" wp14:anchorId="6A00C7F8" wp14:editId="088762A9">
            <wp:simplePos x="0" y="0"/>
            <wp:positionH relativeFrom="column">
              <wp:posOffset>0</wp:posOffset>
            </wp:positionH>
            <wp:positionV relativeFrom="paragraph">
              <wp:posOffset>-792480</wp:posOffset>
            </wp:positionV>
            <wp:extent cx="6057900" cy="5384800"/>
            <wp:effectExtent l="0" t="0" r="0" b="0"/>
            <wp:wrapSquare wrapText="bothSides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3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F512C">
        <w:rPr>
          <w:rFonts w:ascii="Arial" w:hAnsi="Arial" w:cs="Arial"/>
          <w:b/>
          <w:bCs/>
          <w:kern w:val="0"/>
          <w:sz w:val="22"/>
        </w:rPr>
        <w:t>Suppl.Figure</w:t>
      </w:r>
      <w:proofErr w:type="spellEnd"/>
      <w:r w:rsidRPr="000F512C">
        <w:rPr>
          <w:rFonts w:ascii="Arial" w:hAnsi="Arial" w:cs="Arial"/>
          <w:b/>
          <w:bCs/>
          <w:kern w:val="0"/>
          <w:sz w:val="22"/>
        </w:rPr>
        <w:t xml:space="preserve"> 1. HFD induced body weight gain and stable food intake in mice of both ages and genotypes. </w:t>
      </w:r>
    </w:p>
    <w:p w14:paraId="5CE244F5" w14:textId="77777777" w:rsidR="000F512C" w:rsidRPr="000F512C" w:rsidRDefault="000F512C" w:rsidP="000F512C">
      <w:pPr>
        <w:pStyle w:val="Listenabsatz"/>
        <w:ind w:firstLineChars="0" w:firstLine="0"/>
        <w:rPr>
          <w:rFonts w:ascii="Arial" w:hAnsi="Arial" w:cs="Arial"/>
          <w:kern w:val="0"/>
          <w:sz w:val="22"/>
        </w:rPr>
      </w:pPr>
      <w:r w:rsidRPr="000F512C">
        <w:rPr>
          <w:rFonts w:ascii="Arial" w:hAnsi="Arial" w:cs="Arial"/>
          <w:bCs/>
          <w:kern w:val="0"/>
          <w:sz w:val="22"/>
        </w:rPr>
        <w:t xml:space="preserve">(A) </w:t>
      </w:r>
      <w:r w:rsidRPr="000F512C">
        <w:rPr>
          <w:rFonts w:ascii="Arial" w:hAnsi="Arial" w:cs="Arial"/>
          <w:kern w:val="0"/>
          <w:sz w:val="22"/>
        </w:rPr>
        <w:t xml:space="preserve">Body weight, </w:t>
      </w:r>
      <w:r w:rsidRPr="000F512C">
        <w:rPr>
          <w:rFonts w:ascii="Arial" w:hAnsi="Arial" w:cs="Arial"/>
          <w:bCs/>
          <w:kern w:val="0"/>
          <w:sz w:val="22"/>
        </w:rPr>
        <w:t>(B)</w:t>
      </w:r>
      <w:r w:rsidRPr="000F512C">
        <w:rPr>
          <w:rFonts w:ascii="Arial" w:hAnsi="Arial" w:cs="Arial"/>
          <w:kern w:val="0"/>
          <w:sz w:val="22"/>
        </w:rPr>
        <w:t xml:space="preserve"> body weight gain and </w:t>
      </w:r>
      <w:r w:rsidRPr="000F512C">
        <w:rPr>
          <w:rFonts w:ascii="Arial" w:hAnsi="Arial" w:cs="Arial"/>
          <w:bCs/>
          <w:kern w:val="0"/>
          <w:sz w:val="22"/>
        </w:rPr>
        <w:t>(C</w:t>
      </w:r>
      <w:proofErr w:type="gramStart"/>
      <w:r w:rsidRPr="000F512C">
        <w:rPr>
          <w:rFonts w:ascii="Arial" w:hAnsi="Arial" w:cs="Arial"/>
          <w:bCs/>
          <w:kern w:val="0"/>
          <w:sz w:val="22"/>
        </w:rPr>
        <w:t>,D</w:t>
      </w:r>
      <w:proofErr w:type="gramEnd"/>
      <w:r w:rsidRPr="000F512C">
        <w:rPr>
          <w:rFonts w:ascii="Arial" w:hAnsi="Arial" w:cs="Arial"/>
          <w:bCs/>
          <w:kern w:val="0"/>
          <w:sz w:val="22"/>
        </w:rPr>
        <w:t xml:space="preserve">) </w:t>
      </w:r>
      <w:r w:rsidRPr="000F512C">
        <w:rPr>
          <w:rFonts w:ascii="Arial" w:hAnsi="Arial" w:cs="Arial"/>
          <w:kern w:val="0"/>
          <w:sz w:val="22"/>
        </w:rPr>
        <w:t>mean food intake/mouse/week after 8-week normal (ND) or high fat/ high sucrose diet (“</w:t>
      </w:r>
      <w:proofErr w:type="spellStart"/>
      <w:r w:rsidRPr="000F512C">
        <w:rPr>
          <w:rFonts w:ascii="Arial" w:hAnsi="Arial" w:cs="Arial"/>
          <w:kern w:val="0"/>
          <w:sz w:val="22"/>
        </w:rPr>
        <w:t>Surwit</w:t>
      </w:r>
      <w:proofErr w:type="spellEnd"/>
      <w:r w:rsidRPr="000F512C">
        <w:rPr>
          <w:rFonts w:ascii="Arial" w:hAnsi="Arial" w:cs="Arial"/>
          <w:kern w:val="0"/>
          <w:sz w:val="22"/>
        </w:rPr>
        <w:t xml:space="preserve">”; HFD) feeding of young (6 weeks) and old (12 months) WT and </w:t>
      </w:r>
      <w:r w:rsidRPr="000F512C">
        <w:rPr>
          <w:rFonts w:ascii="Arial" w:hAnsi="Arial" w:cs="Arial"/>
          <w:i/>
          <w:iCs/>
          <w:kern w:val="0"/>
          <w:sz w:val="22"/>
        </w:rPr>
        <w:t>Tlr4</w:t>
      </w:r>
      <w:r w:rsidRPr="000F512C">
        <w:rPr>
          <w:rFonts w:ascii="Arial" w:hAnsi="Arial" w:cs="Arial"/>
          <w:i/>
          <w:iCs/>
          <w:kern w:val="0"/>
          <w:sz w:val="22"/>
          <w:vertAlign w:val="superscript"/>
        </w:rPr>
        <w:t>-/-</w:t>
      </w:r>
      <w:r w:rsidRPr="000F512C">
        <w:rPr>
          <w:rFonts w:ascii="Arial" w:hAnsi="Arial" w:cs="Arial"/>
          <w:kern w:val="0"/>
          <w:sz w:val="22"/>
        </w:rPr>
        <w:t>mice</w:t>
      </w:r>
      <w:r w:rsidRPr="000F512C">
        <w:rPr>
          <w:rFonts w:ascii="Arial" w:hAnsi="Arial" w:cs="Arial"/>
          <w:bCs/>
          <w:kern w:val="0"/>
          <w:sz w:val="22"/>
        </w:rPr>
        <w:t>. (C</w:t>
      </w:r>
      <w:proofErr w:type="gramStart"/>
      <w:r w:rsidRPr="000F512C">
        <w:rPr>
          <w:rFonts w:ascii="Arial" w:hAnsi="Arial" w:cs="Arial"/>
          <w:bCs/>
          <w:kern w:val="0"/>
          <w:sz w:val="22"/>
        </w:rPr>
        <w:t>,D</w:t>
      </w:r>
      <w:proofErr w:type="gramEnd"/>
      <w:r w:rsidRPr="000F512C">
        <w:rPr>
          <w:rFonts w:ascii="Arial" w:hAnsi="Arial" w:cs="Arial"/>
          <w:bCs/>
          <w:kern w:val="0"/>
          <w:sz w:val="22"/>
        </w:rPr>
        <w:t xml:space="preserve">) </w:t>
      </w:r>
      <w:r w:rsidRPr="000F512C">
        <w:rPr>
          <w:rFonts w:ascii="Arial" w:hAnsi="Arial" w:cs="Arial"/>
          <w:kern w:val="0"/>
          <w:sz w:val="22"/>
        </w:rPr>
        <w:t xml:space="preserve">Food intake was stable among the mice and unchanged with weeks of diet. Mice fed a HFD eat constantly a lesser amount of food.  Data are shown as means </w:t>
      </w:r>
      <w:r w:rsidRPr="000F512C">
        <w:rPr>
          <w:rFonts w:ascii="Arial" w:hAnsi="Arial" w:cs="Arial"/>
          <w:kern w:val="0"/>
          <w:sz w:val="22"/>
        </w:rPr>
        <w:sym w:font="Symbol" w:char="00B1"/>
      </w:r>
      <w:r w:rsidRPr="000F512C">
        <w:rPr>
          <w:rFonts w:ascii="Arial" w:hAnsi="Arial" w:cs="Arial"/>
          <w:kern w:val="0"/>
          <w:sz w:val="22"/>
        </w:rPr>
        <w:t>SE. *</w:t>
      </w:r>
      <w:proofErr w:type="gramStart"/>
      <w:r w:rsidRPr="000F512C">
        <w:rPr>
          <w:rFonts w:ascii="Arial" w:hAnsi="Arial" w:cs="Arial"/>
          <w:kern w:val="0"/>
          <w:sz w:val="22"/>
        </w:rPr>
        <w:t>p</w:t>
      </w:r>
      <w:proofErr w:type="gramEnd"/>
      <w:r w:rsidRPr="000F512C">
        <w:rPr>
          <w:rFonts w:ascii="Arial" w:hAnsi="Arial" w:cs="Arial"/>
          <w:kern w:val="0"/>
          <w:sz w:val="22"/>
        </w:rPr>
        <w:t xml:space="preserve">&lt;0.05 ND vs. HFD; **p&lt;0.05 young vs. old mice, #p&lt;0.05 WT vs. </w:t>
      </w:r>
      <w:r w:rsidRPr="000F512C">
        <w:rPr>
          <w:rFonts w:ascii="Arial" w:hAnsi="Arial" w:cs="Arial"/>
          <w:i/>
          <w:iCs/>
          <w:kern w:val="0"/>
          <w:sz w:val="22"/>
        </w:rPr>
        <w:t>Tlr4</w:t>
      </w:r>
      <w:r w:rsidRPr="000F512C">
        <w:rPr>
          <w:rFonts w:ascii="Arial" w:hAnsi="Arial" w:cs="Arial"/>
          <w:i/>
          <w:iCs/>
          <w:kern w:val="0"/>
          <w:sz w:val="22"/>
          <w:vertAlign w:val="superscript"/>
        </w:rPr>
        <w:t>-/-</w:t>
      </w:r>
      <w:r w:rsidRPr="000F512C">
        <w:rPr>
          <w:rFonts w:ascii="Arial" w:hAnsi="Arial" w:cs="Arial"/>
          <w:kern w:val="0"/>
          <w:sz w:val="22"/>
        </w:rPr>
        <w:t>mice. N=12-15 mice per group; data are representative of three independent experiments.</w:t>
      </w:r>
    </w:p>
    <w:p w14:paraId="047C6F46" w14:textId="115854CE" w:rsidR="00B908A3" w:rsidRDefault="00B908A3" w:rsidP="000F512C">
      <w:pPr>
        <w:pStyle w:val="Listenabsatz"/>
        <w:ind w:firstLineChars="0" w:firstLine="0"/>
        <w:rPr>
          <w:rFonts w:ascii="Arial" w:hAnsi="Arial" w:cs="Arial"/>
          <w:i/>
          <w:kern w:val="0"/>
          <w:sz w:val="22"/>
        </w:rPr>
      </w:pPr>
    </w:p>
    <w:p w14:paraId="1246B928" w14:textId="04BA22E7" w:rsidR="000F512C" w:rsidRPr="000F512C" w:rsidRDefault="000F512C" w:rsidP="000F512C">
      <w:pPr>
        <w:rPr>
          <w:rFonts w:ascii="Arial" w:hAnsi="Arial" w:cs="Arial"/>
          <w:b/>
          <w:kern w:val="0"/>
          <w:sz w:val="22"/>
        </w:rPr>
      </w:pPr>
      <w:r>
        <w:rPr>
          <w:rFonts w:ascii="Arial" w:hAnsi="Arial" w:cs="Arial"/>
          <w:i/>
          <w:noProof/>
          <w:kern w:val="0"/>
          <w:sz w:val="22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0B785B8F" wp14:editId="73D9B701">
            <wp:simplePos x="0" y="0"/>
            <wp:positionH relativeFrom="column">
              <wp:posOffset>-228600</wp:posOffset>
            </wp:positionH>
            <wp:positionV relativeFrom="paragraph">
              <wp:posOffset>102870</wp:posOffset>
            </wp:positionV>
            <wp:extent cx="2974340" cy="2278380"/>
            <wp:effectExtent l="0" t="0" r="0" b="0"/>
            <wp:wrapSquare wrapText="bothSides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4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F512C">
        <w:rPr>
          <w:rFonts w:ascii="Arial" w:hAnsi="Arial" w:cs="Arial"/>
          <w:b/>
          <w:bCs/>
          <w:kern w:val="0"/>
          <w:sz w:val="22"/>
        </w:rPr>
        <w:t>Suppl.Figure</w:t>
      </w:r>
      <w:proofErr w:type="spellEnd"/>
      <w:r w:rsidRPr="000F512C">
        <w:rPr>
          <w:rFonts w:ascii="Arial" w:hAnsi="Arial" w:cs="Arial"/>
          <w:b/>
          <w:bCs/>
          <w:kern w:val="0"/>
          <w:sz w:val="22"/>
        </w:rPr>
        <w:t xml:space="preserve"> 2. </w:t>
      </w:r>
      <w:r w:rsidRPr="000F512C">
        <w:rPr>
          <w:rFonts w:ascii="Arial" w:hAnsi="Arial" w:cs="Arial"/>
          <w:b/>
          <w:bCs/>
          <w:i/>
          <w:iCs/>
          <w:kern w:val="0"/>
          <w:sz w:val="22"/>
        </w:rPr>
        <w:t>Tlr4</w:t>
      </w:r>
      <w:r w:rsidRPr="000F512C">
        <w:rPr>
          <w:rFonts w:ascii="Arial" w:hAnsi="Arial" w:cs="Arial"/>
          <w:b/>
          <w:bCs/>
          <w:i/>
          <w:iCs/>
          <w:kern w:val="0"/>
          <w:sz w:val="22"/>
          <w:vertAlign w:val="superscript"/>
        </w:rPr>
        <w:t xml:space="preserve">-/- </w:t>
      </w:r>
      <w:r w:rsidRPr="000F512C">
        <w:rPr>
          <w:rFonts w:ascii="Arial" w:hAnsi="Arial" w:cs="Arial"/>
          <w:b/>
          <w:bCs/>
          <w:kern w:val="0"/>
          <w:sz w:val="22"/>
        </w:rPr>
        <w:t xml:space="preserve">mice showed higher anti-inflammatory cytokine </w:t>
      </w:r>
      <w:r w:rsidRPr="000F512C">
        <w:rPr>
          <w:rFonts w:ascii="Arial" w:hAnsi="Arial" w:cs="Arial"/>
          <w:b/>
          <w:bCs/>
          <w:i/>
          <w:iCs/>
          <w:kern w:val="0"/>
          <w:sz w:val="22"/>
        </w:rPr>
        <w:t>Il4</w:t>
      </w:r>
      <w:r w:rsidRPr="000F512C">
        <w:rPr>
          <w:rFonts w:ascii="Arial" w:hAnsi="Arial" w:cs="Arial"/>
          <w:b/>
          <w:bCs/>
          <w:kern w:val="0"/>
          <w:sz w:val="22"/>
        </w:rPr>
        <w:t xml:space="preserve"> expression in liver</w:t>
      </w:r>
    </w:p>
    <w:p w14:paraId="3E39DE2A" w14:textId="77777777" w:rsidR="000F512C" w:rsidRPr="000F512C" w:rsidRDefault="000F512C" w:rsidP="000F512C">
      <w:pPr>
        <w:rPr>
          <w:rFonts w:ascii="Arial" w:hAnsi="Arial" w:cs="Arial"/>
          <w:kern w:val="0"/>
          <w:sz w:val="22"/>
        </w:rPr>
      </w:pPr>
      <w:r w:rsidRPr="000F512C">
        <w:rPr>
          <w:rFonts w:ascii="Arial" w:hAnsi="Arial" w:cs="Arial"/>
          <w:kern w:val="0"/>
          <w:sz w:val="22"/>
        </w:rPr>
        <w:t xml:space="preserve">Young (6 weeks) and old (12 months) WT and </w:t>
      </w:r>
      <w:r w:rsidRPr="000F512C">
        <w:rPr>
          <w:rFonts w:ascii="Arial" w:hAnsi="Arial" w:cs="Arial"/>
          <w:i/>
          <w:iCs/>
          <w:kern w:val="0"/>
          <w:sz w:val="22"/>
        </w:rPr>
        <w:t>Tlr4</w:t>
      </w:r>
      <w:r w:rsidRPr="000F512C">
        <w:rPr>
          <w:rFonts w:ascii="Arial" w:hAnsi="Arial" w:cs="Arial"/>
          <w:i/>
          <w:iCs/>
          <w:kern w:val="0"/>
          <w:sz w:val="22"/>
          <w:vertAlign w:val="superscript"/>
        </w:rPr>
        <w:t xml:space="preserve">-/- </w:t>
      </w:r>
      <w:r w:rsidRPr="000F512C">
        <w:rPr>
          <w:rFonts w:ascii="Arial" w:hAnsi="Arial" w:cs="Arial"/>
          <w:kern w:val="0"/>
          <w:sz w:val="22"/>
        </w:rPr>
        <w:t>mice were fed a normal (ND) or high fat/ high sucrose diet (“</w:t>
      </w:r>
      <w:proofErr w:type="spellStart"/>
      <w:r w:rsidRPr="000F512C">
        <w:rPr>
          <w:rFonts w:ascii="Arial" w:hAnsi="Arial" w:cs="Arial"/>
          <w:kern w:val="0"/>
          <w:sz w:val="22"/>
        </w:rPr>
        <w:t>Surwit</w:t>
      </w:r>
      <w:proofErr w:type="spellEnd"/>
      <w:r w:rsidRPr="000F512C">
        <w:rPr>
          <w:rFonts w:ascii="Arial" w:hAnsi="Arial" w:cs="Arial"/>
          <w:kern w:val="0"/>
          <w:sz w:val="22"/>
        </w:rPr>
        <w:t xml:space="preserve">”; HFD) for 8 weeks. RT-PCR analysis of </w:t>
      </w:r>
      <w:r w:rsidRPr="000F512C">
        <w:rPr>
          <w:rFonts w:ascii="Arial" w:hAnsi="Arial" w:cs="Arial"/>
          <w:i/>
          <w:iCs/>
          <w:kern w:val="0"/>
          <w:sz w:val="22"/>
        </w:rPr>
        <w:t>Il4</w:t>
      </w:r>
      <w:r w:rsidRPr="000F512C">
        <w:rPr>
          <w:rFonts w:ascii="Arial" w:hAnsi="Arial" w:cs="Arial"/>
          <w:kern w:val="0"/>
          <w:sz w:val="22"/>
        </w:rPr>
        <w:t xml:space="preserve"> from RNA extracted from liver. Y, young mice, O, old mice, ND, normal chow diet, HFD, high fat/ high sucrose diet, WT, </w:t>
      </w:r>
      <w:proofErr w:type="spellStart"/>
      <w:r w:rsidRPr="000F512C">
        <w:rPr>
          <w:rFonts w:ascii="Arial" w:hAnsi="Arial" w:cs="Arial"/>
          <w:kern w:val="0"/>
          <w:sz w:val="22"/>
        </w:rPr>
        <w:t>wildtype</w:t>
      </w:r>
      <w:proofErr w:type="spellEnd"/>
      <w:r w:rsidRPr="000F512C">
        <w:rPr>
          <w:rFonts w:ascii="Arial" w:hAnsi="Arial" w:cs="Arial"/>
          <w:kern w:val="0"/>
          <w:sz w:val="22"/>
        </w:rPr>
        <w:t xml:space="preserve"> mice, </w:t>
      </w:r>
      <w:r w:rsidRPr="000F512C">
        <w:rPr>
          <w:rFonts w:ascii="Arial" w:hAnsi="Arial" w:cs="Arial"/>
          <w:i/>
          <w:iCs/>
          <w:kern w:val="0"/>
          <w:sz w:val="22"/>
        </w:rPr>
        <w:t>Tlr4</w:t>
      </w:r>
      <w:r w:rsidRPr="000F512C">
        <w:rPr>
          <w:rFonts w:ascii="Arial" w:hAnsi="Arial" w:cs="Arial"/>
          <w:i/>
          <w:iCs/>
          <w:kern w:val="0"/>
          <w:sz w:val="22"/>
          <w:vertAlign w:val="superscript"/>
        </w:rPr>
        <w:t>-/-</w:t>
      </w:r>
      <w:r w:rsidRPr="000F512C">
        <w:rPr>
          <w:rFonts w:ascii="Arial" w:hAnsi="Arial" w:cs="Arial"/>
          <w:kern w:val="0"/>
          <w:sz w:val="22"/>
        </w:rPr>
        <w:t>, TLR4-knockout mice. Results are normalized to the control young-ND condition, which is arbitrarily set as 1. Data are presented as means ±SE from n=5-8 mice. #</w:t>
      </w:r>
      <w:proofErr w:type="gramStart"/>
      <w:r w:rsidRPr="000F512C">
        <w:rPr>
          <w:rFonts w:ascii="Arial" w:hAnsi="Arial" w:cs="Arial"/>
          <w:kern w:val="0"/>
          <w:sz w:val="22"/>
        </w:rPr>
        <w:t>p</w:t>
      </w:r>
      <w:proofErr w:type="gramEnd"/>
      <w:r w:rsidRPr="000F512C">
        <w:rPr>
          <w:rFonts w:ascii="Arial" w:hAnsi="Arial" w:cs="Arial"/>
          <w:kern w:val="0"/>
          <w:sz w:val="22"/>
        </w:rPr>
        <w:t>&lt;0.05 WT</w:t>
      </w:r>
      <w:bookmarkStart w:id="0" w:name="_GoBack"/>
      <w:bookmarkEnd w:id="0"/>
      <w:r w:rsidRPr="000F512C">
        <w:rPr>
          <w:rFonts w:ascii="Arial" w:hAnsi="Arial" w:cs="Arial"/>
          <w:kern w:val="0"/>
          <w:sz w:val="22"/>
        </w:rPr>
        <w:t xml:space="preserve"> vs. </w:t>
      </w:r>
      <w:r w:rsidRPr="000F512C">
        <w:rPr>
          <w:rFonts w:ascii="Arial" w:hAnsi="Arial" w:cs="Arial"/>
          <w:i/>
          <w:iCs/>
          <w:kern w:val="0"/>
          <w:sz w:val="22"/>
        </w:rPr>
        <w:t>Tlr4</w:t>
      </w:r>
      <w:r w:rsidRPr="000F512C">
        <w:rPr>
          <w:rFonts w:ascii="Arial" w:hAnsi="Arial" w:cs="Arial"/>
          <w:i/>
          <w:iCs/>
          <w:kern w:val="0"/>
          <w:sz w:val="22"/>
          <w:vertAlign w:val="superscript"/>
        </w:rPr>
        <w:t xml:space="preserve">-/- </w:t>
      </w:r>
      <w:r w:rsidRPr="000F512C">
        <w:rPr>
          <w:rFonts w:ascii="Arial" w:hAnsi="Arial" w:cs="Arial"/>
          <w:kern w:val="0"/>
          <w:sz w:val="22"/>
        </w:rPr>
        <w:t>mice.</w:t>
      </w:r>
    </w:p>
    <w:p w14:paraId="39D3DC85" w14:textId="41F05BE9" w:rsidR="001A3251" w:rsidRPr="00B908A3" w:rsidRDefault="001A3251" w:rsidP="00B908A3"/>
    <w:sectPr w:rsidR="001A3251" w:rsidRPr="00B908A3" w:rsidSect="00B9360B">
      <w:pgSz w:w="11906" w:h="16838"/>
      <w:pgMar w:top="1440" w:right="1016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01D904" w14:textId="77777777" w:rsidR="003E18CD" w:rsidRDefault="003E18CD" w:rsidP="00B6389D">
      <w:r>
        <w:separator/>
      </w:r>
    </w:p>
  </w:endnote>
  <w:endnote w:type="continuationSeparator" w:id="0">
    <w:p w14:paraId="2A3E82AC" w14:textId="77777777" w:rsidR="003E18CD" w:rsidRDefault="003E18CD" w:rsidP="00B6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976817" w14:textId="77777777" w:rsidR="003E18CD" w:rsidRDefault="003E18CD" w:rsidP="00B6389D">
      <w:r>
        <w:separator/>
      </w:r>
    </w:p>
  </w:footnote>
  <w:footnote w:type="continuationSeparator" w:id="0">
    <w:p w14:paraId="4BDCF745" w14:textId="77777777" w:rsidR="003E18CD" w:rsidRDefault="003E18CD" w:rsidP="00B63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E6EDE"/>
    <w:rsid w:val="000027AF"/>
    <w:rsid w:val="0004758A"/>
    <w:rsid w:val="000609F4"/>
    <w:rsid w:val="00074012"/>
    <w:rsid w:val="000817D5"/>
    <w:rsid w:val="0008204A"/>
    <w:rsid w:val="00094AB8"/>
    <w:rsid w:val="000A170D"/>
    <w:rsid w:val="000B4E41"/>
    <w:rsid w:val="000B54A1"/>
    <w:rsid w:val="000E65E6"/>
    <w:rsid w:val="000F142B"/>
    <w:rsid w:val="000F512C"/>
    <w:rsid w:val="001145A7"/>
    <w:rsid w:val="001A3251"/>
    <w:rsid w:val="001C5D33"/>
    <w:rsid w:val="001E0C58"/>
    <w:rsid w:val="001E630D"/>
    <w:rsid w:val="0024369F"/>
    <w:rsid w:val="002446BB"/>
    <w:rsid w:val="00263974"/>
    <w:rsid w:val="00271E7D"/>
    <w:rsid w:val="0027389B"/>
    <w:rsid w:val="00294383"/>
    <w:rsid w:val="002960C7"/>
    <w:rsid w:val="002A5B4A"/>
    <w:rsid w:val="002B1065"/>
    <w:rsid w:val="002B4D3A"/>
    <w:rsid w:val="002E6EBB"/>
    <w:rsid w:val="002F2F0A"/>
    <w:rsid w:val="003416AB"/>
    <w:rsid w:val="0034639E"/>
    <w:rsid w:val="00347832"/>
    <w:rsid w:val="00354DF1"/>
    <w:rsid w:val="00370215"/>
    <w:rsid w:val="00370E2E"/>
    <w:rsid w:val="00373D94"/>
    <w:rsid w:val="00375EA1"/>
    <w:rsid w:val="0038372C"/>
    <w:rsid w:val="003B487E"/>
    <w:rsid w:val="003B4D61"/>
    <w:rsid w:val="003B772B"/>
    <w:rsid w:val="003C1EE3"/>
    <w:rsid w:val="003C24D4"/>
    <w:rsid w:val="003E18CD"/>
    <w:rsid w:val="003F4C85"/>
    <w:rsid w:val="00411E35"/>
    <w:rsid w:val="004562A0"/>
    <w:rsid w:val="00476299"/>
    <w:rsid w:val="004935A1"/>
    <w:rsid w:val="004C0BA1"/>
    <w:rsid w:val="004D496F"/>
    <w:rsid w:val="004E7921"/>
    <w:rsid w:val="0053558B"/>
    <w:rsid w:val="00536D71"/>
    <w:rsid w:val="0056627A"/>
    <w:rsid w:val="00586A8F"/>
    <w:rsid w:val="005D1903"/>
    <w:rsid w:val="005F2D9F"/>
    <w:rsid w:val="006465C2"/>
    <w:rsid w:val="00646BA7"/>
    <w:rsid w:val="00655F4C"/>
    <w:rsid w:val="00675CF0"/>
    <w:rsid w:val="006807BE"/>
    <w:rsid w:val="006B7A0A"/>
    <w:rsid w:val="006C7C80"/>
    <w:rsid w:val="006F63EF"/>
    <w:rsid w:val="00740F36"/>
    <w:rsid w:val="00783118"/>
    <w:rsid w:val="007939B8"/>
    <w:rsid w:val="007F6051"/>
    <w:rsid w:val="008100B9"/>
    <w:rsid w:val="0088709A"/>
    <w:rsid w:val="00894CAD"/>
    <w:rsid w:val="00897DE1"/>
    <w:rsid w:val="008B049B"/>
    <w:rsid w:val="008B3917"/>
    <w:rsid w:val="008E2EA1"/>
    <w:rsid w:val="008F1EE0"/>
    <w:rsid w:val="0090381B"/>
    <w:rsid w:val="009131F6"/>
    <w:rsid w:val="00944D65"/>
    <w:rsid w:val="00956D5A"/>
    <w:rsid w:val="009C1C37"/>
    <w:rsid w:val="00A077A2"/>
    <w:rsid w:val="00A10EA0"/>
    <w:rsid w:val="00A22C4A"/>
    <w:rsid w:val="00A307DF"/>
    <w:rsid w:val="00A44D68"/>
    <w:rsid w:val="00A46AB8"/>
    <w:rsid w:val="00A57739"/>
    <w:rsid w:val="00A75BAC"/>
    <w:rsid w:val="00A801C4"/>
    <w:rsid w:val="00A97EBC"/>
    <w:rsid w:val="00AB11D7"/>
    <w:rsid w:val="00AB11F7"/>
    <w:rsid w:val="00AC7752"/>
    <w:rsid w:val="00AE6EDE"/>
    <w:rsid w:val="00B050C0"/>
    <w:rsid w:val="00B148FA"/>
    <w:rsid w:val="00B44518"/>
    <w:rsid w:val="00B6389D"/>
    <w:rsid w:val="00B908A3"/>
    <w:rsid w:val="00B93B88"/>
    <w:rsid w:val="00BB1CE8"/>
    <w:rsid w:val="00BB6D8A"/>
    <w:rsid w:val="00BC3D47"/>
    <w:rsid w:val="00BE38B6"/>
    <w:rsid w:val="00C31B86"/>
    <w:rsid w:val="00C35D3C"/>
    <w:rsid w:val="00D175BE"/>
    <w:rsid w:val="00D53B0F"/>
    <w:rsid w:val="00DB220D"/>
    <w:rsid w:val="00DC47CD"/>
    <w:rsid w:val="00DD6412"/>
    <w:rsid w:val="00E35B65"/>
    <w:rsid w:val="00E37CDE"/>
    <w:rsid w:val="00F029E6"/>
    <w:rsid w:val="00F039B7"/>
    <w:rsid w:val="00F37F41"/>
    <w:rsid w:val="00F93313"/>
    <w:rsid w:val="00FA1342"/>
    <w:rsid w:val="00FA7254"/>
    <w:rsid w:val="00FC0CFB"/>
    <w:rsid w:val="00FC5CEC"/>
    <w:rsid w:val="00FE2126"/>
    <w:rsid w:val="00FF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8ED2D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E6EDE"/>
    <w:pPr>
      <w:widowControl w:val="0"/>
      <w:jc w:val="both"/>
    </w:p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AE6EDE"/>
    <w:pPr>
      <w:widowControl/>
      <w:spacing w:line="280" w:lineRule="atLeast"/>
      <w:jc w:val="left"/>
    </w:pPr>
    <w:rPr>
      <w:rFonts w:ascii="Arial" w:eastAsia="Times New Roman" w:hAnsi="Arial" w:cs="Arial"/>
      <w:color w:val="000000"/>
      <w:kern w:val="0"/>
      <w:sz w:val="20"/>
      <w:szCs w:val="20"/>
      <w:lang w:eastAsia="en-US"/>
    </w:rPr>
  </w:style>
  <w:style w:type="paragraph" w:styleId="Kopfzeile">
    <w:name w:val="header"/>
    <w:basedOn w:val="Standard"/>
    <w:link w:val="KopfzeileZeichen"/>
    <w:uiPriority w:val="99"/>
    <w:semiHidden/>
    <w:unhideWhenUsed/>
    <w:rsid w:val="00B63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KopfzeileZeichen">
    <w:name w:val="Kopfzeile Zeichen"/>
    <w:basedOn w:val="Absatzstandardschriftart"/>
    <w:link w:val="Kopfzeile"/>
    <w:uiPriority w:val="99"/>
    <w:semiHidden/>
    <w:rsid w:val="00B6389D"/>
    <w:rPr>
      <w:sz w:val="18"/>
      <w:szCs w:val="18"/>
    </w:rPr>
  </w:style>
  <w:style w:type="paragraph" w:styleId="Fuzeile">
    <w:name w:val="footer"/>
    <w:basedOn w:val="Standard"/>
    <w:link w:val="FuzeileZeichen"/>
    <w:uiPriority w:val="99"/>
    <w:semiHidden/>
    <w:unhideWhenUsed/>
    <w:rsid w:val="00B638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uzeileZeichen">
    <w:name w:val="Fußzeile Zeichen"/>
    <w:basedOn w:val="Absatzstandardschriftart"/>
    <w:link w:val="Fuzeile"/>
    <w:uiPriority w:val="99"/>
    <w:semiHidden/>
    <w:rsid w:val="00B6389D"/>
    <w:rPr>
      <w:sz w:val="18"/>
      <w:szCs w:val="18"/>
    </w:rPr>
  </w:style>
  <w:style w:type="character" w:styleId="Link">
    <w:name w:val="Hyperlink"/>
    <w:basedOn w:val="Absatzstandardschriftart"/>
    <w:uiPriority w:val="99"/>
    <w:unhideWhenUsed/>
    <w:rsid w:val="00271E7D"/>
    <w:rPr>
      <w:color w:val="0000FF" w:themeColor="hyperlink"/>
      <w:u w:val="single"/>
    </w:rPr>
  </w:style>
  <w:style w:type="character" w:styleId="GesichteterLink">
    <w:name w:val="FollowedHyperlink"/>
    <w:basedOn w:val="Absatzstandardschriftart"/>
    <w:uiPriority w:val="99"/>
    <w:semiHidden/>
    <w:unhideWhenUsed/>
    <w:rsid w:val="001A3251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B908A3"/>
    <w:pPr>
      <w:ind w:firstLineChars="200" w:firstLine="420"/>
    </w:pPr>
  </w:style>
  <w:style w:type="paragraph" w:styleId="Textkrper3">
    <w:name w:val="Body Text 3"/>
    <w:basedOn w:val="Standard"/>
    <w:link w:val="Textkrper3Zeichen"/>
    <w:uiPriority w:val="99"/>
    <w:unhideWhenUsed/>
    <w:rsid w:val="002960C7"/>
    <w:pPr>
      <w:spacing w:after="120"/>
    </w:pPr>
    <w:rPr>
      <w:sz w:val="16"/>
      <w:szCs w:val="16"/>
    </w:rPr>
  </w:style>
  <w:style w:type="character" w:customStyle="1" w:styleId="Textkrper3Zeichen">
    <w:name w:val="Textkörper 3 Zeichen"/>
    <w:basedOn w:val="Absatzstandardschriftart"/>
    <w:link w:val="Textkrper3"/>
    <w:uiPriority w:val="99"/>
    <w:rsid w:val="002960C7"/>
    <w:rPr>
      <w:sz w:val="16"/>
      <w:szCs w:val="16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C47CD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DC47C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9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1256</Characters>
  <Application>Microsoft Macintosh Word</Application>
  <DocSecurity>0</DocSecurity>
  <Lines>69</Lines>
  <Paragraphs>54</Paragraphs>
  <ScaleCrop>false</ScaleCrop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 He</dc:creator>
  <cp:lastModifiedBy>Kathrin Mädler</cp:lastModifiedBy>
  <cp:revision>13</cp:revision>
  <dcterms:created xsi:type="dcterms:W3CDTF">2017-03-20T09:23:00Z</dcterms:created>
  <dcterms:modified xsi:type="dcterms:W3CDTF">2017-12-21T14:00:00Z</dcterms:modified>
</cp:coreProperties>
</file>