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28D" w:rsidRPr="00D9228D" w:rsidRDefault="00D9228D" w:rsidP="00D9228D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5D1EB0">
        <w:rPr>
          <w:rFonts w:ascii="Times New Roman" w:hAnsi="Times New Roman" w:cs="Times New Roman"/>
          <w:b/>
          <w:color w:val="000000"/>
        </w:rPr>
        <w:t xml:space="preserve">Identification of putative promoters in 48 </w:t>
      </w:r>
      <w:r w:rsidRPr="005D1EB0">
        <w:rPr>
          <w:rFonts w:ascii="Times New Roman" w:hAnsi="Times New Roman" w:cs="Times New Roman"/>
          <w:b/>
        </w:rPr>
        <w:t>eukaryotic</w:t>
      </w:r>
      <w:r w:rsidRPr="005D1EB0">
        <w:rPr>
          <w:rFonts w:ascii="Times New Roman" w:hAnsi="Times New Roman" w:cs="Times New Roman"/>
          <w:b/>
          <w:color w:val="000000"/>
        </w:rPr>
        <w:t xml:space="preserve"> genomes on the basis of DNA free energy</w:t>
      </w:r>
    </w:p>
    <w:p w:rsidR="00C17A0F" w:rsidRDefault="00C17A0F" w:rsidP="00D9228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82880" w:rsidRPr="004B12DB" w:rsidRDefault="00082880" w:rsidP="00082880">
      <w:pPr>
        <w:spacing w:line="360" w:lineRule="auto"/>
        <w:jc w:val="both"/>
      </w:pPr>
      <w:r w:rsidRPr="004B12DB">
        <w:rPr>
          <w:rFonts w:ascii="Times New Roman" w:hAnsi="Times New Roman" w:cs="Times New Roman"/>
          <w:b/>
        </w:rPr>
        <w:t>[</w:t>
      </w:r>
      <w:r w:rsidRPr="004B12DB">
        <w:rPr>
          <w:rFonts w:ascii="Times New Roman" w:hAnsi="Times New Roman" w:cs="Times New Roman"/>
          <w:b/>
          <w:bCs/>
          <w:iCs/>
        </w:rPr>
        <w:t>Venkata Rajesh Yella</w:t>
      </w:r>
      <w:r w:rsidRPr="004B12DB">
        <w:rPr>
          <w:rFonts w:ascii="Times New Roman" w:hAnsi="Times New Roman" w:cs="Times New Roman"/>
          <w:b/>
          <w:bCs/>
          <w:iCs/>
          <w:vertAlign w:val="superscript"/>
        </w:rPr>
        <w:t>1,</w:t>
      </w:r>
      <w:r w:rsidR="003F23D3">
        <w:rPr>
          <w:rFonts w:ascii="Times New Roman" w:hAnsi="Times New Roman" w:cs="Times New Roman"/>
          <w:b/>
          <w:bCs/>
          <w:iCs/>
          <w:vertAlign w:val="superscript"/>
        </w:rPr>
        <w:t xml:space="preserve"> </w:t>
      </w:r>
      <w:r w:rsidRPr="004B12DB">
        <w:rPr>
          <w:rFonts w:ascii="Times New Roman" w:hAnsi="Times New Roman" w:cs="Times New Roman"/>
          <w:b/>
          <w:bCs/>
          <w:iCs/>
          <w:vertAlign w:val="superscript"/>
        </w:rPr>
        <w:t>2</w:t>
      </w:r>
      <w:r w:rsidRPr="004B12DB">
        <w:rPr>
          <w:rFonts w:ascii="Times New Roman" w:hAnsi="Times New Roman" w:cs="Times New Roman"/>
          <w:b/>
          <w:bCs/>
          <w:iCs/>
        </w:rPr>
        <w:t>, Aditya Kumar</w:t>
      </w:r>
      <w:r w:rsidRPr="004B12DB">
        <w:rPr>
          <w:rFonts w:ascii="Times New Roman" w:hAnsi="Times New Roman" w:cs="Times New Roman"/>
          <w:b/>
          <w:bCs/>
          <w:iCs/>
          <w:vertAlign w:val="superscript"/>
        </w:rPr>
        <w:t>1,</w:t>
      </w:r>
      <w:r w:rsidR="003F23D3">
        <w:rPr>
          <w:rFonts w:ascii="Times New Roman" w:hAnsi="Times New Roman" w:cs="Times New Roman"/>
          <w:b/>
          <w:bCs/>
          <w:iCs/>
          <w:vertAlign w:val="superscript"/>
        </w:rPr>
        <w:t xml:space="preserve"> </w:t>
      </w:r>
      <w:r w:rsidRPr="004B12DB">
        <w:rPr>
          <w:rFonts w:ascii="Times New Roman" w:hAnsi="Times New Roman" w:cs="Times New Roman"/>
          <w:b/>
          <w:bCs/>
          <w:iCs/>
          <w:vertAlign w:val="superscript"/>
        </w:rPr>
        <w:t>3</w:t>
      </w:r>
      <w:r>
        <w:rPr>
          <w:rFonts w:ascii="Times New Roman" w:hAnsi="Times New Roman" w:cs="Times New Roman"/>
          <w:b/>
          <w:bCs/>
          <w:iCs/>
        </w:rPr>
        <w:t xml:space="preserve"> a</w:t>
      </w:r>
      <w:r w:rsidRPr="004B12DB">
        <w:rPr>
          <w:rFonts w:ascii="Times New Roman" w:hAnsi="Times New Roman" w:cs="Times New Roman"/>
          <w:b/>
          <w:bCs/>
          <w:iCs/>
        </w:rPr>
        <w:t>nd Manju Bansal</w:t>
      </w:r>
      <w:r w:rsidRPr="004B12DB">
        <w:rPr>
          <w:rFonts w:ascii="Times New Roman" w:hAnsi="Times New Roman" w:cs="Times New Roman"/>
          <w:b/>
          <w:bCs/>
          <w:iCs/>
          <w:vertAlign w:val="superscript"/>
        </w:rPr>
        <w:t>1, *</w:t>
      </w:r>
      <w:r w:rsidRPr="004B12DB">
        <w:rPr>
          <w:rFonts w:ascii="Times New Roman" w:hAnsi="Times New Roman" w:cs="Times New Roman"/>
        </w:rPr>
        <w:t>]</w:t>
      </w:r>
    </w:p>
    <w:p w:rsidR="00082880" w:rsidRDefault="00082880" w:rsidP="00082880">
      <w:pPr>
        <w:spacing w:line="360" w:lineRule="auto"/>
        <w:jc w:val="both"/>
      </w:pPr>
    </w:p>
    <w:p w:rsidR="00082880" w:rsidRDefault="00082880" w:rsidP="00082880">
      <w:pPr>
        <w:spacing w:line="360" w:lineRule="auto"/>
        <w:jc w:val="both"/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Molecular Biophysics Unit, Indian Institute of Science, Bangalore, Karnataka, India 560012</w:t>
      </w:r>
    </w:p>
    <w:p w:rsidR="004910EA" w:rsidRDefault="00082880" w:rsidP="000828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="004910EA">
        <w:rPr>
          <w:rFonts w:ascii="Times New Roman" w:hAnsi="Times New Roman" w:cs="Times New Roman"/>
        </w:rPr>
        <w:t xml:space="preserve">Department of Biotechnology, </w:t>
      </w:r>
      <w:r w:rsidR="004910EA" w:rsidRPr="008730DC">
        <w:rPr>
          <w:rFonts w:ascii="Times New Roman" w:hAnsi="Times New Roman" w:cs="Times New Roman"/>
          <w:bCs/>
          <w:color w:val="000000" w:themeColor="text1"/>
        </w:rPr>
        <w:t>Koneru Lakshmaiah Education Foundation, Vaddeswaram, Guntur, Andhra Pradesh, India522502</w:t>
      </w:r>
    </w:p>
    <w:p w:rsidR="00082880" w:rsidRPr="0022634C" w:rsidRDefault="00082880" w:rsidP="00082880">
      <w:pPr>
        <w:spacing w:line="360" w:lineRule="auto"/>
        <w:jc w:val="both"/>
      </w:pPr>
      <w:r w:rsidRPr="0022634C">
        <w:rPr>
          <w:vertAlign w:val="superscript"/>
        </w:rPr>
        <w:t>3</w:t>
      </w:r>
      <w:r w:rsidRPr="0022634C">
        <w:t>Present address: Department of Molecular Biology and Biotechnology, Tezpur University, Tezpur, Napaam, Assam, India 784028</w:t>
      </w:r>
    </w:p>
    <w:p w:rsidR="00082880" w:rsidRDefault="00082880" w:rsidP="00082880">
      <w:pPr>
        <w:spacing w:line="360" w:lineRule="auto"/>
        <w:jc w:val="both"/>
      </w:pPr>
    </w:p>
    <w:p w:rsidR="00082880" w:rsidRDefault="00082880" w:rsidP="00082880">
      <w:pPr>
        <w:spacing w:line="360" w:lineRule="auto"/>
      </w:pPr>
      <w:r w:rsidRPr="00D742A2">
        <w:rPr>
          <w:rFonts w:ascii="Times New Roman" w:hAnsi="Times New Roman" w:cs="Times New Roman"/>
          <w:bCs/>
          <w:iCs/>
          <w:vertAlign w:val="superscript"/>
        </w:rPr>
        <w:t>*</w:t>
      </w:r>
      <w:r>
        <w:rPr>
          <w:rFonts w:ascii="Times New Roman" w:hAnsi="Times New Roman" w:cs="Times New Roman"/>
        </w:rPr>
        <w:t xml:space="preserve">Corresponding author: </w:t>
      </w:r>
      <w:r>
        <w:rPr>
          <w:rFonts w:ascii="Times New Roman" w:hAnsi="Times New Roman" w:cs="Times New Roman"/>
          <w:b/>
          <w:bCs/>
          <w:i/>
          <w:iCs/>
        </w:rPr>
        <w:t>Manju Bansal</w:t>
      </w:r>
    </w:p>
    <w:p w:rsidR="00C17A0F" w:rsidRDefault="00082880">
      <w:pPr>
        <w:rPr>
          <w:rFonts w:ascii="Times New Roman" w:hAnsi="Times New Roman" w:cs="Times New Roman"/>
          <w:b/>
          <w:bCs/>
        </w:rPr>
      </w:pPr>
      <w:r>
        <w:t xml:space="preserve">Email: </w:t>
      </w:r>
      <w:hyperlink r:id="rId6" w:history="1">
        <w:r w:rsidRPr="00D47D22">
          <w:rPr>
            <w:rStyle w:val="Hyperlink"/>
          </w:rPr>
          <w:t>mb@iisc.ac.in</w:t>
        </w:r>
      </w:hyperlink>
    </w:p>
    <w:p w:rsidR="00082880" w:rsidRDefault="000828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C24DA7" w:rsidRDefault="00C24DA7" w:rsidP="00C24D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5270500" cy="236918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DA7" w:rsidRDefault="00C24DA7" w:rsidP="00C24DA7">
      <w:pPr>
        <w:spacing w:line="360" w:lineRule="auto"/>
        <w:jc w:val="both"/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1: GC percent distribution in different regions relative to transcription start site</w:t>
      </w:r>
      <w:r w:rsidR="00F4301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(TSS</w:t>
      </w:r>
      <w:r w:rsidR="00F4301B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>. The mean GC percent in the various promoter regions are calculated and shown as bars. For comparison, whole genome GC percentages are also displayed. In lower eukaryotes (</w:t>
      </w:r>
      <w:r>
        <w:rPr>
          <w:rFonts w:ascii="Times New Roman" w:hAnsi="Times New Roman" w:cs="Times New Roman"/>
          <w:i/>
          <w:iCs/>
        </w:rPr>
        <w:t>S. cerevisiae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C. elegans,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i/>
          <w:iCs/>
        </w:rPr>
        <w:t>D. melanogaster</w:t>
      </w:r>
      <w:r>
        <w:rPr>
          <w:rFonts w:ascii="Times New Roman" w:hAnsi="Times New Roman" w:cs="Times New Roman"/>
        </w:rPr>
        <w:t xml:space="preserve">), the GC percentage of core promoter region (-100 to -1 region) is </w:t>
      </w:r>
      <w:r w:rsidRPr="00AD5CC1">
        <w:rPr>
          <w:rFonts w:ascii="Times New Roman" w:hAnsi="Times New Roman" w:cs="Times New Roman"/>
        </w:rPr>
        <w:t>l</w:t>
      </w:r>
      <w:r w:rsidR="00BC5100" w:rsidRPr="00AD5CC1">
        <w:rPr>
          <w:rFonts w:ascii="Times New Roman" w:hAnsi="Times New Roman" w:cs="Times New Roman"/>
        </w:rPr>
        <w:t>ower</w:t>
      </w:r>
      <w:r>
        <w:rPr>
          <w:rFonts w:ascii="Times New Roman" w:hAnsi="Times New Roman" w:cs="Times New Roman"/>
        </w:rPr>
        <w:t xml:space="preserve"> compared to </w:t>
      </w:r>
      <w:r w:rsidR="00BC5100" w:rsidRPr="00AD5CC1">
        <w:rPr>
          <w:rFonts w:ascii="Times New Roman" w:hAnsi="Times New Roman" w:cs="Times New Roman"/>
        </w:rPr>
        <w:t>whole genome as well as</w:t>
      </w:r>
      <w:r>
        <w:rPr>
          <w:rFonts w:ascii="Times New Roman" w:hAnsi="Times New Roman" w:cs="Times New Roman"/>
        </w:rPr>
        <w:t xml:space="preserve"> other promoter regions (-500 to -100, +1 to +100 and +100 to +500) while in mouse and human, the results are quite opposite.</w:t>
      </w:r>
    </w:p>
    <w:p w:rsidR="00C24DA7" w:rsidRDefault="00C24D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4558F1" w:rsidRDefault="004558F1" w:rsidP="004558F1">
      <w:pPr>
        <w:rPr>
          <w:rFonts w:ascii="Times New Roman" w:hAnsi="Times New Roman" w:cs="Times New Roman"/>
          <w:b/>
          <w:bCs/>
        </w:rPr>
      </w:pPr>
    </w:p>
    <w:p w:rsidR="004558F1" w:rsidRDefault="004558F1" w:rsidP="004558F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0500" cy="4596765"/>
            <wp:effectExtent l="0" t="0" r="1270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8F1" w:rsidRDefault="000C55ED" w:rsidP="00BA34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2</w:t>
      </w:r>
      <w:r w:rsidR="004558F1">
        <w:rPr>
          <w:rFonts w:ascii="Times New Roman" w:hAnsi="Times New Roman" w:cs="Times New Roman"/>
          <w:b/>
          <w:bCs/>
        </w:rPr>
        <w:t xml:space="preserve">: Correlation between </w:t>
      </w:r>
      <w:r w:rsidR="00E44CE0">
        <w:rPr>
          <w:rFonts w:ascii="Times New Roman" w:hAnsi="Times New Roman" w:cs="Times New Roman"/>
          <w:b/>
          <w:bCs/>
        </w:rPr>
        <w:t>R</w:t>
      </w:r>
      <w:r w:rsidR="004558F1">
        <w:rPr>
          <w:rFonts w:ascii="Times New Roman" w:hAnsi="Times New Roman" w:cs="Times New Roman"/>
          <w:b/>
          <w:bCs/>
        </w:rPr>
        <w:t>ecall and Genome GC percentage in 14 yeast species</w:t>
      </w:r>
      <w:r w:rsidR="004558F1">
        <w:rPr>
          <w:rFonts w:ascii="Times New Roman" w:hAnsi="Times New Roman" w:cs="Times New Roman"/>
        </w:rPr>
        <w:t>. Pearson’s correlation coefficient (R) has been calculated. R and P-value</w:t>
      </w:r>
      <w:r w:rsidR="007562D9">
        <w:rPr>
          <w:rFonts w:ascii="Times New Roman" w:hAnsi="Times New Roman" w:cs="Times New Roman"/>
        </w:rPr>
        <w:t>s</w:t>
      </w:r>
      <w:r w:rsidR="004558F1">
        <w:rPr>
          <w:rFonts w:ascii="Times New Roman" w:hAnsi="Times New Roman" w:cs="Times New Roman"/>
        </w:rPr>
        <w:t xml:space="preserve"> suggest that recall is </w:t>
      </w:r>
      <w:r w:rsidR="00E44CE0" w:rsidRPr="00AD5CC1">
        <w:rPr>
          <w:rFonts w:ascii="Times New Roman" w:hAnsi="Times New Roman" w:cs="Times New Roman"/>
        </w:rPr>
        <w:t>negatively</w:t>
      </w:r>
      <w:r w:rsidR="00953CEA">
        <w:rPr>
          <w:rFonts w:ascii="Times New Roman" w:hAnsi="Times New Roman" w:cs="Times New Roman"/>
        </w:rPr>
        <w:t xml:space="preserve"> </w:t>
      </w:r>
      <w:r w:rsidR="004558F1">
        <w:rPr>
          <w:rFonts w:ascii="Times New Roman" w:hAnsi="Times New Roman" w:cs="Times New Roman"/>
        </w:rPr>
        <w:t xml:space="preserve">correlated </w:t>
      </w:r>
      <w:r w:rsidR="00E44CE0">
        <w:rPr>
          <w:rFonts w:ascii="Times New Roman" w:hAnsi="Times New Roman" w:cs="Times New Roman"/>
        </w:rPr>
        <w:t>with</w:t>
      </w:r>
      <w:r w:rsidR="004558F1">
        <w:rPr>
          <w:rFonts w:ascii="Times New Roman" w:hAnsi="Times New Roman" w:cs="Times New Roman"/>
        </w:rPr>
        <w:t xml:space="preserve"> genome GC</w:t>
      </w:r>
      <w:r w:rsidR="00953CEA">
        <w:rPr>
          <w:rFonts w:ascii="Times New Roman" w:hAnsi="Times New Roman" w:cs="Times New Roman"/>
        </w:rPr>
        <w:t xml:space="preserve"> </w:t>
      </w:r>
      <w:r w:rsidR="00E44CE0" w:rsidRPr="00AD5CC1">
        <w:rPr>
          <w:rFonts w:ascii="Times New Roman" w:hAnsi="Times New Roman" w:cs="Times New Roman"/>
        </w:rPr>
        <w:t>content</w:t>
      </w:r>
      <w:r w:rsidR="004558F1">
        <w:rPr>
          <w:rFonts w:ascii="Times New Roman" w:hAnsi="Times New Roman" w:cs="Times New Roman"/>
        </w:rPr>
        <w:t xml:space="preserve"> in yeast species.</w:t>
      </w:r>
    </w:p>
    <w:p w:rsidR="00E14BFF" w:rsidRDefault="00E14B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14BFF" w:rsidRPr="00B26323" w:rsidRDefault="00AA57B8" w:rsidP="00E14BF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5270500" cy="4802505"/>
            <wp:effectExtent l="0" t="0" r="1270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35BB"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 w:rsidR="007562D9">
        <w:rPr>
          <w:rFonts w:ascii="Times New Roman" w:hAnsi="Times New Roman" w:cs="Times New Roman"/>
          <w:b/>
          <w:bCs/>
        </w:rPr>
        <w:t>3</w:t>
      </w:r>
      <w:r w:rsidR="00E14BFF" w:rsidRPr="00B26323">
        <w:rPr>
          <w:rFonts w:ascii="Times New Roman" w:hAnsi="Times New Roman" w:cs="Times New Roman"/>
          <w:b/>
          <w:bCs/>
        </w:rPr>
        <w:t>: Positional distribution of A-tracts in promoter regions of different eukaryotes</w:t>
      </w:r>
      <w:r w:rsidR="00E14BFF" w:rsidRPr="00B26323">
        <w:rPr>
          <w:rFonts w:ascii="Times New Roman" w:hAnsi="Times New Roman" w:cs="Times New Roman"/>
        </w:rPr>
        <w:t>.</w:t>
      </w:r>
      <w:r w:rsidR="00423945">
        <w:rPr>
          <w:rFonts w:ascii="Times New Roman" w:hAnsi="Times New Roman" w:cs="Times New Roman"/>
        </w:rPr>
        <w:t xml:space="preserve"> </w:t>
      </w:r>
      <w:r w:rsidR="00E14BFF" w:rsidRPr="00B26323">
        <w:rPr>
          <w:rFonts w:ascii="Times New Roman" w:eastAsia="CMMI10" w:hAnsi="Times New Roman" w:cs="Times New Roman"/>
        </w:rPr>
        <w:t>A</w:t>
      </w:r>
      <w:r w:rsidR="00E14BFF" w:rsidRPr="00B26323">
        <w:rPr>
          <w:rFonts w:ascii="Times New Roman" w:hAnsi="Times New Roman" w:cs="Times New Roman"/>
        </w:rPr>
        <w:t xml:space="preserve">7 or </w:t>
      </w:r>
      <w:r w:rsidR="00E14BFF" w:rsidRPr="00B26323">
        <w:rPr>
          <w:rFonts w:ascii="Times New Roman" w:eastAsia="CMMI10" w:hAnsi="Times New Roman" w:cs="Times New Roman"/>
        </w:rPr>
        <w:t>T</w:t>
      </w:r>
      <w:r w:rsidR="00E14BFF" w:rsidRPr="00B26323">
        <w:rPr>
          <w:rFonts w:ascii="Times New Roman" w:hAnsi="Times New Roman" w:cs="Times New Roman"/>
        </w:rPr>
        <w:t>7 motifs are searched in -500 to +500 region relative TLS and summed at each nucleotide</w:t>
      </w:r>
      <w:r w:rsidR="00423945">
        <w:rPr>
          <w:rFonts w:ascii="Times New Roman" w:hAnsi="Times New Roman" w:cs="Times New Roman"/>
        </w:rPr>
        <w:t xml:space="preserve"> </w:t>
      </w:r>
      <w:r w:rsidR="00E14BFF" w:rsidRPr="00B26323">
        <w:rPr>
          <w:rFonts w:ascii="Times New Roman" w:hAnsi="Times New Roman" w:cs="Times New Roman"/>
        </w:rPr>
        <w:t>position and plotted. A-tracts are comparatively enriched in upstream regions of TLS in majority of</w:t>
      </w:r>
      <w:r w:rsidR="00423945">
        <w:rPr>
          <w:rFonts w:ascii="Times New Roman" w:hAnsi="Times New Roman" w:cs="Times New Roman"/>
        </w:rPr>
        <w:t xml:space="preserve"> </w:t>
      </w:r>
      <w:r w:rsidR="00E14BFF" w:rsidRPr="00B26323">
        <w:rPr>
          <w:rFonts w:ascii="Times New Roman" w:hAnsi="Times New Roman" w:cs="Times New Roman"/>
        </w:rPr>
        <w:t>eukaryotic systems. Color codes for the background of subplots (white for fungi, yellow for worms,</w:t>
      </w:r>
      <w:r w:rsidR="00423945">
        <w:rPr>
          <w:rFonts w:ascii="Times New Roman" w:hAnsi="Times New Roman" w:cs="Times New Roman"/>
        </w:rPr>
        <w:t xml:space="preserve"> </w:t>
      </w:r>
      <w:r w:rsidR="00E14BFF" w:rsidRPr="00B26323">
        <w:rPr>
          <w:rFonts w:ascii="Times New Roman" w:hAnsi="Times New Roman" w:cs="Times New Roman"/>
        </w:rPr>
        <w:t>purple for flys, cyan for marine invertebrates, green for fishes and pink for mammals and bird) have</w:t>
      </w:r>
      <w:r w:rsidR="00423945">
        <w:rPr>
          <w:rFonts w:ascii="Times New Roman" w:hAnsi="Times New Roman" w:cs="Times New Roman"/>
        </w:rPr>
        <w:t xml:space="preserve"> </w:t>
      </w:r>
      <w:r w:rsidR="00E14BFF" w:rsidRPr="00B26323">
        <w:rPr>
          <w:rFonts w:ascii="Times New Roman" w:hAnsi="Times New Roman" w:cs="Times New Roman"/>
        </w:rPr>
        <w:t xml:space="preserve">been used to differentiate between different domains of life. Fungal species, </w:t>
      </w:r>
      <w:r w:rsidR="00E14BFF" w:rsidRPr="00B26323">
        <w:rPr>
          <w:rFonts w:ascii="Times New Roman" w:hAnsi="Times New Roman" w:cs="Times New Roman"/>
          <w:i/>
          <w:iCs/>
        </w:rPr>
        <w:t>S. cerevisiae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S. castellii</w:t>
      </w:r>
      <w:r w:rsidR="00E14BFF" w:rsidRPr="00B26323">
        <w:rPr>
          <w:rFonts w:ascii="Times New Roman" w:hAnsi="Times New Roman" w:cs="Times New Roman"/>
        </w:rPr>
        <w:t>,</w:t>
      </w:r>
      <w:r w:rsidR="007562D9">
        <w:rPr>
          <w:rFonts w:ascii="Times New Roman" w:hAnsi="Times New Roman" w:cs="Times New Roman"/>
        </w:rPr>
        <w:t xml:space="preserve"> </w:t>
      </w:r>
      <w:r w:rsidR="00E14BFF" w:rsidRPr="00B26323">
        <w:rPr>
          <w:rFonts w:ascii="Times New Roman" w:hAnsi="Times New Roman" w:cs="Times New Roman"/>
          <w:i/>
          <w:iCs/>
        </w:rPr>
        <w:t>S. bayanus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S. kluyveri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S. kudriazvevii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S. mikatae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S. paradoxus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C. albicans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C. dubliniensis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C.</w:t>
      </w:r>
      <w:r w:rsidR="007562D9">
        <w:rPr>
          <w:rFonts w:ascii="Times New Roman" w:hAnsi="Times New Roman" w:cs="Times New Roman"/>
          <w:i/>
          <w:iCs/>
        </w:rPr>
        <w:t xml:space="preserve"> </w:t>
      </w:r>
      <w:r w:rsidR="00E14BFF" w:rsidRPr="00B26323">
        <w:rPr>
          <w:rFonts w:ascii="Times New Roman" w:hAnsi="Times New Roman" w:cs="Times New Roman"/>
          <w:i/>
          <w:iCs/>
        </w:rPr>
        <w:t>glabrata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C. lusitaniae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>C. tropicalis</w:t>
      </w:r>
      <w:r w:rsidR="00E14BFF" w:rsidRPr="00B26323">
        <w:rPr>
          <w:rFonts w:ascii="Times New Roman" w:hAnsi="Times New Roman" w:cs="Times New Roman"/>
        </w:rPr>
        <w:t xml:space="preserve">, </w:t>
      </w:r>
      <w:r w:rsidR="00E14BFF" w:rsidRPr="00B26323">
        <w:rPr>
          <w:rFonts w:ascii="Times New Roman" w:hAnsi="Times New Roman" w:cs="Times New Roman"/>
          <w:i/>
          <w:iCs/>
        </w:rPr>
        <w:t xml:space="preserve">D. hansenii </w:t>
      </w:r>
      <w:r w:rsidR="00E14BFF" w:rsidRPr="00B26323">
        <w:rPr>
          <w:rFonts w:ascii="Times New Roman" w:hAnsi="Times New Roman" w:cs="Times New Roman"/>
        </w:rPr>
        <w:t xml:space="preserve">and </w:t>
      </w:r>
      <w:r w:rsidR="00E14BFF" w:rsidRPr="00B26323">
        <w:rPr>
          <w:rFonts w:ascii="Times New Roman" w:hAnsi="Times New Roman" w:cs="Times New Roman"/>
          <w:i/>
          <w:iCs/>
        </w:rPr>
        <w:t xml:space="preserve">L. elongisporus </w:t>
      </w:r>
      <w:r w:rsidR="00E14BFF" w:rsidRPr="00B26323">
        <w:rPr>
          <w:rFonts w:ascii="Times New Roman" w:hAnsi="Times New Roman" w:cs="Times New Roman"/>
        </w:rPr>
        <w:t xml:space="preserve">show high prevalence of </w:t>
      </w:r>
      <w:r w:rsidR="00E14BFF" w:rsidRPr="00B26323">
        <w:rPr>
          <w:rFonts w:ascii="Times New Roman" w:eastAsia="CMMI10" w:hAnsi="Times New Roman" w:cs="Times New Roman"/>
        </w:rPr>
        <w:t>A</w:t>
      </w:r>
      <w:r w:rsidR="00E14BFF" w:rsidRPr="00B26323">
        <w:rPr>
          <w:rFonts w:ascii="Times New Roman" w:hAnsi="Times New Roman" w:cs="Times New Roman"/>
        </w:rPr>
        <w:t>7 or</w:t>
      </w:r>
      <w:r w:rsidR="00E14BFF" w:rsidRPr="00B26323">
        <w:rPr>
          <w:rFonts w:ascii="Times New Roman" w:eastAsia="CMMI10" w:hAnsi="Times New Roman" w:cs="Times New Roman"/>
        </w:rPr>
        <w:t>T</w:t>
      </w:r>
      <w:r w:rsidR="00E14BFF" w:rsidRPr="00B26323">
        <w:rPr>
          <w:rFonts w:ascii="Times New Roman" w:hAnsi="Times New Roman" w:cs="Times New Roman"/>
        </w:rPr>
        <w:t>7 just upstream of TLS.</w:t>
      </w:r>
    </w:p>
    <w:p w:rsidR="00E935BB" w:rsidRDefault="00E14BFF" w:rsidP="00AA57B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AA57B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5270500" cy="4830445"/>
            <wp:effectExtent l="0" t="0" r="1270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35BB"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 w:rsidR="007562D9">
        <w:rPr>
          <w:rFonts w:ascii="Times New Roman" w:hAnsi="Times New Roman" w:cs="Times New Roman"/>
          <w:b/>
          <w:bCs/>
        </w:rPr>
        <w:t>4</w:t>
      </w:r>
      <w:r w:rsidR="00AA57B8" w:rsidRPr="00B26323">
        <w:rPr>
          <w:rFonts w:ascii="Times New Roman" w:hAnsi="Times New Roman" w:cs="Times New Roman"/>
          <w:b/>
          <w:bCs/>
        </w:rPr>
        <w:t xml:space="preserve">: </w:t>
      </w:r>
      <w:r w:rsidR="00DB56E6">
        <w:rPr>
          <w:rFonts w:ascii="Times New Roman" w:hAnsi="Times New Roman" w:cs="Times New Roman"/>
          <w:b/>
          <w:bCs/>
        </w:rPr>
        <w:t>Positional d</w:t>
      </w:r>
      <w:r w:rsidR="00AA57B8" w:rsidRPr="00B26323">
        <w:rPr>
          <w:rFonts w:ascii="Times New Roman" w:hAnsi="Times New Roman" w:cs="Times New Roman"/>
          <w:b/>
          <w:bCs/>
        </w:rPr>
        <w:t>istribution of</w:t>
      </w:r>
      <w:r w:rsidR="0028396F">
        <w:rPr>
          <w:rFonts w:ascii="Times New Roman" w:hAnsi="Times New Roman" w:cs="Times New Roman"/>
          <w:b/>
          <w:bCs/>
        </w:rPr>
        <w:t xml:space="preserve"> potential</w:t>
      </w:r>
      <w:r w:rsidR="00AA57B8" w:rsidRPr="00B26323">
        <w:rPr>
          <w:rFonts w:ascii="Times New Roman" w:hAnsi="Times New Roman" w:cs="Times New Roman"/>
          <w:b/>
          <w:bCs/>
        </w:rPr>
        <w:t xml:space="preserve"> G-quadruplexes in promoter regions of</w:t>
      </w:r>
      <w:r w:rsidR="00423945">
        <w:rPr>
          <w:rFonts w:ascii="Times New Roman" w:hAnsi="Times New Roman" w:cs="Times New Roman"/>
          <w:b/>
          <w:bCs/>
        </w:rPr>
        <w:t xml:space="preserve"> </w:t>
      </w:r>
      <w:r w:rsidR="00AA57B8" w:rsidRPr="00B26323">
        <w:rPr>
          <w:rFonts w:ascii="Times New Roman" w:hAnsi="Times New Roman" w:cs="Times New Roman"/>
          <w:b/>
          <w:bCs/>
        </w:rPr>
        <w:t>different eukaryotes</w:t>
      </w:r>
      <w:r w:rsidR="00AA57B8" w:rsidRPr="00B26323">
        <w:rPr>
          <w:rFonts w:ascii="Times New Roman" w:hAnsi="Times New Roman" w:cs="Times New Roman"/>
        </w:rPr>
        <w:t xml:space="preserve">. The regular expression </w:t>
      </w:r>
      <w:r w:rsidR="00AA57B8" w:rsidRPr="00B26323">
        <w:rPr>
          <w:rFonts w:ascii="Times New Roman" w:eastAsia="CMMI10" w:hAnsi="Times New Roman" w:cs="Times New Roman"/>
        </w:rPr>
        <w:t>G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eastAsia="CMMI10" w:hAnsi="Times New Roman" w:cs="Times New Roman"/>
        </w:rPr>
        <w:t>N</w:t>
      </w:r>
      <w:r w:rsidR="00AA57B8" w:rsidRPr="00B26323">
        <w:rPr>
          <w:rFonts w:ascii="Times New Roman" w:hAnsi="Times New Roman" w:cs="Times New Roman"/>
          <w:vertAlign w:val="subscript"/>
        </w:rPr>
        <w:t>1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7</w:t>
      </w:r>
      <w:r w:rsidR="00AA57B8" w:rsidRPr="00B26323">
        <w:rPr>
          <w:rFonts w:ascii="Times New Roman" w:eastAsia="CMMI10" w:hAnsi="Times New Roman" w:cs="Times New Roman"/>
        </w:rPr>
        <w:t>G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eastAsia="CMMI10" w:hAnsi="Times New Roman" w:cs="Times New Roman"/>
        </w:rPr>
        <w:t>N</w:t>
      </w:r>
      <w:r w:rsidR="00AA57B8" w:rsidRPr="00B26323">
        <w:rPr>
          <w:rFonts w:ascii="Times New Roman" w:hAnsi="Times New Roman" w:cs="Times New Roman"/>
          <w:vertAlign w:val="subscript"/>
        </w:rPr>
        <w:t>1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7</w:t>
      </w:r>
      <w:r w:rsidR="00AA57B8" w:rsidRPr="00B26323">
        <w:rPr>
          <w:rFonts w:ascii="Times New Roman" w:eastAsia="CMMI10" w:hAnsi="Times New Roman" w:cs="Times New Roman"/>
        </w:rPr>
        <w:t>G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eastAsia="CMMI10" w:hAnsi="Times New Roman" w:cs="Times New Roman"/>
        </w:rPr>
        <w:t>N</w:t>
      </w:r>
      <w:r w:rsidR="00AA57B8" w:rsidRPr="00B26323">
        <w:rPr>
          <w:rFonts w:ascii="Times New Roman" w:hAnsi="Times New Roman" w:cs="Times New Roman"/>
          <w:vertAlign w:val="subscript"/>
        </w:rPr>
        <w:t>1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7</w:t>
      </w:r>
      <w:r w:rsidR="00AA57B8" w:rsidRPr="00B26323">
        <w:rPr>
          <w:rFonts w:ascii="Times New Roman" w:eastAsia="CMMI10" w:hAnsi="Times New Roman" w:cs="Times New Roman"/>
        </w:rPr>
        <w:t>G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hAnsi="Times New Roman" w:cs="Times New Roman"/>
        </w:rPr>
        <w:t xml:space="preserve"> or</w:t>
      </w:r>
      <w:r w:rsidR="00AA57B8" w:rsidRPr="00B26323">
        <w:rPr>
          <w:rFonts w:ascii="Times New Roman" w:eastAsia="CMMI10" w:hAnsi="Times New Roman" w:cs="Times New Roman"/>
        </w:rPr>
        <w:t>C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eastAsia="CMMI10" w:hAnsi="Times New Roman" w:cs="Times New Roman"/>
        </w:rPr>
        <w:t>N</w:t>
      </w:r>
      <w:r w:rsidR="00AA57B8" w:rsidRPr="00B26323">
        <w:rPr>
          <w:rFonts w:ascii="Times New Roman" w:hAnsi="Times New Roman" w:cs="Times New Roman"/>
          <w:vertAlign w:val="subscript"/>
        </w:rPr>
        <w:t>1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7</w:t>
      </w:r>
      <w:r w:rsidR="00AA57B8" w:rsidRPr="00B26323">
        <w:rPr>
          <w:rFonts w:ascii="Times New Roman" w:eastAsia="CMMI10" w:hAnsi="Times New Roman" w:cs="Times New Roman"/>
        </w:rPr>
        <w:t>C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eastAsia="CMMI10" w:hAnsi="Times New Roman" w:cs="Times New Roman"/>
        </w:rPr>
        <w:t>N</w:t>
      </w:r>
      <w:r w:rsidR="00AA57B8" w:rsidRPr="00B26323">
        <w:rPr>
          <w:rFonts w:ascii="Times New Roman" w:hAnsi="Times New Roman" w:cs="Times New Roman"/>
          <w:vertAlign w:val="subscript"/>
        </w:rPr>
        <w:t>1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7</w:t>
      </w:r>
      <w:r w:rsidR="00AA57B8" w:rsidRPr="00B26323">
        <w:rPr>
          <w:rFonts w:ascii="Times New Roman" w:eastAsia="CMMI10" w:hAnsi="Times New Roman" w:cs="Times New Roman"/>
        </w:rPr>
        <w:t>C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eastAsia="CMMI10" w:hAnsi="Times New Roman" w:cs="Times New Roman"/>
        </w:rPr>
        <w:t>N</w:t>
      </w:r>
      <w:r w:rsidR="00AA57B8" w:rsidRPr="00B26323">
        <w:rPr>
          <w:rFonts w:ascii="Times New Roman" w:hAnsi="Times New Roman" w:cs="Times New Roman"/>
          <w:vertAlign w:val="subscript"/>
        </w:rPr>
        <w:t>1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7</w:t>
      </w:r>
      <w:r w:rsidR="00AA57B8" w:rsidRPr="00B26323">
        <w:rPr>
          <w:rFonts w:ascii="Times New Roman" w:eastAsia="CMMI10" w:hAnsi="Times New Roman" w:cs="Times New Roman"/>
        </w:rPr>
        <w:t>C</w:t>
      </w:r>
      <w:r w:rsidR="00AA57B8" w:rsidRPr="00B26323">
        <w:rPr>
          <w:rFonts w:ascii="Times New Roman" w:hAnsi="Times New Roman" w:cs="Times New Roman"/>
          <w:vertAlign w:val="subscript"/>
        </w:rPr>
        <w:t>3</w:t>
      </w:r>
      <w:r w:rsidR="00AA57B8" w:rsidRPr="00B26323">
        <w:rPr>
          <w:rFonts w:ascii="Times New Roman" w:eastAsia="CMSY7" w:hAnsi="Times New Roman" w:cs="Times New Roman"/>
          <w:vertAlign w:val="subscript"/>
        </w:rPr>
        <w:t>−</w:t>
      </w:r>
      <w:r w:rsidR="00AA57B8" w:rsidRPr="00B26323">
        <w:rPr>
          <w:rFonts w:ascii="Times New Roman" w:hAnsi="Times New Roman" w:cs="Times New Roman"/>
          <w:vertAlign w:val="subscript"/>
        </w:rPr>
        <w:t>5</w:t>
      </w:r>
      <w:r w:rsidR="00AA57B8" w:rsidRPr="00B26323">
        <w:rPr>
          <w:rFonts w:ascii="Times New Roman" w:hAnsi="Times New Roman" w:cs="Times New Roman"/>
        </w:rPr>
        <w:t xml:space="preserve"> is searched in -500 to +500 region relative TLS and summed</w:t>
      </w:r>
      <w:r w:rsidR="00423945">
        <w:rPr>
          <w:rFonts w:ascii="Times New Roman" w:hAnsi="Times New Roman" w:cs="Times New Roman"/>
        </w:rPr>
        <w:t xml:space="preserve"> </w:t>
      </w:r>
      <w:r w:rsidR="00AA57B8" w:rsidRPr="00B26323">
        <w:rPr>
          <w:rFonts w:ascii="Times New Roman" w:hAnsi="Times New Roman" w:cs="Times New Roman"/>
        </w:rPr>
        <w:t xml:space="preserve">at each nucleotide position and plotted. Mammalian promoter regions are </w:t>
      </w:r>
      <w:r w:rsidR="00DB56E6">
        <w:rPr>
          <w:rFonts w:ascii="Times New Roman" w:hAnsi="Times New Roman" w:cs="Times New Roman"/>
        </w:rPr>
        <w:t xml:space="preserve">significantly </w:t>
      </w:r>
      <w:r w:rsidR="00AA57B8" w:rsidRPr="00B26323">
        <w:rPr>
          <w:rFonts w:ascii="Times New Roman" w:hAnsi="Times New Roman" w:cs="Times New Roman"/>
        </w:rPr>
        <w:t>enriched with</w:t>
      </w:r>
      <w:r w:rsidR="00423945">
        <w:rPr>
          <w:rFonts w:ascii="Times New Roman" w:hAnsi="Times New Roman" w:cs="Times New Roman"/>
        </w:rPr>
        <w:t xml:space="preserve"> </w:t>
      </w:r>
      <w:r w:rsidR="00AA57B8" w:rsidRPr="00B26323">
        <w:rPr>
          <w:rFonts w:ascii="Times New Roman" w:hAnsi="Times New Roman" w:cs="Times New Roman"/>
        </w:rPr>
        <w:t>G-quadruplexes in the vicinity of TSS.</w:t>
      </w:r>
    </w:p>
    <w:p w:rsidR="00E14BFF" w:rsidRDefault="00E14BFF" w:rsidP="00AA57B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C24DA7" w:rsidRDefault="00C24DA7" w:rsidP="00C24D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5270500" cy="2303145"/>
            <wp:effectExtent l="0" t="0" r="1270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DA7" w:rsidRDefault="003205B3" w:rsidP="00C24D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 w:rsidR="007562D9">
        <w:rPr>
          <w:rFonts w:ascii="Times New Roman" w:hAnsi="Times New Roman" w:cs="Times New Roman"/>
          <w:b/>
          <w:bCs/>
        </w:rPr>
        <w:t>5</w:t>
      </w:r>
      <w:r w:rsidR="00C24DA7">
        <w:rPr>
          <w:rFonts w:ascii="Times New Roman" w:hAnsi="Times New Roman" w:cs="Times New Roman"/>
          <w:b/>
          <w:bCs/>
        </w:rPr>
        <w:t xml:space="preserve">: Positional distribution of predictions in promoter regions of different eukaryotes with TSS data. </w:t>
      </w:r>
      <w:r w:rsidR="00C24DA7">
        <w:rPr>
          <w:rFonts w:ascii="Times New Roman" w:hAnsi="Times New Roman" w:cs="Times New Roman"/>
        </w:rPr>
        <w:t>The plot shows the distance of predictions from TSS</w:t>
      </w:r>
      <w:r w:rsidR="00DB56E6">
        <w:rPr>
          <w:rFonts w:ascii="Times New Roman" w:hAnsi="Times New Roman" w:cs="Times New Roman"/>
        </w:rPr>
        <w:t>,</w:t>
      </w:r>
      <w:r w:rsidR="00C24DA7">
        <w:rPr>
          <w:rFonts w:ascii="Times New Roman" w:hAnsi="Times New Roman" w:cs="Times New Roman"/>
        </w:rPr>
        <w:t xml:space="preserve"> in 50nt bins</w:t>
      </w:r>
      <w:r w:rsidR="00DB56E6">
        <w:rPr>
          <w:rFonts w:ascii="Times New Roman" w:hAnsi="Times New Roman" w:cs="Times New Roman"/>
        </w:rPr>
        <w:t>,</w:t>
      </w:r>
      <w:r w:rsidR="00C24DA7">
        <w:rPr>
          <w:rFonts w:ascii="Times New Roman" w:hAnsi="Times New Roman" w:cs="Times New Roman"/>
        </w:rPr>
        <w:t xml:space="preserve"> for </w:t>
      </w:r>
      <w:r w:rsidR="00C24DA7">
        <w:rPr>
          <w:rFonts w:ascii="Times New Roman" w:hAnsi="Times New Roman" w:cs="Times New Roman"/>
          <w:i/>
          <w:iCs/>
        </w:rPr>
        <w:t>S. cerevisiae</w:t>
      </w:r>
      <w:r w:rsidR="00C24DA7">
        <w:rPr>
          <w:rFonts w:ascii="Times New Roman" w:hAnsi="Times New Roman" w:cs="Times New Roman"/>
        </w:rPr>
        <w:t xml:space="preserve">, </w:t>
      </w:r>
      <w:r w:rsidR="00C24DA7">
        <w:rPr>
          <w:rFonts w:ascii="Times New Roman" w:hAnsi="Times New Roman" w:cs="Times New Roman"/>
          <w:i/>
          <w:iCs/>
        </w:rPr>
        <w:t>C. elegans</w:t>
      </w:r>
      <w:r w:rsidR="00C24DA7">
        <w:rPr>
          <w:rFonts w:ascii="Times New Roman" w:hAnsi="Times New Roman" w:cs="Times New Roman"/>
        </w:rPr>
        <w:t xml:space="preserve">, </w:t>
      </w:r>
      <w:r w:rsidR="00C24DA7">
        <w:rPr>
          <w:rFonts w:ascii="Times New Roman" w:hAnsi="Times New Roman" w:cs="Times New Roman"/>
          <w:i/>
          <w:iCs/>
        </w:rPr>
        <w:t>D. melanogaster</w:t>
      </w:r>
      <w:r w:rsidR="00C24DA7">
        <w:rPr>
          <w:rFonts w:ascii="Times New Roman" w:hAnsi="Times New Roman" w:cs="Times New Roman"/>
        </w:rPr>
        <w:t xml:space="preserve">, zebrafish, mouse, and human. The promoter regions of </w:t>
      </w:r>
      <w:r w:rsidR="00C24DA7">
        <w:rPr>
          <w:rFonts w:ascii="Times New Roman" w:hAnsi="Times New Roman" w:cs="Times New Roman"/>
          <w:i/>
          <w:iCs/>
        </w:rPr>
        <w:t>S. cerevisiae</w:t>
      </w:r>
      <w:r w:rsidR="00C24DA7">
        <w:rPr>
          <w:rFonts w:ascii="Times New Roman" w:hAnsi="Times New Roman" w:cs="Times New Roman"/>
        </w:rPr>
        <w:t xml:space="preserve">, </w:t>
      </w:r>
      <w:r w:rsidR="00C24DA7">
        <w:rPr>
          <w:rFonts w:ascii="Times New Roman" w:hAnsi="Times New Roman" w:cs="Times New Roman"/>
          <w:i/>
          <w:iCs/>
        </w:rPr>
        <w:t>C. elegans,</w:t>
      </w:r>
      <w:r w:rsidR="0074739E">
        <w:rPr>
          <w:rFonts w:ascii="Times New Roman" w:hAnsi="Times New Roman" w:cs="Times New Roman"/>
          <w:i/>
          <w:iCs/>
        </w:rPr>
        <w:t xml:space="preserve"> </w:t>
      </w:r>
      <w:r w:rsidR="00C24DA7">
        <w:rPr>
          <w:rFonts w:ascii="Times New Roman" w:hAnsi="Times New Roman" w:cs="Times New Roman"/>
        </w:rPr>
        <w:t xml:space="preserve">and </w:t>
      </w:r>
      <w:r w:rsidR="00C24DA7">
        <w:rPr>
          <w:rFonts w:ascii="Times New Roman" w:hAnsi="Times New Roman" w:cs="Times New Roman"/>
          <w:i/>
          <w:iCs/>
        </w:rPr>
        <w:t xml:space="preserve">D. melanogaster </w:t>
      </w:r>
      <w:r w:rsidR="00C24DA7">
        <w:rPr>
          <w:rFonts w:ascii="Times New Roman" w:hAnsi="Times New Roman" w:cs="Times New Roman"/>
        </w:rPr>
        <w:t>show maximum predictions close to the TSS (in upstream region) while in mammals predictions are clustered in both upstream and downstream regions.</w:t>
      </w:r>
    </w:p>
    <w:p w:rsidR="00C24DA7" w:rsidRDefault="00C24D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24DA7" w:rsidRDefault="00C24DA7" w:rsidP="00C24DA7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270500" cy="2491105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DA7" w:rsidRDefault="00C24DA7" w:rsidP="00C24DA7">
      <w:pPr>
        <w:spacing w:line="360" w:lineRule="auto"/>
        <w:jc w:val="both"/>
      </w:pPr>
      <w:r>
        <w:rPr>
          <w:rFonts w:ascii="Times New Roman" w:hAnsi="Times New Roman" w:cs="Times New Roman"/>
          <w:b/>
          <w:bCs/>
        </w:rPr>
        <w:t>Supp</w:t>
      </w:r>
      <w:r w:rsidR="003205B3">
        <w:rPr>
          <w:rFonts w:ascii="Times New Roman" w:hAnsi="Times New Roman" w:cs="Times New Roman"/>
          <w:b/>
          <w:bCs/>
        </w:rPr>
        <w:t xml:space="preserve">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 w:rsidR="00404F4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: AFE profiles of the promoter sequences belonging to different TP classes. </w:t>
      </w:r>
      <w:r>
        <w:rPr>
          <w:rFonts w:ascii="Times New Roman" w:hAnsi="Times New Roman" w:cs="Times New Roman"/>
        </w:rPr>
        <w:t xml:space="preserve">The promoter sequences with predictions in the TP region (-500 to +100) are categorized into different TP classes based on 50nt bins of predictions shown in Supplementary figure </w:t>
      </w:r>
      <w:r w:rsidR="004E417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and their DNA duplex stability profiles are plotted.</w:t>
      </w:r>
    </w:p>
    <w:p w:rsidR="00C24DA7" w:rsidRDefault="00C24DA7"/>
    <w:p w:rsidR="0078148D" w:rsidRDefault="0078148D">
      <w:r>
        <w:br w:type="page"/>
      </w:r>
    </w:p>
    <w:p w:rsidR="00C24DA7" w:rsidRDefault="0078148D">
      <w:r>
        <w:rPr>
          <w:noProof/>
        </w:rPr>
        <w:lastRenderedPageBreak/>
        <w:drawing>
          <wp:inline distT="0" distB="0" distL="0" distR="0">
            <wp:extent cx="5312779" cy="292886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PF.tif"/>
                    <pic:cNvPicPr/>
                  </pic:nvPicPr>
                  <pic:blipFill rotWithShape="1">
                    <a:blip r:embed="rId13"/>
                    <a:srcRect l="12299" r="11057"/>
                    <a:stretch/>
                  </pic:blipFill>
                  <pic:spPr bwMode="auto">
                    <a:xfrm>
                      <a:off x="0" y="0"/>
                      <a:ext cx="5328883" cy="293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630" w:rsidRPr="003F23D3" w:rsidRDefault="00FE1630" w:rsidP="003F23D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Figure </w:t>
      </w:r>
      <w:r w:rsidR="00404F4E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: </w:t>
      </w:r>
      <w:r w:rsidR="00375CFB" w:rsidRPr="003F23D3">
        <w:rPr>
          <w:rFonts w:ascii="Times New Roman" w:hAnsi="Times New Roman" w:cs="Times New Roman"/>
          <w:b/>
          <w:bCs/>
          <w:color w:val="000000" w:themeColor="text1"/>
        </w:rPr>
        <w:t xml:space="preserve">Comparison of performance of PromPredict with </w:t>
      </w:r>
      <w:r w:rsidR="00375CFB" w:rsidRPr="003F23D3">
        <w:rPr>
          <w:rFonts w:ascii="Times New Roman" w:hAnsi="Times New Roman" w:cs="Times New Roman"/>
          <w:b/>
          <w:color w:val="000000" w:themeColor="text1"/>
        </w:rPr>
        <w:t>different sliding window sizes</w:t>
      </w:r>
      <w:r w:rsidR="00D84168">
        <w:rPr>
          <w:rFonts w:ascii="Times New Roman" w:hAnsi="Times New Roman" w:cs="Times New Roman"/>
          <w:b/>
          <w:color w:val="000000" w:themeColor="text1"/>
        </w:rPr>
        <w:t xml:space="preserve"> in </w:t>
      </w:r>
      <w:bookmarkStart w:id="0" w:name="_GoBack"/>
      <w:r w:rsidR="00D84168" w:rsidRPr="00D84168">
        <w:rPr>
          <w:rFonts w:ascii="Times New Roman" w:hAnsi="Times New Roman" w:cs="Times New Roman"/>
          <w:b/>
          <w:i/>
          <w:color w:val="000000" w:themeColor="text1"/>
        </w:rPr>
        <w:t>S. cerevisiae</w:t>
      </w:r>
      <w:bookmarkEnd w:id="0"/>
      <w:r w:rsidR="00D84168">
        <w:rPr>
          <w:rFonts w:ascii="Times New Roman" w:hAnsi="Times New Roman" w:cs="Times New Roman"/>
          <w:b/>
          <w:bCs/>
          <w:color w:val="000000" w:themeColor="text1"/>
        </w:rPr>
        <w:t xml:space="preserve"> whole genome</w:t>
      </w:r>
      <w:r w:rsidR="00375CFB" w:rsidRPr="003F23D3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375CFB" w:rsidRPr="003F23D3">
        <w:rPr>
          <w:rFonts w:ascii="Times New Roman" w:hAnsi="Times New Roman" w:cs="Times New Roman"/>
          <w:color w:val="000000" w:themeColor="text1"/>
        </w:rPr>
        <w:t>The red, green and blue colored boxes (from left to right) in the plot show the efficiency of PromPredict with window sizes, 50-25-50, 100-50-100 (default window size implemented in the original algorithm) and 200-50-200 respectively. F-score values suggest that 100-50-100 window is the best for promoter prediction.</w:t>
      </w:r>
    </w:p>
    <w:p w:rsidR="00FE1630" w:rsidRDefault="00FE1630"/>
    <w:p w:rsidR="00C24DA7" w:rsidRDefault="00C24DA7" w:rsidP="00C24DA7">
      <w:pPr>
        <w:pageBreakBefore/>
        <w:spacing w:line="360" w:lineRule="auto"/>
        <w:jc w:val="both"/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605"/>
        <w:gridCol w:w="1191"/>
        <w:gridCol w:w="1140"/>
        <w:gridCol w:w="1124"/>
        <w:gridCol w:w="1192"/>
        <w:gridCol w:w="1141"/>
        <w:gridCol w:w="1123"/>
      </w:tblGrid>
      <w:tr w:rsidR="00C24DA7" w:rsidTr="006528EC">
        <w:trPr>
          <w:cantSplit/>
          <w:trHeight w:val="255"/>
        </w:trPr>
        <w:tc>
          <w:tcPr>
            <w:tcW w:w="851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4E4172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 xml:space="preserve">Gene expression </w:t>
            </w:r>
            <w:r w:rsidR="004E4172"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v</w:t>
            </w: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ariability</w:t>
            </w:r>
          </w:p>
        </w:tc>
      </w:tr>
      <w:tr w:rsidR="006528EC" w:rsidTr="00082880">
        <w:trPr>
          <w:cantSplit/>
          <w:trHeight w:val="255"/>
        </w:trPr>
        <w:tc>
          <w:tcPr>
            <w:tcW w:w="16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528EC" w:rsidRDefault="006528EC" w:rsidP="00082880">
            <w:pPr>
              <w:spacing w:line="360" w:lineRule="auto"/>
              <w:jc w:val="both"/>
            </w:pPr>
          </w:p>
        </w:tc>
        <w:tc>
          <w:tcPr>
            <w:tcW w:w="34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528EC" w:rsidRDefault="006528EC" w:rsidP="006528EC">
            <w:pPr>
              <w:tabs>
                <w:tab w:val="center" w:pos="1622"/>
              </w:tabs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High</w:t>
            </w:r>
          </w:p>
        </w:tc>
        <w:tc>
          <w:tcPr>
            <w:tcW w:w="34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28EC" w:rsidRDefault="006528EC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Low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Precision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Recall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F-score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Precision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Recall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b/>
                <w:bCs/>
                <w:sz w:val="22"/>
                <w:szCs w:val="20"/>
                <w:lang w:bidi="hi-IN"/>
              </w:rPr>
              <w:t>F-score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Stochastic noise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37.5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82.2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51.5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37.7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82.7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51.8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Responsiveness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43.5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83.9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57.3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34.6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78.2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48.0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Stress response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36.5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79.2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50.0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38.2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82.6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52.3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i/>
                <w:iCs/>
                <w:sz w:val="22"/>
                <w:szCs w:val="20"/>
                <w:lang w:bidi="hi-IN"/>
              </w:rPr>
              <w:t>trans</w:t>
            </w: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 xml:space="preserve"> variability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36.7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80.7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50.4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38.0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82.2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52.0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Mutational variance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36.0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78.5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49.3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37.1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82.9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51.3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Inter-strain variance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36.3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80.3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50.0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35.7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79.7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49.3</w:t>
            </w:r>
          </w:p>
        </w:tc>
      </w:tr>
      <w:tr w:rsidR="00C24DA7" w:rsidTr="006528EC">
        <w:trPr>
          <w:cantSplit/>
          <w:trHeight w:val="255"/>
        </w:trPr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082880">
            <w:pPr>
              <w:spacing w:line="360" w:lineRule="auto"/>
              <w:jc w:val="both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Expression divergence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38.4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84.8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52.8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37.7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78.5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24DA7" w:rsidRDefault="00C24DA7" w:rsidP="006528EC">
            <w:pPr>
              <w:spacing w:line="360" w:lineRule="auto"/>
              <w:jc w:val="center"/>
            </w:pPr>
            <w:r>
              <w:rPr>
                <w:rFonts w:ascii="Times New Roman" w:hAnsi="Times New Roman" w:cs="Cambria"/>
                <w:sz w:val="22"/>
                <w:szCs w:val="20"/>
                <w:lang w:bidi="hi-IN"/>
              </w:rPr>
              <w:t>50.9</w:t>
            </w:r>
          </w:p>
        </w:tc>
      </w:tr>
    </w:tbl>
    <w:p w:rsidR="00C24DA7" w:rsidRDefault="00C24DA7" w:rsidP="00C24DA7">
      <w:pPr>
        <w:spacing w:line="360" w:lineRule="auto"/>
        <w:jc w:val="both"/>
      </w:pPr>
    </w:p>
    <w:p w:rsidR="00C24DA7" w:rsidRDefault="00C24DA7" w:rsidP="00C24DA7">
      <w:pPr>
        <w:spacing w:line="360" w:lineRule="auto"/>
        <w:jc w:val="both"/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54F7A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1: Performance of PromPredict in high and low gene expression variability classes.  </w:t>
      </w:r>
      <w:r>
        <w:rPr>
          <w:rFonts w:ascii="Times New Roman" w:hAnsi="Times New Roman" w:cs="Times New Roman"/>
        </w:rPr>
        <w:t xml:space="preserve">Gene expression data of </w:t>
      </w:r>
      <w:r>
        <w:rPr>
          <w:rFonts w:ascii="Times New Roman" w:hAnsi="Times New Roman" w:cs="Times New Roman"/>
          <w:i/>
          <w:iCs/>
        </w:rPr>
        <w:t xml:space="preserve">S. cerevisiae </w:t>
      </w:r>
      <w:r>
        <w:rPr>
          <w:rFonts w:ascii="Times New Roman" w:hAnsi="Times New Roman" w:cs="Times New Roman"/>
        </w:rPr>
        <w:t xml:space="preserve">for seven different gene expression variations namely stochastic noise, responsiveness, stress response, </w:t>
      </w:r>
      <w:r>
        <w:rPr>
          <w:rFonts w:ascii="Times New Roman" w:hAnsi="Times New Roman" w:cs="Times New Roman"/>
          <w:i/>
          <w:iCs/>
        </w:rPr>
        <w:t xml:space="preserve">trans </w:t>
      </w:r>
      <w:r>
        <w:rPr>
          <w:rFonts w:ascii="Times New Roman" w:hAnsi="Times New Roman" w:cs="Times New Roman"/>
        </w:rPr>
        <w:t xml:space="preserve">variability, </w:t>
      </w:r>
      <w:r w:rsidR="003E609C">
        <w:rPr>
          <w:rFonts w:ascii="Times New Roman" w:hAnsi="Times New Roman" w:cs="Times New Roman"/>
        </w:rPr>
        <w:t xml:space="preserve">mutational variance, </w:t>
      </w:r>
      <w:r>
        <w:rPr>
          <w:rFonts w:ascii="Times New Roman" w:hAnsi="Times New Roman" w:cs="Times New Roman"/>
        </w:rPr>
        <w:t>inter-strain</w:t>
      </w:r>
      <w:r w:rsidR="003E609C">
        <w:rPr>
          <w:rFonts w:ascii="Times New Roman" w:hAnsi="Times New Roman" w:cs="Times New Roman"/>
        </w:rPr>
        <w:t xml:space="preserve"> variance and expression divergence</w:t>
      </w:r>
      <w:r>
        <w:rPr>
          <w:rFonts w:ascii="Times New Roman" w:hAnsi="Times New Roman" w:cs="Times New Roman"/>
        </w:rPr>
        <w:t xml:space="preserve"> are taken from a recently compiled study (Choi and Kim, 2009). High and low expression variability categories have been defined as mentioned in (Yella and Bansal, 2013). The</w:t>
      </w:r>
      <w:r w:rsidR="00953C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-500 to +100</w:t>
      </w:r>
      <w:r w:rsidR="001A2EB8">
        <w:rPr>
          <w:rFonts w:ascii="Times New Roman" w:hAnsi="Times New Roman" w:cs="Times New Roman"/>
        </w:rPr>
        <w:t xml:space="preserve"> fragment</w:t>
      </w:r>
      <w:r>
        <w:rPr>
          <w:rFonts w:ascii="Times New Roman" w:hAnsi="Times New Roman" w:cs="Times New Roman"/>
        </w:rPr>
        <w:t xml:space="preserve"> relative to TSS is chosen as true positive region for predictions. PromPredict performs differently </w:t>
      </w:r>
      <w:r w:rsidR="004E4172">
        <w:rPr>
          <w:rFonts w:ascii="Times New Roman" w:hAnsi="Times New Roman" w:cs="Times New Roman"/>
        </w:rPr>
        <w:t xml:space="preserve">for </w:t>
      </w:r>
      <w:r w:rsidR="001A2EB8">
        <w:rPr>
          <w:rFonts w:ascii="Times New Roman" w:hAnsi="Times New Roman" w:cs="Times New Roman"/>
        </w:rPr>
        <w:t>genes showing high and low</w:t>
      </w:r>
      <w:r>
        <w:rPr>
          <w:rFonts w:ascii="Times New Roman" w:hAnsi="Times New Roman" w:cs="Times New Roman"/>
        </w:rPr>
        <w:t xml:space="preserve"> expression variability</w:t>
      </w:r>
      <w:r w:rsidR="004E41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with maximum differences being observed for responsiveness.</w:t>
      </w:r>
    </w:p>
    <w:p w:rsidR="00C24DA7" w:rsidRDefault="00C24DA7" w:rsidP="00C24DA7">
      <w:pPr>
        <w:rPr>
          <w:rFonts w:ascii="Times New Roman" w:hAnsi="Times New Roman" w:cs="Times New Roman"/>
        </w:rPr>
      </w:pPr>
    </w:p>
    <w:p w:rsidR="00EF45E1" w:rsidRDefault="00EF45E1"/>
    <w:sectPr w:rsidR="00EF45E1" w:rsidSect="00EA1E8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E3B" w:rsidRDefault="00DF2E3B" w:rsidP="00C24DA7">
      <w:r>
        <w:separator/>
      </w:r>
    </w:p>
  </w:endnote>
  <w:endnote w:type="continuationSeparator" w:id="0">
    <w:p w:rsidR="00DF2E3B" w:rsidRDefault="00DF2E3B" w:rsidP="00C2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MMI10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MSY7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E3B" w:rsidRDefault="00DF2E3B" w:rsidP="00C24DA7">
      <w:r>
        <w:separator/>
      </w:r>
    </w:p>
  </w:footnote>
  <w:footnote w:type="continuationSeparator" w:id="0">
    <w:p w:rsidR="00DF2E3B" w:rsidRDefault="00DF2E3B" w:rsidP="00C24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D25"/>
    <w:rsid w:val="000049BE"/>
    <w:rsid w:val="00036502"/>
    <w:rsid w:val="00082880"/>
    <w:rsid w:val="00095D25"/>
    <w:rsid w:val="000C55ED"/>
    <w:rsid w:val="000D3BB9"/>
    <w:rsid w:val="000E3C93"/>
    <w:rsid w:val="00126D70"/>
    <w:rsid w:val="001A2EB8"/>
    <w:rsid w:val="001B529C"/>
    <w:rsid w:val="0028396F"/>
    <w:rsid w:val="00300924"/>
    <w:rsid w:val="003205B3"/>
    <w:rsid w:val="00375CFB"/>
    <w:rsid w:val="003E609C"/>
    <w:rsid w:val="003F23D3"/>
    <w:rsid w:val="00404F4E"/>
    <w:rsid w:val="00423945"/>
    <w:rsid w:val="00454F7A"/>
    <w:rsid w:val="004558F1"/>
    <w:rsid w:val="004910EA"/>
    <w:rsid w:val="004E4172"/>
    <w:rsid w:val="00601705"/>
    <w:rsid w:val="006528EC"/>
    <w:rsid w:val="00696FED"/>
    <w:rsid w:val="0074739E"/>
    <w:rsid w:val="007562D9"/>
    <w:rsid w:val="0078148D"/>
    <w:rsid w:val="007E5DAF"/>
    <w:rsid w:val="008567DF"/>
    <w:rsid w:val="0086436B"/>
    <w:rsid w:val="00953CEA"/>
    <w:rsid w:val="00AA57B8"/>
    <w:rsid w:val="00AD5CC1"/>
    <w:rsid w:val="00B12850"/>
    <w:rsid w:val="00B826F6"/>
    <w:rsid w:val="00BA34C0"/>
    <w:rsid w:val="00BC5100"/>
    <w:rsid w:val="00C17A0F"/>
    <w:rsid w:val="00C24DA7"/>
    <w:rsid w:val="00D84168"/>
    <w:rsid w:val="00D9228D"/>
    <w:rsid w:val="00DB2931"/>
    <w:rsid w:val="00DB56E6"/>
    <w:rsid w:val="00DF2E3B"/>
    <w:rsid w:val="00E14BFF"/>
    <w:rsid w:val="00E427C1"/>
    <w:rsid w:val="00E44CE0"/>
    <w:rsid w:val="00E935BB"/>
    <w:rsid w:val="00EA1E87"/>
    <w:rsid w:val="00EF45E1"/>
    <w:rsid w:val="00F4301B"/>
    <w:rsid w:val="00FE1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23FA3"/>
  <w15:docId w15:val="{8C548088-D085-5A44-8234-4A3BBAF2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DA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DA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4D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DA7"/>
  </w:style>
  <w:style w:type="paragraph" w:styleId="Footer">
    <w:name w:val="footer"/>
    <w:basedOn w:val="Normal"/>
    <w:link w:val="FooterChar"/>
    <w:uiPriority w:val="99"/>
    <w:unhideWhenUsed/>
    <w:rsid w:val="00C24D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DA7"/>
  </w:style>
  <w:style w:type="character" w:styleId="CommentReference">
    <w:name w:val="annotation reference"/>
    <w:basedOn w:val="DefaultParagraphFont"/>
    <w:uiPriority w:val="99"/>
    <w:semiHidden/>
    <w:unhideWhenUsed/>
    <w:rsid w:val="00AA5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7B8"/>
    <w:pPr>
      <w:jc w:val="both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7B8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CE0"/>
    <w:pPr>
      <w:jc w:val="left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CE0"/>
    <w:rPr>
      <w:rFonts w:eastAsia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7A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@iisc.ac.i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IISc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Kumar</dc:creator>
  <cp:lastModifiedBy>Aditya Kumar</cp:lastModifiedBy>
  <cp:revision>9</cp:revision>
  <cp:lastPrinted>2017-08-03T06:10:00Z</cp:lastPrinted>
  <dcterms:created xsi:type="dcterms:W3CDTF">2018-02-02T18:26:00Z</dcterms:created>
  <dcterms:modified xsi:type="dcterms:W3CDTF">2018-02-22T12:14:00Z</dcterms:modified>
</cp:coreProperties>
</file>