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B942CB" w14:textId="77777777" w:rsidR="00B572C1" w:rsidRPr="002D2518" w:rsidRDefault="00B572C1" w:rsidP="00B572C1">
      <w:pPr>
        <w:pStyle w:val="Title"/>
        <w:adjustRightInd w:val="0"/>
        <w:spacing w:before="120" w:after="0" w:line="360" w:lineRule="auto"/>
        <w:contextualSpacing w:val="0"/>
        <w:jc w:val="center"/>
        <w:rPr>
          <w:b/>
          <w:sz w:val="32"/>
          <w:szCs w:val="24"/>
        </w:rPr>
      </w:pPr>
      <w:bookmarkStart w:id="0" w:name="_gjdgxs" w:colFirst="0" w:colLast="0"/>
      <w:bookmarkEnd w:id="0"/>
      <w:r w:rsidRPr="002D2518">
        <w:rPr>
          <w:b/>
          <w:sz w:val="32"/>
          <w:szCs w:val="24"/>
        </w:rPr>
        <w:t>Microbial metagenome of urinary tract infection</w:t>
      </w:r>
    </w:p>
    <w:p w14:paraId="254463A1" w14:textId="77777777" w:rsidR="00B572C1" w:rsidRPr="002D2518" w:rsidRDefault="00B572C1" w:rsidP="00B572C1">
      <w:pPr>
        <w:adjustRightInd w:val="0"/>
        <w:spacing w:before="120" w:line="360" w:lineRule="auto"/>
        <w:rPr>
          <w:sz w:val="24"/>
          <w:szCs w:val="24"/>
        </w:rPr>
      </w:pPr>
    </w:p>
    <w:p w14:paraId="4BAED0F5" w14:textId="59D18C8D" w:rsidR="00B572C1" w:rsidRPr="002D2518" w:rsidRDefault="00B572C1" w:rsidP="00B572C1">
      <w:pPr>
        <w:adjustRightInd w:val="0"/>
        <w:spacing w:before="120" w:line="360" w:lineRule="auto"/>
        <w:jc w:val="center"/>
        <w:rPr>
          <w:b/>
          <w:sz w:val="24"/>
          <w:szCs w:val="24"/>
        </w:rPr>
      </w:pPr>
      <w:r>
        <w:rPr>
          <w:b/>
          <w:sz w:val="24"/>
          <w:szCs w:val="24"/>
        </w:rPr>
        <w:t>Supplementary Materials</w:t>
      </w:r>
    </w:p>
    <w:p w14:paraId="0C932D0F" w14:textId="77777777" w:rsidR="00B572C1" w:rsidRPr="002D2518" w:rsidRDefault="00B572C1" w:rsidP="00B572C1">
      <w:pPr>
        <w:adjustRightInd w:val="0"/>
        <w:spacing w:before="120" w:line="360" w:lineRule="auto"/>
        <w:rPr>
          <w:sz w:val="24"/>
          <w:szCs w:val="24"/>
        </w:rPr>
      </w:pPr>
    </w:p>
    <w:p w14:paraId="05345B10" w14:textId="77777777" w:rsidR="00B572C1" w:rsidRDefault="00B572C1" w:rsidP="00B572C1">
      <w:pPr>
        <w:adjustRightInd w:val="0"/>
        <w:spacing w:before="120" w:line="360" w:lineRule="auto"/>
        <w:jc w:val="both"/>
        <w:rPr>
          <w:color w:val="auto"/>
          <w:sz w:val="24"/>
          <w:szCs w:val="24"/>
          <w:vertAlign w:val="superscript"/>
        </w:rPr>
      </w:pPr>
      <w:r w:rsidRPr="002D2518">
        <w:rPr>
          <w:color w:val="auto"/>
          <w:sz w:val="24"/>
          <w:szCs w:val="24"/>
        </w:rPr>
        <w:t>Ahmed Moustafa</w:t>
      </w:r>
      <w:r w:rsidRPr="002D2518">
        <w:rPr>
          <w:color w:val="auto"/>
          <w:sz w:val="24"/>
          <w:szCs w:val="24"/>
          <w:vertAlign w:val="superscript"/>
        </w:rPr>
        <w:t>1*</w:t>
      </w:r>
      <w:r w:rsidRPr="002D2518">
        <w:rPr>
          <w:color w:val="auto"/>
          <w:sz w:val="24"/>
          <w:szCs w:val="24"/>
        </w:rPr>
        <w:t>, Weizhong Li</w:t>
      </w:r>
      <w:r w:rsidRPr="002D2518">
        <w:rPr>
          <w:color w:val="auto"/>
          <w:sz w:val="24"/>
          <w:szCs w:val="24"/>
          <w:vertAlign w:val="superscript"/>
        </w:rPr>
        <w:t>1,2*</w:t>
      </w:r>
      <w:r w:rsidRPr="002D2518">
        <w:rPr>
          <w:color w:val="auto"/>
          <w:sz w:val="24"/>
          <w:szCs w:val="24"/>
        </w:rPr>
        <w:t>, Harinder Singh</w:t>
      </w:r>
      <w:r w:rsidRPr="002D2518">
        <w:rPr>
          <w:color w:val="auto"/>
          <w:sz w:val="24"/>
          <w:szCs w:val="24"/>
          <w:vertAlign w:val="superscript"/>
        </w:rPr>
        <w:t>3</w:t>
      </w:r>
      <w:r w:rsidRPr="002D2518">
        <w:rPr>
          <w:color w:val="auto"/>
          <w:sz w:val="24"/>
          <w:szCs w:val="24"/>
        </w:rPr>
        <w:t>, Kelvin J. Moncera</w:t>
      </w:r>
      <w:r w:rsidRPr="002D2518">
        <w:rPr>
          <w:color w:val="auto"/>
          <w:sz w:val="24"/>
          <w:szCs w:val="24"/>
          <w:vertAlign w:val="superscript"/>
        </w:rPr>
        <w:t>2</w:t>
      </w:r>
      <w:r w:rsidRPr="002D2518">
        <w:rPr>
          <w:color w:val="auto"/>
          <w:sz w:val="24"/>
          <w:szCs w:val="24"/>
        </w:rPr>
        <w:t>, Manolito G. Torralba</w:t>
      </w:r>
      <w:r w:rsidRPr="002D2518">
        <w:rPr>
          <w:color w:val="auto"/>
          <w:sz w:val="24"/>
          <w:szCs w:val="24"/>
          <w:vertAlign w:val="superscript"/>
        </w:rPr>
        <w:t>2</w:t>
      </w:r>
      <w:r w:rsidRPr="002D2518">
        <w:rPr>
          <w:color w:val="auto"/>
          <w:sz w:val="24"/>
          <w:szCs w:val="24"/>
        </w:rPr>
        <w:t>, Yanbao Yu</w:t>
      </w:r>
      <w:r w:rsidRPr="002D2518">
        <w:rPr>
          <w:color w:val="auto"/>
          <w:sz w:val="24"/>
          <w:szCs w:val="24"/>
          <w:vertAlign w:val="superscript"/>
        </w:rPr>
        <w:t>3</w:t>
      </w:r>
      <w:r w:rsidRPr="002D2518">
        <w:rPr>
          <w:color w:val="auto"/>
          <w:sz w:val="24"/>
          <w:szCs w:val="24"/>
        </w:rPr>
        <w:t>, Oriol Manuel</w:t>
      </w:r>
      <w:r w:rsidRPr="002D2518">
        <w:rPr>
          <w:color w:val="auto"/>
          <w:sz w:val="24"/>
          <w:szCs w:val="24"/>
          <w:vertAlign w:val="superscript"/>
        </w:rPr>
        <w:t>4</w:t>
      </w:r>
      <w:r w:rsidRPr="002D2518">
        <w:rPr>
          <w:color w:val="auto"/>
          <w:sz w:val="24"/>
          <w:szCs w:val="24"/>
        </w:rPr>
        <w:t>, William Biggs</w:t>
      </w:r>
      <w:r w:rsidRPr="002D2518">
        <w:rPr>
          <w:color w:val="auto"/>
          <w:sz w:val="24"/>
          <w:szCs w:val="24"/>
          <w:vertAlign w:val="superscript"/>
        </w:rPr>
        <w:t>1</w:t>
      </w:r>
      <w:r w:rsidRPr="002D2518">
        <w:rPr>
          <w:color w:val="auto"/>
          <w:sz w:val="24"/>
          <w:szCs w:val="24"/>
        </w:rPr>
        <w:t>, J. Craig Venter</w:t>
      </w:r>
      <w:r w:rsidRPr="002D2518">
        <w:rPr>
          <w:color w:val="auto"/>
          <w:sz w:val="24"/>
          <w:szCs w:val="24"/>
          <w:vertAlign w:val="superscript"/>
        </w:rPr>
        <w:t>1,2,3</w:t>
      </w:r>
      <w:r w:rsidRPr="002D2518">
        <w:rPr>
          <w:color w:val="auto"/>
          <w:sz w:val="24"/>
          <w:szCs w:val="24"/>
        </w:rPr>
        <w:t>, Karen E. Nelson</w:t>
      </w:r>
      <w:r w:rsidRPr="002D2518">
        <w:rPr>
          <w:color w:val="auto"/>
          <w:sz w:val="24"/>
          <w:szCs w:val="24"/>
          <w:vertAlign w:val="superscript"/>
        </w:rPr>
        <w:t>1,2,3</w:t>
      </w:r>
      <w:r w:rsidRPr="002D2518">
        <w:rPr>
          <w:color w:val="auto"/>
          <w:sz w:val="24"/>
          <w:szCs w:val="24"/>
        </w:rPr>
        <w:t>, Rembert Pieper</w:t>
      </w:r>
      <w:r w:rsidRPr="002D2518">
        <w:rPr>
          <w:color w:val="auto"/>
          <w:sz w:val="24"/>
          <w:szCs w:val="24"/>
          <w:vertAlign w:val="superscript"/>
        </w:rPr>
        <w:t>1,3#</w:t>
      </w:r>
      <w:r w:rsidRPr="002D2518">
        <w:rPr>
          <w:color w:val="auto"/>
          <w:sz w:val="24"/>
          <w:szCs w:val="24"/>
        </w:rPr>
        <w:t>, Amalio Telenti</w:t>
      </w:r>
      <w:r w:rsidRPr="002D2518">
        <w:rPr>
          <w:color w:val="auto"/>
          <w:sz w:val="24"/>
          <w:szCs w:val="24"/>
          <w:vertAlign w:val="superscript"/>
        </w:rPr>
        <w:t>2#</w:t>
      </w:r>
    </w:p>
    <w:p w14:paraId="1DB54415" w14:textId="77777777" w:rsidR="00B572C1" w:rsidRDefault="00B572C1" w:rsidP="00B572C1">
      <w:pPr>
        <w:adjustRightInd w:val="0"/>
        <w:spacing w:before="120" w:line="360" w:lineRule="auto"/>
        <w:jc w:val="both"/>
        <w:rPr>
          <w:color w:val="auto"/>
          <w:sz w:val="24"/>
          <w:szCs w:val="24"/>
          <w:vertAlign w:val="superscript"/>
        </w:rPr>
      </w:pPr>
    </w:p>
    <w:p w14:paraId="13800DA3" w14:textId="2F4CD506" w:rsidR="00B572C1" w:rsidRPr="00654191" w:rsidRDefault="00B572C1" w:rsidP="00B572C1">
      <w:pPr>
        <w:pStyle w:val="Heading1"/>
        <w:adjustRightInd w:val="0"/>
        <w:spacing w:before="120" w:after="0" w:line="360" w:lineRule="auto"/>
        <w:contextualSpacing w:val="0"/>
        <w:rPr>
          <w:b/>
          <w:sz w:val="28"/>
          <w:szCs w:val="24"/>
        </w:rPr>
      </w:pPr>
      <w:r w:rsidRPr="00654191">
        <w:rPr>
          <w:b/>
          <w:sz w:val="28"/>
          <w:szCs w:val="24"/>
        </w:rPr>
        <w:t xml:space="preserve">Supplementary </w:t>
      </w:r>
      <w:r>
        <w:rPr>
          <w:b/>
          <w:sz w:val="28"/>
          <w:szCs w:val="24"/>
        </w:rPr>
        <w:t>Figures</w:t>
      </w:r>
    </w:p>
    <w:p w14:paraId="3297DF29" w14:textId="31951AA7" w:rsidR="00B572C1" w:rsidRPr="00B572C1" w:rsidRDefault="00B572C1" w:rsidP="00B572C1">
      <w:pPr>
        <w:widowControl w:val="0"/>
        <w:adjustRightInd w:val="0"/>
        <w:spacing w:before="120" w:line="360" w:lineRule="auto"/>
        <w:rPr>
          <w:sz w:val="24"/>
          <w:szCs w:val="24"/>
        </w:rPr>
      </w:pPr>
      <w:r w:rsidRPr="00B572C1">
        <w:rPr>
          <w:sz w:val="24"/>
          <w:szCs w:val="24"/>
        </w:rPr>
        <w:t xml:space="preserve">Figure S1. Normalized abundance of 47 bacterial genera across the clinical groups using 16S rDNA. </w:t>
      </w:r>
    </w:p>
    <w:p w14:paraId="7B6424F5" w14:textId="0315C47F" w:rsidR="00B572C1" w:rsidRPr="00B572C1" w:rsidRDefault="00B572C1" w:rsidP="00B572C1">
      <w:pPr>
        <w:widowControl w:val="0"/>
        <w:adjustRightInd w:val="0"/>
        <w:spacing w:before="120" w:line="360" w:lineRule="auto"/>
        <w:rPr>
          <w:color w:val="000000" w:themeColor="text1"/>
          <w:sz w:val="19"/>
          <w:szCs w:val="19"/>
          <w:lang w:eastAsia="fr-FR"/>
        </w:rPr>
      </w:pPr>
      <w:r w:rsidRPr="00B572C1">
        <w:rPr>
          <w:sz w:val="24"/>
          <w:szCs w:val="24"/>
        </w:rPr>
        <w:t xml:space="preserve">Figure S2. Normalized abundance of 49 bacterial genera across the clinical groups using whole genome shotgun sequencing. </w:t>
      </w:r>
    </w:p>
    <w:p w14:paraId="0C351EF1" w14:textId="3F82A00D" w:rsidR="00B572C1" w:rsidRPr="00B572C1" w:rsidRDefault="00B572C1" w:rsidP="00B572C1">
      <w:pPr>
        <w:adjustRightInd w:val="0"/>
        <w:spacing w:before="120" w:line="360" w:lineRule="auto"/>
        <w:jc w:val="both"/>
        <w:rPr>
          <w:sz w:val="24"/>
          <w:szCs w:val="24"/>
        </w:rPr>
      </w:pPr>
      <w:r w:rsidRPr="00B572C1">
        <w:rPr>
          <w:sz w:val="24"/>
          <w:szCs w:val="24"/>
        </w:rPr>
        <w:t xml:space="preserve">Figure S3. Correlation between 16S rDNA and whole genome shotgun sequencing. </w:t>
      </w:r>
    </w:p>
    <w:p w14:paraId="16E4065E" w14:textId="1132B162" w:rsidR="00B572C1" w:rsidRPr="00B572C1" w:rsidRDefault="00B572C1" w:rsidP="00B572C1">
      <w:pPr>
        <w:adjustRightInd w:val="0"/>
        <w:spacing w:before="120" w:line="360" w:lineRule="auto"/>
        <w:jc w:val="both"/>
        <w:rPr>
          <w:sz w:val="24"/>
          <w:szCs w:val="24"/>
        </w:rPr>
      </w:pPr>
      <w:r w:rsidRPr="00B572C1">
        <w:rPr>
          <w:sz w:val="24"/>
          <w:szCs w:val="24"/>
        </w:rPr>
        <w:t xml:space="preserve">Figure S4. Differences across sex for selected microorganisms. </w:t>
      </w:r>
    </w:p>
    <w:p w14:paraId="65E43A61" w14:textId="187DEBC3" w:rsidR="00B572C1" w:rsidRPr="00654191" w:rsidRDefault="00B572C1" w:rsidP="00B572C1">
      <w:pPr>
        <w:pStyle w:val="Heading1"/>
        <w:adjustRightInd w:val="0"/>
        <w:spacing w:before="120" w:after="0" w:line="360" w:lineRule="auto"/>
        <w:contextualSpacing w:val="0"/>
        <w:rPr>
          <w:b/>
          <w:sz w:val="28"/>
          <w:szCs w:val="24"/>
        </w:rPr>
      </w:pPr>
      <w:r w:rsidRPr="00654191">
        <w:rPr>
          <w:b/>
          <w:sz w:val="28"/>
          <w:szCs w:val="24"/>
        </w:rPr>
        <w:t xml:space="preserve">Supplementary </w:t>
      </w:r>
      <w:r>
        <w:rPr>
          <w:b/>
          <w:sz w:val="28"/>
          <w:szCs w:val="24"/>
        </w:rPr>
        <w:t>Tables</w:t>
      </w:r>
    </w:p>
    <w:p w14:paraId="091249FA" w14:textId="19B71BC6" w:rsidR="00B572C1" w:rsidRDefault="00B572C1" w:rsidP="00B572C1">
      <w:pPr>
        <w:widowControl w:val="0"/>
        <w:adjustRightInd w:val="0"/>
        <w:spacing w:before="120" w:line="360" w:lineRule="auto"/>
        <w:rPr>
          <w:sz w:val="24"/>
          <w:szCs w:val="24"/>
        </w:rPr>
      </w:pPr>
      <w:r>
        <w:rPr>
          <w:sz w:val="24"/>
          <w:szCs w:val="24"/>
        </w:rPr>
        <w:t>Table S1. Clinical d</w:t>
      </w:r>
      <w:r w:rsidRPr="00B572C1">
        <w:rPr>
          <w:sz w:val="24"/>
          <w:szCs w:val="24"/>
        </w:rPr>
        <w:t>ata</w:t>
      </w:r>
      <w:r>
        <w:rPr>
          <w:sz w:val="24"/>
          <w:szCs w:val="24"/>
        </w:rPr>
        <w:t>.</w:t>
      </w:r>
    </w:p>
    <w:p w14:paraId="3AAAC153" w14:textId="23EB6D5E" w:rsidR="00B572C1" w:rsidRDefault="00B572C1" w:rsidP="00B572C1">
      <w:pPr>
        <w:widowControl w:val="0"/>
        <w:adjustRightInd w:val="0"/>
        <w:spacing w:before="120" w:line="360" w:lineRule="auto"/>
        <w:rPr>
          <w:sz w:val="24"/>
          <w:szCs w:val="24"/>
        </w:rPr>
      </w:pPr>
      <w:r w:rsidRPr="00B572C1">
        <w:rPr>
          <w:sz w:val="24"/>
          <w:szCs w:val="24"/>
        </w:rPr>
        <w:t>Table S2</w:t>
      </w:r>
      <w:r>
        <w:rPr>
          <w:sz w:val="24"/>
          <w:szCs w:val="24"/>
        </w:rPr>
        <w:t xml:space="preserve">. </w:t>
      </w:r>
      <w:r w:rsidRPr="00B572C1">
        <w:rPr>
          <w:sz w:val="24"/>
          <w:szCs w:val="24"/>
        </w:rPr>
        <w:t xml:space="preserve"> </w:t>
      </w:r>
      <w:r>
        <w:rPr>
          <w:sz w:val="24"/>
          <w:szCs w:val="24"/>
        </w:rPr>
        <w:t xml:space="preserve">Clinical data </w:t>
      </w:r>
      <w:r w:rsidRPr="00B572C1">
        <w:rPr>
          <w:sz w:val="24"/>
          <w:szCs w:val="24"/>
        </w:rPr>
        <w:t>dictionary</w:t>
      </w:r>
      <w:r>
        <w:rPr>
          <w:sz w:val="24"/>
          <w:szCs w:val="24"/>
        </w:rPr>
        <w:t>.</w:t>
      </w:r>
    </w:p>
    <w:p w14:paraId="19CF6B52" w14:textId="21E834B9" w:rsidR="00B572C1" w:rsidRDefault="00B572C1" w:rsidP="00B572C1">
      <w:pPr>
        <w:widowControl w:val="0"/>
        <w:adjustRightInd w:val="0"/>
        <w:spacing w:before="120" w:line="360" w:lineRule="auto"/>
        <w:rPr>
          <w:sz w:val="24"/>
          <w:szCs w:val="24"/>
        </w:rPr>
      </w:pPr>
      <w:r w:rsidRPr="00B572C1">
        <w:rPr>
          <w:sz w:val="24"/>
          <w:szCs w:val="24"/>
        </w:rPr>
        <w:t>Table S3. 16S sequencing results</w:t>
      </w:r>
      <w:r>
        <w:rPr>
          <w:sz w:val="24"/>
          <w:szCs w:val="24"/>
        </w:rPr>
        <w:t>.</w:t>
      </w:r>
    </w:p>
    <w:p w14:paraId="1DDF7DC2" w14:textId="45186E97" w:rsidR="00B572C1" w:rsidRPr="00B572C1" w:rsidRDefault="00B572C1" w:rsidP="00B572C1">
      <w:pPr>
        <w:widowControl w:val="0"/>
        <w:adjustRightInd w:val="0"/>
        <w:spacing w:before="120" w:line="360" w:lineRule="auto"/>
        <w:rPr>
          <w:sz w:val="24"/>
          <w:szCs w:val="24"/>
        </w:rPr>
      </w:pPr>
      <w:r w:rsidRPr="00B572C1">
        <w:rPr>
          <w:sz w:val="24"/>
          <w:szCs w:val="24"/>
        </w:rPr>
        <w:t>Table S4. Metagenomic sequencing results</w:t>
      </w:r>
      <w:r>
        <w:rPr>
          <w:sz w:val="24"/>
          <w:szCs w:val="24"/>
        </w:rPr>
        <w:t>.</w:t>
      </w:r>
    </w:p>
    <w:p w14:paraId="65C0ABE7" w14:textId="77777777" w:rsidR="00B572C1" w:rsidRPr="002D2518" w:rsidRDefault="00B572C1" w:rsidP="00B572C1">
      <w:pPr>
        <w:adjustRightInd w:val="0"/>
        <w:spacing w:before="120" w:line="360" w:lineRule="auto"/>
        <w:jc w:val="both"/>
        <w:rPr>
          <w:color w:val="auto"/>
          <w:sz w:val="24"/>
          <w:szCs w:val="24"/>
        </w:rPr>
      </w:pPr>
    </w:p>
    <w:p w14:paraId="5C2FF4A2" w14:textId="77777777" w:rsidR="00B572C1" w:rsidRDefault="00B572C1">
      <w:pPr>
        <w:spacing w:line="240" w:lineRule="auto"/>
        <w:rPr>
          <w:b/>
          <w:sz w:val="28"/>
          <w:szCs w:val="24"/>
        </w:rPr>
      </w:pPr>
      <w:r>
        <w:rPr>
          <w:b/>
          <w:sz w:val="28"/>
          <w:szCs w:val="24"/>
        </w:rPr>
        <w:br w:type="page"/>
      </w:r>
    </w:p>
    <w:p w14:paraId="71207D97" w14:textId="26DE5526" w:rsidR="00CE5F51" w:rsidRPr="008D04D3" w:rsidRDefault="00CE5F51" w:rsidP="008D04D3">
      <w:pPr>
        <w:pStyle w:val="Heading1"/>
        <w:adjustRightInd w:val="0"/>
        <w:spacing w:before="120" w:line="360" w:lineRule="auto"/>
        <w:rPr>
          <w:sz w:val="24"/>
          <w:szCs w:val="24"/>
        </w:rPr>
      </w:pPr>
      <w:bookmarkStart w:id="1" w:name="_d6znipqhftj8" w:colFirst="0" w:colLast="0"/>
      <w:bookmarkEnd w:id="1"/>
      <w:r w:rsidRPr="00A25F51">
        <w:rPr>
          <w:b/>
          <w:sz w:val="24"/>
          <w:szCs w:val="24"/>
        </w:rPr>
        <w:lastRenderedPageBreak/>
        <w:t>Figur</w:t>
      </w:r>
      <w:r w:rsidR="003253D5">
        <w:rPr>
          <w:b/>
          <w:sz w:val="24"/>
          <w:szCs w:val="24"/>
        </w:rPr>
        <w:t>e S1. Normalized abundance of 48</w:t>
      </w:r>
      <w:r w:rsidRPr="00A25F51">
        <w:rPr>
          <w:b/>
          <w:sz w:val="24"/>
          <w:szCs w:val="24"/>
        </w:rPr>
        <w:t xml:space="preserve"> bacterial genera across the clinical groups</w:t>
      </w:r>
      <w:r>
        <w:rPr>
          <w:b/>
          <w:sz w:val="24"/>
          <w:szCs w:val="24"/>
        </w:rPr>
        <w:t xml:space="preserve"> using 16S rDNA.</w:t>
      </w:r>
      <w:r w:rsidR="006F40E9">
        <w:rPr>
          <w:b/>
          <w:sz w:val="24"/>
          <w:szCs w:val="24"/>
        </w:rPr>
        <w:t xml:space="preserve"> </w:t>
      </w:r>
      <w:r w:rsidR="003253D5" w:rsidRPr="002D2518">
        <w:rPr>
          <w:sz w:val="24"/>
          <w:szCs w:val="24"/>
        </w:rPr>
        <w:t xml:space="preserve">Kruskal-Wallis rank sum test (kruskal.test in R) was performed to compare the number of reads between the three clusters. The </w:t>
      </w:r>
      <w:r w:rsidR="003253D5" w:rsidRPr="002D2518">
        <w:rPr>
          <w:i/>
          <w:sz w:val="24"/>
          <w:szCs w:val="24"/>
        </w:rPr>
        <w:t xml:space="preserve">p </w:t>
      </w:r>
      <w:r w:rsidR="003253D5" w:rsidRPr="002D2518">
        <w:rPr>
          <w:sz w:val="24"/>
          <w:szCs w:val="24"/>
        </w:rPr>
        <w:t xml:space="preserve">value and adjusted </w:t>
      </w:r>
      <w:r w:rsidR="003253D5" w:rsidRPr="002D2518">
        <w:rPr>
          <w:i/>
          <w:sz w:val="24"/>
          <w:szCs w:val="24"/>
        </w:rPr>
        <w:t xml:space="preserve">p </w:t>
      </w:r>
      <w:r w:rsidR="003253D5" w:rsidRPr="002D2518">
        <w:rPr>
          <w:sz w:val="24"/>
          <w:szCs w:val="24"/>
        </w:rPr>
        <w:t>value after multiple test correction with Holm–Bonferroni method (p.adjust in R) are shown below the genus name.</w:t>
      </w:r>
    </w:p>
    <w:p w14:paraId="067EFC0D" w14:textId="2FA0CB47" w:rsidR="00CE5F51" w:rsidRPr="00AB3945" w:rsidRDefault="008009F8" w:rsidP="00CE5F51">
      <w:pPr>
        <w:widowControl w:val="0"/>
        <w:adjustRightInd w:val="0"/>
        <w:spacing w:before="120" w:line="360" w:lineRule="auto"/>
        <w:rPr>
          <w:sz w:val="24"/>
          <w:szCs w:val="24"/>
        </w:rPr>
      </w:pPr>
      <w:r>
        <w:rPr>
          <w:noProof/>
          <w:sz w:val="24"/>
          <w:szCs w:val="24"/>
        </w:rPr>
        <w:drawing>
          <wp:inline distT="0" distB="0" distL="0" distR="0" wp14:anchorId="04463797" wp14:editId="35D247B8">
            <wp:extent cx="6038961" cy="6038961"/>
            <wp:effectExtent l="0" t="0" r="6350" b="6350"/>
            <wp:docPr id="1" name="Picture 1" descr="../../../../../../Desktop/Weizhong/UTI_FigS1-W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Weizhong/UTI_FigS1-WL.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42564" cy="6042564"/>
                    </a:xfrm>
                    <a:prstGeom prst="rect">
                      <a:avLst/>
                    </a:prstGeom>
                    <a:noFill/>
                    <a:ln>
                      <a:noFill/>
                    </a:ln>
                  </pic:spPr>
                </pic:pic>
              </a:graphicData>
            </a:graphic>
          </wp:inline>
        </w:drawing>
      </w:r>
    </w:p>
    <w:p w14:paraId="50982B4E" w14:textId="77777777" w:rsidR="00CE5F51" w:rsidRPr="00AB3945" w:rsidRDefault="00CE5F51" w:rsidP="00CE5F51">
      <w:pPr>
        <w:adjustRightInd w:val="0"/>
        <w:spacing w:before="120" w:line="360" w:lineRule="auto"/>
        <w:rPr>
          <w:sz w:val="24"/>
          <w:szCs w:val="24"/>
        </w:rPr>
      </w:pPr>
      <w:r w:rsidRPr="00AB3945">
        <w:rPr>
          <w:sz w:val="24"/>
          <w:szCs w:val="24"/>
        </w:rPr>
        <w:br w:type="page"/>
      </w:r>
    </w:p>
    <w:p w14:paraId="729B1EF1" w14:textId="714A6633" w:rsidR="008D04D3" w:rsidRPr="002D2518" w:rsidRDefault="00CE5F51" w:rsidP="008D04D3">
      <w:pPr>
        <w:pStyle w:val="Heading1"/>
        <w:adjustRightInd w:val="0"/>
        <w:spacing w:before="120" w:line="360" w:lineRule="auto"/>
        <w:rPr>
          <w:sz w:val="24"/>
          <w:szCs w:val="24"/>
        </w:rPr>
      </w:pPr>
      <w:r w:rsidRPr="00A25F51">
        <w:rPr>
          <w:b/>
          <w:sz w:val="24"/>
          <w:szCs w:val="24"/>
        </w:rPr>
        <w:t>Figure S2. Normalized abundance of 49 bacterial genera across the clinical groups</w:t>
      </w:r>
      <w:r>
        <w:rPr>
          <w:b/>
          <w:sz w:val="24"/>
          <w:szCs w:val="24"/>
        </w:rPr>
        <w:t xml:space="preserve"> using whole genome shotgun sequencing.</w:t>
      </w:r>
      <w:r w:rsidR="006F40E9">
        <w:rPr>
          <w:b/>
          <w:sz w:val="24"/>
          <w:szCs w:val="24"/>
        </w:rPr>
        <w:t xml:space="preserve"> </w:t>
      </w:r>
      <w:r w:rsidR="008D04D3" w:rsidRPr="002D2518">
        <w:rPr>
          <w:i/>
          <w:sz w:val="24"/>
          <w:szCs w:val="24"/>
        </w:rPr>
        <w:t>P</w:t>
      </w:r>
      <w:r w:rsidR="008D04D3" w:rsidRPr="002D2518">
        <w:rPr>
          <w:sz w:val="24"/>
          <w:szCs w:val="24"/>
        </w:rPr>
        <w:t xml:space="preserve"> values, which were calculated as in Figure S1, are shown bel</w:t>
      </w:r>
      <w:r w:rsidR="008D04D3">
        <w:rPr>
          <w:sz w:val="24"/>
          <w:szCs w:val="24"/>
        </w:rPr>
        <w:t>ow</w:t>
      </w:r>
      <w:r w:rsidR="008D04D3" w:rsidRPr="002D2518">
        <w:rPr>
          <w:sz w:val="24"/>
          <w:szCs w:val="24"/>
        </w:rPr>
        <w:t xml:space="preserve"> the genus name.</w:t>
      </w:r>
    </w:p>
    <w:p w14:paraId="78C22C18" w14:textId="5D1D316F" w:rsidR="00CE5F51" w:rsidRPr="00AB3945" w:rsidRDefault="00CE5F51" w:rsidP="00CE5F51">
      <w:pPr>
        <w:widowControl w:val="0"/>
        <w:adjustRightInd w:val="0"/>
        <w:spacing w:before="120" w:line="360" w:lineRule="auto"/>
        <w:rPr>
          <w:b/>
          <w:sz w:val="24"/>
          <w:szCs w:val="24"/>
        </w:rPr>
      </w:pPr>
    </w:p>
    <w:p w14:paraId="4C228FFA" w14:textId="19FF2231" w:rsidR="00CE5F51" w:rsidRPr="00AB3945" w:rsidRDefault="008009F8" w:rsidP="00CE5F51">
      <w:pPr>
        <w:widowControl w:val="0"/>
        <w:adjustRightInd w:val="0"/>
        <w:spacing w:before="120" w:line="360" w:lineRule="auto"/>
        <w:rPr>
          <w:sz w:val="24"/>
          <w:szCs w:val="24"/>
        </w:rPr>
      </w:pPr>
      <w:r>
        <w:rPr>
          <w:noProof/>
          <w:sz w:val="24"/>
          <w:szCs w:val="24"/>
        </w:rPr>
        <w:drawing>
          <wp:inline distT="0" distB="0" distL="0" distR="0" wp14:anchorId="632EF3F9" wp14:editId="1FAF0FD5">
            <wp:extent cx="6308725" cy="6308725"/>
            <wp:effectExtent l="0" t="0" r="0" b="0"/>
            <wp:docPr id="3" name="Picture 3" descr="../../../../../../Desktop/Weizhong/UTI_FigS2-W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Weizhong/UTI_FigS2-WL.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08725" cy="6308725"/>
                    </a:xfrm>
                    <a:prstGeom prst="rect">
                      <a:avLst/>
                    </a:prstGeom>
                    <a:noFill/>
                    <a:ln>
                      <a:noFill/>
                    </a:ln>
                  </pic:spPr>
                </pic:pic>
              </a:graphicData>
            </a:graphic>
          </wp:inline>
        </w:drawing>
      </w:r>
    </w:p>
    <w:p w14:paraId="64FA3C04" w14:textId="77777777" w:rsidR="00CE5F51" w:rsidRDefault="00CE5F51" w:rsidP="00CE5F51">
      <w:pPr>
        <w:rPr>
          <w:b/>
          <w:sz w:val="24"/>
          <w:szCs w:val="24"/>
        </w:rPr>
      </w:pPr>
      <w:r>
        <w:rPr>
          <w:b/>
          <w:sz w:val="24"/>
          <w:szCs w:val="24"/>
        </w:rPr>
        <w:br w:type="page"/>
      </w:r>
    </w:p>
    <w:p w14:paraId="0829475B" w14:textId="1E0E0B86" w:rsidR="008D04D3" w:rsidRPr="009078F0" w:rsidRDefault="00CE5F51" w:rsidP="00CE5F51">
      <w:pPr>
        <w:adjustRightInd w:val="0"/>
        <w:spacing w:before="120" w:line="360" w:lineRule="auto"/>
        <w:jc w:val="both"/>
        <w:rPr>
          <w:sz w:val="24"/>
          <w:szCs w:val="24"/>
        </w:rPr>
      </w:pPr>
      <w:r w:rsidRPr="00AB3945">
        <w:rPr>
          <w:b/>
          <w:sz w:val="24"/>
          <w:szCs w:val="24"/>
        </w:rPr>
        <w:t>Figure S</w:t>
      </w:r>
      <w:r>
        <w:rPr>
          <w:b/>
          <w:sz w:val="24"/>
          <w:szCs w:val="24"/>
        </w:rPr>
        <w:t xml:space="preserve">3. Correlation between 16S rDNA and whole genome shotgun sequencing. </w:t>
      </w:r>
      <w:r>
        <w:rPr>
          <w:sz w:val="24"/>
          <w:szCs w:val="24"/>
        </w:rPr>
        <w:t>Each dot represents the median normalized abundance for 44 genera identified by the two sequencing approaches. Dots in reds represent those genus that exhibit greater than 2 standard deviation from the regression line, thus suggesting differential performance of one of the two techniques. T</w:t>
      </w:r>
      <w:r w:rsidRPr="001247EC">
        <w:rPr>
          <w:sz w:val="24"/>
          <w:szCs w:val="24"/>
        </w:rPr>
        <w:t xml:space="preserve">he </w:t>
      </w:r>
      <w:r>
        <w:rPr>
          <w:sz w:val="24"/>
          <w:szCs w:val="24"/>
        </w:rPr>
        <w:t xml:space="preserve">lack of correlation between </w:t>
      </w:r>
      <w:r w:rsidRPr="001247EC">
        <w:rPr>
          <w:i/>
          <w:sz w:val="24"/>
          <w:szCs w:val="24"/>
        </w:rPr>
        <w:t>Raou</w:t>
      </w:r>
      <w:r>
        <w:rPr>
          <w:i/>
          <w:sz w:val="24"/>
          <w:szCs w:val="24"/>
        </w:rPr>
        <w:t>l</w:t>
      </w:r>
      <w:r w:rsidRPr="001247EC">
        <w:rPr>
          <w:i/>
          <w:sz w:val="24"/>
          <w:szCs w:val="24"/>
        </w:rPr>
        <w:t>tella</w:t>
      </w:r>
      <w:r w:rsidRPr="001247EC">
        <w:rPr>
          <w:sz w:val="24"/>
          <w:szCs w:val="24"/>
        </w:rPr>
        <w:t xml:space="preserve"> 16S </w:t>
      </w:r>
      <w:r>
        <w:rPr>
          <w:sz w:val="24"/>
          <w:szCs w:val="24"/>
        </w:rPr>
        <w:t>rDNA and whole genome shotgun sequencing likely result from its recent re</w:t>
      </w:r>
      <w:r w:rsidRPr="001247EC">
        <w:rPr>
          <w:sz w:val="24"/>
          <w:szCs w:val="24"/>
        </w:rPr>
        <w:t>assignm</w:t>
      </w:r>
      <w:r>
        <w:rPr>
          <w:sz w:val="24"/>
          <w:szCs w:val="24"/>
        </w:rPr>
        <w:t>ent</w:t>
      </w:r>
      <w:r w:rsidRPr="001247EC">
        <w:rPr>
          <w:sz w:val="24"/>
          <w:szCs w:val="24"/>
        </w:rPr>
        <w:t xml:space="preserve"> as a separate genus from </w:t>
      </w:r>
      <w:r w:rsidRPr="001247EC">
        <w:rPr>
          <w:i/>
          <w:sz w:val="24"/>
          <w:szCs w:val="24"/>
        </w:rPr>
        <w:t>Klebsiella</w:t>
      </w:r>
      <w:r>
        <w:rPr>
          <w:sz w:val="24"/>
          <w:szCs w:val="24"/>
        </w:rPr>
        <w:t>.</w:t>
      </w:r>
    </w:p>
    <w:p w14:paraId="3A5040B8" w14:textId="77777777" w:rsidR="00CE5F51" w:rsidRPr="00AB3945" w:rsidRDefault="00CE5F51" w:rsidP="00CE5F51">
      <w:pPr>
        <w:adjustRightInd w:val="0"/>
        <w:spacing w:before="120" w:line="360" w:lineRule="auto"/>
        <w:rPr>
          <w:sz w:val="24"/>
          <w:szCs w:val="24"/>
        </w:rPr>
      </w:pPr>
    </w:p>
    <w:p w14:paraId="33CFA14B" w14:textId="77777777" w:rsidR="00CE5F51" w:rsidRDefault="00CE5F51" w:rsidP="00CE5F51">
      <w:pPr>
        <w:adjustRightInd w:val="0"/>
        <w:spacing w:before="120" w:line="360" w:lineRule="auto"/>
        <w:rPr>
          <w:sz w:val="24"/>
          <w:szCs w:val="24"/>
        </w:rPr>
      </w:pPr>
      <w:r w:rsidRPr="00AB3945">
        <w:rPr>
          <w:noProof/>
          <w:sz w:val="24"/>
          <w:szCs w:val="24"/>
        </w:rPr>
        <w:drawing>
          <wp:inline distT="0" distB="0" distL="0" distR="0" wp14:anchorId="53F1B593" wp14:editId="7ACF9846">
            <wp:extent cx="4164219" cy="3826413"/>
            <wp:effectExtent l="0" t="0" r="190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17-03-31 at 2.13.44 PM.png"/>
                    <pic:cNvPicPr/>
                  </pic:nvPicPr>
                  <pic:blipFill rotWithShape="1">
                    <a:blip r:embed="rId8">
                      <a:extLst>
                        <a:ext uri="{28A0092B-C50C-407E-A947-70E740481C1C}">
                          <a14:useLocalDpi xmlns:a14="http://schemas.microsoft.com/office/drawing/2010/main" val="0"/>
                        </a:ext>
                      </a:extLst>
                    </a:blip>
                    <a:srcRect t="-1" b="858"/>
                    <a:stretch/>
                  </pic:blipFill>
                  <pic:spPr bwMode="auto">
                    <a:xfrm>
                      <a:off x="0" y="0"/>
                      <a:ext cx="4173332" cy="3834787"/>
                    </a:xfrm>
                    <a:prstGeom prst="rect">
                      <a:avLst/>
                    </a:prstGeom>
                    <a:ln>
                      <a:noFill/>
                    </a:ln>
                    <a:extLst>
                      <a:ext uri="{53640926-AAD7-44D8-BBD7-CCE9431645EC}">
                        <a14:shadowObscured xmlns:a14="http://schemas.microsoft.com/office/drawing/2010/main"/>
                      </a:ext>
                    </a:extLst>
                  </pic:spPr>
                </pic:pic>
              </a:graphicData>
            </a:graphic>
          </wp:inline>
        </w:drawing>
      </w:r>
    </w:p>
    <w:p w14:paraId="3F6B9AE7" w14:textId="77777777" w:rsidR="00CE5F51" w:rsidRDefault="00CE5F51" w:rsidP="00CE5F51">
      <w:pPr>
        <w:rPr>
          <w:b/>
          <w:sz w:val="24"/>
          <w:szCs w:val="24"/>
        </w:rPr>
      </w:pPr>
      <w:r>
        <w:rPr>
          <w:b/>
          <w:sz w:val="24"/>
          <w:szCs w:val="24"/>
        </w:rPr>
        <w:br w:type="page"/>
      </w:r>
    </w:p>
    <w:p w14:paraId="0372F1E4" w14:textId="77777777" w:rsidR="008D04D3" w:rsidRPr="00A71326" w:rsidRDefault="008D04D3" w:rsidP="008D04D3">
      <w:pPr>
        <w:pStyle w:val="Heading1"/>
        <w:adjustRightInd w:val="0"/>
        <w:spacing w:before="120" w:line="360" w:lineRule="auto"/>
        <w:rPr>
          <w:sz w:val="24"/>
          <w:szCs w:val="24"/>
        </w:rPr>
      </w:pPr>
      <w:r w:rsidRPr="002D2518">
        <w:rPr>
          <w:b/>
          <w:sz w:val="24"/>
          <w:szCs w:val="24"/>
        </w:rPr>
        <w:t>Figure S4.</w:t>
      </w:r>
      <w:bookmarkStart w:id="2" w:name="_GoBack"/>
      <w:r w:rsidRPr="008D04D3">
        <w:rPr>
          <w:b/>
          <w:sz w:val="24"/>
          <w:szCs w:val="24"/>
        </w:rPr>
        <w:t xml:space="preserve"> Differences across sex for selected microorganisms.</w:t>
      </w:r>
      <w:r w:rsidRPr="002D2518">
        <w:rPr>
          <w:sz w:val="24"/>
          <w:szCs w:val="24"/>
        </w:rPr>
        <w:t xml:space="preserve"> </w:t>
      </w:r>
      <w:bookmarkEnd w:id="2"/>
      <w:r w:rsidRPr="002D2518">
        <w:rPr>
          <w:sz w:val="24"/>
          <w:szCs w:val="24"/>
        </w:rPr>
        <w:t xml:space="preserve">A. Principal component analysis of female and male microbial metagenome showing differences along principal component PC1. B. Boxplot of genera that are nominally statistically different in number of read counts between female and male participants. </w:t>
      </w:r>
      <w:r w:rsidRPr="002D2518">
        <w:rPr>
          <w:i/>
          <w:sz w:val="24"/>
          <w:szCs w:val="24"/>
        </w:rPr>
        <w:t xml:space="preserve">P </w:t>
      </w:r>
      <w:r w:rsidRPr="002D2518">
        <w:rPr>
          <w:sz w:val="24"/>
          <w:szCs w:val="24"/>
        </w:rPr>
        <w:t>value (Wilcoxon rank sum test) before and after multiple test correction are shown in B. These differences are not statistically different after multiple testing correction.</w:t>
      </w:r>
      <w:r>
        <w:rPr>
          <w:sz w:val="24"/>
          <w:szCs w:val="24"/>
        </w:rPr>
        <w:t xml:space="preserve"> </w:t>
      </w:r>
    </w:p>
    <w:p w14:paraId="0AA82C35" w14:textId="77777777" w:rsidR="008D04D3" w:rsidRPr="00A25F51" w:rsidRDefault="008D04D3" w:rsidP="00CE5F51">
      <w:pPr>
        <w:adjustRightInd w:val="0"/>
        <w:spacing w:before="120" w:line="360" w:lineRule="auto"/>
        <w:jc w:val="both"/>
        <w:rPr>
          <w:sz w:val="24"/>
          <w:szCs w:val="24"/>
        </w:rPr>
      </w:pPr>
    </w:p>
    <w:p w14:paraId="0E01FDDC" w14:textId="623D4800" w:rsidR="00F346A5" w:rsidRPr="00CE5F51" w:rsidRDefault="008009F8" w:rsidP="00CE5F51">
      <w:pPr>
        <w:adjustRightInd w:val="0"/>
        <w:spacing w:before="120" w:line="360" w:lineRule="auto"/>
        <w:rPr>
          <w:sz w:val="24"/>
          <w:szCs w:val="24"/>
        </w:rPr>
      </w:pPr>
      <w:r>
        <w:rPr>
          <w:noProof/>
          <w:sz w:val="24"/>
          <w:szCs w:val="24"/>
        </w:rPr>
        <w:drawing>
          <wp:inline distT="0" distB="0" distL="0" distR="0" wp14:anchorId="1C08CCFE" wp14:editId="6BA118E3">
            <wp:extent cx="4813587" cy="5160010"/>
            <wp:effectExtent l="0" t="0" r="12700" b="0"/>
            <wp:docPr id="6" name="Picture 6" descr="../../../../../../Desktop/Weizhong/WL-Fig-S4.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Weizhong/WL-Fig-S4.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6588" cy="5163227"/>
                    </a:xfrm>
                    <a:prstGeom prst="rect">
                      <a:avLst/>
                    </a:prstGeom>
                    <a:noFill/>
                    <a:ln>
                      <a:noFill/>
                    </a:ln>
                  </pic:spPr>
                </pic:pic>
              </a:graphicData>
            </a:graphic>
          </wp:inline>
        </w:drawing>
      </w:r>
    </w:p>
    <w:sectPr w:rsidR="00F346A5" w:rsidRPr="00CE5F51" w:rsidSect="00566C50">
      <w:footerReference w:type="default" r:id="rId10"/>
      <w:pgSz w:w="12240" w:h="15840"/>
      <w:pgMar w:top="1440" w:right="1152" w:bottom="1008" w:left="1152" w:header="0"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41B815" w14:textId="77777777" w:rsidR="00960AAC" w:rsidRDefault="00960AAC">
      <w:pPr>
        <w:spacing w:line="240" w:lineRule="auto"/>
      </w:pPr>
      <w:r>
        <w:separator/>
      </w:r>
    </w:p>
  </w:endnote>
  <w:endnote w:type="continuationSeparator" w:id="0">
    <w:p w14:paraId="12960FA4" w14:textId="77777777" w:rsidR="00960AAC" w:rsidRDefault="00960A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B0AB3" w14:textId="77777777" w:rsidR="00EF03C4" w:rsidRDefault="00CE5F51">
    <w:pPr>
      <w:tabs>
        <w:tab w:val="center" w:pos="4680"/>
        <w:tab w:val="right" w:pos="9360"/>
      </w:tabs>
    </w:pPr>
    <w:r>
      <w:fldChar w:fldCharType="begin"/>
    </w:r>
    <w:r>
      <w:instrText>PAGE</w:instrText>
    </w:r>
    <w:r>
      <w:fldChar w:fldCharType="separate"/>
    </w:r>
    <w:r w:rsidR="00960AAC">
      <w:rPr>
        <w:noProof/>
      </w:rPr>
      <w:t>1</w:t>
    </w:r>
    <w:r>
      <w:fldChar w:fldCharType="end"/>
    </w:r>
  </w:p>
  <w:p w14:paraId="17E65A55" w14:textId="77777777" w:rsidR="00EF03C4" w:rsidRDefault="00960AAC">
    <w:pPr>
      <w:widowControl w:val="0"/>
      <w:tabs>
        <w:tab w:val="center" w:pos="4680"/>
        <w:tab w:val="right" w:pos="9360"/>
      </w:tabs>
      <w:spacing w:after="720" w:line="240" w:lineRule="auto"/>
      <w:ind w:right="360"/>
      <w:rPr>
        <w:rFonts w:ascii="Calibri" w:eastAsia="Calibri" w:hAnsi="Calibri" w:cs="Calibri"/>
        <w:sz w:val="24"/>
        <w:szCs w:val="24"/>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30020F" w14:textId="77777777" w:rsidR="00960AAC" w:rsidRDefault="00960AAC">
      <w:pPr>
        <w:spacing w:line="240" w:lineRule="auto"/>
      </w:pPr>
      <w:r>
        <w:separator/>
      </w:r>
    </w:p>
  </w:footnote>
  <w:footnote w:type="continuationSeparator" w:id="0">
    <w:p w14:paraId="70EC6F4F" w14:textId="77777777" w:rsidR="00960AAC" w:rsidRDefault="00960AA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7"/>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F51"/>
    <w:rsid w:val="00004BEC"/>
    <w:rsid w:val="0002071B"/>
    <w:rsid w:val="00051B64"/>
    <w:rsid w:val="00095504"/>
    <w:rsid w:val="000A0ABF"/>
    <w:rsid w:val="000B0384"/>
    <w:rsid w:val="000C27B3"/>
    <w:rsid w:val="000C7192"/>
    <w:rsid w:val="000D32AC"/>
    <w:rsid w:val="000F07F6"/>
    <w:rsid w:val="000F08C5"/>
    <w:rsid w:val="000F36E7"/>
    <w:rsid w:val="001323E7"/>
    <w:rsid w:val="00132EAF"/>
    <w:rsid w:val="00156E7D"/>
    <w:rsid w:val="00162120"/>
    <w:rsid w:val="001765AC"/>
    <w:rsid w:val="0018376D"/>
    <w:rsid w:val="00195772"/>
    <w:rsid w:val="001A5D2E"/>
    <w:rsid w:val="001B59B1"/>
    <w:rsid w:val="001B662E"/>
    <w:rsid w:val="001D384D"/>
    <w:rsid w:val="001D5162"/>
    <w:rsid w:val="001F469F"/>
    <w:rsid w:val="0020147A"/>
    <w:rsid w:val="00204808"/>
    <w:rsid w:val="00225393"/>
    <w:rsid w:val="00227E68"/>
    <w:rsid w:val="00252DBF"/>
    <w:rsid w:val="0028128F"/>
    <w:rsid w:val="00300A77"/>
    <w:rsid w:val="003253D5"/>
    <w:rsid w:val="00344A9A"/>
    <w:rsid w:val="0038266B"/>
    <w:rsid w:val="00392CF9"/>
    <w:rsid w:val="003D347F"/>
    <w:rsid w:val="003E2992"/>
    <w:rsid w:val="003E6843"/>
    <w:rsid w:val="003F47DF"/>
    <w:rsid w:val="0040218D"/>
    <w:rsid w:val="00420BC4"/>
    <w:rsid w:val="00452D8A"/>
    <w:rsid w:val="00466D6D"/>
    <w:rsid w:val="00492780"/>
    <w:rsid w:val="00495A94"/>
    <w:rsid w:val="004A0864"/>
    <w:rsid w:val="004B10FB"/>
    <w:rsid w:val="004D523F"/>
    <w:rsid w:val="004E66B8"/>
    <w:rsid w:val="00510B0A"/>
    <w:rsid w:val="00533529"/>
    <w:rsid w:val="00554337"/>
    <w:rsid w:val="00570883"/>
    <w:rsid w:val="005A6FCB"/>
    <w:rsid w:val="005B19DB"/>
    <w:rsid w:val="005C00AD"/>
    <w:rsid w:val="005C11F9"/>
    <w:rsid w:val="005C3516"/>
    <w:rsid w:val="005D592E"/>
    <w:rsid w:val="005D7DED"/>
    <w:rsid w:val="005F37BC"/>
    <w:rsid w:val="00602D48"/>
    <w:rsid w:val="006115D7"/>
    <w:rsid w:val="0063405A"/>
    <w:rsid w:val="00640393"/>
    <w:rsid w:val="006652D2"/>
    <w:rsid w:val="00666F9E"/>
    <w:rsid w:val="00670609"/>
    <w:rsid w:val="00681F52"/>
    <w:rsid w:val="00686CEF"/>
    <w:rsid w:val="00695022"/>
    <w:rsid w:val="00695AE4"/>
    <w:rsid w:val="006B0CB1"/>
    <w:rsid w:val="006F40E9"/>
    <w:rsid w:val="00744881"/>
    <w:rsid w:val="007575B8"/>
    <w:rsid w:val="007A1454"/>
    <w:rsid w:val="007A613E"/>
    <w:rsid w:val="007A6162"/>
    <w:rsid w:val="007B0C0A"/>
    <w:rsid w:val="007D27A3"/>
    <w:rsid w:val="007F3FCD"/>
    <w:rsid w:val="008009F8"/>
    <w:rsid w:val="00842F6B"/>
    <w:rsid w:val="008709F2"/>
    <w:rsid w:val="00892912"/>
    <w:rsid w:val="008A6733"/>
    <w:rsid w:val="008B0126"/>
    <w:rsid w:val="008C0F41"/>
    <w:rsid w:val="008D0430"/>
    <w:rsid w:val="008D04D3"/>
    <w:rsid w:val="008D1374"/>
    <w:rsid w:val="008E0B6A"/>
    <w:rsid w:val="00906DB7"/>
    <w:rsid w:val="00916160"/>
    <w:rsid w:val="00923D63"/>
    <w:rsid w:val="009577A6"/>
    <w:rsid w:val="009609CA"/>
    <w:rsid w:val="00960AAC"/>
    <w:rsid w:val="0096288E"/>
    <w:rsid w:val="009A597C"/>
    <w:rsid w:val="009C445B"/>
    <w:rsid w:val="009C720A"/>
    <w:rsid w:val="009D771E"/>
    <w:rsid w:val="009E08A9"/>
    <w:rsid w:val="00A15BF2"/>
    <w:rsid w:val="00A3667C"/>
    <w:rsid w:val="00A479AE"/>
    <w:rsid w:val="00A54E2D"/>
    <w:rsid w:val="00AD530F"/>
    <w:rsid w:val="00AD54B9"/>
    <w:rsid w:val="00AE1656"/>
    <w:rsid w:val="00AE2CE3"/>
    <w:rsid w:val="00B0071D"/>
    <w:rsid w:val="00B27AA6"/>
    <w:rsid w:val="00B4360F"/>
    <w:rsid w:val="00B55178"/>
    <w:rsid w:val="00B572C1"/>
    <w:rsid w:val="00BB6D0A"/>
    <w:rsid w:val="00BC5853"/>
    <w:rsid w:val="00BC6029"/>
    <w:rsid w:val="00BD1C8A"/>
    <w:rsid w:val="00BD2B3C"/>
    <w:rsid w:val="00BD4218"/>
    <w:rsid w:val="00BF1522"/>
    <w:rsid w:val="00BF7071"/>
    <w:rsid w:val="00C00829"/>
    <w:rsid w:val="00C34B79"/>
    <w:rsid w:val="00C37FCF"/>
    <w:rsid w:val="00C51539"/>
    <w:rsid w:val="00C5763D"/>
    <w:rsid w:val="00C80BBF"/>
    <w:rsid w:val="00C82FDE"/>
    <w:rsid w:val="00C8636A"/>
    <w:rsid w:val="00CE1E3C"/>
    <w:rsid w:val="00CE5F51"/>
    <w:rsid w:val="00CF3B4E"/>
    <w:rsid w:val="00CF47A8"/>
    <w:rsid w:val="00D00D6E"/>
    <w:rsid w:val="00D3101D"/>
    <w:rsid w:val="00D41449"/>
    <w:rsid w:val="00D7584E"/>
    <w:rsid w:val="00DA1571"/>
    <w:rsid w:val="00DB6FB0"/>
    <w:rsid w:val="00DB7100"/>
    <w:rsid w:val="00DB7F4A"/>
    <w:rsid w:val="00DC5D51"/>
    <w:rsid w:val="00DD68DD"/>
    <w:rsid w:val="00DF7CE8"/>
    <w:rsid w:val="00E17C31"/>
    <w:rsid w:val="00E22C8E"/>
    <w:rsid w:val="00E37C20"/>
    <w:rsid w:val="00E40001"/>
    <w:rsid w:val="00E417E0"/>
    <w:rsid w:val="00E63131"/>
    <w:rsid w:val="00E83207"/>
    <w:rsid w:val="00ED10E6"/>
    <w:rsid w:val="00EE69B7"/>
    <w:rsid w:val="00F06B76"/>
    <w:rsid w:val="00F22F91"/>
    <w:rsid w:val="00F2597D"/>
    <w:rsid w:val="00F44C4A"/>
    <w:rsid w:val="00F604E0"/>
    <w:rsid w:val="00FA4072"/>
    <w:rsid w:val="00FE1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FC7B2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CE5F51"/>
    <w:pPr>
      <w:spacing w:line="276" w:lineRule="auto"/>
    </w:pPr>
    <w:rPr>
      <w:rFonts w:ascii="Arial" w:eastAsia="Arial" w:hAnsi="Arial" w:cs="Arial"/>
      <w:color w:val="000000"/>
      <w:sz w:val="22"/>
      <w:szCs w:val="22"/>
    </w:rPr>
  </w:style>
  <w:style w:type="paragraph" w:styleId="Heading1">
    <w:name w:val="heading 1"/>
    <w:basedOn w:val="Normal"/>
    <w:next w:val="Normal"/>
    <w:link w:val="Heading1Char"/>
    <w:rsid w:val="00CE5F51"/>
    <w:pPr>
      <w:keepNext/>
      <w:keepLines/>
      <w:spacing w:before="400" w:after="120"/>
      <w:contextualSpacing/>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E5F51"/>
    <w:rPr>
      <w:rFonts w:ascii="Arial" w:eastAsia="Arial" w:hAnsi="Arial" w:cs="Arial"/>
      <w:color w:val="000000"/>
      <w:sz w:val="40"/>
      <w:szCs w:val="40"/>
    </w:rPr>
  </w:style>
  <w:style w:type="character" w:styleId="LineNumber">
    <w:name w:val="line number"/>
    <w:basedOn w:val="DefaultParagraphFont"/>
    <w:uiPriority w:val="99"/>
    <w:semiHidden/>
    <w:unhideWhenUsed/>
    <w:rsid w:val="00CE5F51"/>
  </w:style>
  <w:style w:type="paragraph" w:styleId="Title">
    <w:name w:val="Title"/>
    <w:basedOn w:val="Normal"/>
    <w:next w:val="Normal"/>
    <w:link w:val="TitleChar"/>
    <w:rsid w:val="00B572C1"/>
    <w:pPr>
      <w:keepNext/>
      <w:keepLines/>
      <w:spacing w:after="60"/>
      <w:contextualSpacing/>
    </w:pPr>
    <w:rPr>
      <w:sz w:val="52"/>
      <w:szCs w:val="52"/>
    </w:rPr>
  </w:style>
  <w:style w:type="character" w:customStyle="1" w:styleId="TitleChar">
    <w:name w:val="Title Char"/>
    <w:basedOn w:val="DefaultParagraphFont"/>
    <w:link w:val="Title"/>
    <w:rsid w:val="00B572C1"/>
    <w:rPr>
      <w:rFonts w:ascii="Arial" w:eastAsia="Arial" w:hAnsi="Arial" w:cs="Arial"/>
      <w:color w:val="000000"/>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059784">
      <w:bodyDiv w:val="1"/>
      <w:marLeft w:val="0"/>
      <w:marRight w:val="0"/>
      <w:marTop w:val="0"/>
      <w:marBottom w:val="0"/>
      <w:divBdr>
        <w:top w:val="none" w:sz="0" w:space="0" w:color="auto"/>
        <w:left w:val="none" w:sz="0" w:space="0" w:color="auto"/>
        <w:bottom w:val="none" w:sz="0" w:space="0" w:color="auto"/>
        <w:right w:val="none" w:sz="0" w:space="0" w:color="auto"/>
      </w:divBdr>
    </w:div>
    <w:div w:id="79772530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emf"/><Relationship Id="rId7" Type="http://schemas.openxmlformats.org/officeDocument/2006/relationships/image" Target="media/image2.emf"/><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364</Words>
  <Characters>2081</Characters>
  <Application>Microsoft Macintosh Word</Application>
  <DocSecurity>0</DocSecurity>
  <Lines>17</Lines>
  <Paragraphs>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Supplementary Materials</vt:lpstr>
    </vt:vector>
  </TitlesOfParts>
  <LinksUpToDate>false</LinksUpToDate>
  <CharactersWithSpaces>2441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Amalio Telenti</cp:lastModifiedBy>
  <cp:revision>3</cp:revision>
  <dcterms:created xsi:type="dcterms:W3CDTF">2018-01-22T15:44:00Z</dcterms:created>
  <dcterms:modified xsi:type="dcterms:W3CDTF">2018-01-22T15:46:00Z</dcterms:modified>
</cp:coreProperties>
</file>