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8C8" w:rsidRPr="003549B7" w:rsidRDefault="00C858C8" w:rsidP="00C858C8">
      <w:pPr>
        <w:rPr>
          <w:rFonts w:ascii="Times New Roman" w:hAnsi="Times New Roman"/>
          <w:sz w:val="32"/>
          <w:szCs w:val="32"/>
          <w:lang w:val="en-GB"/>
        </w:rPr>
      </w:pPr>
      <w:bookmarkStart w:id="0" w:name="_GoBack"/>
      <w:r w:rsidRPr="003549B7">
        <w:rPr>
          <w:rFonts w:ascii="Times New Roman" w:hAnsi="Times New Roman"/>
          <w:sz w:val="32"/>
          <w:szCs w:val="32"/>
          <w:lang w:val="en-GB"/>
        </w:rPr>
        <w:t>Supplementary Information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</w:p>
    <w:p w:rsidR="00620862" w:rsidRPr="003549B7" w:rsidRDefault="00620862" w:rsidP="00620862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>The molecular mechanism for activating IgA production by</w:t>
      </w:r>
      <w:r w:rsidRPr="003549B7">
        <w:rPr>
          <w:rFonts w:ascii="Times New Roman" w:hAnsi="Times New Roman"/>
          <w:i/>
          <w:sz w:val="24"/>
          <w:lang w:val="en-GB"/>
        </w:rPr>
        <w:t xml:space="preserve"> </w:t>
      </w:r>
      <w:r w:rsidR="00294E0A" w:rsidRPr="003549B7">
        <w:rPr>
          <w:rFonts w:ascii="Times New Roman" w:hAnsi="Times New Roman"/>
          <w:i/>
          <w:sz w:val="24"/>
          <w:lang w:val="en-GB"/>
        </w:rPr>
        <w:t xml:space="preserve">Pediococcus acidilactici </w:t>
      </w:r>
      <w:r w:rsidR="00294E0A" w:rsidRPr="003549B7">
        <w:rPr>
          <w:rFonts w:ascii="Times New Roman" w:hAnsi="Times New Roman"/>
          <w:sz w:val="24"/>
          <w:lang w:val="en-GB"/>
        </w:rPr>
        <w:t>K15</w:t>
      </w:r>
      <w:r w:rsidRPr="003549B7">
        <w:rPr>
          <w:rFonts w:ascii="Times New Roman" w:hAnsi="Times New Roman"/>
          <w:sz w:val="24"/>
          <w:lang w:val="en-GB"/>
        </w:rPr>
        <w:t xml:space="preserve"> and the clinical impact in a randomized trial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>Tadaomi Kawashima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a,b,*</w:t>
      </w:r>
      <w:r w:rsidRPr="003549B7">
        <w:rPr>
          <w:rFonts w:ascii="Times New Roman" w:hAnsi="Times New Roman"/>
          <w:sz w:val="24"/>
          <w:lang w:val="en-GB"/>
        </w:rPr>
        <w:t>, Naho Ikari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a,b</w:t>
      </w:r>
      <w:r w:rsidRPr="003549B7">
        <w:rPr>
          <w:rFonts w:ascii="Times New Roman" w:hAnsi="Times New Roman"/>
          <w:sz w:val="24"/>
          <w:lang w:val="en-GB"/>
        </w:rPr>
        <w:t>, Tomoko Ko</w:t>
      </w:r>
      <w:r w:rsidR="007F0A25" w:rsidRPr="003549B7">
        <w:rPr>
          <w:rFonts w:ascii="Times New Roman" w:hAnsi="Times New Roman"/>
          <w:sz w:val="24"/>
          <w:lang w:val="en-GB"/>
        </w:rPr>
        <w:t>u</w:t>
      </w:r>
      <w:r w:rsidRPr="003549B7">
        <w:rPr>
          <w:rFonts w:ascii="Times New Roman" w:hAnsi="Times New Roman"/>
          <w:sz w:val="24"/>
          <w:lang w:val="en-GB"/>
        </w:rPr>
        <w:t>chi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a</w:t>
      </w:r>
      <w:r w:rsidRPr="003549B7">
        <w:rPr>
          <w:rFonts w:ascii="Times New Roman" w:hAnsi="Times New Roman"/>
          <w:sz w:val="24"/>
          <w:lang w:val="en-GB"/>
        </w:rPr>
        <w:t>, Yasuyuki Kowatari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c</w:t>
      </w:r>
      <w:r w:rsidRPr="003549B7">
        <w:rPr>
          <w:rFonts w:ascii="Times New Roman" w:hAnsi="Times New Roman"/>
          <w:sz w:val="24"/>
          <w:lang w:val="en-GB"/>
        </w:rPr>
        <w:t>, Yoshi</w:t>
      </w:r>
      <w:r w:rsidR="00B846B1" w:rsidRPr="003549B7">
        <w:rPr>
          <w:rFonts w:ascii="Times New Roman" w:hAnsi="Times New Roman"/>
          <w:sz w:val="24"/>
          <w:lang w:val="en-GB"/>
        </w:rPr>
        <w:t>r</w:t>
      </w:r>
      <w:r w:rsidRPr="003549B7">
        <w:rPr>
          <w:rFonts w:ascii="Times New Roman" w:hAnsi="Times New Roman"/>
          <w:sz w:val="24"/>
          <w:lang w:val="en-GB"/>
        </w:rPr>
        <w:t>o Kubota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d</w:t>
      </w:r>
      <w:r w:rsidRPr="003549B7">
        <w:rPr>
          <w:rFonts w:ascii="Times New Roman" w:hAnsi="Times New Roman"/>
          <w:sz w:val="24"/>
          <w:lang w:val="en-GB"/>
        </w:rPr>
        <w:t>, Naoki Shimojo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e</w:t>
      </w:r>
      <w:r w:rsidRPr="003549B7">
        <w:rPr>
          <w:rFonts w:ascii="Times New Roman" w:hAnsi="Times New Roman"/>
          <w:sz w:val="24"/>
          <w:lang w:val="en-GB"/>
        </w:rPr>
        <w:t xml:space="preserve"> and Noriko M Tsuji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b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vertAlign w:val="superscript"/>
          <w:lang w:val="en-GB"/>
        </w:rPr>
        <w:t>a</w:t>
      </w:r>
      <w:r w:rsidRPr="003549B7">
        <w:rPr>
          <w:rFonts w:ascii="Times New Roman" w:hAnsi="Times New Roman"/>
          <w:sz w:val="24"/>
          <w:lang w:val="en-GB"/>
        </w:rPr>
        <w:t xml:space="preserve"> Research and Development Division, Kikkoman Corporation, Chiba, Japan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vertAlign w:val="superscript"/>
          <w:lang w:val="en-GB"/>
        </w:rPr>
        <w:t>b</w:t>
      </w:r>
      <w:r w:rsidRPr="003549B7">
        <w:rPr>
          <w:rFonts w:ascii="Times New Roman" w:hAnsi="Times New Roman"/>
          <w:sz w:val="24"/>
          <w:lang w:val="en-GB"/>
        </w:rPr>
        <w:t xml:space="preserve"> Biomedical Research Institute, National Institute for Advanced Industrial Science and Technology (AIST), Tsukuba, Japan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vertAlign w:val="superscript"/>
          <w:lang w:val="en-GB"/>
        </w:rPr>
        <w:t>c</w:t>
      </w:r>
      <w:r w:rsidRPr="003549B7">
        <w:rPr>
          <w:rFonts w:ascii="Times New Roman" w:hAnsi="Times New Roman"/>
          <w:sz w:val="24"/>
          <w:lang w:val="en-GB"/>
        </w:rPr>
        <w:t xml:space="preserve"> Ueno </w:t>
      </w:r>
      <w:r w:rsidR="00043C7F" w:rsidRPr="003549B7">
        <w:rPr>
          <w:rFonts w:ascii="Times New Roman" w:hAnsi="Times New Roman" w:hint="eastAsia"/>
          <w:sz w:val="24"/>
          <w:lang w:val="en-GB"/>
        </w:rPr>
        <w:t>C</w:t>
      </w:r>
      <w:r w:rsidRPr="003549B7">
        <w:rPr>
          <w:rFonts w:ascii="Times New Roman" w:hAnsi="Times New Roman"/>
          <w:sz w:val="24"/>
          <w:lang w:val="en-GB"/>
        </w:rPr>
        <w:t>linic, Aisei Hospital, Tokyo, Japan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vertAlign w:val="superscript"/>
          <w:lang w:val="en-GB"/>
        </w:rPr>
        <w:t>d</w:t>
      </w:r>
      <w:r w:rsidRPr="003549B7">
        <w:rPr>
          <w:rFonts w:ascii="Times New Roman" w:hAnsi="Times New Roman"/>
          <w:sz w:val="24"/>
          <w:lang w:val="en-GB"/>
        </w:rPr>
        <w:t xml:space="preserve"> Kikkoman General Hospital, Kikkoman Corporation, Chiba, Japan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vertAlign w:val="superscript"/>
          <w:lang w:val="en-GB"/>
        </w:rPr>
        <w:t>e</w:t>
      </w:r>
      <w:r w:rsidRPr="003549B7">
        <w:rPr>
          <w:rFonts w:ascii="Times New Roman" w:hAnsi="Times New Roman"/>
          <w:sz w:val="24"/>
          <w:lang w:val="en-GB"/>
        </w:rPr>
        <w:t xml:space="preserve"> Department of Pediatrics, Graduate School of Medicine, Chiba University, Chiba, Japan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</w:p>
    <w:p w:rsidR="001F5F98" w:rsidRPr="003549B7" w:rsidRDefault="001F5F98" w:rsidP="001F5F9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>* Corresponding author.</w:t>
      </w:r>
    </w:p>
    <w:p w:rsidR="001F5F98" w:rsidRPr="003549B7" w:rsidRDefault="001F5F98" w:rsidP="001F5F9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>Correspondence and requests for materials should be addressed to T. Kawashima (email: takawashima@mail.kikkoman.co.jp</w:t>
      </w:r>
      <w:r w:rsidR="007F0A25" w:rsidRPr="003549B7">
        <w:t>)</w:t>
      </w:r>
      <w:r w:rsidR="007F0A25" w:rsidRPr="003549B7">
        <w:rPr>
          <w:rFonts w:hint="eastAsia"/>
        </w:rPr>
        <w:t>.</w:t>
      </w:r>
    </w:p>
    <w:p w:rsidR="00C858C8" w:rsidRPr="003549B7" w:rsidRDefault="00C858C8" w:rsidP="00C858C8">
      <w:pPr>
        <w:widowControl/>
        <w:jc w:val="left"/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br w:type="page"/>
      </w:r>
    </w:p>
    <w:p w:rsidR="00C858C8" w:rsidRPr="003549B7" w:rsidRDefault="00C858C8" w:rsidP="00C858C8">
      <w:pPr>
        <w:rPr>
          <w:rFonts w:ascii="Times New Roman" w:hAnsi="Times New Roman"/>
          <w:sz w:val="32"/>
          <w:szCs w:val="32"/>
          <w:lang w:val="en-GB"/>
        </w:rPr>
      </w:pPr>
      <w:r w:rsidRPr="003549B7">
        <w:rPr>
          <w:rFonts w:ascii="Times New Roman" w:hAnsi="Times New Roman"/>
          <w:sz w:val="32"/>
          <w:szCs w:val="32"/>
          <w:lang w:val="en-GB"/>
        </w:rPr>
        <w:lastRenderedPageBreak/>
        <w:t>Supplementary Tables</w:t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>Table S1 Strain numbers and organism names of the lactic acid bacteria used in this study</w:t>
      </w:r>
    </w:p>
    <w:tbl>
      <w:tblPr>
        <w:tblStyle w:val="a7"/>
        <w:tblW w:w="8438" w:type="dxa"/>
        <w:tblLook w:val="04A0" w:firstRow="1" w:lastRow="0" w:firstColumn="1" w:lastColumn="0" w:noHBand="0" w:noVBand="1"/>
      </w:tblPr>
      <w:tblGrid>
        <w:gridCol w:w="4536"/>
        <w:gridCol w:w="1951"/>
        <w:gridCol w:w="1951"/>
      </w:tblGrid>
      <w:tr w:rsidR="003549B7" w:rsidRPr="003549B7" w:rsidTr="00585BC3">
        <w:tc>
          <w:tcPr>
            <w:tcW w:w="45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Organism name</w:t>
            </w:r>
          </w:p>
        </w:tc>
        <w:tc>
          <w:tcPr>
            <w:tcW w:w="19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Strain No.</w:t>
            </w:r>
          </w:p>
        </w:tc>
        <w:tc>
          <w:tcPr>
            <w:tcW w:w="19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Abbreviation</w:t>
            </w:r>
          </w:p>
        </w:tc>
      </w:tr>
      <w:tr w:rsidR="003549B7" w:rsidRPr="003549B7" w:rsidTr="00585BC3">
        <w:tc>
          <w:tcPr>
            <w:tcW w:w="453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i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Pediococcus acidilactici</w:t>
            </w:r>
          </w:p>
        </w:tc>
        <w:tc>
          <w:tcPr>
            <w:tcW w:w="19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K15</w:t>
            </w:r>
          </w:p>
        </w:tc>
        <w:tc>
          <w:tcPr>
            <w:tcW w:w="19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K15</w:t>
            </w:r>
          </w:p>
        </w:tc>
      </w:tr>
      <w:tr w:rsidR="003549B7" w:rsidRPr="003549B7" w:rsidTr="00585BC3"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Lactobacillus plantarum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ATCC14197</w:t>
            </w:r>
            <w:r w:rsidRPr="003549B7">
              <w:rPr>
                <w:rFonts w:ascii="Times New Roman" w:hAnsi="Times New Roman"/>
                <w:sz w:val="24"/>
                <w:vertAlign w:val="superscript"/>
                <w:lang w:val="en-GB"/>
              </w:rPr>
              <w:t>T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i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L. plantarum</w:t>
            </w:r>
          </w:p>
        </w:tc>
      </w:tr>
      <w:tr w:rsidR="003549B7" w:rsidRPr="003549B7" w:rsidTr="00585BC3"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Lactobacillus pentosus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ATCC8041</w:t>
            </w:r>
            <w:r w:rsidRPr="003549B7">
              <w:rPr>
                <w:rFonts w:ascii="Times New Roman" w:hAnsi="Times New Roman"/>
                <w:sz w:val="24"/>
                <w:vertAlign w:val="superscript"/>
                <w:lang w:val="en-GB"/>
              </w:rPr>
              <w:t>T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i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L. pentosus</w:t>
            </w:r>
          </w:p>
        </w:tc>
      </w:tr>
      <w:tr w:rsidR="003549B7" w:rsidRPr="003549B7" w:rsidTr="00585BC3"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 xml:space="preserve">Lactobacillus delbrueckii </w:t>
            </w:r>
            <w:r w:rsidRPr="003549B7">
              <w:rPr>
                <w:rFonts w:ascii="Times New Roman" w:hAnsi="Times New Roman"/>
                <w:sz w:val="24"/>
                <w:lang w:val="en-GB"/>
              </w:rPr>
              <w:t>subsp.</w:t>
            </w: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 xml:space="preserve"> bulgaricu</w:t>
            </w:r>
            <w:r w:rsidRPr="003549B7">
              <w:rPr>
                <w:rFonts w:ascii="Times New Roman" w:hAnsi="Times New Roman"/>
                <w:sz w:val="24"/>
                <w:lang w:val="en-GB"/>
              </w:rPr>
              <w:t>s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ATCC11842</w:t>
            </w:r>
            <w:r w:rsidRPr="003549B7">
              <w:rPr>
                <w:rFonts w:ascii="Times New Roman" w:hAnsi="Times New Roman"/>
                <w:sz w:val="24"/>
                <w:vertAlign w:val="superscript"/>
                <w:lang w:val="en-GB"/>
              </w:rPr>
              <w:t>T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i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L. bulgaricus</w:t>
            </w:r>
          </w:p>
        </w:tc>
      </w:tr>
      <w:tr w:rsidR="00C858C8" w:rsidRPr="003549B7" w:rsidTr="00585BC3"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Lactobacillus r</w:t>
            </w:r>
            <w:r w:rsidR="005C646A" w:rsidRPr="003549B7">
              <w:rPr>
                <w:rFonts w:ascii="Times New Roman" w:hAnsi="Times New Roman" w:hint="eastAsia"/>
                <w:i/>
                <w:sz w:val="24"/>
                <w:lang w:val="en-GB"/>
              </w:rPr>
              <w:t>ha</w:t>
            </w:r>
            <w:r w:rsidRPr="003549B7">
              <w:rPr>
                <w:rFonts w:ascii="Times New Roman" w:hAnsi="Times New Roman"/>
                <w:i/>
                <w:sz w:val="24"/>
                <w:lang w:val="en-GB"/>
              </w:rPr>
              <w:t>mnosus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ATCC53103</w:t>
            </w:r>
            <w:r w:rsidRPr="003549B7">
              <w:rPr>
                <w:rFonts w:ascii="Times New Roman" w:hAnsi="Times New Roman"/>
                <w:sz w:val="24"/>
                <w:vertAlign w:val="superscript"/>
                <w:lang w:val="en-GB"/>
              </w:rPr>
              <w:t>T</w:t>
            </w:r>
          </w:p>
        </w:tc>
        <w:tc>
          <w:tcPr>
            <w:tcW w:w="19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LGG</w:t>
            </w:r>
          </w:p>
        </w:tc>
      </w:tr>
    </w:tbl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</w:p>
    <w:p w:rsidR="00C858C8" w:rsidRPr="003549B7" w:rsidRDefault="00C858C8" w:rsidP="00C858C8">
      <w:pPr>
        <w:widowControl/>
        <w:jc w:val="left"/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br w:type="page"/>
      </w: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</w:p>
    <w:p w:rsidR="00C858C8" w:rsidRPr="003549B7" w:rsidRDefault="00C858C8" w:rsidP="00C858C8">
      <w:pPr>
        <w:rPr>
          <w:rFonts w:ascii="Times New Roman" w:hAnsi="Times New Roman"/>
          <w:sz w:val="24"/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>Table S2 Analysis of test food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3549B7" w:rsidRPr="003549B7" w:rsidTr="00585BC3">
        <w:tc>
          <w:tcPr>
            <w:tcW w:w="2900" w:type="dxa"/>
            <w:tcBorders>
              <w:left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Nutrition (per g powder)</w:t>
            </w:r>
          </w:p>
        </w:tc>
        <w:tc>
          <w:tcPr>
            <w:tcW w:w="2901" w:type="dxa"/>
            <w:tcBorders>
              <w:left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Placebo</w:t>
            </w:r>
          </w:p>
        </w:tc>
        <w:tc>
          <w:tcPr>
            <w:tcW w:w="2901" w:type="dxa"/>
            <w:tcBorders>
              <w:left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K15 powder</w:t>
            </w:r>
          </w:p>
        </w:tc>
      </w:tr>
      <w:tr w:rsidR="003549B7" w:rsidRPr="003549B7" w:rsidTr="00585BC3">
        <w:tc>
          <w:tcPr>
            <w:tcW w:w="290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Energy (kcal)</w:t>
            </w:r>
          </w:p>
        </w:tc>
        <w:tc>
          <w:tcPr>
            <w:tcW w:w="290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3.84</w:t>
            </w:r>
          </w:p>
        </w:tc>
        <w:tc>
          <w:tcPr>
            <w:tcW w:w="290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3.83</w:t>
            </w:r>
          </w:p>
        </w:tc>
      </w:tr>
      <w:tr w:rsidR="003549B7" w:rsidRPr="003549B7" w:rsidTr="00585BC3">
        <w:tc>
          <w:tcPr>
            <w:tcW w:w="2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Protein (g)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0.00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0.01</w:t>
            </w:r>
          </w:p>
        </w:tc>
      </w:tr>
      <w:tr w:rsidR="003549B7" w:rsidRPr="003549B7" w:rsidTr="00585BC3">
        <w:tc>
          <w:tcPr>
            <w:tcW w:w="2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Lipid (g)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0.00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0.00</w:t>
            </w:r>
          </w:p>
        </w:tc>
      </w:tr>
      <w:tr w:rsidR="003549B7" w:rsidRPr="003549B7" w:rsidTr="00585BC3">
        <w:tc>
          <w:tcPr>
            <w:tcW w:w="2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Carbohydrate (g)</w:t>
            </w:r>
            <w:r w:rsidRPr="003549B7">
              <w:rPr>
                <w:rFonts w:ascii="Times New Roman" w:hAnsi="Times New Roman"/>
                <w:sz w:val="24"/>
                <w:lang w:val="en-GB"/>
              </w:rPr>
              <w:tab/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0.96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0.95</w:t>
            </w:r>
          </w:p>
        </w:tc>
      </w:tr>
      <w:tr w:rsidR="003549B7" w:rsidRPr="003549B7" w:rsidTr="00585BC3">
        <w:tc>
          <w:tcPr>
            <w:tcW w:w="2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Sodium (mg)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0.01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0.12</w:t>
            </w:r>
          </w:p>
        </w:tc>
      </w:tr>
      <w:tr w:rsidR="00C858C8" w:rsidRPr="003549B7" w:rsidTr="00585BC3">
        <w:tc>
          <w:tcPr>
            <w:tcW w:w="290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Heat-killed K15 (mg)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0.00</w:t>
            </w:r>
          </w:p>
        </w:tc>
        <w:tc>
          <w:tcPr>
            <w:tcW w:w="29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lang w:val="en-GB"/>
              </w:rPr>
              <w:t>9.10</w:t>
            </w:r>
          </w:p>
        </w:tc>
      </w:tr>
    </w:tbl>
    <w:p w:rsidR="00C858C8" w:rsidRPr="003549B7" w:rsidRDefault="00C858C8" w:rsidP="00C858C8">
      <w:pPr>
        <w:rPr>
          <w:rFonts w:ascii="Times New Roman" w:hAnsi="Times New Roman"/>
          <w:sz w:val="24"/>
          <w:szCs w:val="24"/>
          <w:lang w:val="en-GB"/>
        </w:rPr>
      </w:pPr>
    </w:p>
    <w:p w:rsidR="00C858C8" w:rsidRPr="003549B7" w:rsidRDefault="00C858C8" w:rsidP="00C858C8">
      <w:pPr>
        <w:widowControl/>
        <w:jc w:val="left"/>
        <w:rPr>
          <w:rFonts w:ascii="Times New Roman" w:hAnsi="Times New Roman"/>
          <w:sz w:val="24"/>
          <w:szCs w:val="24"/>
          <w:lang w:val="en-GB"/>
        </w:rPr>
      </w:pPr>
      <w:r w:rsidRPr="003549B7">
        <w:rPr>
          <w:rFonts w:ascii="Times New Roman" w:hAnsi="Times New Roman"/>
          <w:sz w:val="24"/>
          <w:szCs w:val="24"/>
          <w:lang w:val="en-GB"/>
        </w:rPr>
        <w:br w:type="page"/>
      </w:r>
    </w:p>
    <w:p w:rsidR="00C858C8" w:rsidRPr="003549B7" w:rsidRDefault="00C858C8" w:rsidP="00C858C8">
      <w:pPr>
        <w:rPr>
          <w:rFonts w:ascii="Times New Roman" w:hAnsi="Times New Roman"/>
          <w:sz w:val="24"/>
          <w:szCs w:val="24"/>
          <w:lang w:val="en-GB"/>
        </w:rPr>
      </w:pPr>
    </w:p>
    <w:p w:rsidR="00C858C8" w:rsidRPr="003549B7" w:rsidRDefault="00C858C8" w:rsidP="00C858C8">
      <w:pPr>
        <w:rPr>
          <w:rFonts w:ascii="Times New Roman" w:hAnsi="Times New Roman"/>
          <w:sz w:val="24"/>
          <w:szCs w:val="24"/>
          <w:lang w:val="en-GB"/>
        </w:rPr>
      </w:pPr>
      <w:r w:rsidRPr="003549B7">
        <w:rPr>
          <w:rFonts w:ascii="Times New Roman" w:hAnsi="Times New Roman"/>
          <w:sz w:val="24"/>
          <w:szCs w:val="24"/>
          <w:lang w:val="en-GB"/>
        </w:rPr>
        <w:t xml:space="preserve">Table S3 Results of Fatigue-Inertia (F-I) and Vigor-Activity (V-A) T scores in </w:t>
      </w:r>
      <w:r w:rsidR="007F0A25" w:rsidRPr="003549B7">
        <w:rPr>
          <w:rFonts w:ascii="Times New Roman" w:hAnsi="Times New Roman"/>
          <w:sz w:val="24"/>
          <w:szCs w:val="24"/>
          <w:lang w:val="en-GB"/>
        </w:rPr>
        <w:t>POMS 2-A</w:t>
      </w:r>
      <w:r w:rsidR="007F0A25" w:rsidRPr="003549B7">
        <w:rPr>
          <w:rFonts w:ascii="Times New Roman" w:hAnsi="Times New Roman"/>
          <w:sz w:val="24"/>
          <w:lang w:val="en-GB"/>
        </w:rPr>
        <w:t xml:space="preserve"> </w:t>
      </w:r>
      <w:r w:rsidR="00F55134" w:rsidRPr="003549B7">
        <w:rPr>
          <w:rFonts w:ascii="Times New Roman" w:hAnsi="Times New Roman"/>
          <w:sz w:val="24"/>
          <w:lang w:val="en-GB"/>
        </w:rPr>
        <w:t>in placebo group (n=25) and K15 group (</w:t>
      </w:r>
      <w:r w:rsidR="007F0A25" w:rsidRPr="003549B7">
        <w:rPr>
          <w:rFonts w:ascii="Times New Roman" w:hAnsi="Times New Roman"/>
          <w:sz w:val="24"/>
          <w:lang w:val="en-GB"/>
        </w:rPr>
        <w:t>n=27)</w:t>
      </w:r>
      <w:r w:rsidRPr="003549B7">
        <w:rPr>
          <w:rFonts w:ascii="Times New Roman" w:hAnsi="Times New Roman"/>
          <w:sz w:val="24"/>
          <w:szCs w:val="24"/>
          <w:lang w:val="en-GB"/>
        </w:rPr>
        <w:t>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17"/>
        <w:gridCol w:w="1204"/>
        <w:gridCol w:w="1675"/>
        <w:gridCol w:w="1674"/>
        <w:gridCol w:w="1674"/>
        <w:gridCol w:w="1676"/>
      </w:tblGrid>
      <w:tr w:rsidR="003549B7" w:rsidRPr="003549B7" w:rsidTr="00585BC3">
        <w:tc>
          <w:tcPr>
            <w:tcW w:w="46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Group</w:t>
            </w:r>
          </w:p>
        </w:tc>
        <w:tc>
          <w:tcPr>
            <w:tcW w:w="96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Before</w:t>
            </w:r>
          </w:p>
        </w:tc>
        <w:tc>
          <w:tcPr>
            <w:tcW w:w="96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 weeks</w:t>
            </w:r>
          </w:p>
        </w:tc>
        <w:tc>
          <w:tcPr>
            <w:tcW w:w="96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8 weeks</w:t>
            </w:r>
          </w:p>
        </w:tc>
        <w:tc>
          <w:tcPr>
            <w:tcW w:w="9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12 weeks</w:t>
            </w:r>
          </w:p>
        </w:tc>
      </w:tr>
      <w:tr w:rsidR="003549B7" w:rsidRPr="003549B7" w:rsidTr="00585BC3">
        <w:tc>
          <w:tcPr>
            <w:tcW w:w="46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FI</w:t>
            </w:r>
          </w:p>
        </w:tc>
        <w:tc>
          <w:tcPr>
            <w:tcW w:w="69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Placebo</w:t>
            </w:r>
          </w:p>
        </w:tc>
        <w:tc>
          <w:tcPr>
            <w:tcW w:w="9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65.0 ± 1.6</w:t>
            </w:r>
          </w:p>
        </w:tc>
        <w:tc>
          <w:tcPr>
            <w:tcW w:w="9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56.6 ± 1.5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53.5 ± 2.0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51.6 ± 1.7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</w:tr>
      <w:tr w:rsidR="003549B7" w:rsidRPr="003549B7" w:rsidTr="00585BC3">
        <w:tc>
          <w:tcPr>
            <w:tcW w:w="46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K15</w:t>
            </w:r>
          </w:p>
        </w:tc>
        <w:tc>
          <w:tcPr>
            <w:tcW w:w="9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63.5 ± 1.5</w:t>
            </w:r>
          </w:p>
        </w:tc>
        <w:tc>
          <w:tcPr>
            <w:tcW w:w="9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57.1 ± 2.5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54.1 ± 2.4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52.9 ± 2.9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</w:tr>
      <w:tr w:rsidR="003549B7" w:rsidRPr="003549B7" w:rsidTr="00585BC3">
        <w:tc>
          <w:tcPr>
            <w:tcW w:w="468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0" w:type="pct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t-test</w:t>
            </w:r>
          </w:p>
        </w:tc>
        <w:tc>
          <w:tcPr>
            <w:tcW w:w="960" w:type="pct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  <w:tc>
          <w:tcPr>
            <w:tcW w:w="960" w:type="pct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  <w:tc>
          <w:tcPr>
            <w:tcW w:w="960" w:type="pct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  <w:tc>
          <w:tcPr>
            <w:tcW w:w="961" w:type="pct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</w:tr>
      <w:tr w:rsidR="003549B7" w:rsidRPr="003549B7" w:rsidTr="00585BC3"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VA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Placebo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40.1 ± 1.1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45.9 ± 1.9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45.2 ± 2.0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45.4 ± 1.8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</w:tr>
      <w:tr w:rsidR="003549B7" w:rsidRPr="003549B7" w:rsidTr="00585BC3">
        <w:tc>
          <w:tcPr>
            <w:tcW w:w="46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K15</w:t>
            </w:r>
          </w:p>
        </w:tc>
        <w:tc>
          <w:tcPr>
            <w:tcW w:w="9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40.6 ± 1.0</w:t>
            </w:r>
          </w:p>
        </w:tc>
        <w:tc>
          <w:tcPr>
            <w:tcW w:w="9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45.2 ± 1.7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46.8 ± 1.8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  <w:tc>
          <w:tcPr>
            <w:tcW w:w="96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46.2 ± 2.1</w:t>
            </w:r>
            <w:r w:rsidRPr="003549B7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##</w:t>
            </w:r>
          </w:p>
        </w:tc>
      </w:tr>
      <w:tr w:rsidR="003549B7" w:rsidRPr="003549B7" w:rsidTr="00585BC3">
        <w:tc>
          <w:tcPr>
            <w:tcW w:w="46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0" w:type="pct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t-test</w:t>
            </w:r>
          </w:p>
        </w:tc>
        <w:tc>
          <w:tcPr>
            <w:tcW w:w="960" w:type="pct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  <w:tc>
          <w:tcPr>
            <w:tcW w:w="960" w:type="pct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  <w:tc>
          <w:tcPr>
            <w:tcW w:w="960" w:type="pct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  <w:tc>
          <w:tcPr>
            <w:tcW w:w="961" w:type="pct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58C8" w:rsidRPr="003549B7" w:rsidRDefault="00C858C8" w:rsidP="00585BC3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549B7">
              <w:rPr>
                <w:rFonts w:ascii="Times New Roman" w:hAnsi="Times New Roman"/>
                <w:sz w:val="24"/>
                <w:szCs w:val="24"/>
                <w:lang w:val="en-GB"/>
              </w:rPr>
              <w:t>n. s.</w:t>
            </w:r>
          </w:p>
        </w:tc>
      </w:tr>
    </w:tbl>
    <w:p w:rsidR="00C858C8" w:rsidRPr="003549B7" w:rsidRDefault="00C858C8" w:rsidP="00C858C8">
      <w:pPr>
        <w:rPr>
          <w:lang w:val="en-GB"/>
        </w:rPr>
      </w:pPr>
      <w:r w:rsidRPr="003549B7">
        <w:rPr>
          <w:rFonts w:ascii="Times New Roman" w:hAnsi="Times New Roman"/>
          <w:sz w:val="24"/>
          <w:lang w:val="en-GB"/>
        </w:rPr>
        <w:t xml:space="preserve">mean ± SE, 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#</w:t>
      </w:r>
      <w:r w:rsidRPr="003549B7">
        <w:rPr>
          <w:rFonts w:ascii="Times New Roman" w:hAnsi="Times New Roman"/>
          <w:i/>
          <w:sz w:val="24"/>
          <w:lang w:val="en-GB"/>
        </w:rPr>
        <w:t>p</w:t>
      </w:r>
      <w:r w:rsidRPr="003549B7">
        <w:rPr>
          <w:rFonts w:ascii="Times New Roman" w:hAnsi="Times New Roman"/>
          <w:sz w:val="24"/>
          <w:lang w:val="en-GB"/>
        </w:rPr>
        <w:t xml:space="preserve">&lt;0.05, </w:t>
      </w:r>
      <w:r w:rsidRPr="003549B7">
        <w:rPr>
          <w:rFonts w:ascii="Times New Roman" w:hAnsi="Times New Roman"/>
          <w:sz w:val="24"/>
          <w:vertAlign w:val="superscript"/>
          <w:lang w:val="en-GB"/>
        </w:rPr>
        <w:t>##</w:t>
      </w:r>
      <w:r w:rsidRPr="003549B7">
        <w:rPr>
          <w:rFonts w:ascii="Times New Roman" w:hAnsi="Times New Roman"/>
          <w:i/>
          <w:sz w:val="24"/>
          <w:lang w:val="en-GB"/>
        </w:rPr>
        <w:t>p</w:t>
      </w:r>
      <w:r w:rsidRPr="003549B7">
        <w:rPr>
          <w:rFonts w:ascii="Times New Roman" w:hAnsi="Times New Roman"/>
          <w:sz w:val="24"/>
          <w:lang w:val="en-GB"/>
        </w:rPr>
        <w:t xml:space="preserve">&lt;0.01 compared with baseline based on a </w:t>
      </w:r>
      <w:r w:rsidRPr="003549B7">
        <w:rPr>
          <w:rFonts w:ascii="Times New Roman" w:hAnsi="Times New Roman"/>
          <w:bCs/>
          <w:sz w:val="24"/>
          <w:lang w:val="en-GB"/>
        </w:rPr>
        <w:t xml:space="preserve">Student’s </w:t>
      </w:r>
      <w:r w:rsidRPr="003549B7">
        <w:rPr>
          <w:rFonts w:ascii="Times New Roman" w:hAnsi="Times New Roman"/>
          <w:bCs/>
          <w:i/>
          <w:sz w:val="24"/>
          <w:lang w:val="en-GB"/>
        </w:rPr>
        <w:t>t</w:t>
      </w:r>
      <w:r w:rsidRPr="003549B7">
        <w:rPr>
          <w:rFonts w:ascii="Times New Roman" w:hAnsi="Times New Roman"/>
          <w:bCs/>
          <w:sz w:val="24"/>
          <w:lang w:val="en-GB"/>
        </w:rPr>
        <w:t>-test</w:t>
      </w:r>
    </w:p>
    <w:p w:rsidR="00C858C8" w:rsidRPr="003549B7" w:rsidRDefault="00C858C8" w:rsidP="00C858C8">
      <w:pPr>
        <w:widowControl/>
        <w:jc w:val="left"/>
        <w:rPr>
          <w:lang w:val="en-GB"/>
        </w:rPr>
      </w:pPr>
      <w:r w:rsidRPr="003549B7">
        <w:rPr>
          <w:lang w:val="en-GB"/>
        </w:rPr>
        <w:br w:type="page"/>
      </w:r>
    </w:p>
    <w:p w:rsidR="00C858C8" w:rsidRPr="003549B7" w:rsidRDefault="00C858C8" w:rsidP="00C858C8">
      <w:pPr>
        <w:rPr>
          <w:rFonts w:ascii="Times New Roman" w:hAnsi="Times New Roman"/>
          <w:sz w:val="32"/>
          <w:szCs w:val="32"/>
          <w:lang w:val="en-GB"/>
        </w:rPr>
      </w:pPr>
      <w:r w:rsidRPr="003549B7">
        <w:rPr>
          <w:rFonts w:ascii="Times New Roman" w:hAnsi="Times New Roman"/>
          <w:sz w:val="32"/>
          <w:szCs w:val="32"/>
          <w:lang w:val="en-GB"/>
        </w:rPr>
        <w:lastRenderedPageBreak/>
        <w:t>Supplementary Figure</w:t>
      </w:r>
    </w:p>
    <w:p w:rsidR="00C858C8" w:rsidRPr="003549B7" w:rsidRDefault="00C858C8" w:rsidP="00C858C8">
      <w:pPr>
        <w:widowControl/>
        <w:jc w:val="left"/>
        <w:rPr>
          <w:lang w:val="en-GB"/>
        </w:rPr>
      </w:pPr>
    </w:p>
    <w:p w:rsidR="00C858C8" w:rsidRPr="003549B7" w:rsidRDefault="00C858C8" w:rsidP="00C858C8">
      <w:pPr>
        <w:widowControl/>
        <w:jc w:val="left"/>
        <w:rPr>
          <w:lang w:val="en-GB"/>
        </w:rPr>
      </w:pPr>
    </w:p>
    <w:p w:rsidR="00C858C8" w:rsidRPr="003549B7" w:rsidRDefault="00C858C8" w:rsidP="00C858C8">
      <w:pPr>
        <w:rPr>
          <w:lang w:val="en-GB"/>
        </w:rPr>
      </w:pPr>
      <w:r w:rsidRPr="003549B7">
        <w:rPr>
          <w:noProof/>
        </w:rPr>
        <w:drawing>
          <wp:inline distT="0" distB="0" distL="0" distR="0" wp14:anchorId="4313A3B3" wp14:editId="637BDDF2">
            <wp:extent cx="5400040" cy="4867383"/>
            <wp:effectExtent l="1905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6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8C8" w:rsidRPr="003549B7" w:rsidRDefault="00C858C8" w:rsidP="00C858C8">
      <w:pPr>
        <w:rPr>
          <w:rFonts w:ascii="Times New Roman" w:hAnsi="Times New Roman"/>
          <w:sz w:val="24"/>
          <w:szCs w:val="24"/>
          <w:lang w:val="en-GB"/>
        </w:rPr>
      </w:pPr>
      <w:r w:rsidRPr="003549B7">
        <w:rPr>
          <w:rFonts w:ascii="Times New Roman" w:hAnsi="Times New Roman"/>
          <w:b/>
          <w:sz w:val="24"/>
          <w:szCs w:val="24"/>
          <w:lang w:val="en-GB"/>
        </w:rPr>
        <w:t>Figure S1 Study flow and number of subjects in each phase of the clinical trial.</w:t>
      </w:r>
    </w:p>
    <w:bookmarkEnd w:id="0"/>
    <w:p w:rsidR="006B4184" w:rsidRPr="003549B7" w:rsidRDefault="006B4184" w:rsidP="00C858C8">
      <w:pPr>
        <w:rPr>
          <w:lang w:val="en-GB"/>
        </w:rPr>
      </w:pPr>
    </w:p>
    <w:sectPr w:rsidR="006B4184" w:rsidRPr="003549B7" w:rsidSect="006A357A">
      <w:pgSz w:w="11906" w:h="16838" w:code="9"/>
      <w:pgMar w:top="1701" w:right="1701" w:bottom="1701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C6F" w:rsidRDefault="00231C6F" w:rsidP="00E37EE1">
      <w:r>
        <w:separator/>
      </w:r>
    </w:p>
  </w:endnote>
  <w:endnote w:type="continuationSeparator" w:id="0">
    <w:p w:rsidR="00231C6F" w:rsidRDefault="00231C6F" w:rsidP="00E3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C6F" w:rsidRDefault="00231C6F" w:rsidP="00E37EE1">
      <w:r>
        <w:separator/>
      </w:r>
    </w:p>
  </w:footnote>
  <w:footnote w:type="continuationSeparator" w:id="0">
    <w:p w:rsidR="00231C6F" w:rsidRDefault="00231C6F" w:rsidP="00E37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505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57A"/>
    <w:rsid w:val="00011935"/>
    <w:rsid w:val="00043201"/>
    <w:rsid w:val="00043C7F"/>
    <w:rsid w:val="0004678C"/>
    <w:rsid w:val="000613CB"/>
    <w:rsid w:val="00180C01"/>
    <w:rsid w:val="001F5F98"/>
    <w:rsid w:val="00231C6F"/>
    <w:rsid w:val="002476FD"/>
    <w:rsid w:val="00294E0A"/>
    <w:rsid w:val="002B166F"/>
    <w:rsid w:val="002C2BCD"/>
    <w:rsid w:val="002D7620"/>
    <w:rsid w:val="003549B7"/>
    <w:rsid w:val="00433DF9"/>
    <w:rsid w:val="00456342"/>
    <w:rsid w:val="00475DE2"/>
    <w:rsid w:val="005C646A"/>
    <w:rsid w:val="00620862"/>
    <w:rsid w:val="006453B3"/>
    <w:rsid w:val="006A357A"/>
    <w:rsid w:val="006B4184"/>
    <w:rsid w:val="00750D7F"/>
    <w:rsid w:val="00773F46"/>
    <w:rsid w:val="007E77CA"/>
    <w:rsid w:val="007F0A25"/>
    <w:rsid w:val="00876752"/>
    <w:rsid w:val="00877591"/>
    <w:rsid w:val="008D36BC"/>
    <w:rsid w:val="00985372"/>
    <w:rsid w:val="00992D3C"/>
    <w:rsid w:val="009A6BDD"/>
    <w:rsid w:val="009F510C"/>
    <w:rsid w:val="00B13E00"/>
    <w:rsid w:val="00B744D7"/>
    <w:rsid w:val="00B846B1"/>
    <w:rsid w:val="00BE41EC"/>
    <w:rsid w:val="00BF79C2"/>
    <w:rsid w:val="00C02FF9"/>
    <w:rsid w:val="00C858C8"/>
    <w:rsid w:val="00D01BCC"/>
    <w:rsid w:val="00D13764"/>
    <w:rsid w:val="00E31A9B"/>
    <w:rsid w:val="00E37EE1"/>
    <w:rsid w:val="00E5133B"/>
    <w:rsid w:val="00EE13F9"/>
    <w:rsid w:val="00F5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5:docId w15:val="{4E07F657-A965-40E7-8768-AB374C57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6A357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E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7EE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37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7EE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uiPriority w:val="59"/>
    <w:rsid w:val="00E37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1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41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kikkoman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kikkoman</dc:creator>
  <cp:lastModifiedBy>川島　忠臣</cp:lastModifiedBy>
  <cp:revision>4</cp:revision>
  <cp:lastPrinted>2017-10-02T01:00:00Z</cp:lastPrinted>
  <dcterms:created xsi:type="dcterms:W3CDTF">2018-01-22T06:32:00Z</dcterms:created>
  <dcterms:modified xsi:type="dcterms:W3CDTF">2018-02-01T00:17:00Z</dcterms:modified>
</cp:coreProperties>
</file>