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C65" w:rsidRDefault="00456C65" w:rsidP="00456C65">
      <w:pPr>
        <w:jc w:val="center"/>
        <w:rPr>
          <w:rFonts w:ascii="Times New Roman" w:hAnsi="Times New Roman" w:cs="Times New Roman"/>
          <w:b/>
          <w:sz w:val="24"/>
          <w:szCs w:val="24"/>
        </w:rPr>
      </w:pPr>
      <w:r>
        <w:rPr>
          <w:rFonts w:ascii="Times New Roman" w:hAnsi="Times New Roman" w:cs="Times New Roman"/>
          <w:b/>
          <w:sz w:val="24"/>
          <w:szCs w:val="24"/>
        </w:rPr>
        <w:t xml:space="preserve">SUPPLEMENTARY </w:t>
      </w:r>
      <w:r w:rsidR="00EA2A9C">
        <w:rPr>
          <w:rFonts w:ascii="Times New Roman" w:hAnsi="Times New Roman" w:cs="Times New Roman"/>
          <w:b/>
          <w:sz w:val="24"/>
          <w:szCs w:val="24"/>
        </w:rPr>
        <w:t>MATERIAL</w:t>
      </w:r>
    </w:p>
    <w:p w:rsidR="00456C65" w:rsidRDefault="00456C65" w:rsidP="00BF38FC">
      <w:pPr>
        <w:spacing w:line="480" w:lineRule="auto"/>
        <w:jc w:val="center"/>
        <w:rPr>
          <w:rFonts w:ascii="Times New Roman" w:eastAsia="MS PGothic" w:hAnsi="Times New Roman" w:cs="Times New Roman"/>
          <w:b/>
          <w:color w:val="000000"/>
          <w:sz w:val="28"/>
          <w:szCs w:val="28"/>
        </w:rPr>
      </w:pPr>
    </w:p>
    <w:p w:rsidR="00BF38FC" w:rsidRPr="00BF38FC" w:rsidRDefault="00BF38FC" w:rsidP="00BF38FC">
      <w:pPr>
        <w:spacing w:line="480" w:lineRule="auto"/>
        <w:jc w:val="center"/>
        <w:rPr>
          <w:rFonts w:ascii="Times New Roman" w:eastAsia="MS PGothic" w:hAnsi="Times New Roman" w:cs="Times New Roman"/>
          <w:b/>
          <w:color w:val="000000"/>
          <w:sz w:val="28"/>
          <w:szCs w:val="28"/>
        </w:rPr>
      </w:pPr>
      <w:r w:rsidRPr="00BF38FC">
        <w:rPr>
          <w:rFonts w:ascii="Times New Roman" w:eastAsia="MS PGothic" w:hAnsi="Times New Roman" w:cs="Times New Roman"/>
          <w:b/>
          <w:color w:val="000000"/>
          <w:sz w:val="28"/>
          <w:szCs w:val="28"/>
        </w:rPr>
        <w:t>ACTH and PMX53 recover synaptic transcriptome alterations in a rat model of infantile spasms</w:t>
      </w:r>
    </w:p>
    <w:p w:rsidR="00BF38FC" w:rsidRPr="00456C65" w:rsidRDefault="00BF38FC" w:rsidP="00456C65">
      <w:pPr>
        <w:spacing w:line="480" w:lineRule="auto"/>
        <w:jc w:val="center"/>
        <w:rPr>
          <w:rFonts w:ascii="Times New Roman" w:hAnsi="Times New Roman" w:cs="Times New Roman"/>
          <w:b/>
          <w:sz w:val="24"/>
          <w:szCs w:val="24"/>
        </w:rPr>
      </w:pPr>
      <w:r w:rsidRPr="00447D10">
        <w:rPr>
          <w:rFonts w:ascii="Arial" w:eastAsia="MS PGothic" w:hAnsi="Arial" w:cs="Arial"/>
          <w:color w:val="000000"/>
        </w:rPr>
        <w:br/>
      </w:r>
      <w:r w:rsidRPr="00456C65">
        <w:rPr>
          <w:rFonts w:ascii="Times New Roman" w:hAnsi="Times New Roman" w:cs="Times New Roman"/>
          <w:color w:val="000000"/>
          <w:sz w:val="24"/>
          <w:szCs w:val="24"/>
        </w:rPr>
        <w:t>Dumitru A Iacobas</w:t>
      </w:r>
      <w:r w:rsidRPr="00456C65">
        <w:rPr>
          <w:rFonts w:ascii="Times New Roman" w:hAnsi="Times New Roman" w:cs="Times New Roman"/>
          <w:sz w:val="24"/>
          <w:szCs w:val="24"/>
        </w:rPr>
        <w:t xml:space="preserve">, </w:t>
      </w:r>
      <w:r w:rsidRPr="00456C65">
        <w:rPr>
          <w:rFonts w:ascii="Times New Roman" w:eastAsia="MS PGothic" w:hAnsi="Times New Roman" w:cs="Times New Roman"/>
          <w:color w:val="000000"/>
          <w:sz w:val="24"/>
          <w:szCs w:val="24"/>
        </w:rPr>
        <w:t xml:space="preserve">Tamar Chachua,  </w:t>
      </w:r>
      <w:r w:rsidRPr="00456C65">
        <w:rPr>
          <w:rFonts w:ascii="Times New Roman" w:hAnsi="Times New Roman" w:cs="Times New Roman"/>
          <w:sz w:val="24"/>
          <w:szCs w:val="24"/>
        </w:rPr>
        <w:t xml:space="preserve">Sanda Iacobas, </w:t>
      </w:r>
      <w:r w:rsidRPr="00456C65">
        <w:rPr>
          <w:rFonts w:ascii="Times New Roman" w:eastAsia="MS PGothic" w:hAnsi="Times New Roman" w:cs="Times New Roman"/>
          <w:color w:val="000000"/>
          <w:sz w:val="24"/>
          <w:szCs w:val="24"/>
        </w:rPr>
        <w:t>Melissa J. Benson, Karin Borges, Jana  Velíšková and Libor Velíšek</w:t>
      </w:r>
    </w:p>
    <w:p w:rsidR="00456C65" w:rsidRDefault="00456C65">
      <w:pPr>
        <w:rPr>
          <w:rFonts w:ascii="Times New Roman" w:hAnsi="Times New Roman" w:cs="Times New Roman"/>
          <w:b/>
          <w:sz w:val="24"/>
          <w:szCs w:val="24"/>
        </w:rPr>
      </w:pPr>
      <w:r>
        <w:rPr>
          <w:rFonts w:ascii="Times New Roman" w:hAnsi="Times New Roman" w:cs="Times New Roman"/>
          <w:b/>
          <w:sz w:val="24"/>
          <w:szCs w:val="24"/>
        </w:rPr>
        <w:br w:type="page"/>
      </w:r>
    </w:p>
    <w:p w:rsidR="009E647D" w:rsidRDefault="009E647D">
      <w:pPr>
        <w:rPr>
          <w:rFonts w:ascii="Times New Roman" w:hAnsi="Times New Roman" w:cs="Times New Roman"/>
          <w:b/>
          <w:sz w:val="24"/>
          <w:szCs w:val="24"/>
        </w:rPr>
      </w:pPr>
      <w:r>
        <w:rPr>
          <w:rFonts w:ascii="Times New Roman" w:hAnsi="Times New Roman" w:cs="Times New Roman"/>
          <w:b/>
          <w:sz w:val="24"/>
          <w:szCs w:val="24"/>
        </w:rPr>
        <w:lastRenderedPageBreak/>
        <w:t xml:space="preserve">Supplementary Table </w:t>
      </w:r>
      <w:r w:rsidR="00EA2A9C">
        <w:rPr>
          <w:rFonts w:ascii="Times New Roman" w:hAnsi="Times New Roman" w:cs="Times New Roman"/>
          <w:b/>
          <w:sz w:val="24"/>
          <w:szCs w:val="24"/>
        </w:rPr>
        <w:t>S</w:t>
      </w:r>
      <w:r>
        <w:rPr>
          <w:rFonts w:ascii="Times New Roman" w:hAnsi="Times New Roman" w:cs="Times New Roman"/>
          <w:b/>
          <w:sz w:val="24"/>
          <w:szCs w:val="24"/>
        </w:rPr>
        <w:t>1</w:t>
      </w:r>
    </w:p>
    <w:p w:rsidR="009E647D" w:rsidRDefault="009E647D">
      <w:pPr>
        <w:rPr>
          <w:rFonts w:ascii="Times New Roman" w:hAnsi="Times New Roman" w:cs="Times New Roman"/>
          <w:b/>
          <w:sz w:val="24"/>
          <w:szCs w:val="24"/>
        </w:rPr>
      </w:pPr>
      <w:r w:rsidRPr="009E647D">
        <w:rPr>
          <w:noProof/>
        </w:rPr>
        <w:drawing>
          <wp:inline distT="0" distB="0" distL="0" distR="0" wp14:anchorId="2DE8AB95" wp14:editId="520B3D3B">
            <wp:extent cx="6636168" cy="567778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39102" cy="5680296"/>
                    </a:xfrm>
                    <a:prstGeom prst="rect">
                      <a:avLst/>
                    </a:prstGeom>
                    <a:noFill/>
                    <a:ln>
                      <a:noFill/>
                    </a:ln>
                  </pic:spPr>
                </pic:pic>
              </a:graphicData>
            </a:graphic>
          </wp:inline>
        </w:drawing>
      </w:r>
    </w:p>
    <w:p w:rsidR="009E647D" w:rsidRDefault="009E647D" w:rsidP="009E647D">
      <w:pPr>
        <w:pStyle w:val="LightGrid-Accent31"/>
        <w:autoSpaceDE w:val="0"/>
        <w:autoSpaceDN w:val="0"/>
        <w:adjustRightInd w:val="0"/>
        <w:ind w:left="0"/>
        <w:jc w:val="both"/>
      </w:pPr>
      <w:r>
        <w:rPr>
          <w:b/>
        </w:rPr>
        <w:t xml:space="preserve">Neurotransmission genes oppositely regulated by IS in the two sexes. </w:t>
      </w:r>
      <w:r>
        <w:t xml:space="preserve">Average gene expression levels in BYS condition were compared to those in the BNS condition. Numbers in BYS columns represent the fold-change (negative for down-regulation). CUT is the absolute fold-change cut-off determined for each gene separately to exceed the combined contribution of the technical noise of the probing spot(s) and the expression variability within biological replicas in the two conditions (see Methods). Note that the quality of the biological material and the hybridization allowed for many genes lower that standard 1.5x fold-change cut-off. p is the p-value of the heteroscedastic </w:t>
      </w:r>
      <w:r w:rsidRPr="00397A15">
        <w:rPr>
          <w:i/>
        </w:rPr>
        <w:t>t</w:t>
      </w:r>
      <w:r>
        <w:t xml:space="preserve">-test of the equality of the average expression levels in the compared conditions. Grey background indicates down-regulation. </w:t>
      </w:r>
    </w:p>
    <w:p w:rsidR="009E647D" w:rsidRDefault="009E647D">
      <w:pPr>
        <w:rPr>
          <w:rFonts w:ascii="Times New Roman" w:eastAsia="Times New Roman" w:hAnsi="Times New Roman" w:cs="Times New Roman"/>
          <w:b/>
          <w:sz w:val="24"/>
          <w:szCs w:val="24"/>
          <w:lang w:eastAsia="it-IT"/>
        </w:rPr>
      </w:pPr>
      <w:r>
        <w:rPr>
          <w:b/>
        </w:rPr>
        <w:br w:type="page"/>
      </w:r>
    </w:p>
    <w:p w:rsidR="009E647D" w:rsidRDefault="009E647D" w:rsidP="009E647D">
      <w:pPr>
        <w:pStyle w:val="LightGrid-Accent31"/>
        <w:autoSpaceDE w:val="0"/>
        <w:autoSpaceDN w:val="0"/>
        <w:adjustRightInd w:val="0"/>
        <w:spacing w:line="480" w:lineRule="auto"/>
        <w:ind w:left="0"/>
        <w:jc w:val="both"/>
        <w:rPr>
          <w:b/>
        </w:rPr>
      </w:pPr>
      <w:r>
        <w:rPr>
          <w:b/>
        </w:rPr>
        <w:lastRenderedPageBreak/>
        <w:t xml:space="preserve">Supplementary Table </w:t>
      </w:r>
      <w:r w:rsidR="00EA2A9C">
        <w:rPr>
          <w:b/>
        </w:rPr>
        <w:t>S</w:t>
      </w:r>
      <w:r>
        <w:rPr>
          <w:b/>
        </w:rPr>
        <w:t>2</w:t>
      </w:r>
    </w:p>
    <w:p w:rsidR="009E647D" w:rsidRDefault="009E647D" w:rsidP="009E647D">
      <w:pPr>
        <w:pStyle w:val="LightGrid-Accent31"/>
        <w:autoSpaceDE w:val="0"/>
        <w:autoSpaceDN w:val="0"/>
        <w:adjustRightInd w:val="0"/>
        <w:spacing w:line="480" w:lineRule="auto"/>
        <w:ind w:left="0"/>
        <w:jc w:val="both"/>
        <w:rPr>
          <w:b/>
        </w:rPr>
      </w:pPr>
      <w:r w:rsidRPr="009E647D">
        <w:rPr>
          <w:noProof/>
          <w:lang w:eastAsia="en-US"/>
        </w:rPr>
        <w:drawing>
          <wp:inline distT="0" distB="0" distL="0" distR="0" wp14:anchorId="4525B895" wp14:editId="5326F5C8">
            <wp:extent cx="6624084" cy="6503874"/>
            <wp:effectExtent l="0" t="0" r="571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27469" cy="6507197"/>
                    </a:xfrm>
                    <a:prstGeom prst="rect">
                      <a:avLst/>
                    </a:prstGeom>
                    <a:noFill/>
                    <a:ln>
                      <a:noFill/>
                    </a:ln>
                  </pic:spPr>
                </pic:pic>
              </a:graphicData>
            </a:graphic>
          </wp:inline>
        </w:drawing>
      </w:r>
    </w:p>
    <w:p w:rsidR="009E647D" w:rsidRDefault="009E647D" w:rsidP="009E647D">
      <w:pPr>
        <w:pStyle w:val="LightGrid-Accent31"/>
        <w:autoSpaceDE w:val="0"/>
        <w:autoSpaceDN w:val="0"/>
        <w:adjustRightInd w:val="0"/>
        <w:ind w:left="0"/>
        <w:jc w:val="both"/>
      </w:pPr>
      <w:r w:rsidRPr="00397A15">
        <w:rPr>
          <w:b/>
        </w:rPr>
        <w:t xml:space="preserve">Genes whose significant up-/down-regulation in </w:t>
      </w:r>
      <w:r>
        <w:rPr>
          <w:b/>
        </w:rPr>
        <w:t xml:space="preserve">the </w:t>
      </w:r>
      <w:r w:rsidRPr="00397A15">
        <w:rPr>
          <w:b/>
        </w:rPr>
        <w:t xml:space="preserve">BYS condition </w:t>
      </w:r>
      <w:r>
        <w:rPr>
          <w:b/>
        </w:rPr>
        <w:t>shifted to</w:t>
      </w:r>
      <w:r w:rsidRPr="00397A15">
        <w:rPr>
          <w:b/>
        </w:rPr>
        <w:t xml:space="preserve"> opposite regulation by both treatments (BYA and BYP conditions).</w:t>
      </w:r>
      <w:r>
        <w:t xml:space="preserve"> Average gene expression levels in BYS, BYA and BYP conditions were compared to those in the BNS condition. Numbers in columns labeled as BYS, BYA and BYP represent the fold-change (negative for down-regulation). CUT is the absolute fold-change cut-off determined for each gene separately for every comparison (e.g. BYS vs BNS) to exceed the combined contribution of the technical noise of the probing spot(s) and the expression variability within biological replicas. Grey background indicates down-regulation. </w:t>
      </w:r>
    </w:p>
    <w:p w:rsidR="009E647D" w:rsidRDefault="009E647D">
      <w:pPr>
        <w:rPr>
          <w:rFonts w:ascii="Times New Roman" w:eastAsia="Times New Roman" w:hAnsi="Times New Roman" w:cs="Times New Roman"/>
          <w:b/>
          <w:sz w:val="24"/>
          <w:szCs w:val="24"/>
          <w:lang w:eastAsia="it-IT"/>
        </w:rPr>
      </w:pPr>
      <w:r>
        <w:rPr>
          <w:b/>
        </w:rPr>
        <w:br w:type="page"/>
      </w:r>
    </w:p>
    <w:p w:rsidR="009E647D" w:rsidRDefault="009E647D" w:rsidP="009E647D">
      <w:pPr>
        <w:pStyle w:val="LightGrid-Accent31"/>
        <w:autoSpaceDE w:val="0"/>
        <w:autoSpaceDN w:val="0"/>
        <w:adjustRightInd w:val="0"/>
        <w:ind w:left="0"/>
        <w:jc w:val="both"/>
        <w:rPr>
          <w:b/>
        </w:rPr>
      </w:pPr>
      <w:r>
        <w:rPr>
          <w:b/>
        </w:rPr>
        <w:lastRenderedPageBreak/>
        <w:t xml:space="preserve">Supplementary </w:t>
      </w:r>
      <w:r w:rsidRPr="00F7488A">
        <w:rPr>
          <w:b/>
        </w:rPr>
        <w:t xml:space="preserve">Table </w:t>
      </w:r>
      <w:r w:rsidR="00EA2A9C">
        <w:rPr>
          <w:b/>
        </w:rPr>
        <w:t>S</w:t>
      </w:r>
      <w:r w:rsidRPr="00F7488A">
        <w:rPr>
          <w:b/>
        </w:rPr>
        <w:t>3</w:t>
      </w:r>
    </w:p>
    <w:p w:rsidR="009E647D" w:rsidRDefault="009E647D" w:rsidP="009E647D">
      <w:pPr>
        <w:pStyle w:val="LightGrid-Accent31"/>
        <w:autoSpaceDE w:val="0"/>
        <w:autoSpaceDN w:val="0"/>
        <w:adjustRightInd w:val="0"/>
        <w:ind w:left="0"/>
        <w:jc w:val="both"/>
        <w:rPr>
          <w:b/>
        </w:rPr>
      </w:pPr>
    </w:p>
    <w:p w:rsidR="009E647D" w:rsidRDefault="009E647D" w:rsidP="009E647D">
      <w:pPr>
        <w:pStyle w:val="LightGrid-Accent31"/>
        <w:autoSpaceDE w:val="0"/>
        <w:autoSpaceDN w:val="0"/>
        <w:adjustRightInd w:val="0"/>
        <w:ind w:left="0"/>
        <w:jc w:val="both"/>
        <w:rPr>
          <w:b/>
        </w:rPr>
      </w:pPr>
      <w:r w:rsidRPr="009E647D">
        <w:rPr>
          <w:noProof/>
          <w:lang w:eastAsia="en-US"/>
        </w:rPr>
        <w:drawing>
          <wp:inline distT="0" distB="0" distL="0" distR="0" wp14:anchorId="69814C14" wp14:editId="20507BDA">
            <wp:extent cx="6692318" cy="17224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92973" cy="1722644"/>
                    </a:xfrm>
                    <a:prstGeom prst="rect">
                      <a:avLst/>
                    </a:prstGeom>
                    <a:noFill/>
                    <a:ln>
                      <a:noFill/>
                    </a:ln>
                  </pic:spPr>
                </pic:pic>
              </a:graphicData>
            </a:graphic>
          </wp:inline>
        </w:drawing>
      </w:r>
    </w:p>
    <w:p w:rsidR="009E647D" w:rsidRDefault="009E647D" w:rsidP="009E647D">
      <w:pPr>
        <w:pStyle w:val="LightGrid-Accent31"/>
        <w:autoSpaceDE w:val="0"/>
        <w:autoSpaceDN w:val="0"/>
        <w:adjustRightInd w:val="0"/>
        <w:ind w:left="0"/>
        <w:jc w:val="both"/>
        <w:rPr>
          <w:b/>
        </w:rPr>
      </w:pPr>
    </w:p>
    <w:p w:rsidR="009E647D" w:rsidRPr="00F7488A" w:rsidRDefault="009E647D" w:rsidP="009E647D">
      <w:pPr>
        <w:pStyle w:val="LightGrid-Accent31"/>
        <w:autoSpaceDE w:val="0"/>
        <w:autoSpaceDN w:val="0"/>
        <w:adjustRightInd w:val="0"/>
        <w:ind w:left="0"/>
        <w:jc w:val="both"/>
        <w:rPr>
          <w:b/>
        </w:rPr>
      </w:pPr>
      <w:r w:rsidRPr="00F7488A">
        <w:rPr>
          <w:b/>
        </w:rPr>
        <w:t xml:space="preserve">Genes whose significant up-/down-regulation in </w:t>
      </w:r>
      <w:r>
        <w:rPr>
          <w:b/>
        </w:rPr>
        <w:t xml:space="preserve">the </w:t>
      </w:r>
      <w:r w:rsidRPr="00F7488A">
        <w:rPr>
          <w:b/>
        </w:rPr>
        <w:t>BYS condition w</w:t>
      </w:r>
      <w:r>
        <w:rPr>
          <w:b/>
        </w:rPr>
        <w:t>ere</w:t>
      </w:r>
      <w:r w:rsidRPr="00F7488A">
        <w:rPr>
          <w:b/>
        </w:rPr>
        <w:t xml:space="preserve"> </w:t>
      </w:r>
      <w:r>
        <w:rPr>
          <w:b/>
        </w:rPr>
        <w:t xml:space="preserve">maintained by one treatment and flipped </w:t>
      </w:r>
      <w:r w:rsidRPr="00F7488A">
        <w:rPr>
          <w:b/>
        </w:rPr>
        <w:t xml:space="preserve">by the other. </w:t>
      </w:r>
      <w:r>
        <w:t>Average gene expression levels in BYS, BYA and BYP conditions were compared to those in the BNS condition. Numbers in columns labeled as BYS, BYA and BYP represent the fold-change (negative for down-regulation). CUT is the absolute fold-change cut-off determined for each gene separately for every comparison to exceed the combined contribution of the technical noise of the probing spot(s) and the expression variability within biological replicas. Grey background indicates down-regulation.</w:t>
      </w:r>
    </w:p>
    <w:p w:rsidR="009E647D" w:rsidRDefault="009E647D" w:rsidP="009E647D">
      <w:pPr>
        <w:spacing w:line="240" w:lineRule="auto"/>
        <w:rPr>
          <w:rFonts w:ascii="Times New Roman" w:hAnsi="Times New Roman" w:cs="Times New Roman"/>
          <w:b/>
          <w:sz w:val="24"/>
          <w:szCs w:val="24"/>
        </w:rPr>
      </w:pPr>
      <w:r>
        <w:rPr>
          <w:rFonts w:ascii="Times New Roman" w:hAnsi="Times New Roman" w:cs="Times New Roman"/>
          <w:b/>
          <w:sz w:val="24"/>
          <w:szCs w:val="24"/>
        </w:rPr>
        <w:br w:type="page"/>
      </w:r>
    </w:p>
    <w:p w:rsidR="007F1FEA" w:rsidRDefault="00F567EC">
      <w:pPr>
        <w:rPr>
          <w:rFonts w:ascii="Times New Roman" w:hAnsi="Times New Roman" w:cs="Times New Roman"/>
          <w:b/>
          <w:sz w:val="24"/>
          <w:szCs w:val="24"/>
        </w:rPr>
      </w:pPr>
      <w:r w:rsidRPr="00F567EC">
        <w:rPr>
          <w:rFonts w:ascii="Times New Roman" w:hAnsi="Times New Roman" w:cs="Times New Roman"/>
          <w:b/>
          <w:sz w:val="24"/>
          <w:szCs w:val="24"/>
        </w:rPr>
        <w:lastRenderedPageBreak/>
        <w:t>S</w:t>
      </w:r>
      <w:r>
        <w:rPr>
          <w:rFonts w:ascii="Times New Roman" w:hAnsi="Times New Roman" w:cs="Times New Roman"/>
          <w:b/>
          <w:sz w:val="24"/>
          <w:szCs w:val="24"/>
        </w:rPr>
        <w:t>UPPLEMENTARY FIGURE</w:t>
      </w:r>
      <w:r w:rsidR="009E647D">
        <w:rPr>
          <w:rFonts w:ascii="Times New Roman" w:hAnsi="Times New Roman" w:cs="Times New Roman"/>
          <w:b/>
          <w:sz w:val="24"/>
          <w:szCs w:val="24"/>
        </w:rPr>
        <w:t xml:space="preserve">S </w:t>
      </w:r>
    </w:p>
    <w:p w:rsidR="009E647D" w:rsidRPr="009E647D" w:rsidRDefault="00091C1A">
      <w:pPr>
        <w:rPr>
          <w:rFonts w:ascii="Times New Roman" w:hAnsi="Times New Roman" w:cs="Times New Roman"/>
          <w:b/>
          <w:sz w:val="24"/>
          <w:szCs w:val="24"/>
        </w:rPr>
      </w:pPr>
      <w:r w:rsidRPr="009E647D">
        <w:rPr>
          <w:rFonts w:ascii="Times New Roman" w:hAnsi="Times New Roman" w:cs="Times New Roman"/>
          <w:b/>
          <w:noProof/>
          <w:sz w:val="24"/>
          <w:szCs w:val="24"/>
        </w:rPr>
        <w:drawing>
          <wp:anchor distT="0" distB="0" distL="114300" distR="114300" simplePos="0" relativeHeight="251658240" behindDoc="0" locked="0" layoutInCell="1" allowOverlap="1" wp14:anchorId="6AF3FB72" wp14:editId="2D024212">
            <wp:simplePos x="0" y="0"/>
            <wp:positionH relativeFrom="column">
              <wp:posOffset>0</wp:posOffset>
            </wp:positionH>
            <wp:positionV relativeFrom="paragraph">
              <wp:posOffset>362585</wp:posOffset>
            </wp:positionV>
            <wp:extent cx="6588760" cy="7963535"/>
            <wp:effectExtent l="0" t="0" r="2540" b="0"/>
            <wp:wrapSquare wrapText="bothSides"/>
            <wp:docPr id="1" name="Picture 1" descr="I:\Users\arraylab\Desktop\Rev Sci Rep\Supplementary Figure-1 (Iacob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Users\arraylab\Desktop\Rev Sci Rep\Supplementary Figure-1 (Iacoba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8760" cy="7963535"/>
                    </a:xfrm>
                    <a:prstGeom prst="rect">
                      <a:avLst/>
                    </a:prstGeom>
                    <a:noFill/>
                    <a:ln>
                      <a:noFill/>
                    </a:ln>
                  </pic:spPr>
                </pic:pic>
              </a:graphicData>
            </a:graphic>
            <wp14:sizeRelH relativeFrom="page">
              <wp14:pctWidth>0</wp14:pctWidth>
            </wp14:sizeRelH>
            <wp14:sizeRelV relativeFrom="page">
              <wp14:pctHeight>0</wp14:pctHeight>
            </wp14:sizeRelV>
          </wp:anchor>
        </w:drawing>
      </w:r>
      <w:r w:rsidR="009E647D" w:rsidRPr="009E647D">
        <w:rPr>
          <w:rFonts w:ascii="Times New Roman" w:hAnsi="Times New Roman" w:cs="Times New Roman"/>
          <w:b/>
          <w:sz w:val="24"/>
          <w:szCs w:val="24"/>
          <w:lang w:val="en-NZ"/>
        </w:rPr>
        <w:t xml:space="preserve">Supplementary Figure </w:t>
      </w:r>
      <w:r w:rsidR="00EA2A9C">
        <w:rPr>
          <w:rFonts w:ascii="Times New Roman" w:hAnsi="Times New Roman" w:cs="Times New Roman"/>
          <w:b/>
          <w:sz w:val="24"/>
          <w:szCs w:val="24"/>
          <w:lang w:val="en-NZ"/>
        </w:rPr>
        <w:t>S</w:t>
      </w:r>
      <w:r w:rsidR="009E647D" w:rsidRPr="009E647D">
        <w:rPr>
          <w:rFonts w:ascii="Times New Roman" w:hAnsi="Times New Roman" w:cs="Times New Roman"/>
          <w:b/>
          <w:sz w:val="24"/>
          <w:szCs w:val="24"/>
          <w:lang w:val="en-NZ"/>
        </w:rPr>
        <w:t xml:space="preserve">1 </w:t>
      </w:r>
    </w:p>
    <w:p w:rsidR="00091C1A" w:rsidRDefault="00091C1A" w:rsidP="00F567EC">
      <w:pPr>
        <w:pStyle w:val="ListParagraph"/>
        <w:autoSpaceDE w:val="0"/>
        <w:autoSpaceDN w:val="0"/>
        <w:adjustRightInd w:val="0"/>
        <w:ind w:left="0"/>
        <w:jc w:val="both"/>
        <w:rPr>
          <w:b/>
          <w:lang w:val="en-NZ"/>
        </w:rPr>
      </w:pPr>
    </w:p>
    <w:p w:rsidR="00F567EC" w:rsidRPr="0094650F" w:rsidRDefault="00F567EC" w:rsidP="00F567EC">
      <w:pPr>
        <w:pStyle w:val="ListParagraph"/>
        <w:autoSpaceDE w:val="0"/>
        <w:autoSpaceDN w:val="0"/>
        <w:adjustRightInd w:val="0"/>
        <w:ind w:left="0"/>
        <w:jc w:val="both"/>
        <w:rPr>
          <w:b/>
          <w:lang w:val="en-NZ"/>
        </w:rPr>
      </w:pPr>
      <w:r w:rsidRPr="0094650F">
        <w:rPr>
          <w:b/>
          <w:lang w:val="en-NZ"/>
        </w:rPr>
        <w:t xml:space="preserve">KEGG </w:t>
      </w:r>
      <w:r w:rsidR="00456C65">
        <w:rPr>
          <w:b/>
          <w:lang w:val="en-NZ"/>
        </w:rPr>
        <w:t>(</w:t>
      </w:r>
      <w:r w:rsidR="00456C65" w:rsidRPr="00456C65">
        <w:rPr>
          <w:color w:val="000000"/>
          <w:shd w:val="clear" w:color="auto" w:fill="FFFFFF"/>
        </w:rPr>
        <w:t>www.kegg.jp/kegg/kegg1.html</w:t>
      </w:r>
      <w:r w:rsidR="00456C65">
        <w:rPr>
          <w:b/>
          <w:lang w:val="en-NZ"/>
        </w:rPr>
        <w:t xml:space="preserve">) </w:t>
      </w:r>
      <w:r w:rsidRPr="0094650F">
        <w:rPr>
          <w:b/>
          <w:lang w:val="en-NZ"/>
        </w:rPr>
        <w:t xml:space="preserve">map of regulation of the </w:t>
      </w:r>
      <w:r>
        <w:rPr>
          <w:b/>
          <w:lang w:val="en-NZ"/>
        </w:rPr>
        <w:t>cholinergic</w:t>
      </w:r>
      <w:r w:rsidRPr="0094650F">
        <w:rPr>
          <w:b/>
          <w:lang w:val="en-NZ"/>
        </w:rPr>
        <w:t xml:space="preserve"> synapse pathway in the arcuate nucleus</w:t>
      </w:r>
      <w:r>
        <w:rPr>
          <w:b/>
          <w:lang w:val="en-NZ"/>
        </w:rPr>
        <w:t xml:space="preserve"> of saline-treated betamethasone–primed male</w:t>
      </w:r>
      <w:r w:rsidRPr="0094650F">
        <w:rPr>
          <w:b/>
          <w:lang w:val="en-NZ"/>
        </w:rPr>
        <w:t xml:space="preserve"> </w:t>
      </w:r>
      <w:r>
        <w:rPr>
          <w:b/>
          <w:lang w:val="en-NZ"/>
        </w:rPr>
        <w:t>(</w:t>
      </w:r>
      <w:r w:rsidRPr="0094650F">
        <w:rPr>
          <w:b/>
          <w:lang w:val="en-NZ"/>
        </w:rPr>
        <w:t>A</w:t>
      </w:r>
      <w:r>
        <w:rPr>
          <w:b/>
          <w:lang w:val="en-NZ"/>
        </w:rPr>
        <w:t>) and female (B) rats with NMDA-induced infantile spasms (BYS) compared to counterparts without spasms (BNS)</w:t>
      </w:r>
      <w:r w:rsidRPr="0094650F">
        <w:rPr>
          <w:b/>
          <w:lang w:val="en-NZ"/>
        </w:rPr>
        <w:t>.</w:t>
      </w:r>
      <w:r w:rsidRPr="0094650F">
        <w:rPr>
          <w:lang w:val="en-NZ"/>
        </w:rPr>
        <w:t xml:space="preserve"> Inset tables indicate how the composing genes of the labelled Gi/o (G-proteins) block are regulated in that condition. </w:t>
      </w:r>
    </w:p>
    <w:p w:rsidR="00456C65" w:rsidRDefault="00456C65" w:rsidP="00F567EC">
      <w:pPr>
        <w:spacing w:after="0" w:line="240" w:lineRule="auto"/>
        <w:rPr>
          <w:rFonts w:ascii="Times New Roman" w:hAnsi="Times New Roman" w:cs="Times New Roman"/>
          <w:b/>
          <w:sz w:val="24"/>
          <w:szCs w:val="24"/>
          <w:lang w:val="en-NZ"/>
        </w:rPr>
      </w:pPr>
    </w:p>
    <w:p w:rsidR="00F567EC" w:rsidRPr="00091C1A" w:rsidRDefault="00091C1A" w:rsidP="00F567EC">
      <w:pPr>
        <w:spacing w:after="0" w:line="240" w:lineRule="auto"/>
        <w:rPr>
          <w:rFonts w:ascii="Times New Roman" w:hAnsi="Times New Roman" w:cs="Times New Roman"/>
          <w:b/>
          <w:sz w:val="24"/>
          <w:szCs w:val="24"/>
        </w:rPr>
      </w:pPr>
      <w:r w:rsidRPr="00091C1A">
        <w:rPr>
          <w:rFonts w:ascii="Times New Roman" w:hAnsi="Times New Roman" w:cs="Times New Roman"/>
          <w:b/>
          <w:sz w:val="24"/>
          <w:szCs w:val="24"/>
          <w:lang w:val="en-NZ"/>
        </w:rPr>
        <w:lastRenderedPageBreak/>
        <w:t xml:space="preserve">Supplementary Figure </w:t>
      </w:r>
      <w:r w:rsidR="00EA2A9C">
        <w:rPr>
          <w:rFonts w:ascii="Times New Roman" w:hAnsi="Times New Roman" w:cs="Times New Roman"/>
          <w:b/>
          <w:sz w:val="24"/>
          <w:szCs w:val="24"/>
          <w:lang w:val="en-NZ"/>
        </w:rPr>
        <w:t>S</w:t>
      </w:r>
      <w:r w:rsidRPr="00091C1A">
        <w:rPr>
          <w:rFonts w:ascii="Times New Roman" w:hAnsi="Times New Roman" w:cs="Times New Roman"/>
          <w:b/>
          <w:sz w:val="24"/>
          <w:szCs w:val="24"/>
          <w:lang w:val="en-NZ"/>
        </w:rPr>
        <w:t>2</w:t>
      </w:r>
    </w:p>
    <w:p w:rsidR="00091C1A" w:rsidRDefault="00456C65" w:rsidP="00F567EC">
      <w:pPr>
        <w:pStyle w:val="ListParagraph"/>
        <w:autoSpaceDE w:val="0"/>
        <w:autoSpaceDN w:val="0"/>
        <w:adjustRightInd w:val="0"/>
        <w:ind w:left="0"/>
        <w:jc w:val="both"/>
        <w:rPr>
          <w:b/>
          <w:lang w:val="en-NZ"/>
        </w:rPr>
      </w:pPr>
      <w:r>
        <w:rPr>
          <w:b/>
          <w:noProof/>
          <w:lang w:val="en-US" w:eastAsia="en-US"/>
        </w:rPr>
        <w:drawing>
          <wp:anchor distT="0" distB="0" distL="114300" distR="114300" simplePos="0" relativeHeight="251659264" behindDoc="0" locked="0" layoutInCell="1" allowOverlap="1" wp14:anchorId="58CCEEFE" wp14:editId="48F95ACB">
            <wp:simplePos x="0" y="0"/>
            <wp:positionH relativeFrom="column">
              <wp:posOffset>0</wp:posOffset>
            </wp:positionH>
            <wp:positionV relativeFrom="paragraph">
              <wp:posOffset>239395</wp:posOffset>
            </wp:positionV>
            <wp:extent cx="6367145" cy="8399145"/>
            <wp:effectExtent l="0" t="0" r="0" b="1905"/>
            <wp:wrapSquare wrapText="bothSides"/>
            <wp:docPr id="2" name="Picture 2" descr="I:\Users\arraylab\Desktop\Rev Sci Rep\Supplementary Figure-2 (Iacob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Users\arraylab\Desktop\Rev Sci Rep\Supplementary Figure-2 (Iacoba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67145" cy="83991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91C1A" w:rsidRDefault="00091C1A" w:rsidP="00F567EC">
      <w:pPr>
        <w:pStyle w:val="ListParagraph"/>
        <w:autoSpaceDE w:val="0"/>
        <w:autoSpaceDN w:val="0"/>
        <w:adjustRightInd w:val="0"/>
        <w:ind w:left="0"/>
        <w:jc w:val="both"/>
        <w:rPr>
          <w:b/>
          <w:lang w:val="en-NZ"/>
        </w:rPr>
      </w:pPr>
    </w:p>
    <w:p w:rsidR="00091C1A" w:rsidRDefault="00091C1A" w:rsidP="00F567EC">
      <w:pPr>
        <w:pStyle w:val="ListParagraph"/>
        <w:autoSpaceDE w:val="0"/>
        <w:autoSpaceDN w:val="0"/>
        <w:adjustRightInd w:val="0"/>
        <w:ind w:left="0"/>
        <w:jc w:val="both"/>
        <w:rPr>
          <w:b/>
          <w:lang w:val="en-NZ"/>
        </w:rPr>
      </w:pPr>
    </w:p>
    <w:p w:rsidR="00F567EC" w:rsidRDefault="00F567EC" w:rsidP="00F567EC">
      <w:pPr>
        <w:pStyle w:val="ListParagraph"/>
        <w:autoSpaceDE w:val="0"/>
        <w:autoSpaceDN w:val="0"/>
        <w:adjustRightInd w:val="0"/>
        <w:ind w:left="0"/>
        <w:jc w:val="both"/>
        <w:rPr>
          <w:lang w:val="en-NZ"/>
        </w:rPr>
      </w:pPr>
      <w:r w:rsidRPr="0094650F">
        <w:rPr>
          <w:b/>
          <w:lang w:val="en-NZ"/>
        </w:rPr>
        <w:t xml:space="preserve">KEGG </w:t>
      </w:r>
      <w:r w:rsidR="00456C65" w:rsidRPr="0094650F">
        <w:rPr>
          <w:b/>
          <w:lang w:val="en-NZ"/>
        </w:rPr>
        <w:t xml:space="preserve"> </w:t>
      </w:r>
      <w:r w:rsidR="00456C65">
        <w:rPr>
          <w:b/>
          <w:lang w:val="en-NZ"/>
        </w:rPr>
        <w:t>(</w:t>
      </w:r>
      <w:r w:rsidR="00456C65" w:rsidRPr="00456C65">
        <w:rPr>
          <w:color w:val="000000"/>
          <w:shd w:val="clear" w:color="auto" w:fill="FFFFFF"/>
        </w:rPr>
        <w:t>www.kegg.jp/kegg/kegg1.html</w:t>
      </w:r>
      <w:r w:rsidR="00456C65">
        <w:rPr>
          <w:b/>
          <w:lang w:val="en-NZ"/>
        </w:rPr>
        <w:t xml:space="preserve">) </w:t>
      </w:r>
      <w:r w:rsidRPr="0094650F">
        <w:rPr>
          <w:b/>
          <w:lang w:val="en-NZ"/>
        </w:rPr>
        <w:t xml:space="preserve">map of regulation of the </w:t>
      </w:r>
      <w:r>
        <w:rPr>
          <w:b/>
          <w:lang w:val="en-NZ"/>
        </w:rPr>
        <w:t>dopaminergic</w:t>
      </w:r>
      <w:r w:rsidRPr="0094650F">
        <w:rPr>
          <w:b/>
          <w:lang w:val="en-NZ"/>
        </w:rPr>
        <w:t xml:space="preserve"> synapse pathway in the arcuate nucleus</w:t>
      </w:r>
      <w:r>
        <w:rPr>
          <w:b/>
          <w:lang w:val="en-NZ"/>
        </w:rPr>
        <w:t xml:space="preserve"> of saline-treated betamethasone–primed male</w:t>
      </w:r>
      <w:r w:rsidRPr="0094650F">
        <w:rPr>
          <w:b/>
          <w:lang w:val="en-NZ"/>
        </w:rPr>
        <w:t xml:space="preserve"> </w:t>
      </w:r>
      <w:r>
        <w:rPr>
          <w:b/>
          <w:lang w:val="en-NZ"/>
        </w:rPr>
        <w:t>(</w:t>
      </w:r>
      <w:r w:rsidRPr="0094650F">
        <w:rPr>
          <w:b/>
          <w:lang w:val="en-NZ"/>
        </w:rPr>
        <w:t>A</w:t>
      </w:r>
      <w:r>
        <w:rPr>
          <w:b/>
          <w:lang w:val="en-NZ"/>
        </w:rPr>
        <w:t>) and female (B) rats with NMDA-induced infantile spasms (BYS) compared to counterparts without spasms (BNS)</w:t>
      </w:r>
      <w:r w:rsidRPr="0094650F">
        <w:rPr>
          <w:b/>
          <w:lang w:val="en-NZ"/>
        </w:rPr>
        <w:t>.</w:t>
      </w:r>
      <w:r w:rsidRPr="0094650F">
        <w:rPr>
          <w:lang w:val="en-NZ"/>
        </w:rPr>
        <w:t xml:space="preserve"> </w:t>
      </w:r>
    </w:p>
    <w:p w:rsidR="00F567EC" w:rsidRPr="00091C1A" w:rsidRDefault="00091C1A">
      <w:pPr>
        <w:rPr>
          <w:rFonts w:ascii="Times New Roman" w:hAnsi="Times New Roman" w:cs="Times New Roman"/>
          <w:b/>
          <w:sz w:val="24"/>
          <w:szCs w:val="24"/>
        </w:rPr>
      </w:pPr>
      <w:r w:rsidRPr="00091C1A">
        <w:rPr>
          <w:rFonts w:ascii="Times New Roman" w:hAnsi="Times New Roman" w:cs="Times New Roman"/>
          <w:b/>
          <w:sz w:val="24"/>
          <w:szCs w:val="24"/>
          <w:lang w:val="en-NZ"/>
        </w:rPr>
        <w:lastRenderedPageBreak/>
        <w:t xml:space="preserve">Supplementary Figure </w:t>
      </w:r>
      <w:r w:rsidR="00EA2A9C">
        <w:rPr>
          <w:rFonts w:ascii="Times New Roman" w:hAnsi="Times New Roman" w:cs="Times New Roman"/>
          <w:b/>
          <w:sz w:val="24"/>
          <w:szCs w:val="24"/>
          <w:lang w:val="en-NZ"/>
        </w:rPr>
        <w:t>S</w:t>
      </w:r>
      <w:r w:rsidRPr="00091C1A">
        <w:rPr>
          <w:rFonts w:ascii="Times New Roman" w:hAnsi="Times New Roman" w:cs="Times New Roman"/>
          <w:b/>
          <w:sz w:val="24"/>
          <w:szCs w:val="24"/>
          <w:lang w:val="en-NZ"/>
        </w:rPr>
        <w:t>3</w:t>
      </w:r>
    </w:p>
    <w:p w:rsidR="00091C1A" w:rsidRDefault="00091C1A" w:rsidP="00F567EC">
      <w:pPr>
        <w:pStyle w:val="ListParagraph"/>
        <w:autoSpaceDE w:val="0"/>
        <w:autoSpaceDN w:val="0"/>
        <w:adjustRightInd w:val="0"/>
        <w:ind w:left="0"/>
        <w:jc w:val="both"/>
        <w:rPr>
          <w:b/>
          <w:lang w:val="en-NZ"/>
        </w:rPr>
      </w:pPr>
      <w:r w:rsidRPr="00091C1A">
        <w:rPr>
          <w:b/>
          <w:noProof/>
          <w:lang w:val="en-US" w:eastAsia="en-US"/>
        </w:rPr>
        <w:drawing>
          <wp:anchor distT="0" distB="0" distL="114300" distR="114300" simplePos="0" relativeHeight="251660288" behindDoc="0" locked="0" layoutInCell="1" allowOverlap="1" wp14:anchorId="77E90B79" wp14:editId="426A2774">
            <wp:simplePos x="0" y="0"/>
            <wp:positionH relativeFrom="column">
              <wp:posOffset>0</wp:posOffset>
            </wp:positionH>
            <wp:positionV relativeFrom="paragraph">
              <wp:posOffset>22225</wp:posOffset>
            </wp:positionV>
            <wp:extent cx="6634480" cy="8549005"/>
            <wp:effectExtent l="0" t="0" r="0" b="4445"/>
            <wp:wrapSquare wrapText="bothSides"/>
            <wp:docPr id="3" name="Picture 3" descr="I:\Users\arraylab\Desktop\Rev Sci Rep\Supplementary Figure-3 (Iacob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Users\arraylab\Desktop\Rev Sci Rep\Supplementary Figure-3 (Iacoba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34480" cy="85490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67EC" w:rsidRPr="0094650F" w:rsidRDefault="00456C65" w:rsidP="00F567EC">
      <w:pPr>
        <w:pStyle w:val="ListParagraph"/>
        <w:autoSpaceDE w:val="0"/>
        <w:autoSpaceDN w:val="0"/>
        <w:adjustRightInd w:val="0"/>
        <w:ind w:left="0"/>
        <w:jc w:val="both"/>
        <w:rPr>
          <w:b/>
          <w:lang w:val="en-NZ"/>
        </w:rPr>
      </w:pPr>
      <w:r>
        <w:rPr>
          <w:b/>
          <w:lang w:val="en-NZ"/>
        </w:rPr>
        <w:t>K</w:t>
      </w:r>
      <w:r w:rsidR="00F567EC" w:rsidRPr="0094650F">
        <w:rPr>
          <w:b/>
          <w:lang w:val="en-NZ"/>
        </w:rPr>
        <w:t xml:space="preserve">EGG </w:t>
      </w:r>
      <w:r w:rsidRPr="0094650F">
        <w:rPr>
          <w:b/>
          <w:lang w:val="en-NZ"/>
        </w:rPr>
        <w:t xml:space="preserve"> </w:t>
      </w:r>
      <w:r>
        <w:rPr>
          <w:b/>
          <w:lang w:val="en-NZ"/>
        </w:rPr>
        <w:t>(</w:t>
      </w:r>
      <w:r w:rsidRPr="00456C65">
        <w:rPr>
          <w:color w:val="000000"/>
          <w:shd w:val="clear" w:color="auto" w:fill="FFFFFF"/>
        </w:rPr>
        <w:t>www.kegg.jp/kegg/kegg1.html</w:t>
      </w:r>
      <w:r>
        <w:rPr>
          <w:b/>
          <w:lang w:val="en-NZ"/>
        </w:rPr>
        <w:t xml:space="preserve">) </w:t>
      </w:r>
      <w:r w:rsidR="00F567EC" w:rsidRPr="0094650F">
        <w:rPr>
          <w:b/>
          <w:lang w:val="en-NZ"/>
        </w:rPr>
        <w:t xml:space="preserve">map of regulation of the </w:t>
      </w:r>
      <w:r w:rsidR="00F567EC">
        <w:rPr>
          <w:b/>
          <w:lang w:val="en-NZ"/>
        </w:rPr>
        <w:t>glutamatergic</w:t>
      </w:r>
      <w:r w:rsidR="00F567EC" w:rsidRPr="0094650F">
        <w:rPr>
          <w:b/>
          <w:lang w:val="en-NZ"/>
        </w:rPr>
        <w:t xml:space="preserve"> synapse pathway in the arcuate nucleus</w:t>
      </w:r>
      <w:r w:rsidR="00F567EC">
        <w:rPr>
          <w:b/>
          <w:lang w:val="en-NZ"/>
        </w:rPr>
        <w:t xml:space="preserve"> of saline-treated betamethasone–primed male</w:t>
      </w:r>
      <w:r w:rsidR="00F567EC" w:rsidRPr="0094650F">
        <w:rPr>
          <w:b/>
          <w:lang w:val="en-NZ"/>
        </w:rPr>
        <w:t xml:space="preserve"> </w:t>
      </w:r>
      <w:r w:rsidR="00F567EC">
        <w:rPr>
          <w:b/>
          <w:lang w:val="en-NZ"/>
        </w:rPr>
        <w:t>(</w:t>
      </w:r>
      <w:r w:rsidR="00F567EC" w:rsidRPr="0094650F">
        <w:rPr>
          <w:b/>
          <w:lang w:val="en-NZ"/>
        </w:rPr>
        <w:t>A</w:t>
      </w:r>
      <w:r w:rsidR="00F567EC">
        <w:rPr>
          <w:b/>
          <w:lang w:val="en-NZ"/>
        </w:rPr>
        <w:t>) and female (B) rats with NMDA-induced infantile spasms (BYS) compared to counterparts without spasms (BNS)</w:t>
      </w:r>
      <w:r w:rsidR="00F567EC" w:rsidRPr="0094650F">
        <w:rPr>
          <w:b/>
          <w:lang w:val="en-NZ"/>
        </w:rPr>
        <w:t>.</w:t>
      </w:r>
      <w:r w:rsidR="00F567EC" w:rsidRPr="0094650F">
        <w:rPr>
          <w:lang w:val="en-NZ"/>
        </w:rPr>
        <w:t xml:space="preserve"> </w:t>
      </w:r>
    </w:p>
    <w:p w:rsidR="00F567EC" w:rsidRPr="00091C1A" w:rsidRDefault="00091C1A">
      <w:pPr>
        <w:rPr>
          <w:rFonts w:ascii="Times New Roman" w:hAnsi="Times New Roman" w:cs="Times New Roman"/>
          <w:b/>
          <w:sz w:val="24"/>
          <w:szCs w:val="24"/>
        </w:rPr>
      </w:pPr>
      <w:r w:rsidRPr="00091C1A">
        <w:rPr>
          <w:rFonts w:ascii="Times New Roman" w:hAnsi="Times New Roman" w:cs="Times New Roman"/>
          <w:b/>
          <w:sz w:val="24"/>
          <w:szCs w:val="24"/>
          <w:lang w:val="en-NZ"/>
        </w:rPr>
        <w:lastRenderedPageBreak/>
        <w:t xml:space="preserve">Supplementary Figure </w:t>
      </w:r>
      <w:r w:rsidR="00EA2A9C">
        <w:rPr>
          <w:rFonts w:ascii="Times New Roman" w:hAnsi="Times New Roman" w:cs="Times New Roman"/>
          <w:b/>
          <w:sz w:val="24"/>
          <w:szCs w:val="24"/>
          <w:lang w:val="en-NZ"/>
        </w:rPr>
        <w:t>S</w:t>
      </w:r>
      <w:r w:rsidRPr="00091C1A">
        <w:rPr>
          <w:rFonts w:ascii="Times New Roman" w:hAnsi="Times New Roman" w:cs="Times New Roman"/>
          <w:b/>
          <w:sz w:val="24"/>
          <w:szCs w:val="24"/>
          <w:lang w:val="en-NZ"/>
        </w:rPr>
        <w:t>4</w:t>
      </w:r>
    </w:p>
    <w:p w:rsidR="00091C1A" w:rsidRDefault="00091C1A" w:rsidP="00F567EC">
      <w:pPr>
        <w:pStyle w:val="ListParagraph"/>
        <w:autoSpaceDE w:val="0"/>
        <w:autoSpaceDN w:val="0"/>
        <w:adjustRightInd w:val="0"/>
        <w:ind w:left="0"/>
        <w:jc w:val="both"/>
        <w:rPr>
          <w:b/>
          <w:lang w:val="en-NZ"/>
        </w:rPr>
      </w:pPr>
      <w:r w:rsidRPr="00091C1A">
        <w:rPr>
          <w:b/>
          <w:noProof/>
          <w:lang w:val="en-US" w:eastAsia="en-US"/>
        </w:rPr>
        <w:drawing>
          <wp:anchor distT="0" distB="0" distL="114300" distR="114300" simplePos="0" relativeHeight="251661312" behindDoc="0" locked="0" layoutInCell="1" allowOverlap="1" wp14:anchorId="00DD51E0" wp14:editId="459AA470">
            <wp:simplePos x="0" y="0"/>
            <wp:positionH relativeFrom="column">
              <wp:posOffset>0</wp:posOffset>
            </wp:positionH>
            <wp:positionV relativeFrom="paragraph">
              <wp:posOffset>170815</wp:posOffset>
            </wp:positionV>
            <wp:extent cx="6612890" cy="8430895"/>
            <wp:effectExtent l="0" t="0" r="0" b="8255"/>
            <wp:wrapSquare wrapText="bothSides"/>
            <wp:docPr id="4" name="Picture 4" descr="I:\Users\arraylab\Desktop\Rev Sci Rep\Supplementary Figure-4 (Iacob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Users\arraylab\Desktop\Rev Sci Rep\Supplementary Figure-4 (Iacoba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12890" cy="84308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67EC" w:rsidRDefault="00F567EC" w:rsidP="00F567EC">
      <w:pPr>
        <w:pStyle w:val="ListParagraph"/>
        <w:autoSpaceDE w:val="0"/>
        <w:autoSpaceDN w:val="0"/>
        <w:adjustRightInd w:val="0"/>
        <w:ind w:left="0"/>
        <w:jc w:val="both"/>
        <w:rPr>
          <w:lang w:val="en-NZ"/>
        </w:rPr>
      </w:pPr>
      <w:r w:rsidRPr="0094650F">
        <w:rPr>
          <w:b/>
          <w:lang w:val="en-NZ"/>
        </w:rPr>
        <w:t xml:space="preserve">KEGG </w:t>
      </w:r>
      <w:r w:rsidR="00456C65" w:rsidRPr="0094650F">
        <w:rPr>
          <w:b/>
          <w:lang w:val="en-NZ"/>
        </w:rPr>
        <w:t xml:space="preserve"> </w:t>
      </w:r>
      <w:r w:rsidR="00456C65">
        <w:rPr>
          <w:b/>
          <w:lang w:val="en-NZ"/>
        </w:rPr>
        <w:t>(</w:t>
      </w:r>
      <w:r w:rsidR="00456C65" w:rsidRPr="00456C65">
        <w:rPr>
          <w:color w:val="000000"/>
          <w:shd w:val="clear" w:color="auto" w:fill="FFFFFF"/>
        </w:rPr>
        <w:t>www.kegg.jp/kegg/kegg1.html</w:t>
      </w:r>
      <w:r w:rsidR="00456C65">
        <w:rPr>
          <w:b/>
          <w:lang w:val="en-NZ"/>
        </w:rPr>
        <w:t xml:space="preserve">) </w:t>
      </w:r>
      <w:r w:rsidRPr="0094650F">
        <w:rPr>
          <w:b/>
          <w:lang w:val="en-NZ"/>
        </w:rPr>
        <w:t xml:space="preserve">map of regulation of the </w:t>
      </w:r>
      <w:r>
        <w:rPr>
          <w:b/>
          <w:lang w:val="en-NZ"/>
        </w:rPr>
        <w:t>serotonergic</w:t>
      </w:r>
      <w:r w:rsidRPr="0094650F">
        <w:rPr>
          <w:b/>
          <w:lang w:val="en-NZ"/>
        </w:rPr>
        <w:t xml:space="preserve"> synapse pathway in the arcuate nucleus</w:t>
      </w:r>
      <w:r>
        <w:rPr>
          <w:b/>
          <w:lang w:val="en-NZ"/>
        </w:rPr>
        <w:t xml:space="preserve"> of saline-treated betamethasone–primed male</w:t>
      </w:r>
      <w:r w:rsidRPr="0094650F">
        <w:rPr>
          <w:b/>
          <w:lang w:val="en-NZ"/>
        </w:rPr>
        <w:t xml:space="preserve"> </w:t>
      </w:r>
      <w:r>
        <w:rPr>
          <w:b/>
          <w:lang w:val="en-NZ"/>
        </w:rPr>
        <w:t>(</w:t>
      </w:r>
      <w:r w:rsidRPr="0094650F">
        <w:rPr>
          <w:b/>
          <w:lang w:val="en-NZ"/>
        </w:rPr>
        <w:t>A</w:t>
      </w:r>
      <w:r>
        <w:rPr>
          <w:b/>
          <w:lang w:val="en-NZ"/>
        </w:rPr>
        <w:t>) and female (B) rats with NMDA-induced infantile spasms (BYS) compared to counterparts without spasms (BNS)</w:t>
      </w:r>
      <w:r w:rsidRPr="0094650F">
        <w:rPr>
          <w:b/>
          <w:lang w:val="en-NZ"/>
        </w:rPr>
        <w:t>.</w:t>
      </w:r>
      <w:r w:rsidRPr="0094650F">
        <w:rPr>
          <w:lang w:val="en-NZ"/>
        </w:rPr>
        <w:t xml:space="preserve"> </w:t>
      </w:r>
    </w:p>
    <w:p w:rsidR="00F567EC" w:rsidRPr="00091C1A" w:rsidRDefault="00091C1A">
      <w:pPr>
        <w:rPr>
          <w:rFonts w:ascii="Times New Roman" w:hAnsi="Times New Roman" w:cs="Times New Roman"/>
          <w:b/>
          <w:sz w:val="24"/>
          <w:szCs w:val="24"/>
        </w:rPr>
      </w:pPr>
      <w:r>
        <w:rPr>
          <w:b/>
          <w:noProof/>
        </w:rPr>
        <w:lastRenderedPageBreak/>
        <w:drawing>
          <wp:anchor distT="0" distB="0" distL="114300" distR="114300" simplePos="0" relativeHeight="251662336" behindDoc="0" locked="0" layoutInCell="1" allowOverlap="1" wp14:anchorId="2453F54C" wp14:editId="43F62725">
            <wp:simplePos x="0" y="0"/>
            <wp:positionH relativeFrom="column">
              <wp:posOffset>0</wp:posOffset>
            </wp:positionH>
            <wp:positionV relativeFrom="paragraph">
              <wp:posOffset>417830</wp:posOffset>
            </wp:positionV>
            <wp:extent cx="6635750" cy="8176260"/>
            <wp:effectExtent l="0" t="0" r="0" b="0"/>
            <wp:wrapSquare wrapText="bothSides"/>
            <wp:docPr id="5" name="Picture 5" descr="I:\Users\arraylab\Desktop\Rev Sci Rep\Supplementary Figure-5 (Iacob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Users\arraylab\Desktop\Rev Sci Rep\Supplementary Figure-5 (Iacobas).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35750" cy="817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1C1A">
        <w:rPr>
          <w:rFonts w:ascii="Times New Roman" w:hAnsi="Times New Roman" w:cs="Times New Roman"/>
          <w:b/>
          <w:sz w:val="24"/>
          <w:szCs w:val="24"/>
          <w:lang w:val="en-NZ"/>
        </w:rPr>
        <w:t xml:space="preserve">Supplementary Figure </w:t>
      </w:r>
      <w:r w:rsidR="00EA2A9C">
        <w:rPr>
          <w:rFonts w:ascii="Times New Roman" w:hAnsi="Times New Roman" w:cs="Times New Roman"/>
          <w:b/>
          <w:sz w:val="24"/>
          <w:szCs w:val="24"/>
          <w:lang w:val="en-NZ"/>
        </w:rPr>
        <w:t>S</w:t>
      </w:r>
      <w:r w:rsidRPr="00091C1A">
        <w:rPr>
          <w:rFonts w:ascii="Times New Roman" w:hAnsi="Times New Roman" w:cs="Times New Roman"/>
          <w:b/>
          <w:sz w:val="24"/>
          <w:szCs w:val="24"/>
          <w:lang w:val="en-NZ"/>
        </w:rPr>
        <w:t>5</w:t>
      </w:r>
    </w:p>
    <w:p w:rsidR="00091C1A" w:rsidRDefault="00091C1A" w:rsidP="00F567EC">
      <w:pPr>
        <w:pStyle w:val="ListParagraph"/>
        <w:autoSpaceDE w:val="0"/>
        <w:autoSpaceDN w:val="0"/>
        <w:adjustRightInd w:val="0"/>
        <w:ind w:left="0"/>
        <w:jc w:val="both"/>
        <w:rPr>
          <w:b/>
          <w:lang w:val="en-NZ"/>
        </w:rPr>
      </w:pPr>
    </w:p>
    <w:p w:rsidR="00F567EC" w:rsidRPr="0094650F" w:rsidRDefault="00F567EC" w:rsidP="00F567EC">
      <w:pPr>
        <w:pStyle w:val="ListParagraph"/>
        <w:autoSpaceDE w:val="0"/>
        <w:autoSpaceDN w:val="0"/>
        <w:adjustRightInd w:val="0"/>
        <w:ind w:left="0"/>
        <w:jc w:val="both"/>
        <w:rPr>
          <w:b/>
          <w:lang w:val="en-NZ"/>
        </w:rPr>
      </w:pPr>
      <w:r w:rsidRPr="0094650F">
        <w:rPr>
          <w:b/>
          <w:lang w:val="en-NZ"/>
        </w:rPr>
        <w:t xml:space="preserve">KEGG </w:t>
      </w:r>
      <w:r w:rsidR="00456C65" w:rsidRPr="0094650F">
        <w:rPr>
          <w:b/>
          <w:lang w:val="en-NZ"/>
        </w:rPr>
        <w:t xml:space="preserve"> </w:t>
      </w:r>
      <w:r w:rsidR="00456C65">
        <w:rPr>
          <w:b/>
          <w:lang w:val="en-NZ"/>
        </w:rPr>
        <w:t>(</w:t>
      </w:r>
      <w:r w:rsidR="00456C65" w:rsidRPr="00456C65">
        <w:rPr>
          <w:color w:val="000000"/>
          <w:shd w:val="clear" w:color="auto" w:fill="FFFFFF"/>
        </w:rPr>
        <w:t>www.kegg.jp/kegg/kegg1.html</w:t>
      </w:r>
      <w:r w:rsidR="00456C65">
        <w:rPr>
          <w:b/>
          <w:lang w:val="en-NZ"/>
        </w:rPr>
        <w:t xml:space="preserve">) </w:t>
      </w:r>
      <w:r w:rsidRPr="0094650F">
        <w:rPr>
          <w:b/>
          <w:lang w:val="en-NZ"/>
        </w:rPr>
        <w:t xml:space="preserve">map of regulation of the </w:t>
      </w:r>
      <w:r>
        <w:rPr>
          <w:b/>
          <w:lang w:val="en-NZ"/>
        </w:rPr>
        <w:t>cholinergic</w:t>
      </w:r>
      <w:r w:rsidRPr="0094650F">
        <w:rPr>
          <w:b/>
          <w:lang w:val="en-NZ"/>
        </w:rPr>
        <w:t xml:space="preserve"> synapse pathway in the arcuate nucleus</w:t>
      </w:r>
      <w:r>
        <w:rPr>
          <w:b/>
          <w:lang w:val="en-NZ"/>
        </w:rPr>
        <w:t xml:space="preserve"> of ACTH-treated betamethasone–primed male</w:t>
      </w:r>
      <w:r w:rsidRPr="0094650F">
        <w:rPr>
          <w:b/>
          <w:lang w:val="en-NZ"/>
        </w:rPr>
        <w:t xml:space="preserve"> </w:t>
      </w:r>
      <w:r>
        <w:rPr>
          <w:b/>
          <w:lang w:val="en-NZ"/>
        </w:rPr>
        <w:t>(</w:t>
      </w:r>
      <w:r w:rsidRPr="0094650F">
        <w:rPr>
          <w:b/>
          <w:lang w:val="en-NZ"/>
        </w:rPr>
        <w:t>A</w:t>
      </w:r>
      <w:r>
        <w:rPr>
          <w:b/>
          <w:lang w:val="en-NZ"/>
        </w:rPr>
        <w:t>) and female (B) rats with NMDA-induced infantile spasms (BYA) compared to counterparts without spasms (BNS)</w:t>
      </w:r>
      <w:r w:rsidRPr="0094650F">
        <w:rPr>
          <w:b/>
          <w:lang w:val="en-NZ"/>
        </w:rPr>
        <w:t>.</w:t>
      </w:r>
      <w:r w:rsidRPr="0094650F">
        <w:rPr>
          <w:lang w:val="en-NZ"/>
        </w:rPr>
        <w:t xml:space="preserve"> </w:t>
      </w:r>
    </w:p>
    <w:p w:rsidR="00F567EC" w:rsidRDefault="00F567EC">
      <w:pPr>
        <w:rPr>
          <w:b/>
        </w:rPr>
      </w:pPr>
    </w:p>
    <w:p w:rsidR="007A1127" w:rsidRPr="00091C1A" w:rsidRDefault="00091C1A">
      <w:pPr>
        <w:rPr>
          <w:rFonts w:ascii="Times New Roman" w:hAnsi="Times New Roman" w:cs="Times New Roman"/>
          <w:b/>
          <w:sz w:val="24"/>
          <w:szCs w:val="24"/>
        </w:rPr>
      </w:pPr>
      <w:r>
        <w:rPr>
          <w:rFonts w:ascii="Times New Roman" w:hAnsi="Times New Roman" w:cs="Times New Roman"/>
          <w:b/>
          <w:sz w:val="24"/>
          <w:szCs w:val="24"/>
          <w:lang w:val="en-NZ"/>
        </w:rPr>
        <w:lastRenderedPageBreak/>
        <w:t xml:space="preserve">Supplementary Figure </w:t>
      </w:r>
      <w:r w:rsidR="00EA2A9C">
        <w:rPr>
          <w:rFonts w:ascii="Times New Roman" w:hAnsi="Times New Roman" w:cs="Times New Roman"/>
          <w:b/>
          <w:sz w:val="24"/>
          <w:szCs w:val="24"/>
          <w:lang w:val="en-NZ"/>
        </w:rPr>
        <w:t>S</w:t>
      </w:r>
      <w:r>
        <w:rPr>
          <w:rFonts w:ascii="Times New Roman" w:hAnsi="Times New Roman" w:cs="Times New Roman"/>
          <w:b/>
          <w:sz w:val="24"/>
          <w:szCs w:val="24"/>
          <w:lang w:val="en-NZ"/>
        </w:rPr>
        <w:t>6</w:t>
      </w:r>
    </w:p>
    <w:p w:rsidR="007A1127" w:rsidRDefault="009D64E3">
      <w:pPr>
        <w:rPr>
          <w:b/>
        </w:rPr>
      </w:pPr>
      <w:r>
        <w:rPr>
          <w:b/>
          <w:noProof/>
        </w:rPr>
        <w:drawing>
          <wp:anchor distT="0" distB="0" distL="114300" distR="114300" simplePos="0" relativeHeight="251663360" behindDoc="0" locked="0" layoutInCell="1" allowOverlap="1" wp14:anchorId="5B5B4078" wp14:editId="56C53593">
            <wp:simplePos x="0" y="0"/>
            <wp:positionH relativeFrom="column">
              <wp:posOffset>0</wp:posOffset>
            </wp:positionH>
            <wp:positionV relativeFrom="paragraph">
              <wp:posOffset>33020</wp:posOffset>
            </wp:positionV>
            <wp:extent cx="6634480" cy="8483600"/>
            <wp:effectExtent l="0" t="0" r="0" b="0"/>
            <wp:wrapSquare wrapText="bothSides"/>
            <wp:docPr id="6" name="Picture 6" descr="I:\Users\arraylab\Desktop\Rev Sci Rep\Supplementary Figure-6 (Iacob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Users\arraylab\Desktop\Rev Sci Rep\Supplementary Figure-6 (Iacobas).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34480" cy="8483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1127" w:rsidRDefault="007A1127" w:rsidP="007A1127">
      <w:pPr>
        <w:jc w:val="both"/>
        <w:rPr>
          <w:rFonts w:ascii="Times New Roman" w:hAnsi="Times New Roman" w:cs="Times New Roman"/>
          <w:b/>
          <w:sz w:val="24"/>
          <w:szCs w:val="24"/>
          <w:lang w:val="en-NZ"/>
        </w:rPr>
      </w:pPr>
      <w:r w:rsidRPr="007A1127">
        <w:rPr>
          <w:rFonts w:ascii="Times New Roman" w:hAnsi="Times New Roman" w:cs="Times New Roman"/>
          <w:b/>
          <w:sz w:val="24"/>
          <w:szCs w:val="24"/>
          <w:lang w:val="en-NZ"/>
        </w:rPr>
        <w:t xml:space="preserve">KEGG </w:t>
      </w:r>
      <w:r w:rsidR="00456C65" w:rsidRPr="0094650F">
        <w:rPr>
          <w:b/>
          <w:lang w:val="en-NZ"/>
        </w:rPr>
        <w:t xml:space="preserve"> </w:t>
      </w:r>
      <w:r w:rsidR="00456C65">
        <w:rPr>
          <w:b/>
          <w:lang w:val="en-NZ"/>
        </w:rPr>
        <w:t>(</w:t>
      </w:r>
      <w:r w:rsidR="00456C65" w:rsidRPr="00456C65">
        <w:rPr>
          <w:rFonts w:ascii="Times New Roman" w:hAnsi="Times New Roman" w:cs="Times New Roman"/>
          <w:color w:val="000000"/>
          <w:sz w:val="24"/>
          <w:szCs w:val="24"/>
          <w:shd w:val="clear" w:color="auto" w:fill="FFFFFF"/>
        </w:rPr>
        <w:t>www.kegg.jp/kegg/kegg1.html</w:t>
      </w:r>
      <w:r w:rsidR="00456C65">
        <w:rPr>
          <w:b/>
          <w:lang w:val="en-NZ"/>
        </w:rPr>
        <w:t xml:space="preserve">) </w:t>
      </w:r>
      <w:r w:rsidRPr="007A1127">
        <w:rPr>
          <w:rFonts w:ascii="Times New Roman" w:hAnsi="Times New Roman" w:cs="Times New Roman"/>
          <w:b/>
          <w:sz w:val="24"/>
          <w:szCs w:val="24"/>
          <w:lang w:val="en-NZ"/>
        </w:rPr>
        <w:t>map of regulation of the dopaminergic synapse pathway in the arcuate nucleus of ACTH-treated betamethasone–primed male (A) and female (B) rats with NMDA-induced infantile spasms (BYA) compared to counterparts without spasms (BNS).</w:t>
      </w:r>
    </w:p>
    <w:p w:rsidR="007A1127" w:rsidRPr="009D64E3" w:rsidRDefault="009D64E3" w:rsidP="007A1127">
      <w:pPr>
        <w:jc w:val="both"/>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64384" behindDoc="0" locked="0" layoutInCell="1" allowOverlap="1" wp14:anchorId="1E776B89" wp14:editId="666537EA">
            <wp:simplePos x="0" y="0"/>
            <wp:positionH relativeFrom="column">
              <wp:posOffset>0</wp:posOffset>
            </wp:positionH>
            <wp:positionV relativeFrom="paragraph">
              <wp:posOffset>393065</wp:posOffset>
            </wp:positionV>
            <wp:extent cx="6634480" cy="8537575"/>
            <wp:effectExtent l="0" t="0" r="0" b="0"/>
            <wp:wrapSquare wrapText="bothSides"/>
            <wp:docPr id="8" name="Picture 8" descr="I:\Users\arraylab\Desktop\Rev Sci Rep\Supplementary Figure-7 (Iacob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Users\arraylab\Desktop\Rev Sci Rep\Supplementary Figure-7 (Iacobas).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34480" cy="8537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64E3">
        <w:rPr>
          <w:rFonts w:ascii="Times New Roman" w:hAnsi="Times New Roman" w:cs="Times New Roman"/>
          <w:b/>
          <w:sz w:val="24"/>
          <w:szCs w:val="24"/>
          <w:lang w:val="en-NZ"/>
        </w:rPr>
        <w:t xml:space="preserve">Supplementary Figure </w:t>
      </w:r>
      <w:r w:rsidR="00EA2A9C">
        <w:rPr>
          <w:rFonts w:ascii="Times New Roman" w:hAnsi="Times New Roman" w:cs="Times New Roman"/>
          <w:b/>
          <w:sz w:val="24"/>
          <w:szCs w:val="24"/>
          <w:lang w:val="en-NZ"/>
        </w:rPr>
        <w:t>S</w:t>
      </w:r>
      <w:r w:rsidRPr="009D64E3">
        <w:rPr>
          <w:rFonts w:ascii="Times New Roman" w:hAnsi="Times New Roman" w:cs="Times New Roman"/>
          <w:b/>
          <w:sz w:val="24"/>
          <w:szCs w:val="24"/>
          <w:lang w:val="en-NZ"/>
        </w:rPr>
        <w:t>7</w:t>
      </w:r>
    </w:p>
    <w:p w:rsidR="009D64E3" w:rsidRDefault="009D64E3" w:rsidP="007A1127">
      <w:pPr>
        <w:pStyle w:val="ListParagraph"/>
        <w:autoSpaceDE w:val="0"/>
        <w:autoSpaceDN w:val="0"/>
        <w:adjustRightInd w:val="0"/>
        <w:ind w:left="0"/>
        <w:jc w:val="both"/>
        <w:rPr>
          <w:b/>
          <w:lang w:val="en-NZ"/>
        </w:rPr>
      </w:pPr>
    </w:p>
    <w:p w:rsidR="007A1127" w:rsidRPr="0094650F" w:rsidRDefault="007A1127" w:rsidP="007A1127">
      <w:pPr>
        <w:pStyle w:val="ListParagraph"/>
        <w:autoSpaceDE w:val="0"/>
        <w:autoSpaceDN w:val="0"/>
        <w:adjustRightInd w:val="0"/>
        <w:ind w:left="0"/>
        <w:jc w:val="both"/>
        <w:rPr>
          <w:b/>
          <w:lang w:val="en-NZ"/>
        </w:rPr>
      </w:pPr>
      <w:r w:rsidRPr="0094650F">
        <w:rPr>
          <w:b/>
          <w:lang w:val="en-NZ"/>
        </w:rPr>
        <w:t xml:space="preserve">KEGG </w:t>
      </w:r>
      <w:r w:rsidR="00456C65" w:rsidRPr="0094650F">
        <w:rPr>
          <w:b/>
          <w:lang w:val="en-NZ"/>
        </w:rPr>
        <w:t xml:space="preserve"> </w:t>
      </w:r>
      <w:r w:rsidR="00456C65">
        <w:rPr>
          <w:b/>
          <w:lang w:val="en-NZ"/>
        </w:rPr>
        <w:t>(</w:t>
      </w:r>
      <w:r w:rsidR="00456C65" w:rsidRPr="00456C65">
        <w:rPr>
          <w:color w:val="000000"/>
          <w:shd w:val="clear" w:color="auto" w:fill="FFFFFF"/>
        </w:rPr>
        <w:t>www.kegg.jp/kegg/kegg1.html</w:t>
      </w:r>
      <w:r w:rsidR="00456C65">
        <w:rPr>
          <w:b/>
          <w:lang w:val="en-NZ"/>
        </w:rPr>
        <w:t xml:space="preserve">) </w:t>
      </w:r>
      <w:r w:rsidRPr="0094650F">
        <w:rPr>
          <w:b/>
          <w:lang w:val="en-NZ"/>
        </w:rPr>
        <w:t xml:space="preserve">map of regulation of the </w:t>
      </w:r>
      <w:r>
        <w:rPr>
          <w:b/>
          <w:lang w:val="en-NZ"/>
        </w:rPr>
        <w:t>gultaminergic</w:t>
      </w:r>
      <w:r w:rsidRPr="0094650F">
        <w:rPr>
          <w:b/>
          <w:lang w:val="en-NZ"/>
        </w:rPr>
        <w:t xml:space="preserve"> synapse pathway in the arcuate nucleus</w:t>
      </w:r>
      <w:r>
        <w:rPr>
          <w:b/>
          <w:lang w:val="en-NZ"/>
        </w:rPr>
        <w:t xml:space="preserve"> of ACTH-treated betamethasone–primed male</w:t>
      </w:r>
      <w:r w:rsidRPr="0094650F">
        <w:rPr>
          <w:b/>
          <w:lang w:val="en-NZ"/>
        </w:rPr>
        <w:t xml:space="preserve"> </w:t>
      </w:r>
      <w:r>
        <w:rPr>
          <w:b/>
          <w:lang w:val="en-NZ"/>
        </w:rPr>
        <w:t>(</w:t>
      </w:r>
      <w:r w:rsidRPr="0094650F">
        <w:rPr>
          <w:b/>
          <w:lang w:val="en-NZ"/>
        </w:rPr>
        <w:t>A</w:t>
      </w:r>
      <w:r>
        <w:rPr>
          <w:b/>
          <w:lang w:val="en-NZ"/>
        </w:rPr>
        <w:t>) and female (B) rats with NMDA-induced infantile spasms (BYA) compared to counterparts without spasms (BNS)</w:t>
      </w:r>
      <w:r w:rsidRPr="0094650F">
        <w:rPr>
          <w:b/>
          <w:lang w:val="en-NZ"/>
        </w:rPr>
        <w:t>.</w:t>
      </w:r>
      <w:r w:rsidRPr="0094650F">
        <w:rPr>
          <w:lang w:val="en-NZ"/>
        </w:rPr>
        <w:t xml:space="preserve"> </w:t>
      </w:r>
    </w:p>
    <w:p w:rsidR="007A1127" w:rsidRPr="009D64E3" w:rsidRDefault="009D64E3" w:rsidP="007A1127">
      <w:pPr>
        <w:jc w:val="both"/>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65408" behindDoc="0" locked="0" layoutInCell="1" allowOverlap="1" wp14:anchorId="1615D2E3" wp14:editId="5E481B91">
            <wp:simplePos x="0" y="0"/>
            <wp:positionH relativeFrom="column">
              <wp:posOffset>0</wp:posOffset>
            </wp:positionH>
            <wp:positionV relativeFrom="paragraph">
              <wp:posOffset>403860</wp:posOffset>
            </wp:positionV>
            <wp:extent cx="6581140" cy="8229600"/>
            <wp:effectExtent l="0" t="0" r="0" b="0"/>
            <wp:wrapSquare wrapText="bothSides"/>
            <wp:docPr id="9" name="Picture 9" descr="I:\Users\arraylab\Desktop\Rev Sci Rep\Supplementary Figure-8 (Iacob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Users\arraylab\Desktop\Rev Sci Rep\Supplementary Figure-8 (Iacobas).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81140" cy="822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64E3">
        <w:rPr>
          <w:rFonts w:ascii="Times New Roman" w:hAnsi="Times New Roman" w:cs="Times New Roman"/>
          <w:b/>
          <w:sz w:val="24"/>
          <w:szCs w:val="24"/>
          <w:lang w:val="en-NZ"/>
        </w:rPr>
        <w:t xml:space="preserve">Supplementary Figure </w:t>
      </w:r>
      <w:r w:rsidR="00EA2A9C">
        <w:rPr>
          <w:rFonts w:ascii="Times New Roman" w:hAnsi="Times New Roman" w:cs="Times New Roman"/>
          <w:b/>
          <w:sz w:val="24"/>
          <w:szCs w:val="24"/>
          <w:lang w:val="en-NZ"/>
        </w:rPr>
        <w:t>S</w:t>
      </w:r>
      <w:r w:rsidRPr="009D64E3">
        <w:rPr>
          <w:rFonts w:ascii="Times New Roman" w:hAnsi="Times New Roman" w:cs="Times New Roman"/>
          <w:b/>
          <w:sz w:val="24"/>
          <w:szCs w:val="24"/>
          <w:lang w:val="en-NZ"/>
        </w:rPr>
        <w:t>8</w:t>
      </w:r>
    </w:p>
    <w:p w:rsidR="009D64E3" w:rsidRDefault="009D64E3" w:rsidP="007A1127">
      <w:pPr>
        <w:pStyle w:val="ListParagraph"/>
        <w:autoSpaceDE w:val="0"/>
        <w:autoSpaceDN w:val="0"/>
        <w:adjustRightInd w:val="0"/>
        <w:ind w:left="0"/>
        <w:jc w:val="both"/>
        <w:rPr>
          <w:b/>
          <w:lang w:val="en-NZ"/>
        </w:rPr>
      </w:pPr>
    </w:p>
    <w:p w:rsidR="007A1127" w:rsidRPr="0094650F" w:rsidRDefault="007A1127" w:rsidP="007A1127">
      <w:pPr>
        <w:pStyle w:val="ListParagraph"/>
        <w:autoSpaceDE w:val="0"/>
        <w:autoSpaceDN w:val="0"/>
        <w:adjustRightInd w:val="0"/>
        <w:ind w:left="0"/>
        <w:jc w:val="both"/>
        <w:rPr>
          <w:b/>
          <w:lang w:val="en-NZ"/>
        </w:rPr>
      </w:pPr>
      <w:r w:rsidRPr="0094650F">
        <w:rPr>
          <w:b/>
          <w:lang w:val="en-NZ"/>
        </w:rPr>
        <w:t xml:space="preserve">KEGG </w:t>
      </w:r>
      <w:r w:rsidR="00456C65" w:rsidRPr="0094650F">
        <w:rPr>
          <w:b/>
          <w:lang w:val="en-NZ"/>
        </w:rPr>
        <w:t xml:space="preserve"> </w:t>
      </w:r>
      <w:r w:rsidR="00456C65">
        <w:rPr>
          <w:b/>
          <w:lang w:val="en-NZ"/>
        </w:rPr>
        <w:t>(</w:t>
      </w:r>
      <w:r w:rsidR="00456C65" w:rsidRPr="00456C65">
        <w:rPr>
          <w:color w:val="000000"/>
          <w:shd w:val="clear" w:color="auto" w:fill="FFFFFF"/>
        </w:rPr>
        <w:t>www.kegg.jp/kegg/kegg1.html</w:t>
      </w:r>
      <w:r w:rsidR="00456C65">
        <w:rPr>
          <w:b/>
          <w:lang w:val="en-NZ"/>
        </w:rPr>
        <w:t xml:space="preserve">) </w:t>
      </w:r>
      <w:r w:rsidRPr="0094650F">
        <w:rPr>
          <w:b/>
          <w:lang w:val="en-NZ"/>
        </w:rPr>
        <w:t xml:space="preserve">map of regulation of the </w:t>
      </w:r>
      <w:r>
        <w:rPr>
          <w:b/>
          <w:lang w:val="en-NZ"/>
        </w:rPr>
        <w:t>dopaminergic</w:t>
      </w:r>
      <w:r w:rsidRPr="0094650F">
        <w:rPr>
          <w:b/>
          <w:lang w:val="en-NZ"/>
        </w:rPr>
        <w:t xml:space="preserve"> synapse pathway in the arcuate nucleus</w:t>
      </w:r>
      <w:r>
        <w:rPr>
          <w:b/>
          <w:lang w:val="en-NZ"/>
        </w:rPr>
        <w:t xml:space="preserve"> of ACTH-treated betamethasone–primed male</w:t>
      </w:r>
      <w:r w:rsidRPr="0094650F">
        <w:rPr>
          <w:b/>
          <w:lang w:val="en-NZ"/>
        </w:rPr>
        <w:t xml:space="preserve"> </w:t>
      </w:r>
      <w:r>
        <w:rPr>
          <w:b/>
          <w:lang w:val="en-NZ"/>
        </w:rPr>
        <w:t>(</w:t>
      </w:r>
      <w:r w:rsidRPr="0094650F">
        <w:rPr>
          <w:b/>
          <w:lang w:val="en-NZ"/>
        </w:rPr>
        <w:t>A</w:t>
      </w:r>
      <w:r>
        <w:rPr>
          <w:b/>
          <w:lang w:val="en-NZ"/>
        </w:rPr>
        <w:t>) and female (B) rats with NMDA-induced infantile spasms (BYA) compared to counterparts without spasms (BNS)</w:t>
      </w:r>
      <w:r w:rsidRPr="0094650F">
        <w:rPr>
          <w:b/>
          <w:lang w:val="en-NZ"/>
        </w:rPr>
        <w:t>.</w:t>
      </w:r>
      <w:r w:rsidRPr="0094650F">
        <w:rPr>
          <w:lang w:val="en-NZ"/>
        </w:rPr>
        <w:t xml:space="preserve"> </w:t>
      </w:r>
    </w:p>
    <w:p w:rsidR="007A1127" w:rsidRDefault="007A1127" w:rsidP="007A1127">
      <w:pPr>
        <w:jc w:val="both"/>
        <w:rPr>
          <w:rFonts w:ascii="Times New Roman" w:hAnsi="Times New Roman" w:cs="Times New Roman"/>
          <w:b/>
          <w:sz w:val="24"/>
          <w:szCs w:val="24"/>
        </w:rPr>
      </w:pPr>
    </w:p>
    <w:p w:rsidR="007A1127" w:rsidRPr="009D64E3" w:rsidRDefault="009D64E3" w:rsidP="007A1127">
      <w:pPr>
        <w:jc w:val="both"/>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66432" behindDoc="0" locked="0" layoutInCell="1" allowOverlap="1" wp14:anchorId="2192D113" wp14:editId="186B8226">
            <wp:simplePos x="0" y="0"/>
            <wp:positionH relativeFrom="column">
              <wp:posOffset>0</wp:posOffset>
            </wp:positionH>
            <wp:positionV relativeFrom="paragraph">
              <wp:posOffset>412115</wp:posOffset>
            </wp:positionV>
            <wp:extent cx="6650990" cy="7846695"/>
            <wp:effectExtent l="0" t="0" r="0" b="1905"/>
            <wp:wrapSquare wrapText="bothSides"/>
            <wp:docPr id="10" name="Picture 10" descr="I:\Users\arraylab\Desktop\Rev Sci Rep\Supplementary Figure-9 (Iacob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Users\arraylab\Desktop\Rev Sci Rep\Supplementary Figure-9 (Iacobas).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50990" cy="7846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64E3">
        <w:rPr>
          <w:rFonts w:ascii="Times New Roman" w:hAnsi="Times New Roman" w:cs="Times New Roman"/>
          <w:b/>
          <w:sz w:val="24"/>
          <w:szCs w:val="24"/>
          <w:lang w:val="en-NZ"/>
        </w:rPr>
        <w:t xml:space="preserve">Supplementary Figure </w:t>
      </w:r>
      <w:r w:rsidR="00EA2A9C">
        <w:rPr>
          <w:rFonts w:ascii="Times New Roman" w:hAnsi="Times New Roman" w:cs="Times New Roman"/>
          <w:b/>
          <w:sz w:val="24"/>
          <w:szCs w:val="24"/>
          <w:lang w:val="en-NZ"/>
        </w:rPr>
        <w:t>S</w:t>
      </w:r>
      <w:r w:rsidRPr="009D64E3">
        <w:rPr>
          <w:rFonts w:ascii="Times New Roman" w:hAnsi="Times New Roman" w:cs="Times New Roman"/>
          <w:b/>
          <w:sz w:val="24"/>
          <w:szCs w:val="24"/>
          <w:lang w:val="en-NZ"/>
        </w:rPr>
        <w:t>9</w:t>
      </w:r>
    </w:p>
    <w:p w:rsidR="009D64E3" w:rsidRDefault="009D64E3" w:rsidP="007A1127">
      <w:pPr>
        <w:pStyle w:val="ListParagraph"/>
        <w:autoSpaceDE w:val="0"/>
        <w:autoSpaceDN w:val="0"/>
        <w:adjustRightInd w:val="0"/>
        <w:ind w:left="0"/>
        <w:jc w:val="both"/>
        <w:rPr>
          <w:b/>
          <w:lang w:val="en-NZ"/>
        </w:rPr>
      </w:pPr>
    </w:p>
    <w:p w:rsidR="007A1127" w:rsidRPr="0094650F" w:rsidRDefault="007A1127" w:rsidP="007A1127">
      <w:pPr>
        <w:pStyle w:val="ListParagraph"/>
        <w:autoSpaceDE w:val="0"/>
        <w:autoSpaceDN w:val="0"/>
        <w:adjustRightInd w:val="0"/>
        <w:ind w:left="0"/>
        <w:jc w:val="both"/>
        <w:rPr>
          <w:b/>
          <w:lang w:val="en-NZ"/>
        </w:rPr>
      </w:pPr>
      <w:r w:rsidRPr="0094650F">
        <w:rPr>
          <w:b/>
          <w:lang w:val="en-NZ"/>
        </w:rPr>
        <w:t xml:space="preserve">KEGG </w:t>
      </w:r>
      <w:r w:rsidR="00456C65" w:rsidRPr="0094650F">
        <w:rPr>
          <w:b/>
          <w:lang w:val="en-NZ"/>
        </w:rPr>
        <w:t xml:space="preserve"> </w:t>
      </w:r>
      <w:r w:rsidR="00456C65">
        <w:rPr>
          <w:b/>
          <w:lang w:val="en-NZ"/>
        </w:rPr>
        <w:t>(</w:t>
      </w:r>
      <w:r w:rsidR="00456C65" w:rsidRPr="00456C65">
        <w:rPr>
          <w:color w:val="000000"/>
          <w:shd w:val="clear" w:color="auto" w:fill="FFFFFF"/>
        </w:rPr>
        <w:t>www.kegg.jp/kegg/kegg1.html</w:t>
      </w:r>
      <w:r w:rsidR="00456C65">
        <w:rPr>
          <w:b/>
          <w:lang w:val="en-NZ"/>
        </w:rPr>
        <w:t xml:space="preserve">) </w:t>
      </w:r>
      <w:r w:rsidRPr="0094650F">
        <w:rPr>
          <w:b/>
          <w:lang w:val="en-NZ"/>
        </w:rPr>
        <w:t xml:space="preserve">map of regulation of the </w:t>
      </w:r>
      <w:r>
        <w:rPr>
          <w:b/>
          <w:lang w:val="en-NZ"/>
        </w:rPr>
        <w:t>cholin</w:t>
      </w:r>
      <w:r w:rsidRPr="0094650F">
        <w:rPr>
          <w:b/>
          <w:lang w:val="en-NZ"/>
        </w:rPr>
        <w:t>ergic synapse pathway in the arcuate nucleus</w:t>
      </w:r>
      <w:r>
        <w:rPr>
          <w:b/>
          <w:lang w:val="en-NZ"/>
        </w:rPr>
        <w:t xml:space="preserve"> of PMX53-treated betamethasone–primed male</w:t>
      </w:r>
      <w:r w:rsidRPr="0094650F">
        <w:rPr>
          <w:b/>
          <w:lang w:val="en-NZ"/>
        </w:rPr>
        <w:t xml:space="preserve"> </w:t>
      </w:r>
      <w:r>
        <w:rPr>
          <w:b/>
          <w:lang w:val="en-NZ"/>
        </w:rPr>
        <w:t>(</w:t>
      </w:r>
      <w:r w:rsidRPr="0094650F">
        <w:rPr>
          <w:b/>
          <w:lang w:val="en-NZ"/>
        </w:rPr>
        <w:t>A</w:t>
      </w:r>
      <w:r>
        <w:rPr>
          <w:b/>
          <w:lang w:val="en-NZ"/>
        </w:rPr>
        <w:t>) and female (B) rats with NMDA-induced infantile spasms (BYA) compared to counterparts without spasms (BNS)</w:t>
      </w:r>
      <w:r w:rsidRPr="0094650F">
        <w:rPr>
          <w:b/>
          <w:lang w:val="en-NZ"/>
        </w:rPr>
        <w:t>.</w:t>
      </w:r>
      <w:r w:rsidRPr="0094650F">
        <w:rPr>
          <w:lang w:val="en-NZ"/>
        </w:rPr>
        <w:t xml:space="preserve"> </w:t>
      </w:r>
    </w:p>
    <w:p w:rsidR="007A1127" w:rsidRDefault="007A1127" w:rsidP="007A1127">
      <w:pPr>
        <w:jc w:val="both"/>
        <w:rPr>
          <w:rFonts w:ascii="Times New Roman" w:hAnsi="Times New Roman" w:cs="Times New Roman"/>
          <w:b/>
          <w:sz w:val="24"/>
          <w:szCs w:val="24"/>
        </w:rPr>
      </w:pPr>
    </w:p>
    <w:p w:rsidR="007A1127" w:rsidRDefault="007A1127" w:rsidP="007A1127">
      <w:pPr>
        <w:jc w:val="both"/>
        <w:rPr>
          <w:rFonts w:ascii="Times New Roman" w:hAnsi="Times New Roman" w:cs="Times New Roman"/>
          <w:b/>
          <w:sz w:val="24"/>
          <w:szCs w:val="24"/>
        </w:rPr>
      </w:pPr>
    </w:p>
    <w:p w:rsidR="009D64E3" w:rsidRDefault="009D64E3" w:rsidP="007A1127">
      <w:pPr>
        <w:pStyle w:val="ListParagraph"/>
        <w:autoSpaceDE w:val="0"/>
        <w:autoSpaceDN w:val="0"/>
        <w:adjustRightInd w:val="0"/>
        <w:ind w:left="0"/>
        <w:jc w:val="both"/>
        <w:rPr>
          <w:b/>
          <w:lang w:val="en-NZ"/>
        </w:rPr>
      </w:pPr>
      <w:r>
        <w:rPr>
          <w:b/>
          <w:noProof/>
          <w:lang w:val="en-US" w:eastAsia="en-US"/>
        </w:rPr>
        <w:lastRenderedPageBreak/>
        <w:drawing>
          <wp:anchor distT="0" distB="0" distL="114300" distR="114300" simplePos="0" relativeHeight="251667456" behindDoc="0" locked="0" layoutInCell="1" allowOverlap="1" wp14:anchorId="76F44C6F" wp14:editId="15252E32">
            <wp:simplePos x="0" y="0"/>
            <wp:positionH relativeFrom="column">
              <wp:posOffset>0</wp:posOffset>
            </wp:positionH>
            <wp:positionV relativeFrom="paragraph">
              <wp:posOffset>305435</wp:posOffset>
            </wp:positionV>
            <wp:extent cx="6655435" cy="8176260"/>
            <wp:effectExtent l="0" t="0" r="0" b="0"/>
            <wp:wrapSquare wrapText="bothSides"/>
            <wp:docPr id="11" name="Picture 11" descr="I:\Users\arraylab\Desktop\Rev Sci Rep\Supplementary Figure-10 (Iacob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Users\arraylab\Desktop\Rev Sci Rep\Supplementary Figure-10 (Iacobas).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55435" cy="8176260"/>
                    </a:xfrm>
                    <a:prstGeom prst="rect">
                      <a:avLst/>
                    </a:prstGeom>
                    <a:noFill/>
                    <a:ln>
                      <a:noFill/>
                    </a:ln>
                  </pic:spPr>
                </pic:pic>
              </a:graphicData>
            </a:graphic>
            <wp14:sizeRelH relativeFrom="page">
              <wp14:pctWidth>0</wp14:pctWidth>
            </wp14:sizeRelH>
            <wp14:sizeRelV relativeFrom="page">
              <wp14:pctHeight>0</wp14:pctHeight>
            </wp14:sizeRelV>
          </wp:anchor>
        </w:drawing>
      </w:r>
      <w:r w:rsidR="007A1127">
        <w:rPr>
          <w:b/>
          <w:lang w:val="en-NZ"/>
        </w:rPr>
        <w:t xml:space="preserve">Supplementary </w:t>
      </w:r>
      <w:r w:rsidR="007A1127" w:rsidRPr="0094650F">
        <w:rPr>
          <w:b/>
          <w:lang w:val="en-NZ"/>
        </w:rPr>
        <w:t xml:space="preserve">Figure </w:t>
      </w:r>
      <w:r w:rsidR="00EA2A9C">
        <w:rPr>
          <w:b/>
          <w:lang w:val="en-NZ"/>
        </w:rPr>
        <w:t>S</w:t>
      </w:r>
      <w:r w:rsidR="007A1127">
        <w:rPr>
          <w:b/>
          <w:lang w:val="en-NZ"/>
        </w:rPr>
        <w:t>10</w:t>
      </w:r>
      <w:r w:rsidR="007A1127" w:rsidRPr="0094650F">
        <w:rPr>
          <w:b/>
          <w:lang w:val="en-NZ"/>
        </w:rPr>
        <w:t xml:space="preserve"> </w:t>
      </w:r>
    </w:p>
    <w:p w:rsidR="009D64E3" w:rsidRDefault="009D64E3" w:rsidP="007A1127">
      <w:pPr>
        <w:pStyle w:val="ListParagraph"/>
        <w:autoSpaceDE w:val="0"/>
        <w:autoSpaceDN w:val="0"/>
        <w:adjustRightInd w:val="0"/>
        <w:ind w:left="0"/>
        <w:jc w:val="both"/>
        <w:rPr>
          <w:b/>
          <w:lang w:val="en-NZ"/>
        </w:rPr>
      </w:pPr>
    </w:p>
    <w:p w:rsidR="007A1127" w:rsidRPr="0094650F" w:rsidRDefault="007A1127" w:rsidP="007A1127">
      <w:pPr>
        <w:pStyle w:val="ListParagraph"/>
        <w:autoSpaceDE w:val="0"/>
        <w:autoSpaceDN w:val="0"/>
        <w:adjustRightInd w:val="0"/>
        <w:ind w:left="0"/>
        <w:jc w:val="both"/>
        <w:rPr>
          <w:b/>
          <w:lang w:val="en-NZ"/>
        </w:rPr>
      </w:pPr>
      <w:r w:rsidRPr="0094650F">
        <w:rPr>
          <w:b/>
          <w:lang w:val="en-NZ"/>
        </w:rPr>
        <w:t xml:space="preserve">KEGG </w:t>
      </w:r>
      <w:r w:rsidR="00456C65" w:rsidRPr="0094650F">
        <w:rPr>
          <w:b/>
          <w:lang w:val="en-NZ"/>
        </w:rPr>
        <w:t xml:space="preserve"> </w:t>
      </w:r>
      <w:r w:rsidR="00456C65">
        <w:rPr>
          <w:b/>
          <w:lang w:val="en-NZ"/>
        </w:rPr>
        <w:t>(</w:t>
      </w:r>
      <w:r w:rsidR="00456C65" w:rsidRPr="00456C65">
        <w:rPr>
          <w:color w:val="000000"/>
          <w:shd w:val="clear" w:color="auto" w:fill="FFFFFF"/>
        </w:rPr>
        <w:t>www.kegg.jp/kegg/kegg1.html</w:t>
      </w:r>
      <w:r w:rsidR="00456C65">
        <w:rPr>
          <w:b/>
          <w:lang w:val="en-NZ"/>
        </w:rPr>
        <w:t xml:space="preserve">) </w:t>
      </w:r>
      <w:r w:rsidRPr="0094650F">
        <w:rPr>
          <w:b/>
          <w:lang w:val="en-NZ"/>
        </w:rPr>
        <w:t xml:space="preserve">map of regulation of the </w:t>
      </w:r>
      <w:r>
        <w:rPr>
          <w:b/>
          <w:lang w:val="en-NZ"/>
        </w:rPr>
        <w:t>dopaminergic</w:t>
      </w:r>
      <w:r w:rsidRPr="0094650F">
        <w:rPr>
          <w:b/>
          <w:lang w:val="en-NZ"/>
        </w:rPr>
        <w:t xml:space="preserve"> synapse pathway in the arcuate nucleus</w:t>
      </w:r>
      <w:r>
        <w:rPr>
          <w:b/>
          <w:lang w:val="en-NZ"/>
        </w:rPr>
        <w:t xml:space="preserve"> of PMX53-treated betamethasone–primed male</w:t>
      </w:r>
      <w:r w:rsidRPr="0094650F">
        <w:rPr>
          <w:b/>
          <w:lang w:val="en-NZ"/>
        </w:rPr>
        <w:t xml:space="preserve"> </w:t>
      </w:r>
      <w:r>
        <w:rPr>
          <w:b/>
          <w:lang w:val="en-NZ"/>
        </w:rPr>
        <w:t>(</w:t>
      </w:r>
      <w:r w:rsidRPr="0094650F">
        <w:rPr>
          <w:b/>
          <w:lang w:val="en-NZ"/>
        </w:rPr>
        <w:t>A</w:t>
      </w:r>
      <w:r>
        <w:rPr>
          <w:b/>
          <w:lang w:val="en-NZ"/>
        </w:rPr>
        <w:t>) and female (B) rats with NMDA-induced infantile spasms (BYA) compared to counterparts without spasms (BNS)</w:t>
      </w:r>
      <w:r w:rsidRPr="0094650F">
        <w:rPr>
          <w:b/>
          <w:lang w:val="en-NZ"/>
        </w:rPr>
        <w:t>.</w:t>
      </w:r>
      <w:r w:rsidRPr="0094650F">
        <w:rPr>
          <w:lang w:val="en-NZ"/>
        </w:rPr>
        <w:t xml:space="preserve"> </w:t>
      </w:r>
    </w:p>
    <w:p w:rsidR="007A1127" w:rsidRDefault="007A1127" w:rsidP="007A1127">
      <w:pPr>
        <w:pStyle w:val="ListParagraph"/>
        <w:autoSpaceDE w:val="0"/>
        <w:autoSpaceDN w:val="0"/>
        <w:adjustRightInd w:val="0"/>
        <w:spacing w:line="480" w:lineRule="auto"/>
        <w:ind w:left="0"/>
        <w:jc w:val="both"/>
        <w:rPr>
          <w:b/>
          <w:lang w:val="en-NZ"/>
        </w:rPr>
      </w:pPr>
    </w:p>
    <w:p w:rsidR="009D64E3" w:rsidRDefault="009D64E3" w:rsidP="009D64E3">
      <w:pPr>
        <w:jc w:val="both"/>
        <w:rPr>
          <w:rFonts w:ascii="Times New Roman" w:hAnsi="Times New Roman" w:cs="Times New Roman"/>
          <w:b/>
          <w:sz w:val="24"/>
          <w:szCs w:val="24"/>
          <w:lang w:val="en-NZ"/>
        </w:rPr>
      </w:pPr>
      <w:r w:rsidRPr="009D64E3">
        <w:rPr>
          <w:rFonts w:ascii="Times New Roman" w:hAnsi="Times New Roman" w:cs="Times New Roman"/>
          <w:b/>
          <w:noProof/>
          <w:sz w:val="24"/>
          <w:szCs w:val="24"/>
        </w:rPr>
        <w:lastRenderedPageBreak/>
        <w:drawing>
          <wp:anchor distT="0" distB="0" distL="114300" distR="114300" simplePos="0" relativeHeight="251668480" behindDoc="0" locked="0" layoutInCell="1" allowOverlap="1" wp14:anchorId="1F3A8DC9" wp14:editId="245E0F52">
            <wp:simplePos x="0" y="0"/>
            <wp:positionH relativeFrom="column">
              <wp:posOffset>0</wp:posOffset>
            </wp:positionH>
            <wp:positionV relativeFrom="paragraph">
              <wp:posOffset>350520</wp:posOffset>
            </wp:positionV>
            <wp:extent cx="6654165" cy="8590915"/>
            <wp:effectExtent l="0" t="0" r="0" b="635"/>
            <wp:wrapSquare wrapText="bothSides"/>
            <wp:docPr id="12" name="Picture 12" descr="I:\Users\arraylab\Desktop\Rev Sci Rep\Supplementary Figure-11 (Iacob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Users\arraylab\Desktop\Rev Sci Rep\Supplementary Figure-11 (Iacobas).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654165" cy="8590915"/>
                    </a:xfrm>
                    <a:prstGeom prst="rect">
                      <a:avLst/>
                    </a:prstGeom>
                    <a:noFill/>
                    <a:ln>
                      <a:noFill/>
                    </a:ln>
                  </pic:spPr>
                </pic:pic>
              </a:graphicData>
            </a:graphic>
            <wp14:sizeRelH relativeFrom="page">
              <wp14:pctWidth>0</wp14:pctWidth>
            </wp14:sizeRelH>
            <wp14:sizeRelV relativeFrom="page">
              <wp14:pctHeight>0</wp14:pctHeight>
            </wp14:sizeRelV>
          </wp:anchor>
        </w:drawing>
      </w:r>
      <w:r w:rsidR="007A1127" w:rsidRPr="009D64E3">
        <w:rPr>
          <w:rFonts w:ascii="Times New Roman" w:hAnsi="Times New Roman" w:cs="Times New Roman"/>
          <w:b/>
          <w:sz w:val="24"/>
          <w:szCs w:val="24"/>
          <w:lang w:val="en-NZ"/>
        </w:rPr>
        <w:t xml:space="preserve">Supplementary Figure </w:t>
      </w:r>
      <w:r w:rsidR="00EA2A9C">
        <w:rPr>
          <w:rFonts w:ascii="Times New Roman" w:hAnsi="Times New Roman" w:cs="Times New Roman"/>
          <w:b/>
          <w:sz w:val="24"/>
          <w:szCs w:val="24"/>
          <w:lang w:val="en-NZ"/>
        </w:rPr>
        <w:t>S</w:t>
      </w:r>
      <w:r w:rsidR="007A1127" w:rsidRPr="009D64E3">
        <w:rPr>
          <w:rFonts w:ascii="Times New Roman" w:hAnsi="Times New Roman" w:cs="Times New Roman"/>
          <w:b/>
          <w:sz w:val="24"/>
          <w:szCs w:val="24"/>
          <w:lang w:val="en-NZ"/>
        </w:rPr>
        <w:t xml:space="preserve">11 </w:t>
      </w:r>
    </w:p>
    <w:p w:rsidR="007A1127" w:rsidRPr="009D64E3" w:rsidRDefault="007A1127" w:rsidP="009D64E3">
      <w:pPr>
        <w:jc w:val="both"/>
        <w:rPr>
          <w:rFonts w:ascii="Times New Roman" w:hAnsi="Times New Roman" w:cs="Times New Roman"/>
          <w:b/>
          <w:sz w:val="24"/>
          <w:szCs w:val="24"/>
          <w:lang w:val="en-NZ"/>
        </w:rPr>
      </w:pPr>
      <w:r w:rsidRPr="009D64E3">
        <w:rPr>
          <w:rFonts w:ascii="Times New Roman" w:hAnsi="Times New Roman" w:cs="Times New Roman"/>
          <w:b/>
          <w:sz w:val="24"/>
          <w:szCs w:val="24"/>
          <w:lang w:val="en-NZ"/>
        </w:rPr>
        <w:t xml:space="preserve">KEGG </w:t>
      </w:r>
      <w:r w:rsidR="00456C65" w:rsidRPr="0094650F">
        <w:rPr>
          <w:b/>
          <w:lang w:val="en-NZ"/>
        </w:rPr>
        <w:t xml:space="preserve"> </w:t>
      </w:r>
      <w:r w:rsidR="00456C65">
        <w:rPr>
          <w:b/>
          <w:lang w:val="en-NZ"/>
        </w:rPr>
        <w:t>(</w:t>
      </w:r>
      <w:r w:rsidR="00456C65" w:rsidRPr="00456C65">
        <w:rPr>
          <w:rFonts w:ascii="Times New Roman" w:hAnsi="Times New Roman" w:cs="Times New Roman"/>
          <w:color w:val="000000"/>
          <w:sz w:val="24"/>
          <w:szCs w:val="24"/>
          <w:shd w:val="clear" w:color="auto" w:fill="FFFFFF"/>
        </w:rPr>
        <w:t>www.kegg.jp/kegg/kegg1.html</w:t>
      </w:r>
      <w:r w:rsidR="00456C65">
        <w:rPr>
          <w:b/>
          <w:lang w:val="en-NZ"/>
        </w:rPr>
        <w:t xml:space="preserve">) </w:t>
      </w:r>
      <w:r w:rsidRPr="009D64E3">
        <w:rPr>
          <w:rFonts w:ascii="Times New Roman" w:hAnsi="Times New Roman" w:cs="Times New Roman"/>
          <w:b/>
          <w:sz w:val="24"/>
          <w:szCs w:val="24"/>
          <w:lang w:val="en-NZ"/>
        </w:rPr>
        <w:t>map of regulation of the glutaminergic synapse pathway in the arcuate nucleus of PMX53-treated betamethasone–primed male (A) and female (B) rats with NMDA-induced infantile spasms (BYA) compared to counterparts without spasms (BNS).</w:t>
      </w:r>
      <w:r w:rsidRPr="009D64E3">
        <w:rPr>
          <w:rFonts w:ascii="Times New Roman" w:hAnsi="Times New Roman" w:cs="Times New Roman"/>
          <w:sz w:val="24"/>
          <w:szCs w:val="24"/>
          <w:lang w:val="en-NZ"/>
        </w:rPr>
        <w:t xml:space="preserve"> </w:t>
      </w:r>
    </w:p>
    <w:p w:rsidR="009D64E3" w:rsidRDefault="009D64E3" w:rsidP="009D64E3">
      <w:pPr>
        <w:jc w:val="both"/>
        <w:rPr>
          <w:rFonts w:ascii="Times New Roman" w:hAnsi="Times New Roman" w:cs="Times New Roman"/>
          <w:b/>
          <w:sz w:val="24"/>
          <w:szCs w:val="24"/>
          <w:lang w:val="en-NZ"/>
        </w:rPr>
      </w:pPr>
      <w:r w:rsidRPr="009D64E3">
        <w:rPr>
          <w:rFonts w:ascii="Times New Roman" w:hAnsi="Times New Roman" w:cs="Times New Roman"/>
          <w:b/>
          <w:noProof/>
          <w:sz w:val="24"/>
          <w:szCs w:val="24"/>
        </w:rPr>
        <w:lastRenderedPageBreak/>
        <w:drawing>
          <wp:anchor distT="0" distB="0" distL="114300" distR="114300" simplePos="0" relativeHeight="251669504" behindDoc="0" locked="0" layoutInCell="1" allowOverlap="1" wp14:anchorId="363AD528" wp14:editId="0A10213F">
            <wp:simplePos x="0" y="0"/>
            <wp:positionH relativeFrom="column">
              <wp:posOffset>0</wp:posOffset>
            </wp:positionH>
            <wp:positionV relativeFrom="paragraph">
              <wp:posOffset>339725</wp:posOffset>
            </wp:positionV>
            <wp:extent cx="6677025" cy="7931785"/>
            <wp:effectExtent l="0" t="0" r="9525" b="0"/>
            <wp:wrapSquare wrapText="bothSides"/>
            <wp:docPr id="13" name="Picture 13" descr="I:\Users\arraylab\Desktop\Rev Sci Rep\Supplementary Figure-12 (Iacob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Users\arraylab\Desktop\Rev Sci Rep\Supplementary Figure-12 (Iacobas).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677025" cy="7931785"/>
                    </a:xfrm>
                    <a:prstGeom prst="rect">
                      <a:avLst/>
                    </a:prstGeom>
                    <a:noFill/>
                    <a:ln>
                      <a:noFill/>
                    </a:ln>
                  </pic:spPr>
                </pic:pic>
              </a:graphicData>
            </a:graphic>
            <wp14:sizeRelH relativeFrom="page">
              <wp14:pctWidth>0</wp14:pctWidth>
            </wp14:sizeRelH>
            <wp14:sizeRelV relativeFrom="page">
              <wp14:pctHeight>0</wp14:pctHeight>
            </wp14:sizeRelV>
          </wp:anchor>
        </w:drawing>
      </w:r>
      <w:r w:rsidR="007A1127" w:rsidRPr="009D64E3">
        <w:rPr>
          <w:rFonts w:ascii="Times New Roman" w:hAnsi="Times New Roman" w:cs="Times New Roman"/>
          <w:b/>
          <w:sz w:val="24"/>
          <w:szCs w:val="24"/>
          <w:lang w:val="en-NZ"/>
        </w:rPr>
        <w:t xml:space="preserve">Supplementary Figure </w:t>
      </w:r>
      <w:r w:rsidR="00EA2A9C">
        <w:rPr>
          <w:rFonts w:ascii="Times New Roman" w:hAnsi="Times New Roman" w:cs="Times New Roman"/>
          <w:b/>
          <w:sz w:val="24"/>
          <w:szCs w:val="24"/>
          <w:lang w:val="en-NZ"/>
        </w:rPr>
        <w:t>S</w:t>
      </w:r>
      <w:bookmarkStart w:id="0" w:name="_GoBack"/>
      <w:bookmarkEnd w:id="0"/>
      <w:r w:rsidR="007A1127" w:rsidRPr="009D64E3">
        <w:rPr>
          <w:rFonts w:ascii="Times New Roman" w:hAnsi="Times New Roman" w:cs="Times New Roman"/>
          <w:b/>
          <w:sz w:val="24"/>
          <w:szCs w:val="24"/>
          <w:lang w:val="en-NZ"/>
        </w:rPr>
        <w:t>12</w:t>
      </w:r>
    </w:p>
    <w:p w:rsidR="009D64E3" w:rsidRDefault="009D64E3" w:rsidP="009D64E3">
      <w:pPr>
        <w:jc w:val="both"/>
        <w:rPr>
          <w:rFonts w:ascii="Times New Roman" w:hAnsi="Times New Roman" w:cs="Times New Roman"/>
          <w:b/>
          <w:sz w:val="24"/>
          <w:szCs w:val="24"/>
          <w:lang w:val="en-NZ"/>
        </w:rPr>
      </w:pPr>
    </w:p>
    <w:p w:rsidR="007A1127" w:rsidRPr="009D64E3" w:rsidRDefault="007A1127" w:rsidP="009D64E3">
      <w:pPr>
        <w:jc w:val="both"/>
        <w:rPr>
          <w:rFonts w:ascii="Times New Roman" w:hAnsi="Times New Roman" w:cs="Times New Roman"/>
          <w:b/>
          <w:sz w:val="24"/>
          <w:szCs w:val="24"/>
          <w:lang w:val="en-NZ"/>
        </w:rPr>
      </w:pPr>
      <w:r w:rsidRPr="009D64E3">
        <w:rPr>
          <w:rFonts w:ascii="Times New Roman" w:hAnsi="Times New Roman" w:cs="Times New Roman"/>
          <w:b/>
          <w:sz w:val="24"/>
          <w:szCs w:val="24"/>
          <w:lang w:val="en-NZ"/>
        </w:rPr>
        <w:t xml:space="preserve"> KEGG </w:t>
      </w:r>
      <w:r w:rsidR="00456C65" w:rsidRPr="0094650F">
        <w:rPr>
          <w:b/>
          <w:lang w:val="en-NZ"/>
        </w:rPr>
        <w:t xml:space="preserve"> </w:t>
      </w:r>
      <w:r w:rsidR="00456C65">
        <w:rPr>
          <w:b/>
          <w:lang w:val="en-NZ"/>
        </w:rPr>
        <w:t>(</w:t>
      </w:r>
      <w:r w:rsidR="00456C65" w:rsidRPr="00456C65">
        <w:rPr>
          <w:rFonts w:ascii="Times New Roman" w:hAnsi="Times New Roman" w:cs="Times New Roman"/>
          <w:color w:val="000000"/>
          <w:sz w:val="24"/>
          <w:szCs w:val="24"/>
          <w:shd w:val="clear" w:color="auto" w:fill="FFFFFF"/>
        </w:rPr>
        <w:t>www.kegg.jp/kegg/kegg1.html</w:t>
      </w:r>
      <w:r w:rsidR="00456C65">
        <w:rPr>
          <w:b/>
          <w:lang w:val="en-NZ"/>
        </w:rPr>
        <w:t xml:space="preserve">) </w:t>
      </w:r>
      <w:r w:rsidRPr="009D64E3">
        <w:rPr>
          <w:rFonts w:ascii="Times New Roman" w:hAnsi="Times New Roman" w:cs="Times New Roman"/>
          <w:b/>
          <w:sz w:val="24"/>
          <w:szCs w:val="24"/>
          <w:lang w:val="en-NZ"/>
        </w:rPr>
        <w:t>map of regulation of the serotonergic synapse pathway in the arcuate nucleus of PMX53-treated betamethasone–primed male (A) and female (B) rats with NMDA-induced infantile spasms (BYA) compared to counterparts without spasms (BNS).</w:t>
      </w:r>
      <w:r w:rsidRPr="009D64E3">
        <w:rPr>
          <w:rFonts w:ascii="Times New Roman" w:hAnsi="Times New Roman" w:cs="Times New Roman"/>
          <w:sz w:val="24"/>
          <w:szCs w:val="24"/>
          <w:lang w:val="en-NZ"/>
        </w:rPr>
        <w:t xml:space="preserve"> </w:t>
      </w:r>
    </w:p>
    <w:p w:rsidR="007A1127" w:rsidRPr="007A1127" w:rsidRDefault="007A1127" w:rsidP="007A1127">
      <w:pPr>
        <w:jc w:val="both"/>
        <w:rPr>
          <w:rFonts w:ascii="Times New Roman" w:hAnsi="Times New Roman" w:cs="Times New Roman"/>
          <w:b/>
          <w:sz w:val="24"/>
          <w:szCs w:val="24"/>
        </w:rPr>
      </w:pPr>
    </w:p>
    <w:sectPr w:rsidR="007A1127" w:rsidRPr="007A1127" w:rsidSect="00091C1A">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7EC"/>
    <w:rsid w:val="000456E9"/>
    <w:rsid w:val="00091C1A"/>
    <w:rsid w:val="00456C65"/>
    <w:rsid w:val="006B51C1"/>
    <w:rsid w:val="007A1127"/>
    <w:rsid w:val="007F1FEA"/>
    <w:rsid w:val="009D64E3"/>
    <w:rsid w:val="009E647D"/>
    <w:rsid w:val="00BF38FC"/>
    <w:rsid w:val="00D444F8"/>
    <w:rsid w:val="00EA2A9C"/>
    <w:rsid w:val="00F567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67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67EC"/>
    <w:rPr>
      <w:rFonts w:ascii="Tahoma" w:hAnsi="Tahoma" w:cs="Tahoma"/>
      <w:sz w:val="16"/>
      <w:szCs w:val="16"/>
      <w:lang w:val="en-US"/>
    </w:rPr>
  </w:style>
  <w:style w:type="paragraph" w:styleId="ListParagraph">
    <w:name w:val="List Paragraph"/>
    <w:basedOn w:val="Normal"/>
    <w:uiPriority w:val="34"/>
    <w:qFormat/>
    <w:rsid w:val="00F567EC"/>
    <w:pPr>
      <w:spacing w:after="0" w:line="240" w:lineRule="auto"/>
      <w:ind w:left="720"/>
      <w:contextualSpacing/>
    </w:pPr>
    <w:rPr>
      <w:rFonts w:ascii="Times New Roman" w:eastAsia="Times New Roman" w:hAnsi="Times New Roman" w:cs="Times New Roman"/>
      <w:sz w:val="24"/>
      <w:szCs w:val="24"/>
      <w:lang w:val="it-IT" w:eastAsia="it-IT"/>
    </w:rPr>
  </w:style>
  <w:style w:type="paragraph" w:customStyle="1" w:styleId="LightGrid-Accent31">
    <w:name w:val="Light Grid - Accent 31"/>
    <w:basedOn w:val="Normal"/>
    <w:uiPriority w:val="34"/>
    <w:qFormat/>
    <w:rsid w:val="009E647D"/>
    <w:pPr>
      <w:spacing w:after="0" w:line="240" w:lineRule="auto"/>
      <w:ind w:left="720"/>
      <w:contextualSpacing/>
    </w:pPr>
    <w:rPr>
      <w:rFonts w:ascii="Times New Roman" w:eastAsia="Times New Roman" w:hAnsi="Times New Roman" w:cs="Times New Roman"/>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67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67EC"/>
    <w:rPr>
      <w:rFonts w:ascii="Tahoma" w:hAnsi="Tahoma" w:cs="Tahoma"/>
      <w:sz w:val="16"/>
      <w:szCs w:val="16"/>
      <w:lang w:val="en-US"/>
    </w:rPr>
  </w:style>
  <w:style w:type="paragraph" w:styleId="ListParagraph">
    <w:name w:val="List Paragraph"/>
    <w:basedOn w:val="Normal"/>
    <w:uiPriority w:val="34"/>
    <w:qFormat/>
    <w:rsid w:val="00F567EC"/>
    <w:pPr>
      <w:spacing w:after="0" w:line="240" w:lineRule="auto"/>
      <w:ind w:left="720"/>
      <w:contextualSpacing/>
    </w:pPr>
    <w:rPr>
      <w:rFonts w:ascii="Times New Roman" w:eastAsia="Times New Roman" w:hAnsi="Times New Roman" w:cs="Times New Roman"/>
      <w:sz w:val="24"/>
      <w:szCs w:val="24"/>
      <w:lang w:val="it-IT" w:eastAsia="it-IT"/>
    </w:rPr>
  </w:style>
  <w:style w:type="paragraph" w:customStyle="1" w:styleId="LightGrid-Accent31">
    <w:name w:val="Light Grid - Accent 31"/>
    <w:basedOn w:val="Normal"/>
    <w:uiPriority w:val="34"/>
    <w:qFormat/>
    <w:rsid w:val="009E647D"/>
    <w:pPr>
      <w:spacing w:after="0" w:line="240" w:lineRule="auto"/>
      <w:ind w:left="720"/>
      <w:contextualSpacing/>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emf"/><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image" Target="media/image7.jpeg"/><Relationship Id="rId5" Type="http://schemas.openxmlformats.org/officeDocument/2006/relationships/image" Target="media/image1.emf"/><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908</Words>
  <Characters>5181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arraylab</dc:creator>
  <cp:lastModifiedBy>arraylab</cp:lastModifiedBy>
  <cp:revision>8</cp:revision>
  <cp:lastPrinted>2018-02-15T14:41:00Z</cp:lastPrinted>
  <dcterms:created xsi:type="dcterms:W3CDTF">2018-02-12T19:38:00Z</dcterms:created>
  <dcterms:modified xsi:type="dcterms:W3CDTF">2018-03-15T14:29:00Z</dcterms:modified>
</cp:coreProperties>
</file>