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Safety of Low-calcium Dialysate and its Effects on Coronary Artery Calcification in Patients Undergoing Maintenance Hemodialysis</w:t>
      </w:r>
    </w:p>
    <w:p>
      <w:pPr>
        <w:spacing w:line="360" w:lineRule="auto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b/>
          <w:bCs/>
          <w:sz w:val="24"/>
        </w:rPr>
        <w:t>Yang Wen</w:t>
      </w:r>
      <w:r>
        <w:rPr>
          <w:rFonts w:hint="eastAsia" w:ascii="Times New Roman" w:hAnsi="Times New Roman"/>
          <w:b/>
          <w:bCs/>
          <w:sz w:val="24"/>
          <w:vertAlign w:val="superscript"/>
        </w:rPr>
        <w:t>1</w:t>
      </w:r>
      <w:r>
        <w:rPr>
          <w:rFonts w:hint="eastAsia" w:ascii="Times New Roman" w:hAnsi="Times New Roman"/>
          <w:b/>
          <w:bCs/>
          <w:sz w:val="24"/>
        </w:rPr>
        <w:t>, Hua Gan</w:t>
      </w:r>
      <w:r>
        <w:rPr>
          <w:rFonts w:ascii="Times New Roman" w:hAnsi="Times New Roman"/>
          <w:b/>
          <w:bCs/>
          <w:sz w:val="24"/>
          <w:vertAlign w:val="superscript"/>
        </w:rPr>
        <w:t>1</w:t>
      </w:r>
      <w:r>
        <w:rPr>
          <w:rFonts w:hint="eastAsia" w:ascii="Times New Roman" w:hAnsi="Times New Roman"/>
          <w:b/>
          <w:bCs/>
          <w:sz w:val="24"/>
        </w:rPr>
        <w:t>, Zhengrong Li</w:t>
      </w:r>
      <w:r>
        <w:rPr>
          <w:rFonts w:ascii="Times New Roman" w:hAnsi="Times New Roman"/>
          <w:b/>
          <w:bCs/>
          <w:sz w:val="24"/>
          <w:vertAlign w:val="superscript"/>
        </w:rPr>
        <w:t>1</w:t>
      </w:r>
      <w:r>
        <w:rPr>
          <w:rFonts w:hint="eastAsia" w:ascii="Times New Roman" w:hAnsi="Times New Roman"/>
          <w:b/>
          <w:bCs/>
          <w:sz w:val="24"/>
        </w:rPr>
        <w:t>, Ximin Sun</w:t>
      </w:r>
      <w:r>
        <w:rPr>
          <w:rFonts w:ascii="Times New Roman" w:hAnsi="Times New Roman"/>
          <w:b/>
          <w:bCs/>
          <w:sz w:val="24"/>
          <w:vertAlign w:val="superscript"/>
        </w:rPr>
        <w:t>2</w:t>
      </w:r>
      <w:r>
        <w:rPr>
          <w:rFonts w:hint="eastAsia" w:ascii="Times New Roman" w:hAnsi="Times New Roman"/>
          <w:b/>
          <w:bCs/>
          <w:sz w:val="24"/>
        </w:rPr>
        <w:t>, Ying Xiong</w:t>
      </w:r>
      <w:r>
        <w:rPr>
          <w:rFonts w:ascii="Times New Roman" w:hAnsi="Times New Roman"/>
          <w:b/>
          <w:bCs/>
          <w:sz w:val="24"/>
          <w:vertAlign w:val="superscript"/>
        </w:rPr>
        <w:t>1</w:t>
      </w:r>
      <w:r>
        <w:rPr>
          <w:rFonts w:hint="eastAsia" w:ascii="Times New Roman" w:hAnsi="Times New Roman"/>
          <w:b/>
          <w:bCs/>
          <w:sz w:val="24"/>
        </w:rPr>
        <w:t>, and Yunfeng Xia</w:t>
      </w:r>
      <w:r>
        <w:rPr>
          <w:rFonts w:ascii="Times New Roman" w:hAnsi="Times New Roman"/>
          <w:bCs/>
          <w:sz w:val="24"/>
          <w:vertAlign w:val="superscript"/>
        </w:rPr>
        <w:t>1</w:t>
      </w:r>
      <w:r>
        <w:rPr>
          <w:rFonts w:hint="eastAsia" w:ascii="Times New Roman" w:hAnsi="Times New Roman"/>
          <w:b/>
          <w:bCs/>
          <w:sz w:val="24"/>
          <w:vertAlign w:val="superscript"/>
        </w:rPr>
        <w:t>*</w:t>
      </w:r>
    </w:p>
    <w:p>
      <w:pPr>
        <w:pStyle w:val="6"/>
        <w:ind w:firstLine="0" w:firstLineChars="0"/>
        <w:rPr>
          <w:rFonts w:hint="eastAsia"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sz w:val="21"/>
          <w:szCs w:val="21"/>
          <w:vertAlign w:val="superscript"/>
        </w:rPr>
        <w:t>1</w:t>
      </w:r>
      <w:r>
        <w:rPr>
          <w:rFonts w:ascii="Times New Roman" w:hAnsi="Times New Roman"/>
          <w:sz w:val="21"/>
          <w:szCs w:val="21"/>
          <w:vertAlign w:val="superscript"/>
        </w:rPr>
        <w:t xml:space="preserve"> </w:t>
      </w:r>
      <w:r>
        <w:rPr>
          <w:rFonts w:hint="eastAsia" w:ascii="Times New Roman" w:hAnsi="Times New Roman"/>
          <w:sz w:val="21"/>
          <w:szCs w:val="21"/>
        </w:rPr>
        <w:t xml:space="preserve">The first affiliated hospital of Chongqing Medical University, </w:t>
      </w:r>
      <w:r>
        <w:rPr>
          <w:rFonts w:ascii="Times New Roman" w:hAnsi="Times New Roman"/>
          <w:sz w:val="21"/>
          <w:szCs w:val="21"/>
        </w:rPr>
        <w:t>D</w:t>
      </w:r>
      <w:r>
        <w:rPr>
          <w:rFonts w:hint="eastAsia" w:ascii="Times New Roman" w:hAnsi="Times New Roman"/>
          <w:sz w:val="21"/>
          <w:szCs w:val="21"/>
        </w:rPr>
        <w:t xml:space="preserve">epartment </w:t>
      </w:r>
      <w:r>
        <w:rPr>
          <w:rFonts w:ascii="Times New Roman" w:hAnsi="Times New Roman"/>
          <w:sz w:val="21"/>
          <w:szCs w:val="21"/>
        </w:rPr>
        <w:t xml:space="preserve">of </w:t>
      </w:r>
      <w:r>
        <w:rPr>
          <w:rFonts w:hint="eastAsia" w:ascii="Times New Roman" w:hAnsi="Times New Roman"/>
          <w:sz w:val="21"/>
          <w:szCs w:val="21"/>
        </w:rPr>
        <w:t>Nephrology, Chongqing, 400016, China.</w:t>
      </w:r>
    </w:p>
    <w:p>
      <w:pPr>
        <w:pStyle w:val="6"/>
        <w:ind w:firstLine="0" w:firstLineChars="0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vertAlign w:val="superscript"/>
        </w:rPr>
        <w:t xml:space="preserve">2 </w:t>
      </w:r>
      <w:r>
        <w:rPr>
          <w:rFonts w:hint="eastAsia" w:ascii="Times New Roman" w:hAnsi="Times New Roman"/>
          <w:sz w:val="21"/>
          <w:szCs w:val="21"/>
        </w:rPr>
        <w:t xml:space="preserve">The first affiliated hospital of the Army Medical University, </w:t>
      </w:r>
      <w:r>
        <w:rPr>
          <w:rFonts w:ascii="Times New Roman" w:hAnsi="Times New Roman"/>
          <w:sz w:val="21"/>
          <w:szCs w:val="21"/>
        </w:rPr>
        <w:t>D</w:t>
      </w:r>
      <w:r>
        <w:rPr>
          <w:rFonts w:hint="eastAsia" w:ascii="Times New Roman" w:hAnsi="Times New Roman"/>
          <w:sz w:val="21"/>
          <w:szCs w:val="21"/>
        </w:rPr>
        <w:t xml:space="preserve">epartment </w:t>
      </w:r>
      <w:r>
        <w:rPr>
          <w:rFonts w:ascii="Times New Roman" w:hAnsi="Times New Roman"/>
          <w:sz w:val="21"/>
          <w:szCs w:val="21"/>
        </w:rPr>
        <w:t>of</w:t>
      </w:r>
      <w:r>
        <w:rPr>
          <w:rFonts w:hint="eastAsia" w:ascii="Times New Roman" w:hAnsi="Times New Roman"/>
          <w:sz w:val="21"/>
          <w:szCs w:val="21"/>
        </w:rPr>
        <w:t xml:space="preserve"> Hepatology, Chongqing, 400038, China.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  <w:vertAlign w:val="superscript"/>
        </w:rPr>
        <w:t>*</w:t>
      </w:r>
      <w:r>
        <w:rPr>
          <w:rFonts w:hint="eastAsia" w:ascii="Times New Roman" w:hAnsi="Times New Roman"/>
          <w:szCs w:val="21"/>
        </w:rPr>
        <w:t xml:space="preserve">corresponding author, </w:t>
      </w:r>
      <w:r>
        <w:rPr>
          <w:rFonts w:ascii="Times New Roman" w:hAnsi="Times New Roman"/>
          <w:kern w:val="0"/>
          <w:szCs w:val="21"/>
        </w:rPr>
        <w:t>Correspondence and requests for materials should be addressed to Yunfeng Xia. (</w:t>
      </w:r>
      <w:r>
        <w:rPr>
          <w:rFonts w:hint="eastAsia" w:ascii="Times New Roman" w:hAnsi="Times New Roman"/>
          <w:szCs w:val="21"/>
        </w:rPr>
        <w:fldChar w:fldCharType="begin"/>
      </w:r>
      <w:r>
        <w:rPr>
          <w:rFonts w:hint="eastAsia" w:ascii="Times New Roman" w:hAnsi="Times New Roman"/>
          <w:szCs w:val="21"/>
        </w:rPr>
        <w:instrText xml:space="preserve"> HYPERLINK "mailto:yunfengxia0920@126.com" </w:instrText>
      </w:r>
      <w:r>
        <w:rPr>
          <w:rFonts w:hint="eastAsia" w:ascii="Times New Roman" w:hAnsi="Times New Roman"/>
          <w:szCs w:val="21"/>
        </w:rPr>
        <w:fldChar w:fldCharType="separate"/>
      </w:r>
      <w:r>
        <w:rPr>
          <w:rStyle w:val="4"/>
          <w:rFonts w:hint="eastAsia" w:ascii="Times New Roman" w:hAnsi="Times New Roman"/>
          <w:szCs w:val="21"/>
        </w:rPr>
        <w:t>yunfengxia0920</w:t>
      </w:r>
      <w:r>
        <w:rPr>
          <w:rStyle w:val="4"/>
          <w:rFonts w:ascii="Times New Roman" w:hAnsi="Times New Roman"/>
          <w:szCs w:val="21"/>
        </w:rPr>
        <w:t>@126.com</w:t>
      </w:r>
      <w:r>
        <w:rPr>
          <w:rFonts w:hint="eastAsia" w:ascii="Times New Roman" w:hAnsi="Times New Roman"/>
          <w:szCs w:val="21"/>
        </w:rPr>
        <w:fldChar w:fldCharType="end"/>
      </w:r>
      <w:r>
        <w:rPr>
          <w:rFonts w:ascii="Times New Roman" w:hAnsi="Times New Roman"/>
          <w:szCs w:val="21"/>
        </w:rPr>
        <w:t>)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szCs w:val="21"/>
        </w:rPr>
      </w:pPr>
    </w:p>
    <w:p>
      <w:pPr>
        <w:autoSpaceDE w:val="0"/>
        <w:autoSpaceDN w:val="0"/>
        <w:adjustRightInd w:val="0"/>
        <w:jc w:val="left"/>
        <w:rPr>
          <w:rFonts w:hint="eastAsia" w:ascii="Times New Roman" w:hAnsi="Times New Roman"/>
          <w:sz w:val="24"/>
          <w:szCs w:val="22"/>
        </w:rPr>
      </w:pPr>
    </w:p>
    <w:p>
      <w:pPr>
        <w:autoSpaceDE w:val="0"/>
        <w:autoSpaceDN w:val="0"/>
        <w:adjustRightInd w:val="0"/>
        <w:jc w:val="left"/>
        <w:rPr>
          <w:rFonts w:hint="eastAsia" w:ascii="Times New Roman" w:hAnsi="Times New Roman"/>
          <w:sz w:val="24"/>
          <w:szCs w:val="22"/>
        </w:rPr>
      </w:pPr>
    </w:p>
    <w:p>
      <w:pPr>
        <w:autoSpaceDE w:val="0"/>
        <w:autoSpaceDN w:val="0"/>
        <w:adjustRightInd w:val="0"/>
        <w:jc w:val="left"/>
        <w:rPr>
          <w:rFonts w:hint="eastAsia" w:ascii="Times New Roman" w:hAnsi="Times New Roman"/>
          <w:sz w:val="24"/>
          <w:szCs w:val="22"/>
        </w:rPr>
      </w:pPr>
    </w:p>
    <w:tbl>
      <w:tblPr>
        <w:tblStyle w:val="5"/>
        <w:tblW w:w="8738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2287"/>
        <w:gridCol w:w="2296"/>
        <w:gridCol w:w="1894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2261" w:type="dxa"/>
            <w:tcBorders>
              <w:bottom w:val="single" w:color="auto" w:sz="4" w:space="0"/>
            </w:tcBorders>
            <w:vAlign w:val="top"/>
          </w:tcPr>
          <w:p>
            <w:pPr>
              <w:pStyle w:val="2"/>
              <w:suppressAutoHyphens/>
              <w:spacing w:line="360" w:lineRule="auto"/>
              <w:ind w:firstLine="180" w:firstLineChars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3"/>
                <w:sz w:val="18"/>
                <w:szCs w:val="18"/>
              </w:rPr>
              <w:t>Variables</w:t>
            </w:r>
          </w:p>
        </w:tc>
        <w:tc>
          <w:tcPr>
            <w:tcW w:w="2287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uppressAutoHyphens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3"/>
                <w:sz w:val="18"/>
                <w:szCs w:val="18"/>
                <w:lang w:bidi="ar"/>
              </w:rPr>
              <w:t xml:space="preserve"> LCD（</w:t>
            </w:r>
            <w:r>
              <w:rPr>
                <w:rFonts w:hint="default" w:ascii="Times New Roman" w:hAnsi="Times New Roman" w:cs="Times New Roman"/>
                <w:kern w:val="3"/>
                <w:sz w:val="18"/>
                <w:szCs w:val="18"/>
                <w:lang w:bidi="ar"/>
              </w:rPr>
              <w:object>
                <v:shape id="_x0000_i1025" o:spt="75" type="#_x0000_t75" style="height:15.35pt;width:10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o:OLEObject Type="Embed" ProgID="Equation.3" ShapeID="_x0000_i1025" DrawAspect="Content" ObjectID="_1468075725" r:id="rId4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kern w:val="3"/>
                <w:sz w:val="18"/>
                <w:szCs w:val="18"/>
                <w:lang w:bidi="ar"/>
              </w:rPr>
              <w:t>±s，n=80）</w:t>
            </w:r>
          </w:p>
        </w:tc>
        <w:tc>
          <w:tcPr>
            <w:tcW w:w="2296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suppressAutoHyphens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kern w:val="3"/>
                <w:sz w:val="18"/>
                <w:szCs w:val="18"/>
                <w:lang w:bidi="ar"/>
              </w:rPr>
              <w:t xml:space="preserve"> HCD（</w:t>
            </w:r>
            <w:r>
              <w:rPr>
                <w:rFonts w:hint="default" w:ascii="Times New Roman" w:hAnsi="Times New Roman" w:cs="Times New Roman"/>
                <w:kern w:val="3"/>
                <w:sz w:val="18"/>
                <w:szCs w:val="18"/>
                <w:lang w:bidi="ar"/>
              </w:rPr>
              <w:object>
                <v:shape id="_x0000_i1026" o:spt="75" type="#_x0000_t75" style="height:15.35pt;width:10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o:OLEObject Type="Embed" ProgID="Equation.3" ShapeID="_x0000_i1026" DrawAspect="Content" ObjectID="_1468075726" r:id="rId6">
                  <o:LockedField>false</o:LockedField>
                </o:OLEObject>
              </w:object>
            </w:r>
            <w:r>
              <w:rPr>
                <w:rFonts w:hint="default" w:ascii="Times New Roman" w:hAnsi="Times New Roman" w:cs="Times New Roman"/>
                <w:kern w:val="3"/>
                <w:sz w:val="18"/>
                <w:szCs w:val="18"/>
                <w:lang w:bidi="ar"/>
              </w:rPr>
              <w:t>±s，n=84）</w:t>
            </w:r>
          </w:p>
        </w:tc>
        <w:tc>
          <w:tcPr>
            <w:tcW w:w="1894" w:type="dxa"/>
            <w:tcBorders>
              <w:bottom w:val="single" w:color="auto" w:sz="4" w:space="0"/>
            </w:tcBorders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/>
                <w:color w:val="000000"/>
                <w:kern w:val="3"/>
                <w:sz w:val="18"/>
                <w:szCs w:val="18"/>
              </w:rPr>
              <w:t xml:space="preserve">P 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value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tcBorders>
              <w:bottom w:val="nil"/>
            </w:tcBorders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mean SBP(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mmHg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287" w:type="dxa"/>
            <w:tcBorders>
              <w:bottom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123.51 ± 14.66</w:t>
            </w:r>
          </w:p>
        </w:tc>
        <w:tc>
          <w:tcPr>
            <w:tcW w:w="2296" w:type="dxa"/>
            <w:tcBorders>
              <w:bottom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 ± 10.46</w:t>
            </w:r>
          </w:p>
        </w:tc>
        <w:tc>
          <w:tcPr>
            <w:tcW w:w="1894" w:type="dxa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.155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261" w:type="dxa"/>
            <w:tcBorders>
              <w:top w:val="nil"/>
              <w:bottom w:val="nil"/>
            </w:tcBorders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menn DBP(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mmHg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287" w:type="dxa"/>
            <w:tcBorders>
              <w:top w:val="nil"/>
              <w:bottom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76.99 ± 8.52</w:t>
            </w:r>
          </w:p>
        </w:tc>
        <w:tc>
          <w:tcPr>
            <w:tcW w:w="2296" w:type="dxa"/>
            <w:tcBorders>
              <w:top w:val="nil"/>
              <w:bottom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77.04 ± 5.38</w:t>
            </w:r>
          </w:p>
        </w:tc>
        <w:tc>
          <w:tcPr>
            <w:tcW w:w="1894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.962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tcBorders>
              <w:top w:val="nil"/>
              <w:bottom w:val="nil"/>
            </w:tcBorders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Ca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mmol/L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287" w:type="dxa"/>
            <w:tcBorders>
              <w:top w:val="nil"/>
              <w:bottom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1.93 ± 0.15</w:t>
            </w:r>
          </w:p>
        </w:tc>
        <w:tc>
          <w:tcPr>
            <w:tcW w:w="2296" w:type="dxa"/>
            <w:tcBorders>
              <w:top w:val="nil"/>
              <w:bottom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2.25 ± 0.14</w:t>
            </w:r>
          </w:p>
        </w:tc>
        <w:tc>
          <w:tcPr>
            <w:tcW w:w="1894" w:type="dxa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61" w:type="dxa"/>
            <w:tcBorders>
              <w:top w:val="nil"/>
            </w:tcBorders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P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mmol/L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287" w:type="dxa"/>
            <w:tcBorders>
              <w:top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1.86 ± 0.45</w:t>
            </w:r>
          </w:p>
        </w:tc>
        <w:tc>
          <w:tcPr>
            <w:tcW w:w="2296" w:type="dxa"/>
            <w:tcBorders>
              <w:top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1.85 ± 0.47</w:t>
            </w:r>
          </w:p>
        </w:tc>
        <w:tc>
          <w:tcPr>
            <w:tcW w:w="1894" w:type="dxa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.727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iPTH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pg/dl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28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470.61 ± 181.89</w:t>
            </w:r>
          </w:p>
        </w:tc>
        <w:tc>
          <w:tcPr>
            <w:tcW w:w="229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420.89 ± 378.83</w:t>
            </w:r>
          </w:p>
        </w:tc>
        <w:tc>
          <w:tcPr>
            <w:tcW w:w="1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Hb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g/L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28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111.72 ± 12.7</w:t>
            </w:r>
          </w:p>
        </w:tc>
        <w:tc>
          <w:tcPr>
            <w:tcW w:w="229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109.74 ± 11.66</w:t>
            </w:r>
          </w:p>
        </w:tc>
        <w:tc>
          <w:tcPr>
            <w:tcW w:w="1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.110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61" w:type="dxa"/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Alb (g/L)</w:t>
            </w:r>
          </w:p>
        </w:tc>
        <w:tc>
          <w:tcPr>
            <w:tcW w:w="228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40.07 ± 4</w:t>
            </w:r>
          </w:p>
        </w:tc>
        <w:tc>
          <w:tcPr>
            <w:tcW w:w="229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39.87 ± 3.85</w:t>
            </w:r>
          </w:p>
        </w:tc>
        <w:tc>
          <w:tcPr>
            <w:tcW w:w="1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.738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TC (mmol/L)</w:t>
            </w:r>
          </w:p>
        </w:tc>
        <w:tc>
          <w:tcPr>
            <w:tcW w:w="228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3.63 ± 1.40</w:t>
            </w:r>
          </w:p>
        </w:tc>
        <w:tc>
          <w:tcPr>
            <w:tcW w:w="229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3.36 ± 1.22</w:t>
            </w:r>
          </w:p>
        </w:tc>
        <w:tc>
          <w:tcPr>
            <w:tcW w:w="1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.069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TG (mmol/L)</w:t>
            </w:r>
          </w:p>
        </w:tc>
        <w:tc>
          <w:tcPr>
            <w:tcW w:w="228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1.81 ± 0.15</w:t>
            </w:r>
          </w:p>
        </w:tc>
        <w:tc>
          <w:tcPr>
            <w:tcW w:w="229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1.75 ± 0.26</w:t>
            </w:r>
          </w:p>
        </w:tc>
        <w:tc>
          <w:tcPr>
            <w:tcW w:w="1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.074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261" w:type="dxa"/>
            <w:vAlign w:val="top"/>
          </w:tcPr>
          <w:p>
            <w:pPr>
              <w:pStyle w:val="2"/>
              <w:tabs>
                <w:tab w:val="center" w:pos="972"/>
              </w:tabs>
              <w:suppressAutoHyphens/>
              <w:spacing w:line="36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HDL-C (mmol/L)</w:t>
            </w:r>
          </w:p>
        </w:tc>
        <w:tc>
          <w:tcPr>
            <w:tcW w:w="228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1.22 ± 0.45</w:t>
            </w:r>
          </w:p>
        </w:tc>
        <w:tc>
          <w:tcPr>
            <w:tcW w:w="229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1.25 ± 0.42</w:t>
            </w:r>
          </w:p>
        </w:tc>
        <w:tc>
          <w:tcPr>
            <w:tcW w:w="1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.554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261" w:type="dxa"/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LDL-C (mmol/L)</w:t>
            </w:r>
          </w:p>
        </w:tc>
        <w:tc>
          <w:tcPr>
            <w:tcW w:w="228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1.98 ± 0.1</w:t>
            </w:r>
          </w:p>
        </w:tc>
        <w:tc>
          <w:tcPr>
            <w:tcW w:w="229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1.97 ± 0.16</w:t>
            </w:r>
          </w:p>
        </w:tc>
        <w:tc>
          <w:tcPr>
            <w:tcW w:w="1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MingLiU" w:cs="Times New Roman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.895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Elemental Ca(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g/d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287" w:type="dxa"/>
            <w:vAlign w:val="bottom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0.72 ± 0.43</w:t>
            </w:r>
          </w:p>
        </w:tc>
        <w:tc>
          <w:tcPr>
            <w:tcW w:w="2296" w:type="dxa"/>
            <w:vAlign w:val="bottom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0.71 ± 0.39</w:t>
            </w:r>
          </w:p>
        </w:tc>
        <w:tc>
          <w:tcPr>
            <w:tcW w:w="1894" w:type="dxa"/>
            <w:vAlign w:val="center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.868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vAlign w:val="top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Vit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amin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D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  <w:t>μg/wk</w:t>
            </w: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2287" w:type="dxa"/>
            <w:vAlign w:val="bottom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0.61 ± 0.1</w:t>
            </w:r>
          </w:p>
        </w:tc>
        <w:tc>
          <w:tcPr>
            <w:tcW w:w="2296" w:type="dxa"/>
            <w:vAlign w:val="bottom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0.38 ± 0.23</w:t>
            </w:r>
          </w:p>
        </w:tc>
        <w:tc>
          <w:tcPr>
            <w:tcW w:w="1894" w:type="dxa"/>
            <w:vAlign w:val="center"/>
          </w:tcPr>
          <w:p>
            <w:pPr>
              <w:pStyle w:val="2"/>
              <w:suppressAutoHyphens/>
              <w:spacing w:line="360" w:lineRule="auto"/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3"/>
                <w:sz w:val="18"/>
                <w:szCs w:val="18"/>
                <w:lang w:val="en-US" w:eastAsia="zh-CN"/>
              </w:rPr>
              <w:t>&lt;0.001</w:t>
            </w:r>
          </w:p>
        </w:tc>
      </w:tr>
    </w:tbl>
    <w:p>
      <w:pPr>
        <w:pStyle w:val="2"/>
        <w:suppressAutoHyphens/>
        <w:spacing w:line="120" w:lineRule="auto"/>
        <w:rPr>
          <w:rFonts w:hint="eastAsia" w:ascii="Times New Roman" w:hAnsi="Times New Roman"/>
          <w:color w:val="000000"/>
          <w:kern w:val="3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color w:val="000000"/>
          <w:kern w:val="3"/>
          <w:sz w:val="24"/>
          <w:szCs w:val="24"/>
          <w:lang w:val="en-US" w:eastAsia="zh-CN"/>
        </w:rPr>
        <w:t xml:space="preserve">Supplementary Table S1. Time-averaged data during the 12-month study. Note: SBP, </w:t>
      </w:r>
      <w:bookmarkStart w:id="0" w:name="_GoBack"/>
      <w:bookmarkEnd w:id="0"/>
      <w:r>
        <w:rPr>
          <w:rFonts w:hint="eastAsia" w:ascii="Times New Roman" w:hAnsi="Times New Roman"/>
          <w:color w:val="000000"/>
          <w:kern w:val="3"/>
          <w:sz w:val="24"/>
          <w:szCs w:val="24"/>
          <w:lang w:val="en-US" w:eastAsia="zh-CN"/>
        </w:rPr>
        <w:t>systolic blood pressure; DBP, diastolic blood pressure; Alb, albumin; TC, total cholesterol; TG, total triglycerides.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3F398E"/>
    <w:rsid w:val="18CE32B9"/>
    <w:rsid w:val="24B60F8D"/>
    <w:rsid w:val="2EE515AB"/>
    <w:rsid w:val="5AEE563A"/>
    <w:rsid w:val="683F39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4">
    <w:name w:val="Hyperlink"/>
    <w:qFormat/>
    <w:uiPriority w:val="0"/>
    <w:rPr>
      <w:color w:val="0000FF"/>
      <w:u w:val="single"/>
    </w:rPr>
  </w:style>
  <w:style w:type="paragraph" w:customStyle="1" w:styleId="6">
    <w:name w:val="中文摘要（内容）"/>
    <w:basedOn w:val="1"/>
    <w:qFormat/>
    <w:uiPriority w:val="0"/>
    <w:pPr>
      <w:spacing w:line="360" w:lineRule="auto"/>
      <w:ind w:firstLine="200" w:firstLine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2018-03-11T04:19:00Z</dcterms:created>
  <dc:creator>文杨</dc:creator>
  <cp:lastModifiedBy>文杨</cp:lastModifiedBy>
  <dcterms:modified xsi:type="dcterms:W3CDTF">2018-03-12T13:50:02Z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