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73632" w:rsidRPr="00E54F52" w:rsidRDefault="002C5F34">
      <w:pPr>
        <w:pStyle w:val="Heading1"/>
        <w:spacing w:line="360" w:lineRule="auto"/>
        <w:jc w:val="both"/>
        <w:rPr>
          <w:rFonts w:ascii="Times New Roman" w:eastAsia="Times New Roman" w:hAnsi="Times New Roman" w:cs="Times New Roman"/>
          <w:color w:val="00000A"/>
          <w:sz w:val="24"/>
          <w:szCs w:val="24"/>
        </w:rPr>
      </w:pPr>
      <w:r w:rsidRPr="00E54F52">
        <w:rPr>
          <w:rFonts w:ascii="Times New Roman" w:eastAsia="Times New Roman" w:hAnsi="Times New Roman" w:cs="Times New Roman"/>
          <w:color w:val="00000A"/>
          <w:sz w:val="24"/>
          <w:szCs w:val="24"/>
        </w:rPr>
        <w:t>Network-guided geno</w:t>
      </w:r>
      <w:bookmarkStart w:id="0" w:name="_GoBack"/>
      <w:bookmarkEnd w:id="0"/>
      <w:r w:rsidRPr="00E54F52">
        <w:rPr>
          <w:rFonts w:ascii="Times New Roman" w:eastAsia="Times New Roman" w:hAnsi="Times New Roman" w:cs="Times New Roman"/>
          <w:color w:val="00000A"/>
          <w:sz w:val="24"/>
          <w:szCs w:val="24"/>
        </w:rPr>
        <w:t>mic and metagenomic analysis of the faecal microbiota of the critically endangered kakapo</w:t>
      </w:r>
    </w:p>
    <w:p w:rsidR="00A73632" w:rsidRPr="00E54F52" w:rsidRDefault="00A73632">
      <w:pPr>
        <w:spacing w:line="360" w:lineRule="auto"/>
        <w:jc w:val="both"/>
        <w:rPr>
          <w:rFonts w:ascii="Times New Roman" w:eastAsia="Times New Roman" w:hAnsi="Times New Roman" w:cs="Times New Roman"/>
          <w:sz w:val="24"/>
          <w:szCs w:val="24"/>
        </w:rPr>
      </w:pPr>
    </w:p>
    <w:p w:rsidR="00A73632" w:rsidRPr="00E54F52" w:rsidRDefault="002C5F34">
      <w:pPr>
        <w:spacing w:line="360" w:lineRule="auto"/>
        <w:jc w:val="both"/>
        <w:rPr>
          <w:rFonts w:ascii="Times New Roman" w:eastAsia="Times New Roman" w:hAnsi="Times New Roman" w:cs="Times New Roman"/>
          <w:sz w:val="24"/>
          <w:szCs w:val="24"/>
          <w:vertAlign w:val="superscript"/>
        </w:rPr>
      </w:pPr>
      <w:r w:rsidRPr="00E54F52">
        <w:rPr>
          <w:rFonts w:ascii="Times New Roman" w:eastAsia="Times New Roman" w:hAnsi="Times New Roman" w:cs="Times New Roman"/>
          <w:sz w:val="24"/>
          <w:szCs w:val="24"/>
        </w:rPr>
        <w:t>David W. Waite</w:t>
      </w:r>
      <w:r w:rsidRPr="00E54F52">
        <w:rPr>
          <w:rFonts w:ascii="Times New Roman" w:eastAsia="Times New Roman" w:hAnsi="Times New Roman" w:cs="Times New Roman"/>
          <w:sz w:val="24"/>
          <w:szCs w:val="24"/>
          <w:vertAlign w:val="superscript"/>
        </w:rPr>
        <w:t>1,2</w:t>
      </w:r>
      <w:r w:rsidRPr="00E54F52">
        <w:rPr>
          <w:rFonts w:ascii="Times New Roman" w:eastAsia="Times New Roman" w:hAnsi="Times New Roman" w:cs="Times New Roman"/>
          <w:sz w:val="24"/>
          <w:szCs w:val="24"/>
        </w:rPr>
        <w:t>*, Melissa Dsouza</w:t>
      </w:r>
      <w:r w:rsidRPr="00E54F52">
        <w:rPr>
          <w:rFonts w:ascii="Times New Roman" w:eastAsia="Times New Roman" w:hAnsi="Times New Roman" w:cs="Times New Roman"/>
          <w:sz w:val="24"/>
          <w:szCs w:val="24"/>
          <w:vertAlign w:val="superscript"/>
        </w:rPr>
        <w:t>3,4</w:t>
      </w:r>
      <w:r w:rsidRPr="00E54F52">
        <w:rPr>
          <w:rFonts w:ascii="Times New Roman" w:eastAsia="Times New Roman" w:hAnsi="Times New Roman" w:cs="Times New Roman"/>
          <w:sz w:val="24"/>
          <w:szCs w:val="24"/>
        </w:rPr>
        <w:t>, Yuji Sekiguchi</w:t>
      </w:r>
      <w:r w:rsidRPr="00E54F52">
        <w:rPr>
          <w:rFonts w:ascii="Times New Roman" w:eastAsia="Times New Roman" w:hAnsi="Times New Roman" w:cs="Times New Roman"/>
          <w:sz w:val="24"/>
          <w:szCs w:val="24"/>
          <w:vertAlign w:val="superscript"/>
        </w:rPr>
        <w:t>5</w:t>
      </w:r>
      <w:r w:rsidRPr="00E54F52">
        <w:rPr>
          <w:rFonts w:ascii="Times New Roman" w:eastAsia="Times New Roman" w:hAnsi="Times New Roman" w:cs="Times New Roman"/>
          <w:sz w:val="24"/>
          <w:szCs w:val="24"/>
        </w:rPr>
        <w:t>, Philip Hugenholtz</w:t>
      </w:r>
      <w:r w:rsidRPr="00E54F52">
        <w:rPr>
          <w:rFonts w:ascii="Times New Roman" w:eastAsia="Times New Roman" w:hAnsi="Times New Roman" w:cs="Times New Roman"/>
          <w:sz w:val="24"/>
          <w:szCs w:val="24"/>
          <w:vertAlign w:val="superscript"/>
        </w:rPr>
        <w:t>2</w:t>
      </w:r>
      <w:r w:rsidRPr="00E54F52">
        <w:rPr>
          <w:rFonts w:ascii="Times New Roman" w:eastAsia="Times New Roman" w:hAnsi="Times New Roman" w:cs="Times New Roman"/>
          <w:sz w:val="24"/>
          <w:szCs w:val="24"/>
        </w:rPr>
        <w:t>, Michael W. Taylor</w:t>
      </w:r>
      <w:r w:rsidRPr="00E54F52">
        <w:rPr>
          <w:rFonts w:ascii="Times New Roman" w:eastAsia="Times New Roman" w:hAnsi="Times New Roman" w:cs="Times New Roman"/>
          <w:sz w:val="24"/>
          <w:szCs w:val="24"/>
          <w:vertAlign w:val="superscript"/>
        </w:rPr>
        <w:t>1,6</w:t>
      </w:r>
    </w:p>
    <w:p w:rsidR="00A73632" w:rsidRPr="00E54F52" w:rsidRDefault="00A73632">
      <w:pPr>
        <w:spacing w:line="360" w:lineRule="auto"/>
        <w:jc w:val="both"/>
        <w:rPr>
          <w:rFonts w:ascii="Times New Roman" w:eastAsia="Times New Roman" w:hAnsi="Times New Roman" w:cs="Times New Roman"/>
          <w:sz w:val="24"/>
          <w:szCs w:val="24"/>
        </w:rPr>
      </w:pPr>
    </w:p>
    <w:p w:rsidR="00A73632" w:rsidRPr="00E54F52" w:rsidRDefault="002C5F34">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vertAlign w:val="superscript"/>
        </w:rPr>
        <w:t>1</w:t>
      </w:r>
      <w:r w:rsidRPr="00E54F52">
        <w:rPr>
          <w:rFonts w:ascii="Times New Roman" w:eastAsia="Times New Roman" w:hAnsi="Times New Roman" w:cs="Times New Roman"/>
          <w:sz w:val="24"/>
          <w:szCs w:val="24"/>
        </w:rPr>
        <w:t>School of Biological Sciences, University of Auckland, Auckland, New Zealand</w:t>
      </w:r>
    </w:p>
    <w:p w:rsidR="00A73632" w:rsidRPr="00E54F52" w:rsidRDefault="002C5F34">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vertAlign w:val="superscript"/>
        </w:rPr>
        <w:t>2</w:t>
      </w:r>
      <w:r w:rsidRPr="00E54F52">
        <w:rPr>
          <w:rFonts w:ascii="Times New Roman" w:eastAsia="Times New Roman" w:hAnsi="Times New Roman" w:cs="Times New Roman"/>
          <w:sz w:val="24"/>
          <w:szCs w:val="24"/>
        </w:rPr>
        <w:t>Australian Centre for Ecogenomics, School of Chemistry and Molecular Biosciences, The University of Queensland, Brisbane, Australia</w:t>
      </w:r>
    </w:p>
    <w:p w:rsidR="00A73632" w:rsidRPr="00E54F52" w:rsidRDefault="002C5F34">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vertAlign w:val="superscript"/>
        </w:rPr>
        <w:t>3</w:t>
      </w:r>
      <w:r w:rsidRPr="00E54F52">
        <w:rPr>
          <w:rFonts w:ascii="Times New Roman" w:eastAsia="Times New Roman" w:hAnsi="Times New Roman" w:cs="Times New Roman"/>
          <w:sz w:val="24"/>
          <w:szCs w:val="24"/>
        </w:rPr>
        <w:t>Department of Surgery, University of Chicago, Chicago, IL, USA</w:t>
      </w:r>
    </w:p>
    <w:p w:rsidR="00A73632" w:rsidRPr="00E54F52" w:rsidRDefault="002C5F34">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vertAlign w:val="superscript"/>
        </w:rPr>
        <w:t>4</w:t>
      </w:r>
      <w:r w:rsidRPr="00E54F52">
        <w:rPr>
          <w:rFonts w:ascii="Times New Roman" w:eastAsia="Times New Roman" w:hAnsi="Times New Roman" w:cs="Times New Roman"/>
          <w:sz w:val="24"/>
          <w:szCs w:val="24"/>
        </w:rPr>
        <w:t>Marine Biological Laboratory, Woods Hole, MA, USA</w:t>
      </w:r>
    </w:p>
    <w:p w:rsidR="00A73632" w:rsidRPr="00E54F52" w:rsidRDefault="002C5F34">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vertAlign w:val="superscript"/>
        </w:rPr>
        <w:t>5</w:t>
      </w:r>
      <w:r w:rsidRPr="00E54F52">
        <w:rPr>
          <w:rFonts w:ascii="Times New Roman" w:eastAsia="Times New Roman" w:hAnsi="Times New Roman" w:cs="Times New Roman"/>
          <w:sz w:val="24"/>
          <w:szCs w:val="24"/>
        </w:rPr>
        <w:t>Bio-Measurement Research Group, Biomedical Research Institute, National Institute of Advanced Industrial Science and Technology, Ibaraki, Japan</w:t>
      </w:r>
    </w:p>
    <w:p w:rsidR="00A73632" w:rsidRPr="00E54F52" w:rsidRDefault="002C5F34">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vertAlign w:val="superscript"/>
        </w:rPr>
        <w:t>6</w:t>
      </w:r>
      <w:r w:rsidRPr="00E54F52">
        <w:rPr>
          <w:rFonts w:ascii="Times New Roman" w:eastAsia="Times New Roman" w:hAnsi="Times New Roman" w:cs="Times New Roman"/>
          <w:sz w:val="24"/>
          <w:szCs w:val="24"/>
        </w:rPr>
        <w:t>Maurice Wilkins Centre for Molecular Biodiscovery, University of Auckland, Auckland, New Zealand</w:t>
      </w:r>
    </w:p>
    <w:p w:rsidR="00A73632" w:rsidRPr="00E54F52" w:rsidRDefault="00A73632">
      <w:pPr>
        <w:spacing w:line="360" w:lineRule="auto"/>
        <w:jc w:val="both"/>
        <w:rPr>
          <w:rFonts w:ascii="Times New Roman" w:eastAsia="Times New Roman" w:hAnsi="Times New Roman" w:cs="Times New Roman"/>
          <w:sz w:val="24"/>
          <w:szCs w:val="24"/>
        </w:rPr>
      </w:pPr>
    </w:p>
    <w:p w:rsidR="00A73632" w:rsidRPr="00E54F52" w:rsidRDefault="00A73632">
      <w:pPr>
        <w:spacing w:line="360" w:lineRule="auto"/>
        <w:jc w:val="both"/>
        <w:rPr>
          <w:rFonts w:ascii="Times New Roman" w:eastAsia="Times New Roman" w:hAnsi="Times New Roman" w:cs="Times New Roman"/>
          <w:sz w:val="24"/>
          <w:szCs w:val="24"/>
        </w:rPr>
      </w:pPr>
    </w:p>
    <w:p w:rsidR="00A73632" w:rsidRPr="00E54F52" w:rsidRDefault="002C5F34">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rPr>
        <w:t>*Corresponding Author</w:t>
      </w:r>
    </w:p>
    <w:p w:rsidR="00A73632" w:rsidRPr="00E54F52" w:rsidRDefault="002C5F34">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rPr>
        <w:t>David W. Waite</w:t>
      </w:r>
    </w:p>
    <w:p w:rsidR="00A73632" w:rsidRPr="00E54F52" w:rsidRDefault="002C5F34">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rPr>
        <w:t>School of Chemistry and Molecular Biosciences</w:t>
      </w:r>
    </w:p>
    <w:p w:rsidR="00A73632" w:rsidRPr="00E54F52" w:rsidRDefault="002C5F34">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rPr>
        <w:t>University of Queensland</w:t>
      </w:r>
    </w:p>
    <w:p w:rsidR="00A73632" w:rsidRPr="00E54F52" w:rsidRDefault="002C5F34">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rPr>
        <w:t>d.waite@uq.edu.au</w:t>
      </w:r>
    </w:p>
    <w:p w:rsidR="00172742" w:rsidRPr="00E54F52" w:rsidRDefault="002C5F34" w:rsidP="00172742">
      <w:pPr>
        <w:pStyle w:val="Heading2"/>
        <w:spacing w:line="360" w:lineRule="auto"/>
        <w:jc w:val="both"/>
      </w:pPr>
      <w:r w:rsidRPr="00E54F52">
        <w:br w:type="page"/>
      </w:r>
      <w:r w:rsidR="00172742" w:rsidRPr="00E54F52">
        <w:lastRenderedPageBreak/>
        <w:t xml:space="preserve"> </w:t>
      </w:r>
      <w:r w:rsidR="00AA4236" w:rsidRPr="00E54F52">
        <w:rPr>
          <w:noProof/>
          <w:lang w:eastAsia="en-NZ"/>
        </w:rPr>
        <w:drawing>
          <wp:inline distT="0" distB="0" distL="0" distR="0">
            <wp:extent cx="5731510" cy="405257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052570"/>
                    </a:xfrm>
                    <a:prstGeom prst="rect">
                      <a:avLst/>
                    </a:prstGeom>
                  </pic:spPr>
                </pic:pic>
              </a:graphicData>
            </a:graphic>
          </wp:inline>
        </w:drawing>
      </w:r>
    </w:p>
    <w:p w:rsidR="00A73632" w:rsidRPr="00E54F52" w:rsidRDefault="002C5F34">
      <w:pPr>
        <w:spacing w:line="360" w:lineRule="auto"/>
        <w:jc w:val="both"/>
        <w:rPr>
          <w:rFonts w:ascii="Times New Roman" w:eastAsia="Times New Roman" w:hAnsi="Times New Roman" w:cs="Times New Roman"/>
          <w:b/>
          <w:sz w:val="24"/>
          <w:szCs w:val="24"/>
        </w:rPr>
      </w:pPr>
      <w:r w:rsidRPr="00E54F52">
        <w:rPr>
          <w:rFonts w:ascii="Times New Roman" w:eastAsia="Times New Roman" w:hAnsi="Times New Roman" w:cs="Times New Roman"/>
          <w:b/>
          <w:sz w:val="24"/>
          <w:szCs w:val="24"/>
        </w:rPr>
        <w:t>Supplemental Figure S1. Comparison of networks displaying low and high modularity</w:t>
      </w:r>
    </w:p>
    <w:p w:rsidR="00AA4236" w:rsidRPr="00E54F52" w:rsidRDefault="002C5F34" w:rsidP="00AA4236">
      <w:pPr>
        <w:spacing w:line="360" w:lineRule="auto"/>
        <w:jc w:val="both"/>
      </w:pPr>
      <w:r w:rsidRPr="00E54F52">
        <w:rPr>
          <w:rFonts w:ascii="Times New Roman" w:eastAsia="Times New Roman" w:hAnsi="Times New Roman" w:cs="Times New Roman"/>
          <w:sz w:val="24"/>
          <w:szCs w:val="24"/>
        </w:rPr>
        <w:t xml:space="preserve">Randomly constructed graphs of 20 nodes and 30 edges (connections) were constructed in R using the </w:t>
      </w:r>
      <w:r w:rsidRPr="00E54F52">
        <w:rPr>
          <w:rFonts w:ascii="Times New Roman" w:eastAsia="Times New Roman" w:hAnsi="Times New Roman" w:cs="Times New Roman"/>
          <w:i/>
          <w:sz w:val="24"/>
          <w:szCs w:val="24"/>
        </w:rPr>
        <w:t>erdos.renyi.game</w:t>
      </w:r>
      <w:r w:rsidRPr="00E54F52">
        <w:rPr>
          <w:rFonts w:ascii="Times New Roman" w:eastAsia="Times New Roman" w:hAnsi="Times New Roman" w:cs="Times New Roman"/>
          <w:sz w:val="24"/>
          <w:szCs w:val="24"/>
        </w:rPr>
        <w:t xml:space="preserve"> function of the igraph package. 10,000 graphs were randomly constructed and those with the lowest (red) and highest (blue) transitivity value were retained. Both graphs are constructed from the same number of nodes and connections, but stochastic placement of the connections drastically alters the topology of the network and associated statistics. Such differences in topology have ecological significance in the interpretation of the interactions represented within the network.</w:t>
      </w:r>
      <w:r w:rsidR="00AA4236" w:rsidRPr="00E54F52">
        <w:br w:type="page"/>
      </w:r>
    </w:p>
    <w:p w:rsidR="00AA4236" w:rsidRPr="00E54F52" w:rsidRDefault="00AA4236">
      <w:pPr>
        <w:spacing w:line="360" w:lineRule="auto"/>
        <w:jc w:val="both"/>
        <w:rPr>
          <w:rFonts w:ascii="Times New Roman" w:eastAsia="Times New Roman" w:hAnsi="Times New Roman" w:cs="Times New Roman"/>
          <w:sz w:val="24"/>
          <w:szCs w:val="24"/>
        </w:rPr>
        <w:sectPr w:rsidR="00AA4236" w:rsidRPr="00E54F52" w:rsidSect="00AA4236">
          <w:pgSz w:w="11906" w:h="16838"/>
          <w:pgMar w:top="1440" w:right="1440" w:bottom="1440" w:left="1440" w:header="0" w:footer="720" w:gutter="0"/>
          <w:pgNumType w:start="1"/>
          <w:cols w:space="720"/>
          <w:docGrid w:linePitch="299"/>
        </w:sectPr>
      </w:pPr>
    </w:p>
    <w:p w:rsidR="00A73632" w:rsidRPr="00E54F52" w:rsidRDefault="00AA4236" w:rsidP="00AA4236">
      <w:pPr>
        <w:spacing w:line="360" w:lineRule="auto"/>
        <w:jc w:val="center"/>
        <w:rPr>
          <w:rFonts w:ascii="Times New Roman" w:eastAsia="Times New Roman" w:hAnsi="Times New Roman" w:cs="Times New Roman"/>
          <w:sz w:val="24"/>
          <w:szCs w:val="24"/>
        </w:rPr>
      </w:pPr>
      <w:r w:rsidRPr="00E54F52">
        <w:rPr>
          <w:rFonts w:ascii="Times New Roman" w:eastAsia="Times New Roman" w:hAnsi="Times New Roman" w:cs="Times New Roman"/>
          <w:noProof/>
          <w:sz w:val="24"/>
          <w:szCs w:val="24"/>
          <w:lang w:eastAsia="en-NZ"/>
        </w:rPr>
        <w:lastRenderedPageBreak/>
        <w:drawing>
          <wp:inline distT="0" distB="0" distL="0" distR="0">
            <wp:extent cx="8863330" cy="42111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63330" cy="4211187"/>
                    </a:xfrm>
                    <a:prstGeom prst="rect">
                      <a:avLst/>
                    </a:prstGeom>
                  </pic:spPr>
                </pic:pic>
              </a:graphicData>
            </a:graphic>
          </wp:inline>
        </w:drawing>
      </w:r>
    </w:p>
    <w:p w:rsidR="00A73632" w:rsidRPr="00E54F52" w:rsidRDefault="002C5F34" w:rsidP="00AA4236">
      <w:pPr>
        <w:spacing w:line="360" w:lineRule="auto"/>
        <w:jc w:val="both"/>
        <w:rPr>
          <w:rFonts w:ascii="Times New Roman" w:eastAsia="Times New Roman" w:hAnsi="Times New Roman" w:cs="Times New Roman"/>
          <w:b/>
          <w:sz w:val="24"/>
          <w:szCs w:val="24"/>
        </w:rPr>
      </w:pPr>
      <w:r w:rsidRPr="00E54F52">
        <w:rPr>
          <w:rFonts w:ascii="Times New Roman" w:eastAsia="Times New Roman" w:hAnsi="Times New Roman" w:cs="Times New Roman"/>
          <w:b/>
          <w:sz w:val="24"/>
          <w:szCs w:val="24"/>
        </w:rPr>
        <w:t>Supplemental Figure S2. Non-metric multidimensional scaling plot of the kakapo 16S rRNA gene OTU data</w:t>
      </w:r>
    </w:p>
    <w:p w:rsidR="00A73632" w:rsidRPr="00E54F52" w:rsidRDefault="002C5F34" w:rsidP="00AA4236">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rPr>
        <w:t xml:space="preserve">Ordination was performed using the Bray-Curtis distance with the full data set (left) and as subsampled for network analysis (right). </w:t>
      </w:r>
      <w:r w:rsidR="004A4AC3" w:rsidRPr="00E54F52">
        <w:rPr>
          <w:rFonts w:ascii="Times New Roman" w:eastAsia="Times New Roman" w:hAnsi="Times New Roman" w:cs="Times New Roman"/>
          <w:sz w:val="24"/>
          <w:szCs w:val="24"/>
        </w:rPr>
        <w:t>Samples from kakapo chicks (green) and adults (blue) are coloured by year samp</w:t>
      </w:r>
      <w:r w:rsidR="006D2857" w:rsidRPr="00E54F52">
        <w:rPr>
          <w:rFonts w:ascii="Times New Roman" w:eastAsia="Times New Roman" w:hAnsi="Times New Roman" w:cs="Times New Roman"/>
          <w:sz w:val="24"/>
          <w:szCs w:val="24"/>
        </w:rPr>
        <w:t>l</w:t>
      </w:r>
      <w:r w:rsidR="004A4AC3" w:rsidRPr="00E54F52">
        <w:rPr>
          <w:rFonts w:ascii="Times New Roman" w:eastAsia="Times New Roman" w:hAnsi="Times New Roman" w:cs="Times New Roman"/>
          <w:sz w:val="24"/>
          <w:szCs w:val="24"/>
        </w:rPr>
        <w:t xml:space="preserve">ed (pale = 2011, dark = 2012). </w:t>
      </w:r>
      <w:r w:rsidRPr="00E54F52">
        <w:rPr>
          <w:rFonts w:ascii="Times New Roman" w:eastAsia="Times New Roman" w:hAnsi="Times New Roman" w:cs="Times New Roman"/>
          <w:sz w:val="24"/>
          <w:szCs w:val="24"/>
        </w:rPr>
        <w:t xml:space="preserve">Samples used for metagenomic sequencing are marked in </w:t>
      </w:r>
      <w:r w:rsidR="00E3196C" w:rsidRPr="00E54F52">
        <w:rPr>
          <w:rFonts w:ascii="Times New Roman" w:eastAsia="Times New Roman" w:hAnsi="Times New Roman" w:cs="Times New Roman"/>
          <w:sz w:val="24"/>
          <w:szCs w:val="24"/>
        </w:rPr>
        <w:t xml:space="preserve">pink (chick) and </w:t>
      </w:r>
      <w:r w:rsidRPr="00E54F52">
        <w:rPr>
          <w:rFonts w:ascii="Times New Roman" w:eastAsia="Times New Roman" w:hAnsi="Times New Roman" w:cs="Times New Roman"/>
          <w:sz w:val="24"/>
          <w:szCs w:val="24"/>
        </w:rPr>
        <w:t xml:space="preserve">red </w:t>
      </w:r>
      <w:r w:rsidR="00E3196C" w:rsidRPr="00E54F52">
        <w:rPr>
          <w:rFonts w:ascii="Times New Roman" w:eastAsia="Times New Roman" w:hAnsi="Times New Roman" w:cs="Times New Roman"/>
          <w:sz w:val="24"/>
          <w:szCs w:val="24"/>
        </w:rPr>
        <w:t>(adult)</w:t>
      </w:r>
      <w:r w:rsidR="0006458F" w:rsidRPr="00E54F52">
        <w:rPr>
          <w:rFonts w:ascii="Times New Roman" w:eastAsia="Times New Roman" w:hAnsi="Times New Roman" w:cs="Times New Roman"/>
          <w:sz w:val="24"/>
          <w:szCs w:val="24"/>
        </w:rPr>
        <w:t>,</w:t>
      </w:r>
      <w:r w:rsidR="00E3196C" w:rsidRPr="00E54F52">
        <w:rPr>
          <w:rFonts w:ascii="Times New Roman" w:eastAsia="Times New Roman" w:hAnsi="Times New Roman" w:cs="Times New Roman"/>
          <w:sz w:val="24"/>
          <w:szCs w:val="24"/>
        </w:rPr>
        <w:t xml:space="preserve"> </w:t>
      </w:r>
      <w:r w:rsidRPr="00E54F52">
        <w:rPr>
          <w:rFonts w:ascii="Times New Roman" w:eastAsia="Times New Roman" w:hAnsi="Times New Roman" w:cs="Times New Roman"/>
          <w:sz w:val="24"/>
          <w:szCs w:val="24"/>
        </w:rPr>
        <w:t>and show no consistent difference from other samples used in network construction.</w:t>
      </w:r>
    </w:p>
    <w:p w:rsidR="00AA4236" w:rsidRPr="00E54F52" w:rsidRDefault="00AA4236" w:rsidP="00360219">
      <w:pPr>
        <w:spacing w:line="360" w:lineRule="auto"/>
        <w:jc w:val="center"/>
        <w:rPr>
          <w:rFonts w:ascii="Times New Roman" w:eastAsia="Times New Roman" w:hAnsi="Times New Roman" w:cs="Times New Roman"/>
          <w:sz w:val="24"/>
          <w:szCs w:val="24"/>
        </w:rPr>
      </w:pPr>
    </w:p>
    <w:p w:rsidR="009A6D48" w:rsidRPr="00E54F52" w:rsidRDefault="009A6D48"/>
    <w:p w:rsidR="0042326D" w:rsidRPr="00E54F52" w:rsidRDefault="0042326D" w:rsidP="001E7F6B">
      <w:pPr>
        <w:spacing w:line="360" w:lineRule="auto"/>
        <w:jc w:val="center"/>
        <w:rPr>
          <w:rFonts w:ascii="Times New Roman" w:eastAsia="Times New Roman" w:hAnsi="Times New Roman" w:cs="Times New Roman"/>
          <w:b/>
          <w:sz w:val="24"/>
          <w:szCs w:val="24"/>
        </w:rPr>
      </w:pPr>
      <w:r w:rsidRPr="00E54F52">
        <w:rPr>
          <w:rFonts w:ascii="Times New Roman" w:eastAsia="Times New Roman" w:hAnsi="Times New Roman" w:cs="Times New Roman"/>
          <w:b/>
          <w:noProof/>
          <w:sz w:val="24"/>
          <w:szCs w:val="24"/>
          <w:lang w:eastAsia="en-NZ"/>
        </w:rPr>
        <w:lastRenderedPageBreak/>
        <w:drawing>
          <wp:inline distT="0" distB="0" distL="0" distR="0">
            <wp:extent cx="9144877" cy="54038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63718" cy="5414984"/>
                    </a:xfrm>
                    <a:prstGeom prst="rect">
                      <a:avLst/>
                    </a:prstGeom>
                  </pic:spPr>
                </pic:pic>
              </a:graphicData>
            </a:graphic>
          </wp:inline>
        </w:drawing>
      </w:r>
    </w:p>
    <w:p w:rsidR="00972EEF" w:rsidRPr="00E54F52" w:rsidRDefault="00972EEF" w:rsidP="009A6D48">
      <w:pPr>
        <w:spacing w:line="360" w:lineRule="auto"/>
        <w:jc w:val="both"/>
        <w:rPr>
          <w:rFonts w:ascii="Times New Roman" w:eastAsia="Times New Roman" w:hAnsi="Times New Roman" w:cs="Times New Roman"/>
          <w:b/>
          <w:sz w:val="24"/>
          <w:szCs w:val="24"/>
        </w:rPr>
      </w:pPr>
      <w:r w:rsidRPr="00E54F52">
        <w:rPr>
          <w:rFonts w:ascii="Times New Roman" w:eastAsia="Times New Roman" w:hAnsi="Times New Roman" w:cs="Times New Roman"/>
          <w:b/>
          <w:sz w:val="24"/>
          <w:szCs w:val="24"/>
        </w:rPr>
        <w:t>Supplemental Figure S3</w:t>
      </w:r>
      <w:r w:rsidR="009A6D48" w:rsidRPr="00E54F52">
        <w:rPr>
          <w:rFonts w:ascii="Times New Roman" w:eastAsia="Times New Roman" w:hAnsi="Times New Roman" w:cs="Times New Roman"/>
          <w:b/>
          <w:sz w:val="24"/>
          <w:szCs w:val="24"/>
        </w:rPr>
        <w:t>. Rarefaction analysis of subsampled OTU table</w:t>
      </w:r>
    </w:p>
    <w:p w:rsidR="00972EEF" w:rsidRPr="00E54F52" w:rsidRDefault="00972EEF" w:rsidP="00972EEF">
      <w:r w:rsidRPr="00E54F52">
        <w:br w:type="page"/>
      </w:r>
    </w:p>
    <w:p w:rsidR="00972EEF" w:rsidRPr="00E54F52" w:rsidRDefault="00972EEF" w:rsidP="009A6D48">
      <w:pPr>
        <w:spacing w:line="360" w:lineRule="auto"/>
        <w:jc w:val="both"/>
      </w:pPr>
    </w:p>
    <w:p w:rsidR="00972EEF" w:rsidRPr="00E54F52" w:rsidRDefault="00037211" w:rsidP="00037211">
      <w:pPr>
        <w:spacing w:line="360" w:lineRule="auto"/>
        <w:jc w:val="center"/>
      </w:pPr>
      <w:r w:rsidRPr="00E54F52">
        <w:rPr>
          <w:noProof/>
          <w:lang w:eastAsia="en-NZ"/>
        </w:rPr>
        <w:drawing>
          <wp:inline distT="0" distB="0" distL="0" distR="0">
            <wp:extent cx="7194550" cy="5755639"/>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04126" cy="5763300"/>
                    </a:xfrm>
                    <a:prstGeom prst="rect">
                      <a:avLst/>
                    </a:prstGeom>
                  </pic:spPr>
                </pic:pic>
              </a:graphicData>
            </a:graphic>
          </wp:inline>
        </w:drawing>
      </w:r>
    </w:p>
    <w:p w:rsidR="009A6D48" w:rsidRPr="00E54F52" w:rsidRDefault="00972EEF" w:rsidP="009A6D48">
      <w:pPr>
        <w:spacing w:line="360" w:lineRule="auto"/>
        <w:jc w:val="both"/>
        <w:rPr>
          <w:rFonts w:ascii="Times New Roman" w:eastAsia="Times New Roman" w:hAnsi="Times New Roman" w:cs="Times New Roman"/>
          <w:b/>
          <w:sz w:val="24"/>
          <w:szCs w:val="24"/>
        </w:rPr>
      </w:pPr>
      <w:r w:rsidRPr="00E54F52">
        <w:rPr>
          <w:b/>
        </w:rPr>
        <w:t xml:space="preserve">Supplemental Figure S4. PCA ordination of KEGG-annotated </w:t>
      </w:r>
      <w:r w:rsidRPr="00E54F52">
        <w:rPr>
          <w:b/>
          <w:i/>
        </w:rPr>
        <w:t>Enterobacteriaceae</w:t>
      </w:r>
      <w:r w:rsidRPr="00E54F52">
        <w:rPr>
          <w:b/>
        </w:rPr>
        <w:t xml:space="preserve"> genomes</w:t>
      </w:r>
      <w:r w:rsidR="009A6D48" w:rsidRPr="00E54F52">
        <w:rPr>
          <w:b/>
        </w:rPr>
        <w:br w:type="page"/>
      </w:r>
    </w:p>
    <w:p w:rsidR="0041102D" w:rsidRPr="00E54F52" w:rsidRDefault="0041102D">
      <w:pPr>
        <w:pStyle w:val="Heading2"/>
        <w:spacing w:line="360" w:lineRule="auto"/>
        <w:jc w:val="both"/>
        <w:sectPr w:rsidR="0041102D" w:rsidRPr="00E54F52" w:rsidSect="00B274F4">
          <w:pgSz w:w="16838" w:h="11906" w:orient="landscape"/>
          <w:pgMar w:top="567" w:right="851" w:bottom="567" w:left="851" w:header="0" w:footer="720" w:gutter="0"/>
          <w:pgNumType w:start="1"/>
          <w:cols w:space="720"/>
          <w:docGrid w:linePitch="299"/>
        </w:sectPr>
      </w:pPr>
    </w:p>
    <w:p w:rsidR="00B12B7D" w:rsidRPr="00E54F52" w:rsidRDefault="007D6BE4" w:rsidP="00C97E1C">
      <w:pPr>
        <w:jc w:val="center"/>
        <w:rPr>
          <w:rFonts w:ascii="Times New Roman" w:eastAsia="Times New Roman" w:hAnsi="Times New Roman" w:cs="Times New Roman"/>
          <w:b/>
          <w:sz w:val="24"/>
          <w:szCs w:val="24"/>
        </w:rPr>
      </w:pPr>
      <w:r w:rsidRPr="00E54F52">
        <w:rPr>
          <w:rFonts w:ascii="Times New Roman" w:eastAsia="Times New Roman" w:hAnsi="Times New Roman" w:cs="Times New Roman"/>
          <w:b/>
          <w:noProof/>
          <w:sz w:val="24"/>
          <w:szCs w:val="24"/>
          <w:lang w:eastAsia="en-NZ"/>
        </w:rPr>
        <w:lastRenderedPageBreak/>
        <w:drawing>
          <wp:inline distT="0" distB="0" distL="0" distR="0">
            <wp:extent cx="5130800" cy="7256222"/>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36426" cy="7264178"/>
                    </a:xfrm>
                    <a:prstGeom prst="rect">
                      <a:avLst/>
                    </a:prstGeom>
                  </pic:spPr>
                </pic:pic>
              </a:graphicData>
            </a:graphic>
          </wp:inline>
        </w:drawing>
      </w:r>
    </w:p>
    <w:p w:rsidR="00B12B7D" w:rsidRPr="00E54F52" w:rsidRDefault="00B12B7D">
      <w:pPr>
        <w:rPr>
          <w:rFonts w:ascii="Times New Roman" w:eastAsia="Times New Roman" w:hAnsi="Times New Roman" w:cs="Times New Roman"/>
          <w:b/>
          <w:sz w:val="24"/>
          <w:szCs w:val="24"/>
        </w:rPr>
      </w:pPr>
    </w:p>
    <w:p w:rsidR="00FB1FE6" w:rsidRPr="00E54F52" w:rsidRDefault="00B12B7D" w:rsidP="009F346F">
      <w:pPr>
        <w:jc w:val="both"/>
        <w:rPr>
          <w:rFonts w:ascii="Times New Roman" w:eastAsia="Times New Roman" w:hAnsi="Times New Roman" w:cs="Times New Roman"/>
          <w:b/>
          <w:sz w:val="24"/>
          <w:szCs w:val="24"/>
        </w:rPr>
      </w:pPr>
      <w:r w:rsidRPr="00E54F52">
        <w:rPr>
          <w:rFonts w:ascii="Times New Roman" w:eastAsia="Times New Roman" w:hAnsi="Times New Roman" w:cs="Times New Roman"/>
          <w:b/>
          <w:sz w:val="24"/>
          <w:szCs w:val="24"/>
        </w:rPr>
        <w:t>Supplemental Figure S5. Phylogenetic inference of beta-1,4-endoglucan hydrolase sequences from Proteobacteria</w:t>
      </w:r>
    </w:p>
    <w:p w:rsidR="00972EEF" w:rsidRPr="00E54F52" w:rsidRDefault="007D6BE4" w:rsidP="009F346F">
      <w:pPr>
        <w:jc w:val="both"/>
        <w:rPr>
          <w:rFonts w:ascii="Times New Roman" w:eastAsia="Times New Roman" w:hAnsi="Times New Roman" w:cs="Times New Roman"/>
          <w:b/>
          <w:sz w:val="24"/>
          <w:szCs w:val="24"/>
        </w:rPr>
      </w:pPr>
      <w:r w:rsidRPr="00E54F52">
        <w:rPr>
          <w:rFonts w:ascii="Times New Roman" w:eastAsia="Times New Roman" w:hAnsi="Times New Roman" w:cs="Times New Roman"/>
          <w:sz w:val="24"/>
          <w:szCs w:val="24"/>
        </w:rPr>
        <w:t xml:space="preserve">Kakapo isolate sequences are marked in red, with </w:t>
      </w:r>
      <w:r w:rsidRPr="00E54F52">
        <w:rPr>
          <w:rFonts w:ascii="Times New Roman" w:eastAsia="Times New Roman" w:hAnsi="Times New Roman" w:cs="Times New Roman"/>
          <w:i/>
          <w:sz w:val="24"/>
          <w:szCs w:val="24"/>
        </w:rPr>
        <w:t>Escherichia</w:t>
      </w:r>
      <w:r w:rsidRPr="00E54F52">
        <w:rPr>
          <w:rFonts w:ascii="Times New Roman" w:eastAsia="Times New Roman" w:hAnsi="Times New Roman" w:cs="Times New Roman"/>
          <w:sz w:val="24"/>
          <w:szCs w:val="24"/>
        </w:rPr>
        <w:t xml:space="preserve"> in dark blue and other </w:t>
      </w:r>
      <w:r w:rsidRPr="00E54F52">
        <w:rPr>
          <w:rFonts w:ascii="Times New Roman" w:eastAsia="Times New Roman" w:hAnsi="Times New Roman" w:cs="Times New Roman"/>
          <w:i/>
          <w:sz w:val="24"/>
          <w:szCs w:val="24"/>
        </w:rPr>
        <w:t>Enterobacteriaceae</w:t>
      </w:r>
      <w:r w:rsidRPr="00E54F52">
        <w:rPr>
          <w:rFonts w:ascii="Times New Roman" w:eastAsia="Times New Roman" w:hAnsi="Times New Roman" w:cs="Times New Roman"/>
          <w:sz w:val="24"/>
          <w:szCs w:val="24"/>
        </w:rPr>
        <w:t xml:space="preserve"> sequences in pale blue.</w:t>
      </w:r>
      <w:r w:rsidR="000A66B9" w:rsidRPr="00E54F52">
        <w:rPr>
          <w:rFonts w:ascii="Times New Roman" w:eastAsia="Times New Roman" w:hAnsi="Times New Roman" w:cs="Times New Roman"/>
          <w:sz w:val="24"/>
          <w:szCs w:val="24"/>
        </w:rPr>
        <w:t xml:space="preserve"> Bootstrap support was determined through 100 resamplings.</w:t>
      </w:r>
      <w:r w:rsidR="00972EEF" w:rsidRPr="00E54F52">
        <w:rPr>
          <w:rFonts w:ascii="Times New Roman" w:eastAsia="Times New Roman" w:hAnsi="Times New Roman" w:cs="Times New Roman"/>
          <w:b/>
          <w:sz w:val="24"/>
          <w:szCs w:val="24"/>
        </w:rPr>
        <w:br w:type="page"/>
      </w:r>
    </w:p>
    <w:p w:rsidR="00A73632" w:rsidRPr="00E54F52" w:rsidRDefault="002C5F34">
      <w:pPr>
        <w:spacing w:line="360" w:lineRule="auto"/>
        <w:jc w:val="both"/>
        <w:rPr>
          <w:rFonts w:ascii="Times New Roman" w:eastAsia="Times New Roman" w:hAnsi="Times New Roman" w:cs="Times New Roman"/>
          <w:b/>
          <w:sz w:val="24"/>
          <w:szCs w:val="24"/>
        </w:rPr>
      </w:pPr>
      <w:r w:rsidRPr="00E54F52">
        <w:rPr>
          <w:rFonts w:ascii="Times New Roman" w:eastAsia="Times New Roman" w:hAnsi="Times New Roman" w:cs="Times New Roman"/>
          <w:b/>
          <w:sz w:val="24"/>
          <w:szCs w:val="24"/>
        </w:rPr>
        <w:lastRenderedPageBreak/>
        <w:t xml:space="preserve">Table S1. </w:t>
      </w:r>
      <w:r w:rsidR="008F3055" w:rsidRPr="00E54F52">
        <w:rPr>
          <w:rFonts w:ascii="Times New Roman" w:eastAsia="Times New Roman" w:hAnsi="Times New Roman" w:cs="Times New Roman"/>
          <w:b/>
          <w:sz w:val="24"/>
          <w:szCs w:val="24"/>
        </w:rPr>
        <w:t>Overview of the relationship between samples utilised for amplicon and metagenomic sequencing</w:t>
      </w:r>
    </w:p>
    <w:tbl>
      <w:tblPr>
        <w:tblW w:w="6780" w:type="dxa"/>
        <w:tblInd w:w="118" w:type="dxa"/>
        <w:tblLook w:val="04A0" w:firstRow="1" w:lastRow="0" w:firstColumn="1" w:lastColumn="0" w:noHBand="0" w:noVBand="1"/>
      </w:tblPr>
      <w:tblGrid>
        <w:gridCol w:w="1090"/>
        <w:gridCol w:w="1180"/>
        <w:gridCol w:w="2240"/>
        <w:gridCol w:w="1180"/>
        <w:gridCol w:w="1180"/>
      </w:tblGrid>
      <w:tr w:rsidR="0041102D" w:rsidRPr="00E54F52" w:rsidTr="0041102D">
        <w:trPr>
          <w:trHeight w:val="285"/>
        </w:trPr>
        <w:tc>
          <w:tcPr>
            <w:tcW w:w="1000"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Individual</w:t>
            </w:r>
          </w:p>
        </w:tc>
        <w:tc>
          <w:tcPr>
            <w:tcW w:w="1180" w:type="dxa"/>
            <w:tcBorders>
              <w:top w:val="single" w:sz="8" w:space="0" w:color="000000"/>
              <w:left w:val="nil"/>
              <w:bottom w:val="single" w:sz="8" w:space="0" w:color="000000"/>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Timepoint 1</w:t>
            </w:r>
          </w:p>
        </w:tc>
        <w:tc>
          <w:tcPr>
            <w:tcW w:w="2240" w:type="dxa"/>
            <w:tcBorders>
              <w:top w:val="single" w:sz="8" w:space="0" w:color="000000"/>
              <w:left w:val="nil"/>
              <w:bottom w:val="single" w:sz="8" w:space="0" w:color="000000"/>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Metagenomic sampling</w:t>
            </w:r>
          </w:p>
        </w:tc>
        <w:tc>
          <w:tcPr>
            <w:tcW w:w="1180" w:type="dxa"/>
            <w:tcBorders>
              <w:top w:val="single" w:sz="8" w:space="0" w:color="000000"/>
              <w:left w:val="nil"/>
              <w:bottom w:val="single" w:sz="8" w:space="0" w:color="000000"/>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Timepoint 3</w:t>
            </w:r>
          </w:p>
        </w:tc>
        <w:tc>
          <w:tcPr>
            <w:tcW w:w="1180" w:type="dxa"/>
            <w:tcBorders>
              <w:top w:val="single" w:sz="8" w:space="0" w:color="000000"/>
              <w:left w:val="nil"/>
              <w:bottom w:val="single" w:sz="8" w:space="0" w:color="000000"/>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Timepoint 4</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Chick_1</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0"/>
                <w:szCs w:val="2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Chick_2</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Chick_3</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 </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Chick_4</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0"/>
                <w:szCs w:val="2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Chick_5</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0"/>
                <w:szCs w:val="2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Chick_6</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Chick_7</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Chick_8</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0"/>
                <w:szCs w:val="20"/>
                <w:lang w:val="en-AU"/>
              </w:rPr>
            </w:pP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 </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Chick_9</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Chick_10</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0"/>
                <w:szCs w:val="20"/>
                <w:lang w:val="en-AU"/>
              </w:rPr>
            </w:pP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Adult_1</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Adult_2</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Adult_3</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0"/>
                <w:szCs w:val="2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Adult_4</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Adult_5</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0"/>
                <w:szCs w:val="2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Adult_6</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0"/>
                <w:szCs w:val="2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Adult_7</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0"/>
                <w:szCs w:val="2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Adult_8</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0"/>
                <w:szCs w:val="2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 </w:t>
            </w:r>
          </w:p>
        </w:tc>
      </w:tr>
      <w:tr w:rsidR="0041102D" w:rsidRPr="00E54F52" w:rsidTr="0041102D">
        <w:trPr>
          <w:trHeight w:val="285"/>
        </w:trPr>
        <w:tc>
          <w:tcPr>
            <w:tcW w:w="1000" w:type="dxa"/>
            <w:tcBorders>
              <w:top w:val="nil"/>
              <w:left w:val="single" w:sz="8" w:space="0" w:color="000000"/>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Adult_9</w:t>
            </w: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p>
        </w:tc>
        <w:tc>
          <w:tcPr>
            <w:tcW w:w="1180" w:type="dxa"/>
            <w:tcBorders>
              <w:top w:val="nil"/>
              <w:left w:val="nil"/>
              <w:bottom w:val="nil"/>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0"/>
                <w:szCs w:val="20"/>
                <w:lang w:val="en-AU"/>
              </w:rPr>
            </w:pPr>
          </w:p>
        </w:tc>
        <w:tc>
          <w:tcPr>
            <w:tcW w:w="1180" w:type="dxa"/>
            <w:tcBorders>
              <w:top w:val="nil"/>
              <w:left w:val="nil"/>
              <w:bottom w:val="nil"/>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 </w:t>
            </w:r>
          </w:p>
        </w:tc>
      </w:tr>
      <w:tr w:rsidR="0041102D" w:rsidRPr="00E54F52" w:rsidTr="0041102D">
        <w:trPr>
          <w:trHeight w:val="285"/>
        </w:trPr>
        <w:tc>
          <w:tcPr>
            <w:tcW w:w="1000" w:type="dxa"/>
            <w:tcBorders>
              <w:top w:val="nil"/>
              <w:left w:val="single" w:sz="8" w:space="0" w:color="000000"/>
              <w:bottom w:val="single" w:sz="8" w:space="0" w:color="000000"/>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Adult_10</w:t>
            </w:r>
          </w:p>
        </w:tc>
        <w:tc>
          <w:tcPr>
            <w:tcW w:w="1180" w:type="dxa"/>
            <w:tcBorders>
              <w:top w:val="nil"/>
              <w:left w:val="nil"/>
              <w:bottom w:val="single" w:sz="8" w:space="0" w:color="000000"/>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w:t>
            </w:r>
          </w:p>
        </w:tc>
        <w:tc>
          <w:tcPr>
            <w:tcW w:w="2240" w:type="dxa"/>
            <w:tcBorders>
              <w:top w:val="nil"/>
              <w:left w:val="nil"/>
              <w:bottom w:val="single" w:sz="8" w:space="0" w:color="000000"/>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 </w:t>
            </w:r>
          </w:p>
        </w:tc>
        <w:tc>
          <w:tcPr>
            <w:tcW w:w="1180" w:type="dxa"/>
            <w:tcBorders>
              <w:top w:val="nil"/>
              <w:left w:val="nil"/>
              <w:bottom w:val="single" w:sz="8" w:space="0" w:color="000000"/>
              <w:right w:val="nil"/>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 </w:t>
            </w:r>
          </w:p>
        </w:tc>
        <w:tc>
          <w:tcPr>
            <w:tcW w:w="1180" w:type="dxa"/>
            <w:tcBorders>
              <w:top w:val="nil"/>
              <w:left w:val="nil"/>
              <w:bottom w:val="single" w:sz="8" w:space="0" w:color="000000"/>
              <w:right w:val="single" w:sz="8" w:space="0" w:color="000000"/>
            </w:tcBorders>
            <w:shd w:val="clear" w:color="auto" w:fill="auto"/>
            <w:noWrap/>
            <w:vAlign w:val="center"/>
            <w:hideMark/>
          </w:tcPr>
          <w:p w:rsidR="0041102D" w:rsidRPr="00E54F52" w:rsidRDefault="0041102D" w:rsidP="0041102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val="en-AU"/>
              </w:rPr>
            </w:pPr>
            <w:r w:rsidRPr="00E54F52">
              <w:rPr>
                <w:rFonts w:eastAsia="Times New Roman"/>
                <w:color w:val="000000"/>
                <w:lang w:val="en-AU"/>
              </w:rPr>
              <w:t> </w:t>
            </w:r>
          </w:p>
        </w:tc>
      </w:tr>
    </w:tbl>
    <w:p w:rsidR="0041102D" w:rsidRPr="00E54F52" w:rsidRDefault="0041102D">
      <w:pPr>
        <w:spacing w:line="360" w:lineRule="auto"/>
        <w:jc w:val="both"/>
        <w:rPr>
          <w:rFonts w:ascii="Times New Roman" w:eastAsia="Times New Roman" w:hAnsi="Times New Roman" w:cs="Times New Roman"/>
          <w:b/>
          <w:sz w:val="24"/>
          <w:szCs w:val="24"/>
        </w:rPr>
      </w:pPr>
    </w:p>
    <w:p w:rsidR="00AC30A1" w:rsidRPr="00E54F52" w:rsidRDefault="00AC30A1" w:rsidP="00AC30A1">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rPr>
        <w:t xml:space="preserve">Columns labelled as Timepoint 1, 3 and 4 refer to sampling periods during the study design in (Waite </w:t>
      </w:r>
      <w:r w:rsidRPr="00E54F52">
        <w:rPr>
          <w:rFonts w:ascii="Times New Roman" w:eastAsia="Times New Roman" w:hAnsi="Times New Roman" w:cs="Times New Roman"/>
          <w:i/>
          <w:sz w:val="24"/>
          <w:szCs w:val="24"/>
        </w:rPr>
        <w:t>et al.</w:t>
      </w:r>
      <w:r w:rsidRPr="00E54F52">
        <w:rPr>
          <w:rFonts w:ascii="Times New Roman" w:eastAsia="Times New Roman" w:hAnsi="Times New Roman" w:cs="Times New Roman"/>
          <w:sz w:val="24"/>
          <w:szCs w:val="24"/>
        </w:rPr>
        <w:t>, 2014), following the exclusion of the hand-rearing phase (Timepoint 2 in original study). Additional sampling was performed for six individuals from which amplicon and metagenomic samples were generated.</w:t>
      </w:r>
    </w:p>
    <w:p w:rsidR="0041102D" w:rsidRPr="00E54F52" w:rsidRDefault="0041102D" w:rsidP="0041102D">
      <w:r w:rsidRPr="00E54F52">
        <w:br w:type="page"/>
      </w:r>
    </w:p>
    <w:p w:rsidR="00A73632" w:rsidRPr="00E54F52" w:rsidRDefault="00230DEC">
      <w:pPr>
        <w:spacing w:line="360" w:lineRule="auto"/>
        <w:jc w:val="both"/>
        <w:rPr>
          <w:rFonts w:ascii="Times New Roman" w:eastAsia="Times New Roman" w:hAnsi="Times New Roman" w:cs="Times New Roman"/>
          <w:b/>
          <w:sz w:val="24"/>
          <w:szCs w:val="24"/>
        </w:rPr>
      </w:pPr>
      <w:r w:rsidRPr="00E54F52">
        <w:rPr>
          <w:rFonts w:ascii="Times New Roman" w:eastAsia="Times New Roman" w:hAnsi="Times New Roman" w:cs="Times New Roman"/>
          <w:b/>
          <w:sz w:val="24"/>
          <w:szCs w:val="24"/>
        </w:rPr>
        <w:lastRenderedPageBreak/>
        <w:t>Table S2. Bacterial isolates used for genome sequencing</w:t>
      </w:r>
    </w:p>
    <w:tbl>
      <w:tblPr>
        <w:tblW w:w="7938" w:type="dxa"/>
        <w:tblInd w:w="108" w:type="dxa"/>
        <w:tblLook w:val="04A0" w:firstRow="1" w:lastRow="0" w:firstColumn="1" w:lastColumn="0" w:noHBand="0" w:noVBand="1"/>
      </w:tblPr>
      <w:tblGrid>
        <w:gridCol w:w="1065"/>
        <w:gridCol w:w="1900"/>
        <w:gridCol w:w="1560"/>
        <w:gridCol w:w="3413"/>
      </w:tblGrid>
      <w:tr w:rsidR="00292E00" w:rsidRPr="00E54F52" w:rsidTr="00B3637B">
        <w:trPr>
          <w:trHeight w:val="285"/>
        </w:trPr>
        <w:tc>
          <w:tcPr>
            <w:tcW w:w="1065" w:type="dxa"/>
            <w:tcBorders>
              <w:top w:val="single" w:sz="8" w:space="0" w:color="000000"/>
              <w:left w:val="nil"/>
              <w:bottom w:val="single" w:sz="8" w:space="0" w:color="000000"/>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SampleID</w:t>
            </w:r>
          </w:p>
        </w:tc>
        <w:tc>
          <w:tcPr>
            <w:tcW w:w="1900" w:type="dxa"/>
            <w:tcBorders>
              <w:top w:val="single" w:sz="8" w:space="0" w:color="000000"/>
              <w:left w:val="nil"/>
              <w:bottom w:val="single" w:sz="8" w:space="0" w:color="000000"/>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Isolation conditions</w:t>
            </w:r>
          </w:p>
        </w:tc>
        <w:tc>
          <w:tcPr>
            <w:tcW w:w="1560" w:type="dxa"/>
            <w:tcBorders>
              <w:top w:val="single" w:sz="8" w:space="0" w:color="000000"/>
              <w:left w:val="nil"/>
              <w:bottom w:val="single" w:sz="8" w:space="0" w:color="000000"/>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Banding Pattern</w:t>
            </w:r>
          </w:p>
        </w:tc>
        <w:tc>
          <w:tcPr>
            <w:tcW w:w="3413" w:type="dxa"/>
            <w:tcBorders>
              <w:top w:val="single" w:sz="8" w:space="0" w:color="000000"/>
              <w:left w:val="nil"/>
              <w:bottom w:val="single" w:sz="8" w:space="0" w:color="000000"/>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Closest BLAST Match</w:t>
            </w:r>
          </w:p>
        </w:tc>
      </w:tr>
      <w:tr w:rsidR="00292E00" w:rsidRPr="00E54F52" w:rsidTr="00B3637B">
        <w:trPr>
          <w:trHeight w:val="285"/>
        </w:trPr>
        <w:tc>
          <w:tcPr>
            <w:tcW w:w="1065"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BI01</w:t>
            </w:r>
          </w:p>
        </w:tc>
        <w:tc>
          <w:tcPr>
            <w:tcW w:w="190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LB (aerobic)</w:t>
            </w:r>
          </w:p>
        </w:tc>
        <w:tc>
          <w:tcPr>
            <w:tcW w:w="156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1</w:t>
            </w:r>
          </w:p>
        </w:tc>
        <w:tc>
          <w:tcPr>
            <w:tcW w:w="3413"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Escherichia fergusonii</w:t>
            </w:r>
          </w:p>
        </w:tc>
      </w:tr>
      <w:tr w:rsidR="00292E00" w:rsidRPr="00E54F52" w:rsidTr="00B3637B">
        <w:trPr>
          <w:trHeight w:val="285"/>
        </w:trPr>
        <w:tc>
          <w:tcPr>
            <w:tcW w:w="1065"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BI02</w:t>
            </w:r>
          </w:p>
        </w:tc>
        <w:tc>
          <w:tcPr>
            <w:tcW w:w="190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 </w:t>
            </w:r>
          </w:p>
        </w:tc>
        <w:tc>
          <w:tcPr>
            <w:tcW w:w="156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2</w:t>
            </w:r>
          </w:p>
        </w:tc>
        <w:tc>
          <w:tcPr>
            <w:tcW w:w="3413"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Escherichia fergusonii</w:t>
            </w:r>
          </w:p>
        </w:tc>
      </w:tr>
      <w:tr w:rsidR="00292E00" w:rsidRPr="00E54F52" w:rsidTr="00B3637B">
        <w:trPr>
          <w:trHeight w:val="285"/>
        </w:trPr>
        <w:tc>
          <w:tcPr>
            <w:tcW w:w="1065"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BI03</w:t>
            </w:r>
          </w:p>
        </w:tc>
        <w:tc>
          <w:tcPr>
            <w:tcW w:w="1900" w:type="dxa"/>
            <w:tcBorders>
              <w:top w:val="nil"/>
              <w:left w:val="nil"/>
              <w:bottom w:val="nil"/>
              <w:right w:val="nil"/>
            </w:tcBorders>
            <w:shd w:val="clear" w:color="auto" w:fill="auto"/>
            <w:noWrap/>
            <w:vAlign w:val="bottom"/>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p>
        </w:tc>
        <w:tc>
          <w:tcPr>
            <w:tcW w:w="1560"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3</w:t>
            </w:r>
          </w:p>
        </w:tc>
        <w:tc>
          <w:tcPr>
            <w:tcW w:w="3413"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Escherichia coli</w:t>
            </w:r>
          </w:p>
        </w:tc>
      </w:tr>
      <w:tr w:rsidR="00292E00" w:rsidRPr="00E54F52" w:rsidTr="00B3637B">
        <w:trPr>
          <w:trHeight w:val="285"/>
        </w:trPr>
        <w:tc>
          <w:tcPr>
            <w:tcW w:w="1065"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BI04</w:t>
            </w:r>
          </w:p>
        </w:tc>
        <w:tc>
          <w:tcPr>
            <w:tcW w:w="190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BHI (aerobic)</w:t>
            </w:r>
          </w:p>
        </w:tc>
        <w:tc>
          <w:tcPr>
            <w:tcW w:w="156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2</w:t>
            </w:r>
          </w:p>
        </w:tc>
        <w:tc>
          <w:tcPr>
            <w:tcW w:w="3413"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Escherichia fergusonii</w:t>
            </w:r>
          </w:p>
        </w:tc>
      </w:tr>
      <w:tr w:rsidR="00292E00" w:rsidRPr="00E54F52" w:rsidTr="00B3637B">
        <w:trPr>
          <w:trHeight w:val="285"/>
        </w:trPr>
        <w:tc>
          <w:tcPr>
            <w:tcW w:w="1065"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BI05</w:t>
            </w:r>
          </w:p>
        </w:tc>
        <w:tc>
          <w:tcPr>
            <w:tcW w:w="1900" w:type="dxa"/>
            <w:tcBorders>
              <w:top w:val="nil"/>
              <w:left w:val="nil"/>
              <w:bottom w:val="nil"/>
              <w:right w:val="nil"/>
            </w:tcBorders>
            <w:shd w:val="clear" w:color="auto" w:fill="auto"/>
            <w:noWrap/>
            <w:vAlign w:val="bottom"/>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p>
        </w:tc>
        <w:tc>
          <w:tcPr>
            <w:tcW w:w="1560"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3</w:t>
            </w:r>
          </w:p>
        </w:tc>
        <w:tc>
          <w:tcPr>
            <w:tcW w:w="3413"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Escherichia fergusonii</w:t>
            </w:r>
          </w:p>
        </w:tc>
      </w:tr>
      <w:tr w:rsidR="00292E00" w:rsidRPr="00E54F52" w:rsidTr="00B3637B">
        <w:trPr>
          <w:trHeight w:val="285"/>
        </w:trPr>
        <w:tc>
          <w:tcPr>
            <w:tcW w:w="1065"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BI06</w:t>
            </w:r>
          </w:p>
        </w:tc>
        <w:tc>
          <w:tcPr>
            <w:tcW w:w="190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LB (anaerobic)</w:t>
            </w:r>
          </w:p>
        </w:tc>
        <w:tc>
          <w:tcPr>
            <w:tcW w:w="156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2</w:t>
            </w:r>
          </w:p>
        </w:tc>
        <w:tc>
          <w:tcPr>
            <w:tcW w:w="3413"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Escherichia fergusonii</w:t>
            </w:r>
          </w:p>
        </w:tc>
      </w:tr>
      <w:tr w:rsidR="00292E00" w:rsidRPr="00E54F52" w:rsidTr="00B3637B">
        <w:trPr>
          <w:trHeight w:val="285"/>
        </w:trPr>
        <w:tc>
          <w:tcPr>
            <w:tcW w:w="1065"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BI07</w:t>
            </w:r>
          </w:p>
        </w:tc>
        <w:tc>
          <w:tcPr>
            <w:tcW w:w="190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 </w:t>
            </w:r>
          </w:p>
        </w:tc>
        <w:tc>
          <w:tcPr>
            <w:tcW w:w="156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3</w:t>
            </w:r>
          </w:p>
        </w:tc>
        <w:tc>
          <w:tcPr>
            <w:tcW w:w="3413"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Escherichia fergusonii</w:t>
            </w:r>
          </w:p>
        </w:tc>
      </w:tr>
      <w:tr w:rsidR="00292E00" w:rsidRPr="00E54F52" w:rsidTr="00B3637B">
        <w:trPr>
          <w:trHeight w:val="285"/>
        </w:trPr>
        <w:tc>
          <w:tcPr>
            <w:tcW w:w="1065"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BI08</w:t>
            </w:r>
          </w:p>
        </w:tc>
        <w:tc>
          <w:tcPr>
            <w:tcW w:w="1900"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BHI (anaerobic)</w:t>
            </w:r>
          </w:p>
        </w:tc>
        <w:tc>
          <w:tcPr>
            <w:tcW w:w="1560"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2</w:t>
            </w:r>
          </w:p>
        </w:tc>
        <w:tc>
          <w:tcPr>
            <w:tcW w:w="3413"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Escherichia fergusonii</w:t>
            </w:r>
          </w:p>
        </w:tc>
      </w:tr>
      <w:tr w:rsidR="00292E00" w:rsidRPr="00E54F52" w:rsidTr="00B3637B">
        <w:trPr>
          <w:trHeight w:val="285"/>
        </w:trPr>
        <w:tc>
          <w:tcPr>
            <w:tcW w:w="1065"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BI09</w:t>
            </w:r>
          </w:p>
        </w:tc>
        <w:tc>
          <w:tcPr>
            <w:tcW w:w="1900" w:type="dxa"/>
            <w:tcBorders>
              <w:top w:val="nil"/>
              <w:left w:val="nil"/>
              <w:bottom w:val="nil"/>
              <w:right w:val="nil"/>
            </w:tcBorders>
            <w:shd w:val="clear" w:color="auto" w:fill="auto"/>
            <w:noWrap/>
            <w:vAlign w:val="bottom"/>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p>
        </w:tc>
        <w:tc>
          <w:tcPr>
            <w:tcW w:w="1560"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3</w:t>
            </w:r>
          </w:p>
        </w:tc>
        <w:tc>
          <w:tcPr>
            <w:tcW w:w="3413"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Escherichia fergusonii</w:t>
            </w:r>
          </w:p>
        </w:tc>
      </w:tr>
      <w:tr w:rsidR="00292E00" w:rsidRPr="00E54F52" w:rsidTr="00B3637B">
        <w:trPr>
          <w:trHeight w:val="285"/>
        </w:trPr>
        <w:tc>
          <w:tcPr>
            <w:tcW w:w="1065"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BI10</w:t>
            </w:r>
          </w:p>
        </w:tc>
        <w:tc>
          <w:tcPr>
            <w:tcW w:w="1900"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M17 (anaerobic)</w:t>
            </w:r>
          </w:p>
        </w:tc>
        <w:tc>
          <w:tcPr>
            <w:tcW w:w="1560"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2</w:t>
            </w:r>
          </w:p>
        </w:tc>
        <w:tc>
          <w:tcPr>
            <w:tcW w:w="3413"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Escherichia fergusonii</w:t>
            </w:r>
          </w:p>
        </w:tc>
      </w:tr>
      <w:tr w:rsidR="00292E00" w:rsidRPr="00E54F52" w:rsidTr="00B3637B">
        <w:trPr>
          <w:trHeight w:val="285"/>
        </w:trPr>
        <w:tc>
          <w:tcPr>
            <w:tcW w:w="1065"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BI11</w:t>
            </w:r>
          </w:p>
        </w:tc>
        <w:tc>
          <w:tcPr>
            <w:tcW w:w="1900" w:type="dxa"/>
            <w:tcBorders>
              <w:top w:val="nil"/>
              <w:left w:val="nil"/>
              <w:bottom w:val="nil"/>
              <w:right w:val="nil"/>
            </w:tcBorders>
            <w:shd w:val="clear" w:color="auto" w:fill="auto"/>
            <w:noWrap/>
            <w:vAlign w:val="bottom"/>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p>
        </w:tc>
        <w:tc>
          <w:tcPr>
            <w:tcW w:w="1560"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3</w:t>
            </w:r>
          </w:p>
        </w:tc>
        <w:tc>
          <w:tcPr>
            <w:tcW w:w="3413"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Escherichia fergusonii</w:t>
            </w:r>
          </w:p>
        </w:tc>
      </w:tr>
      <w:tr w:rsidR="00292E00" w:rsidRPr="00E54F52" w:rsidTr="00B3637B">
        <w:trPr>
          <w:trHeight w:val="285"/>
        </w:trPr>
        <w:tc>
          <w:tcPr>
            <w:tcW w:w="1065"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BI12</w:t>
            </w:r>
          </w:p>
        </w:tc>
        <w:tc>
          <w:tcPr>
            <w:tcW w:w="190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MRS (anaerobic)</w:t>
            </w:r>
          </w:p>
        </w:tc>
        <w:tc>
          <w:tcPr>
            <w:tcW w:w="156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2</w:t>
            </w:r>
          </w:p>
        </w:tc>
        <w:tc>
          <w:tcPr>
            <w:tcW w:w="3413"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Escherichia fergusonii</w:t>
            </w:r>
          </w:p>
        </w:tc>
      </w:tr>
      <w:tr w:rsidR="00292E00" w:rsidRPr="00E54F52" w:rsidTr="00B3637B">
        <w:trPr>
          <w:trHeight w:val="285"/>
        </w:trPr>
        <w:tc>
          <w:tcPr>
            <w:tcW w:w="1065"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BI13</w:t>
            </w:r>
          </w:p>
        </w:tc>
        <w:tc>
          <w:tcPr>
            <w:tcW w:w="1900" w:type="dxa"/>
            <w:tcBorders>
              <w:top w:val="nil"/>
              <w:left w:val="nil"/>
              <w:bottom w:val="nil"/>
              <w:right w:val="nil"/>
            </w:tcBorders>
            <w:shd w:val="clear" w:color="auto" w:fill="auto"/>
            <w:noWrap/>
            <w:vAlign w:val="bottom"/>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p>
        </w:tc>
        <w:tc>
          <w:tcPr>
            <w:tcW w:w="1560"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3</w:t>
            </w:r>
          </w:p>
        </w:tc>
        <w:tc>
          <w:tcPr>
            <w:tcW w:w="3413" w:type="dxa"/>
            <w:tcBorders>
              <w:top w:val="nil"/>
              <w:left w:val="nil"/>
              <w:bottom w:val="nil"/>
              <w:right w:val="nil"/>
            </w:tcBorders>
            <w:shd w:val="clear" w:color="auto" w:fill="auto"/>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Escherichia fergusonii</w:t>
            </w:r>
          </w:p>
        </w:tc>
      </w:tr>
      <w:tr w:rsidR="00292E00" w:rsidRPr="00E54F52" w:rsidTr="00B3637B">
        <w:trPr>
          <w:trHeight w:val="285"/>
        </w:trPr>
        <w:tc>
          <w:tcPr>
            <w:tcW w:w="1065"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BI14</w:t>
            </w:r>
          </w:p>
        </w:tc>
        <w:tc>
          <w:tcPr>
            <w:tcW w:w="190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 </w:t>
            </w:r>
          </w:p>
        </w:tc>
        <w:tc>
          <w:tcPr>
            <w:tcW w:w="1560"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4</w:t>
            </w:r>
          </w:p>
        </w:tc>
        <w:tc>
          <w:tcPr>
            <w:tcW w:w="3413" w:type="dxa"/>
            <w:tcBorders>
              <w:top w:val="nil"/>
              <w:left w:val="nil"/>
              <w:bottom w:val="nil"/>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Streptococcus gallolyticus</w:t>
            </w:r>
          </w:p>
        </w:tc>
      </w:tr>
      <w:tr w:rsidR="00292E00" w:rsidRPr="00E54F52" w:rsidTr="00B3637B">
        <w:trPr>
          <w:trHeight w:val="285"/>
        </w:trPr>
        <w:tc>
          <w:tcPr>
            <w:tcW w:w="1065" w:type="dxa"/>
            <w:tcBorders>
              <w:top w:val="nil"/>
              <w:left w:val="nil"/>
              <w:bottom w:val="single" w:sz="8" w:space="0" w:color="000000"/>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BI15</w:t>
            </w:r>
          </w:p>
        </w:tc>
        <w:tc>
          <w:tcPr>
            <w:tcW w:w="1900" w:type="dxa"/>
            <w:tcBorders>
              <w:top w:val="nil"/>
              <w:left w:val="nil"/>
              <w:bottom w:val="single" w:sz="8" w:space="0" w:color="000000"/>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val="en-AU"/>
              </w:rPr>
            </w:pPr>
            <w:r w:rsidRPr="00E54F52">
              <w:rPr>
                <w:rFonts w:eastAsia="Times New Roman"/>
                <w:color w:val="000000"/>
                <w:lang w:val="en-AU"/>
              </w:rPr>
              <w:t> </w:t>
            </w:r>
          </w:p>
        </w:tc>
        <w:tc>
          <w:tcPr>
            <w:tcW w:w="1560" w:type="dxa"/>
            <w:tcBorders>
              <w:top w:val="nil"/>
              <w:left w:val="nil"/>
              <w:bottom w:val="single" w:sz="8" w:space="0" w:color="000000"/>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eastAsia="Times New Roman"/>
                <w:color w:val="000000"/>
                <w:lang w:val="en-AU"/>
              </w:rPr>
            </w:pPr>
            <w:r w:rsidRPr="00E54F52">
              <w:rPr>
                <w:rFonts w:eastAsia="Times New Roman"/>
                <w:color w:val="000000"/>
                <w:lang w:val="en-AU"/>
              </w:rPr>
              <w:t>5</w:t>
            </w:r>
          </w:p>
        </w:tc>
        <w:tc>
          <w:tcPr>
            <w:tcW w:w="3413" w:type="dxa"/>
            <w:tcBorders>
              <w:top w:val="nil"/>
              <w:left w:val="nil"/>
              <w:bottom w:val="single" w:sz="8" w:space="0" w:color="000000"/>
              <w:right w:val="nil"/>
            </w:tcBorders>
            <w:shd w:val="clear" w:color="D9D9D9" w:fill="D9D9D9"/>
            <w:noWrap/>
            <w:vAlign w:val="center"/>
            <w:hideMark/>
          </w:tcPr>
          <w:p w:rsidR="00292E00" w:rsidRPr="00E54F52" w:rsidRDefault="00292E00" w:rsidP="00292E00">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i/>
                <w:iCs/>
                <w:color w:val="000000"/>
                <w:lang w:val="en-AU"/>
              </w:rPr>
            </w:pPr>
            <w:r w:rsidRPr="00E54F52">
              <w:rPr>
                <w:rFonts w:eastAsia="Times New Roman"/>
                <w:i/>
                <w:iCs/>
                <w:color w:val="000000"/>
                <w:lang w:val="en-AU"/>
              </w:rPr>
              <w:t>Streptococcus gallolyticus</w:t>
            </w:r>
          </w:p>
        </w:tc>
      </w:tr>
    </w:tbl>
    <w:p w:rsidR="0041102D" w:rsidRPr="00E54F52" w:rsidRDefault="0041102D">
      <w:pPr>
        <w:spacing w:line="360" w:lineRule="auto"/>
        <w:jc w:val="both"/>
        <w:rPr>
          <w:rFonts w:ascii="Times New Roman" w:eastAsia="Times New Roman" w:hAnsi="Times New Roman" w:cs="Times New Roman"/>
          <w:b/>
          <w:sz w:val="24"/>
          <w:szCs w:val="24"/>
        </w:rPr>
      </w:pPr>
    </w:p>
    <w:p w:rsidR="0038671A" w:rsidRPr="00E54F52" w:rsidRDefault="007468A6">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rPr>
        <w:t>List of bacterial isolates previously obtained from a previous cultivation experiment (Waite et al., 2013). Table layout is modified from original publication and highlighted isolates were used for genome sequencing in this study. The kakapo from which these isolates were obtained was also included in the metagenomic cohort</w:t>
      </w:r>
      <w:r w:rsidR="00D87F54" w:rsidRPr="00E54F52">
        <w:rPr>
          <w:rFonts w:ascii="Times New Roman" w:eastAsia="Times New Roman" w:hAnsi="Times New Roman" w:cs="Times New Roman"/>
          <w:sz w:val="24"/>
          <w:szCs w:val="24"/>
        </w:rPr>
        <w:t xml:space="preserve"> (</w:t>
      </w:r>
      <w:r w:rsidR="00D87F54" w:rsidRPr="00E54F52">
        <w:rPr>
          <w:rFonts w:ascii="Times New Roman" w:eastAsia="Times New Roman" w:hAnsi="Times New Roman" w:cs="Times New Roman"/>
          <w:b/>
          <w:sz w:val="24"/>
          <w:szCs w:val="24"/>
        </w:rPr>
        <w:t>Table S1</w:t>
      </w:r>
      <w:r w:rsidR="00D87F54" w:rsidRPr="00E54F52">
        <w:rPr>
          <w:rFonts w:ascii="Times New Roman" w:eastAsia="Times New Roman" w:hAnsi="Times New Roman" w:cs="Times New Roman"/>
          <w:sz w:val="24"/>
          <w:szCs w:val="24"/>
        </w:rPr>
        <w:t>, Adult_4)</w:t>
      </w:r>
      <w:r w:rsidRPr="00E54F52">
        <w:rPr>
          <w:rFonts w:ascii="Times New Roman" w:eastAsia="Times New Roman" w:hAnsi="Times New Roman" w:cs="Times New Roman"/>
          <w:sz w:val="24"/>
          <w:szCs w:val="24"/>
        </w:rPr>
        <w:t>.</w:t>
      </w:r>
    </w:p>
    <w:p w:rsidR="0038671A" w:rsidRPr="00E54F52" w:rsidRDefault="0038671A" w:rsidP="0038671A">
      <w:r w:rsidRPr="00E54F52">
        <w:br w:type="page"/>
      </w:r>
    </w:p>
    <w:p w:rsidR="0038671A" w:rsidRPr="00E54F52" w:rsidRDefault="0038671A">
      <w:pPr>
        <w:spacing w:line="360" w:lineRule="auto"/>
        <w:jc w:val="both"/>
        <w:rPr>
          <w:rFonts w:ascii="Times New Roman" w:eastAsia="Times New Roman" w:hAnsi="Times New Roman" w:cs="Times New Roman"/>
          <w:sz w:val="24"/>
          <w:szCs w:val="24"/>
        </w:rPr>
        <w:sectPr w:rsidR="0038671A" w:rsidRPr="00E54F52" w:rsidSect="0041102D">
          <w:pgSz w:w="11906" w:h="16838"/>
          <w:pgMar w:top="1440" w:right="1440" w:bottom="1440" w:left="1440" w:header="0" w:footer="720" w:gutter="0"/>
          <w:pgNumType w:start="1"/>
          <w:cols w:space="720"/>
          <w:docGrid w:linePitch="299"/>
        </w:sectPr>
      </w:pPr>
    </w:p>
    <w:p w:rsidR="00A73632" w:rsidRPr="00E54F52" w:rsidRDefault="0038671A">
      <w:pPr>
        <w:spacing w:line="360" w:lineRule="auto"/>
        <w:jc w:val="both"/>
        <w:rPr>
          <w:rFonts w:ascii="Times New Roman" w:eastAsia="Times New Roman" w:hAnsi="Times New Roman" w:cs="Times New Roman"/>
          <w:b/>
          <w:sz w:val="24"/>
          <w:szCs w:val="24"/>
        </w:rPr>
      </w:pPr>
      <w:r w:rsidRPr="00E54F52">
        <w:rPr>
          <w:rFonts w:ascii="Times New Roman" w:eastAsia="Times New Roman" w:hAnsi="Times New Roman" w:cs="Times New Roman"/>
          <w:b/>
          <w:sz w:val="24"/>
          <w:szCs w:val="24"/>
        </w:rPr>
        <w:lastRenderedPageBreak/>
        <w:t>Table S3. Quality control and assembly statistics for genome and metagenome samples</w:t>
      </w:r>
    </w:p>
    <w:tbl>
      <w:tblPr>
        <w:tblW w:w="15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1958"/>
        <w:gridCol w:w="2654"/>
        <w:gridCol w:w="3016"/>
        <w:gridCol w:w="2268"/>
        <w:gridCol w:w="948"/>
        <w:gridCol w:w="940"/>
        <w:gridCol w:w="1685"/>
      </w:tblGrid>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Sample</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Raw reads (paired)</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High quality reads (paired)</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High quality reads (orphaned)</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Assembled bases (MB)</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Contigs</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N50</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Predicted genes</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BI01 (</w:t>
            </w:r>
            <w:r w:rsidRPr="00E54F52">
              <w:rPr>
                <w:rFonts w:eastAsia="Times New Roman"/>
                <w:i/>
                <w:color w:val="000000"/>
                <w:lang w:eastAsia="en-NZ"/>
              </w:rPr>
              <w:t>E. fergusonii</w:t>
            </w:r>
            <w:r w:rsidRPr="00E54F52">
              <w:rPr>
                <w:rFonts w:eastAsia="Times New Roman"/>
                <w:color w:val="000000"/>
                <w:lang w:eastAsia="en-NZ"/>
              </w:rPr>
              <w:t>)</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1,506,091</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1,434,660</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44,228</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4.75</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67</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183,225</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4,493</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BI02 (</w:t>
            </w:r>
            <w:r w:rsidRPr="00E54F52">
              <w:rPr>
                <w:rFonts w:eastAsia="Times New Roman"/>
                <w:i/>
                <w:color w:val="000000"/>
                <w:lang w:eastAsia="en-NZ"/>
              </w:rPr>
              <w:t>E. fergusonii</w:t>
            </w:r>
            <w:r w:rsidRPr="00E54F52">
              <w:rPr>
                <w:rFonts w:eastAsia="Times New Roman"/>
                <w:color w:val="000000"/>
                <w:lang w:eastAsia="en-NZ"/>
              </w:rPr>
              <w:t>)</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2,231,990</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2,044,394</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126,152</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4.73</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71</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435,364</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4,408</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BI04 (</w:t>
            </w:r>
            <w:r w:rsidRPr="00E54F52">
              <w:rPr>
                <w:rFonts w:eastAsia="Times New Roman"/>
                <w:i/>
                <w:color w:val="000000"/>
                <w:lang w:eastAsia="en-NZ"/>
              </w:rPr>
              <w:t>E. fergusonii</w:t>
            </w:r>
            <w:r w:rsidRPr="00E54F52">
              <w:rPr>
                <w:rFonts w:eastAsia="Times New Roman"/>
                <w:color w:val="000000"/>
                <w:lang w:eastAsia="en-NZ"/>
              </w:rPr>
              <w:t>)</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1,447,296</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1,413,427</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32,210</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4.70</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52</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362,224</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4,383</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BI06 (</w:t>
            </w:r>
            <w:r w:rsidRPr="00E54F52">
              <w:rPr>
                <w:rFonts w:eastAsia="Times New Roman"/>
                <w:i/>
                <w:color w:val="000000"/>
                <w:lang w:eastAsia="en-NZ"/>
              </w:rPr>
              <w:t>E. fergusonii</w:t>
            </w:r>
            <w:r w:rsidRPr="00E54F52">
              <w:rPr>
                <w:rFonts w:eastAsia="Times New Roman"/>
                <w:color w:val="000000"/>
                <w:lang w:eastAsia="en-NZ"/>
              </w:rPr>
              <w:t>)</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1,691,620</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1,661,742</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24,717</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4.75</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67</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275,438</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4,458</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BI07 (</w:t>
            </w:r>
            <w:r w:rsidRPr="00E54F52">
              <w:rPr>
                <w:rFonts w:eastAsia="Times New Roman"/>
                <w:i/>
                <w:color w:val="000000"/>
                <w:lang w:eastAsia="en-NZ"/>
              </w:rPr>
              <w:t>E. fergusonii</w:t>
            </w:r>
            <w:r w:rsidRPr="00E54F52">
              <w:rPr>
                <w:rFonts w:eastAsia="Times New Roman"/>
                <w:color w:val="000000"/>
                <w:lang w:eastAsia="en-NZ"/>
              </w:rPr>
              <w:t>)</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2,055,721</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1,986,430</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35,034</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5.23</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93</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201,913</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5,117</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BI12 (</w:t>
            </w:r>
            <w:r w:rsidRPr="00E54F52">
              <w:rPr>
                <w:rFonts w:eastAsia="Times New Roman"/>
                <w:i/>
                <w:color w:val="000000"/>
                <w:lang w:eastAsia="en-NZ"/>
              </w:rPr>
              <w:t>E. fergusonii</w:t>
            </w:r>
            <w:r w:rsidRPr="00E54F52">
              <w:rPr>
                <w:rFonts w:eastAsia="Times New Roman"/>
                <w:color w:val="000000"/>
                <w:lang w:eastAsia="en-NZ"/>
              </w:rPr>
              <w:t>)</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1,442,568</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1,363,285</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67,635</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5.43</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379</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66,601</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5,599</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BI14 (</w:t>
            </w:r>
            <w:r w:rsidRPr="00E54F52">
              <w:rPr>
                <w:rFonts w:eastAsia="Times New Roman"/>
                <w:i/>
                <w:color w:val="000000"/>
                <w:lang w:eastAsia="en-NZ"/>
              </w:rPr>
              <w:t>S. gallolyticus</w:t>
            </w:r>
            <w:r w:rsidRPr="00E54F52">
              <w:rPr>
                <w:rFonts w:eastAsia="Times New Roman"/>
                <w:color w:val="000000"/>
                <w:lang w:eastAsia="en-NZ"/>
              </w:rPr>
              <w:t>)</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1,725,202</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1,667,360</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54,060</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2.18</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121</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34,542</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2,236</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BI15 (</w:t>
            </w:r>
            <w:r w:rsidRPr="00E54F52">
              <w:rPr>
                <w:rFonts w:eastAsia="Times New Roman"/>
                <w:i/>
                <w:color w:val="000000"/>
                <w:lang w:eastAsia="en-NZ"/>
              </w:rPr>
              <w:t>S. gallolyticus</w:t>
            </w:r>
            <w:r w:rsidRPr="00E54F52">
              <w:rPr>
                <w:rFonts w:eastAsia="Times New Roman"/>
                <w:color w:val="000000"/>
                <w:lang w:eastAsia="en-NZ"/>
              </w:rPr>
              <w:t>)</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3,148,699</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2,963,285</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143,425</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2.16</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133</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33,976</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2,217</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Chick_6</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3,236,242</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3,096,959</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135,783</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Chick_7</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2,741,807</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2,706,660</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34,488</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Chick_9</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2,890,590</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2,857,683</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31,822</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Adult_1</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3,493,113</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3,415,822</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74,202</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Adult_2</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2,334,971</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2,288,253</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45,279</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r>
      <w:tr w:rsidR="00A474CE" w:rsidRPr="00E54F52" w:rsidTr="00A474CE">
        <w:trPr>
          <w:trHeight w:val="290"/>
          <w:jc w:val="center"/>
        </w:trPr>
        <w:tc>
          <w:tcPr>
            <w:tcW w:w="2400" w:type="dxa"/>
            <w:shd w:val="clear" w:color="auto" w:fill="auto"/>
            <w:noWrap/>
            <w:vAlign w:val="bottom"/>
            <w:hideMark/>
          </w:tcPr>
          <w:p w:rsidR="0038671A" w:rsidRPr="00E54F52" w:rsidRDefault="0038671A"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Adult_4</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3,574,059</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3,512,475</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60,786</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w:t>
            </w:r>
          </w:p>
        </w:tc>
      </w:tr>
      <w:tr w:rsidR="00A474CE" w:rsidRPr="00E54F52" w:rsidTr="00A474CE">
        <w:trPr>
          <w:trHeight w:val="300"/>
          <w:jc w:val="center"/>
        </w:trPr>
        <w:tc>
          <w:tcPr>
            <w:tcW w:w="2400" w:type="dxa"/>
            <w:shd w:val="clear" w:color="auto" w:fill="auto"/>
            <w:noWrap/>
            <w:vAlign w:val="bottom"/>
            <w:hideMark/>
          </w:tcPr>
          <w:p w:rsidR="0038671A" w:rsidRPr="00E54F52" w:rsidRDefault="00A474CE" w:rsidP="0038671A">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olor w:val="000000"/>
                <w:lang w:eastAsia="en-NZ"/>
              </w:rPr>
            </w:pPr>
            <w:r w:rsidRPr="00E54F52">
              <w:rPr>
                <w:rFonts w:eastAsia="Times New Roman"/>
                <w:color w:val="000000"/>
                <w:lang w:eastAsia="en-NZ"/>
              </w:rPr>
              <w:t>Metagenomic assembly</w:t>
            </w:r>
          </w:p>
        </w:tc>
        <w:tc>
          <w:tcPr>
            <w:tcW w:w="195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18,270,782</w:t>
            </w:r>
          </w:p>
        </w:tc>
        <w:tc>
          <w:tcPr>
            <w:tcW w:w="2654"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17,877,852</w:t>
            </w:r>
          </w:p>
        </w:tc>
        <w:tc>
          <w:tcPr>
            <w:tcW w:w="3016"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382,360</w:t>
            </w:r>
          </w:p>
        </w:tc>
        <w:tc>
          <w:tcPr>
            <w:tcW w:w="226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17.4</w:t>
            </w:r>
          </w:p>
        </w:tc>
        <w:tc>
          <w:tcPr>
            <w:tcW w:w="948"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6,869</w:t>
            </w:r>
          </w:p>
        </w:tc>
        <w:tc>
          <w:tcPr>
            <w:tcW w:w="940"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7,922</w:t>
            </w:r>
          </w:p>
        </w:tc>
        <w:tc>
          <w:tcPr>
            <w:tcW w:w="1685" w:type="dxa"/>
            <w:shd w:val="clear" w:color="auto" w:fill="auto"/>
            <w:noWrap/>
            <w:vAlign w:val="bottom"/>
            <w:hideMark/>
          </w:tcPr>
          <w:p w:rsidR="0038671A" w:rsidRPr="00E54F52" w:rsidRDefault="0038671A" w:rsidP="00A474CE">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olor w:val="000000"/>
                <w:lang w:eastAsia="en-NZ"/>
              </w:rPr>
            </w:pPr>
            <w:r w:rsidRPr="00E54F52">
              <w:rPr>
                <w:rFonts w:eastAsia="Times New Roman"/>
                <w:color w:val="000000"/>
                <w:lang w:eastAsia="en-NZ"/>
              </w:rPr>
              <w:t>257,679</w:t>
            </w:r>
          </w:p>
        </w:tc>
      </w:tr>
    </w:tbl>
    <w:p w:rsidR="00C2329F" w:rsidRPr="00E54F52" w:rsidRDefault="00C2329F">
      <w:pPr>
        <w:spacing w:line="360" w:lineRule="auto"/>
        <w:jc w:val="both"/>
        <w:rPr>
          <w:rFonts w:ascii="Times New Roman" w:eastAsia="Times New Roman" w:hAnsi="Times New Roman" w:cs="Times New Roman"/>
          <w:sz w:val="24"/>
          <w:szCs w:val="24"/>
        </w:rPr>
      </w:pPr>
    </w:p>
    <w:p w:rsidR="00C2329F" w:rsidRDefault="00F53CD5">
      <w:pPr>
        <w:spacing w:line="360" w:lineRule="auto"/>
        <w:jc w:val="both"/>
        <w:rPr>
          <w:rFonts w:ascii="Times New Roman" w:eastAsia="Times New Roman" w:hAnsi="Times New Roman" w:cs="Times New Roman"/>
          <w:sz w:val="24"/>
          <w:szCs w:val="24"/>
        </w:rPr>
      </w:pPr>
      <w:r w:rsidRPr="00E54F52">
        <w:rPr>
          <w:rFonts w:ascii="Times New Roman" w:eastAsia="Times New Roman" w:hAnsi="Times New Roman" w:cs="Times New Roman"/>
          <w:sz w:val="24"/>
          <w:szCs w:val="24"/>
        </w:rPr>
        <w:t>Reads used for metagenomics assembly (raw and quality filtered) are the sum of individual metagenomics samples.</w:t>
      </w:r>
    </w:p>
    <w:sectPr w:rsidR="00C2329F" w:rsidSect="0038671A">
      <w:pgSz w:w="16838" w:h="11906" w:orient="landscape"/>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C2B" w:rsidRDefault="00D60C2B" w:rsidP="00B274F4">
      <w:pPr>
        <w:spacing w:after="0" w:line="240" w:lineRule="auto"/>
      </w:pPr>
      <w:r>
        <w:separator/>
      </w:r>
    </w:p>
  </w:endnote>
  <w:endnote w:type="continuationSeparator" w:id="0">
    <w:p w:rsidR="00D60C2B" w:rsidRDefault="00D60C2B" w:rsidP="00B27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C2B" w:rsidRDefault="00D60C2B" w:rsidP="00B274F4">
      <w:pPr>
        <w:spacing w:after="0" w:line="240" w:lineRule="auto"/>
      </w:pPr>
      <w:r>
        <w:separator/>
      </w:r>
    </w:p>
  </w:footnote>
  <w:footnote w:type="continuationSeparator" w:id="0">
    <w:p w:rsidR="00D60C2B" w:rsidRDefault="00D60C2B" w:rsidP="00B274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73632"/>
    <w:rsid w:val="000242DB"/>
    <w:rsid w:val="00037211"/>
    <w:rsid w:val="0006458F"/>
    <w:rsid w:val="0006728E"/>
    <w:rsid w:val="00070206"/>
    <w:rsid w:val="000A66B9"/>
    <w:rsid w:val="000B2022"/>
    <w:rsid w:val="000D17C1"/>
    <w:rsid w:val="0011495D"/>
    <w:rsid w:val="00156222"/>
    <w:rsid w:val="00172742"/>
    <w:rsid w:val="00174EA3"/>
    <w:rsid w:val="001B2FFB"/>
    <w:rsid w:val="001B609C"/>
    <w:rsid w:val="001B75AE"/>
    <w:rsid w:val="001E7F6B"/>
    <w:rsid w:val="00230DEC"/>
    <w:rsid w:val="002359D5"/>
    <w:rsid w:val="00260738"/>
    <w:rsid w:val="002717CD"/>
    <w:rsid w:val="00274F2C"/>
    <w:rsid w:val="00292A2E"/>
    <w:rsid w:val="00292E00"/>
    <w:rsid w:val="002C5F34"/>
    <w:rsid w:val="002D11D7"/>
    <w:rsid w:val="002D47F9"/>
    <w:rsid w:val="002D6752"/>
    <w:rsid w:val="002F7013"/>
    <w:rsid w:val="00324316"/>
    <w:rsid w:val="003256AF"/>
    <w:rsid w:val="00325B74"/>
    <w:rsid w:val="003300BE"/>
    <w:rsid w:val="003318B5"/>
    <w:rsid w:val="00360219"/>
    <w:rsid w:val="00363A82"/>
    <w:rsid w:val="00365A52"/>
    <w:rsid w:val="00365FF4"/>
    <w:rsid w:val="003863D0"/>
    <w:rsid w:val="0038671A"/>
    <w:rsid w:val="003A43C4"/>
    <w:rsid w:val="003A68F4"/>
    <w:rsid w:val="003B7C91"/>
    <w:rsid w:val="004055AC"/>
    <w:rsid w:val="0041102D"/>
    <w:rsid w:val="004228F1"/>
    <w:rsid w:val="0042326D"/>
    <w:rsid w:val="00436C51"/>
    <w:rsid w:val="004379DC"/>
    <w:rsid w:val="00443EE6"/>
    <w:rsid w:val="004467A0"/>
    <w:rsid w:val="0047773A"/>
    <w:rsid w:val="0048587B"/>
    <w:rsid w:val="00486DF3"/>
    <w:rsid w:val="004908DD"/>
    <w:rsid w:val="0049737A"/>
    <w:rsid w:val="004A4AC3"/>
    <w:rsid w:val="004A6EB8"/>
    <w:rsid w:val="004C7F37"/>
    <w:rsid w:val="00561CD1"/>
    <w:rsid w:val="005806B6"/>
    <w:rsid w:val="005845D2"/>
    <w:rsid w:val="005850C9"/>
    <w:rsid w:val="005B085C"/>
    <w:rsid w:val="005C2BB4"/>
    <w:rsid w:val="00610970"/>
    <w:rsid w:val="006148CE"/>
    <w:rsid w:val="0062751D"/>
    <w:rsid w:val="00640E05"/>
    <w:rsid w:val="00646327"/>
    <w:rsid w:val="00662309"/>
    <w:rsid w:val="00674895"/>
    <w:rsid w:val="00693E54"/>
    <w:rsid w:val="006D2857"/>
    <w:rsid w:val="006E7FF8"/>
    <w:rsid w:val="006F1552"/>
    <w:rsid w:val="0074390E"/>
    <w:rsid w:val="007468A6"/>
    <w:rsid w:val="007B0062"/>
    <w:rsid w:val="007D6BE4"/>
    <w:rsid w:val="00821CC0"/>
    <w:rsid w:val="00874512"/>
    <w:rsid w:val="00880C60"/>
    <w:rsid w:val="0088182B"/>
    <w:rsid w:val="008B1790"/>
    <w:rsid w:val="008B6916"/>
    <w:rsid w:val="008E36A7"/>
    <w:rsid w:val="008F3055"/>
    <w:rsid w:val="00927931"/>
    <w:rsid w:val="00936E14"/>
    <w:rsid w:val="00972EEF"/>
    <w:rsid w:val="009978D7"/>
    <w:rsid w:val="009A2395"/>
    <w:rsid w:val="009A2722"/>
    <w:rsid w:val="009A3922"/>
    <w:rsid w:val="009A6D48"/>
    <w:rsid w:val="009C0566"/>
    <w:rsid w:val="009C3FBE"/>
    <w:rsid w:val="009F346F"/>
    <w:rsid w:val="00A0049D"/>
    <w:rsid w:val="00A0111B"/>
    <w:rsid w:val="00A474CE"/>
    <w:rsid w:val="00A7337F"/>
    <w:rsid w:val="00A73632"/>
    <w:rsid w:val="00AA4236"/>
    <w:rsid w:val="00AC30A1"/>
    <w:rsid w:val="00B07DFC"/>
    <w:rsid w:val="00B12B7D"/>
    <w:rsid w:val="00B274F4"/>
    <w:rsid w:val="00B3637B"/>
    <w:rsid w:val="00B85163"/>
    <w:rsid w:val="00BE662F"/>
    <w:rsid w:val="00BF08C9"/>
    <w:rsid w:val="00BF327C"/>
    <w:rsid w:val="00BF4F63"/>
    <w:rsid w:val="00C05C98"/>
    <w:rsid w:val="00C172E0"/>
    <w:rsid w:val="00C22479"/>
    <w:rsid w:val="00C2329F"/>
    <w:rsid w:val="00C41A63"/>
    <w:rsid w:val="00C4708E"/>
    <w:rsid w:val="00C54848"/>
    <w:rsid w:val="00C56465"/>
    <w:rsid w:val="00C56CA7"/>
    <w:rsid w:val="00C57DBF"/>
    <w:rsid w:val="00C674A2"/>
    <w:rsid w:val="00C874CC"/>
    <w:rsid w:val="00C95724"/>
    <w:rsid w:val="00C97E1C"/>
    <w:rsid w:val="00CE67C4"/>
    <w:rsid w:val="00CF204D"/>
    <w:rsid w:val="00D242C7"/>
    <w:rsid w:val="00D4247A"/>
    <w:rsid w:val="00D45C83"/>
    <w:rsid w:val="00D60C2B"/>
    <w:rsid w:val="00D75F3B"/>
    <w:rsid w:val="00D87F54"/>
    <w:rsid w:val="00E3196C"/>
    <w:rsid w:val="00E42711"/>
    <w:rsid w:val="00E54F52"/>
    <w:rsid w:val="00E731AD"/>
    <w:rsid w:val="00EC00AE"/>
    <w:rsid w:val="00EC5309"/>
    <w:rsid w:val="00EC68A1"/>
    <w:rsid w:val="00F31791"/>
    <w:rsid w:val="00F53CD5"/>
    <w:rsid w:val="00FA1188"/>
    <w:rsid w:val="00FA190D"/>
    <w:rsid w:val="00FB1FE6"/>
    <w:rsid w:val="00FD7C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C89B55-FA93-4323-9820-8821E5750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A"/>
        <w:sz w:val="22"/>
        <w:szCs w:val="22"/>
        <w:lang w:val="en-NZ" w:eastAsia="en-AU" w:bidi="ar-SA"/>
      </w:rPr>
    </w:rPrDefault>
    <w:pPrDefault>
      <w:pPr>
        <w:widowControl w:val="0"/>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spacing w:before="240" w:after="120"/>
    </w:pPr>
    <w:rPr>
      <w:rFonts w:ascii="Liberation Sans" w:eastAsia="Liberation Sans" w:hAnsi="Liberation Sans" w:cs="Liberation Sans"/>
      <w:sz w:val="28"/>
      <w:szCs w:val="28"/>
    </w:rPr>
  </w:style>
  <w:style w:type="paragraph" w:styleId="Subtitle">
    <w:name w:val="Subtitle"/>
    <w:basedOn w:val="Normal"/>
    <w:next w:val="Normal"/>
    <w:pPr>
      <w:keepNext/>
      <w:spacing w:before="240" w:after="120"/>
    </w:pPr>
    <w:rPr>
      <w:rFonts w:ascii="Liberation Sans" w:eastAsia="Liberation Sans" w:hAnsi="Liberation Sans" w:cs="Liberation Sans"/>
      <w:sz w:val="28"/>
      <w:szCs w:val="28"/>
    </w:rPr>
  </w:style>
  <w:style w:type="character" w:styleId="LineNumber">
    <w:name w:val="line number"/>
    <w:basedOn w:val="DefaultParagraphFont"/>
    <w:uiPriority w:val="99"/>
    <w:semiHidden/>
    <w:unhideWhenUsed/>
    <w:rsid w:val="002D6752"/>
  </w:style>
  <w:style w:type="paragraph" w:styleId="Header">
    <w:name w:val="header"/>
    <w:basedOn w:val="Normal"/>
    <w:link w:val="HeaderChar"/>
    <w:uiPriority w:val="99"/>
    <w:unhideWhenUsed/>
    <w:rsid w:val="00B274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4F4"/>
  </w:style>
  <w:style w:type="paragraph" w:styleId="Footer">
    <w:name w:val="footer"/>
    <w:basedOn w:val="Normal"/>
    <w:link w:val="FooterChar"/>
    <w:uiPriority w:val="99"/>
    <w:unhideWhenUsed/>
    <w:rsid w:val="00B27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7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733875">
      <w:bodyDiv w:val="1"/>
      <w:marLeft w:val="0"/>
      <w:marRight w:val="0"/>
      <w:marTop w:val="0"/>
      <w:marBottom w:val="0"/>
      <w:divBdr>
        <w:top w:val="none" w:sz="0" w:space="0" w:color="auto"/>
        <w:left w:val="none" w:sz="0" w:space="0" w:color="auto"/>
        <w:bottom w:val="none" w:sz="0" w:space="0" w:color="auto"/>
        <w:right w:val="none" w:sz="0" w:space="0" w:color="auto"/>
      </w:divBdr>
    </w:div>
    <w:div w:id="489757447">
      <w:bodyDiv w:val="1"/>
      <w:marLeft w:val="0"/>
      <w:marRight w:val="0"/>
      <w:marTop w:val="0"/>
      <w:marBottom w:val="0"/>
      <w:divBdr>
        <w:top w:val="none" w:sz="0" w:space="0" w:color="auto"/>
        <w:left w:val="none" w:sz="0" w:space="0" w:color="auto"/>
        <w:bottom w:val="none" w:sz="0" w:space="0" w:color="auto"/>
        <w:right w:val="none" w:sz="0" w:space="0" w:color="auto"/>
      </w:divBdr>
    </w:div>
    <w:div w:id="1033967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9D00B-3681-4D14-8A17-15CCA5C0D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9</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Waite</cp:lastModifiedBy>
  <cp:revision>145</cp:revision>
  <dcterms:created xsi:type="dcterms:W3CDTF">2017-10-29T01:31:00Z</dcterms:created>
  <dcterms:modified xsi:type="dcterms:W3CDTF">2018-04-15T10:20:00Z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a6f6b953-75b5-32c8-b8ea-96c50a51828d</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16th edition (author-date)</vt:lpwstr>
  </property>
  <property fmtid="{D5CDD505-2E9C-101B-9397-08002B2CF9AE}" pid="10" name="Mendeley Recent Style Id 3_1">
    <vt:lpwstr>http://www.zotero.org/styles/environmental-microbiology</vt:lpwstr>
  </property>
  <property fmtid="{D5CDD505-2E9C-101B-9397-08002B2CF9AE}" pid="11" name="Mendeley Recent Style Name 3_1">
    <vt:lpwstr>Environmental Microbiology</vt:lpwstr>
  </property>
  <property fmtid="{D5CDD505-2E9C-101B-9397-08002B2CF9AE}" pid="12" name="Mendeley Recent Style Id 4_1">
    <vt:lpwstr>http://www.zotero.org/styles/frontiers-in-microbiology</vt:lpwstr>
  </property>
  <property fmtid="{D5CDD505-2E9C-101B-9397-08002B2CF9AE}" pid="13" name="Mendeley Recent Style Name 4_1">
    <vt:lpwstr>Frontiers in Microbiology</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http://www.zotero.org/styles/the-isme-journal</vt:lpwstr>
  </property>
  <property fmtid="{D5CDD505-2E9C-101B-9397-08002B2CF9AE}" pid="23" name="Mendeley Recent Style Name 9_1">
    <vt:lpwstr>The ISME Journal</vt:lpwstr>
  </property>
  <property fmtid="{D5CDD505-2E9C-101B-9397-08002B2CF9AE}" pid="24" name="Mendeley Citation Style_1">
    <vt:lpwstr>http://www.zotero.org/styles/environmental-microbiology</vt:lpwstr>
  </property>
</Properties>
</file>