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6CCDF4" w14:textId="77777777" w:rsidR="008F45D7" w:rsidRPr="001C7B0E" w:rsidRDefault="008F45D7" w:rsidP="008F45D7">
      <w:pPr>
        <w:spacing w:line="360" w:lineRule="auto"/>
        <w:rPr>
          <w:rStyle w:val="Betont"/>
          <w:lang w:val="en-US"/>
        </w:rPr>
      </w:pPr>
      <w:r w:rsidRPr="001C7B0E">
        <w:rPr>
          <w:rStyle w:val="Betont"/>
          <w:lang w:val="en-US"/>
        </w:rPr>
        <w:t>Supplemental data:</w:t>
      </w:r>
    </w:p>
    <w:p w14:paraId="7025DAA3" w14:textId="77777777" w:rsidR="008F45D7" w:rsidRPr="0002154F" w:rsidRDefault="008F45D7" w:rsidP="008F45D7">
      <w:pPr>
        <w:spacing w:line="360" w:lineRule="auto"/>
        <w:rPr>
          <w:rFonts w:ascii="Arial" w:hAnsi="Arial" w:cs="Arial"/>
          <w:b/>
          <w:szCs w:val="28"/>
          <w:lang w:val="en-US"/>
        </w:rPr>
      </w:pPr>
    </w:p>
    <w:p w14:paraId="7741869D" w14:textId="77777777" w:rsidR="008F45D7" w:rsidRPr="00AE43CC" w:rsidRDefault="008F45D7" w:rsidP="008F45D7">
      <w:pPr>
        <w:spacing w:line="360" w:lineRule="auto"/>
        <w:rPr>
          <w:rFonts w:ascii="Arial" w:hAnsi="Arial" w:cs="Arial"/>
          <w:b/>
          <w:sz w:val="28"/>
          <w:szCs w:val="28"/>
          <w:lang w:val="en-US"/>
        </w:rPr>
      </w:pPr>
      <w:r>
        <w:rPr>
          <w:rFonts w:ascii="Arial" w:hAnsi="Arial" w:cs="Arial"/>
          <w:b/>
          <w:sz w:val="28"/>
          <w:szCs w:val="28"/>
          <w:lang w:val="en-US"/>
        </w:rPr>
        <w:t>Reelin and aromatase cooperate in ovarian follicle development</w:t>
      </w:r>
    </w:p>
    <w:p w14:paraId="27D6285A" w14:textId="77777777" w:rsidR="008F45D7" w:rsidRDefault="008F45D7" w:rsidP="008F45D7">
      <w:pPr>
        <w:spacing w:line="360" w:lineRule="auto"/>
        <w:jc w:val="both"/>
        <w:rPr>
          <w:rFonts w:ascii="Arial" w:hAnsi="Arial" w:cs="Arial"/>
          <w:vertAlign w:val="superscript"/>
          <w:lang w:val="en-US"/>
        </w:rPr>
      </w:pPr>
      <w:r>
        <w:rPr>
          <w:rFonts w:ascii="Arial" w:hAnsi="Arial" w:cs="Arial"/>
          <w:lang w:val="en-US"/>
        </w:rPr>
        <w:t xml:space="preserve">Maurice </w:t>
      </w:r>
      <w:proofErr w:type="spellStart"/>
      <w:r>
        <w:rPr>
          <w:rFonts w:ascii="Arial" w:hAnsi="Arial" w:cs="Arial"/>
          <w:lang w:val="en-US"/>
        </w:rPr>
        <w:t>Meseke</w:t>
      </w:r>
      <w:proofErr w:type="spellEnd"/>
      <w:r>
        <w:rPr>
          <w:rFonts w:ascii="Arial" w:hAnsi="Arial" w:cs="Arial"/>
          <w:lang w:val="en-US"/>
        </w:rPr>
        <w:t xml:space="preserve">, Felicitas </w:t>
      </w:r>
      <w:proofErr w:type="spellStart"/>
      <w:r>
        <w:rPr>
          <w:rFonts w:ascii="Arial" w:hAnsi="Arial" w:cs="Arial"/>
          <w:lang w:val="en-US"/>
        </w:rPr>
        <w:t>Pröls</w:t>
      </w:r>
      <w:proofErr w:type="spellEnd"/>
      <w:r>
        <w:rPr>
          <w:rFonts w:ascii="Arial" w:hAnsi="Arial" w:cs="Arial"/>
          <w:vertAlign w:val="superscript"/>
          <w:lang w:val="en-US"/>
        </w:rPr>
        <w:t>+</w:t>
      </w:r>
      <w:r>
        <w:rPr>
          <w:rFonts w:ascii="Arial" w:hAnsi="Arial" w:cs="Arial"/>
          <w:lang w:val="en-US"/>
        </w:rPr>
        <w:t xml:space="preserve">, Camilla </w:t>
      </w:r>
      <w:proofErr w:type="spellStart"/>
      <w:r>
        <w:rPr>
          <w:rFonts w:ascii="Arial" w:hAnsi="Arial" w:cs="Arial"/>
          <w:lang w:val="en-US"/>
        </w:rPr>
        <w:t>Schmahl</w:t>
      </w:r>
      <w:proofErr w:type="spellEnd"/>
      <w:r>
        <w:rPr>
          <w:rFonts w:ascii="Arial" w:hAnsi="Arial" w:cs="Arial"/>
          <w:lang w:val="en-US"/>
        </w:rPr>
        <w:t xml:space="preserve">, </w:t>
      </w:r>
      <w:proofErr w:type="spellStart"/>
      <w:r>
        <w:rPr>
          <w:rFonts w:ascii="Arial" w:hAnsi="Arial" w:cs="Arial"/>
          <w:lang w:val="en-US"/>
        </w:rPr>
        <w:t>Katja</w:t>
      </w:r>
      <w:proofErr w:type="spellEnd"/>
      <w:r>
        <w:rPr>
          <w:rFonts w:ascii="Arial" w:hAnsi="Arial" w:cs="Arial"/>
          <w:lang w:val="en-US"/>
        </w:rPr>
        <w:t xml:space="preserve"> </w:t>
      </w:r>
      <w:proofErr w:type="spellStart"/>
      <w:r>
        <w:rPr>
          <w:rFonts w:ascii="Arial" w:hAnsi="Arial" w:cs="Arial"/>
          <w:lang w:val="en-US"/>
        </w:rPr>
        <w:t>Seebo</w:t>
      </w:r>
      <w:proofErr w:type="spellEnd"/>
      <w:r>
        <w:rPr>
          <w:rFonts w:ascii="Arial" w:hAnsi="Arial" w:cs="Arial"/>
          <w:lang w:val="en-US"/>
        </w:rPr>
        <w:t xml:space="preserve">, </w:t>
      </w:r>
      <w:proofErr w:type="spellStart"/>
      <w:r>
        <w:rPr>
          <w:rFonts w:ascii="Arial" w:hAnsi="Arial" w:cs="Arial"/>
          <w:lang w:val="en-US"/>
        </w:rPr>
        <w:t>Claas</w:t>
      </w:r>
      <w:proofErr w:type="spellEnd"/>
      <w:r>
        <w:rPr>
          <w:rFonts w:ascii="Arial" w:hAnsi="Arial" w:cs="Arial"/>
          <w:lang w:val="en-US"/>
        </w:rPr>
        <w:t xml:space="preserve"> Kruse, Nicola Brandt, Lars Fester, </w:t>
      </w:r>
      <w:proofErr w:type="spellStart"/>
      <w:r>
        <w:rPr>
          <w:rFonts w:ascii="Arial" w:hAnsi="Arial" w:cs="Arial"/>
          <w:lang w:val="en-US"/>
        </w:rPr>
        <w:t>Lepu</w:t>
      </w:r>
      <w:proofErr w:type="spellEnd"/>
      <w:r>
        <w:rPr>
          <w:rFonts w:ascii="Arial" w:hAnsi="Arial" w:cs="Arial"/>
          <w:lang w:val="en-US"/>
        </w:rPr>
        <w:t xml:space="preserve"> Zhou, Gabriele M. Rune</w:t>
      </w:r>
      <w:proofErr w:type="gramStart"/>
      <w:r>
        <w:rPr>
          <w:rFonts w:ascii="Arial" w:hAnsi="Arial" w:cs="Arial"/>
          <w:vertAlign w:val="superscript"/>
          <w:lang w:val="en-US"/>
        </w:rPr>
        <w:t>,*</w:t>
      </w:r>
      <w:proofErr w:type="gramEnd"/>
    </w:p>
    <w:p w14:paraId="5DD6CD26" w14:textId="77777777" w:rsidR="008F45D7" w:rsidRDefault="008F45D7" w:rsidP="008F45D7">
      <w:pPr>
        <w:spacing w:line="360" w:lineRule="auto"/>
        <w:jc w:val="both"/>
        <w:rPr>
          <w:rFonts w:ascii="Arial" w:hAnsi="Arial" w:cs="Arial"/>
          <w:b/>
          <w:lang w:val="en-US"/>
        </w:rPr>
      </w:pPr>
    </w:p>
    <w:p w14:paraId="14891D73" w14:textId="77777777" w:rsidR="008F45D7" w:rsidRDefault="008F45D7" w:rsidP="008F45D7">
      <w:pPr>
        <w:spacing w:line="360" w:lineRule="auto"/>
        <w:jc w:val="both"/>
        <w:rPr>
          <w:rFonts w:ascii="Arial" w:hAnsi="Arial" w:cs="Arial"/>
          <w:sz w:val="20"/>
          <w:lang w:val="en-US"/>
        </w:rPr>
      </w:pPr>
      <w:r w:rsidRPr="008F44F9">
        <w:rPr>
          <w:rFonts w:ascii="Arial" w:hAnsi="Arial" w:cs="Arial"/>
          <w:sz w:val="20"/>
          <w:lang w:val="en-US"/>
        </w:rPr>
        <w:t xml:space="preserve">Institute of Neuroanatomy, University Medical Center Hamburg-Eppendorf, </w:t>
      </w:r>
      <w:proofErr w:type="spellStart"/>
      <w:r w:rsidRPr="008F44F9">
        <w:rPr>
          <w:rFonts w:ascii="Arial" w:hAnsi="Arial" w:cs="Arial"/>
          <w:sz w:val="20"/>
          <w:lang w:val="en-US"/>
        </w:rPr>
        <w:t>Martinistr</w:t>
      </w:r>
      <w:proofErr w:type="spellEnd"/>
      <w:r w:rsidRPr="008F44F9">
        <w:rPr>
          <w:rFonts w:ascii="Arial" w:hAnsi="Arial" w:cs="Arial"/>
          <w:sz w:val="20"/>
          <w:lang w:val="en-US"/>
        </w:rPr>
        <w:t>. 52, 20246 Hamburg, Germany</w:t>
      </w:r>
      <w:r>
        <w:rPr>
          <w:rFonts w:ascii="Arial" w:hAnsi="Arial" w:cs="Arial"/>
          <w:sz w:val="20"/>
          <w:lang w:val="en-US"/>
        </w:rPr>
        <w:t>;</w:t>
      </w:r>
      <w:r w:rsidRPr="008F44F9">
        <w:rPr>
          <w:rFonts w:ascii="Arial" w:hAnsi="Arial" w:cs="Arial"/>
          <w:sz w:val="20"/>
          <w:lang w:val="en-US"/>
        </w:rPr>
        <w:t xml:space="preserve"> </w:t>
      </w:r>
      <w:r w:rsidRPr="008F44F9">
        <w:rPr>
          <w:rFonts w:ascii="Arial" w:hAnsi="Arial" w:cs="Arial"/>
          <w:b/>
          <w:sz w:val="20"/>
          <w:vertAlign w:val="superscript"/>
          <w:lang w:val="en-US"/>
        </w:rPr>
        <w:t>+</w:t>
      </w:r>
      <w:r w:rsidRPr="008F44F9">
        <w:rPr>
          <w:rFonts w:ascii="Arial" w:hAnsi="Arial" w:cs="Arial"/>
          <w:sz w:val="20"/>
          <w:lang w:val="en-US"/>
        </w:rPr>
        <w:t xml:space="preserve"> present address:</w:t>
      </w:r>
      <w:r w:rsidRPr="008F44F9">
        <w:rPr>
          <w:rFonts w:ascii="Arial" w:hAnsi="Arial" w:cs="Arial"/>
          <w:sz w:val="20"/>
          <w:vertAlign w:val="superscript"/>
          <w:lang w:val="en-US"/>
        </w:rPr>
        <w:t xml:space="preserve">  </w:t>
      </w:r>
      <w:r w:rsidRPr="008F44F9">
        <w:rPr>
          <w:rFonts w:ascii="Arial" w:hAnsi="Arial" w:cs="Arial"/>
          <w:sz w:val="20"/>
          <w:lang w:val="en-US"/>
        </w:rPr>
        <w:t xml:space="preserve"> Institute of Anatomy II, University Medical Department of Cologne, </w:t>
      </w:r>
      <w:r w:rsidRPr="008F44F9">
        <w:rPr>
          <w:rFonts w:ascii="Arial" w:eastAsia="Times New Roman" w:hAnsi="Arial" w:cs="Arial"/>
          <w:sz w:val="20"/>
          <w:lang w:val="en-US"/>
        </w:rPr>
        <w:t>Joseph-</w:t>
      </w:r>
      <w:proofErr w:type="spellStart"/>
      <w:r w:rsidRPr="008F44F9">
        <w:rPr>
          <w:rFonts w:ascii="Arial" w:eastAsia="Times New Roman" w:hAnsi="Arial" w:cs="Arial"/>
          <w:sz w:val="20"/>
          <w:lang w:val="en-US"/>
        </w:rPr>
        <w:t>Stelzmann</w:t>
      </w:r>
      <w:proofErr w:type="spellEnd"/>
      <w:r w:rsidRPr="008F44F9">
        <w:rPr>
          <w:rFonts w:ascii="Arial" w:eastAsia="Times New Roman" w:hAnsi="Arial" w:cs="Arial"/>
          <w:sz w:val="20"/>
          <w:lang w:val="en-US"/>
        </w:rPr>
        <w:t xml:space="preserve"> Str. 9, 50931</w:t>
      </w:r>
      <w:r w:rsidRPr="008F44F9">
        <w:rPr>
          <w:rFonts w:eastAsia="Times New Roman"/>
          <w:sz w:val="20"/>
          <w:lang w:val="en-US"/>
        </w:rPr>
        <w:t xml:space="preserve"> </w:t>
      </w:r>
      <w:r w:rsidRPr="008F44F9">
        <w:rPr>
          <w:rFonts w:ascii="Arial" w:eastAsia="Times New Roman" w:hAnsi="Arial" w:cs="Arial"/>
          <w:sz w:val="20"/>
          <w:lang w:val="en-US"/>
        </w:rPr>
        <w:t>Köln</w:t>
      </w:r>
      <w:r w:rsidRPr="008F44F9">
        <w:rPr>
          <w:rFonts w:eastAsia="Times New Roman"/>
          <w:sz w:val="20"/>
          <w:lang w:val="en-US"/>
        </w:rPr>
        <w:t xml:space="preserve">, </w:t>
      </w:r>
      <w:r w:rsidRPr="008F44F9">
        <w:rPr>
          <w:rFonts w:ascii="Arial" w:hAnsi="Arial" w:cs="Arial"/>
          <w:sz w:val="20"/>
          <w:lang w:val="en-US"/>
        </w:rPr>
        <w:t>Germany</w:t>
      </w:r>
    </w:p>
    <w:p w14:paraId="6B3B74CE" w14:textId="77777777" w:rsidR="008F45D7" w:rsidRPr="008F44F9" w:rsidRDefault="008F45D7" w:rsidP="008F45D7">
      <w:pPr>
        <w:spacing w:line="360" w:lineRule="auto"/>
        <w:jc w:val="both"/>
        <w:rPr>
          <w:rFonts w:ascii="Arial" w:hAnsi="Arial" w:cs="Arial"/>
          <w:sz w:val="20"/>
          <w:lang w:val="en-US"/>
        </w:rPr>
      </w:pPr>
    </w:p>
    <w:p w14:paraId="62FCED3B" w14:textId="77777777" w:rsidR="008F45D7" w:rsidRDefault="008F45D7" w:rsidP="008F45D7">
      <w:pPr>
        <w:rPr>
          <w:lang w:val="en-US"/>
        </w:rPr>
      </w:pPr>
      <w:r>
        <w:rPr>
          <w:lang w:val="en-US"/>
        </w:rPr>
        <w:t>Supplemental data to figure 2d:</w:t>
      </w:r>
    </w:p>
    <w:p w14:paraId="1C25EDF1" w14:textId="77777777" w:rsidR="008F45D7" w:rsidRDefault="008F45D7" w:rsidP="008F45D7">
      <w:pPr>
        <w:rPr>
          <w:lang w:val="en-US"/>
        </w:rPr>
      </w:pPr>
    </w:p>
    <w:p w14:paraId="7625F38A" w14:textId="77777777" w:rsidR="008F45D7" w:rsidRPr="001C7B0E" w:rsidRDefault="008F45D7" w:rsidP="008F45D7">
      <w:pPr>
        <w:rPr>
          <w:lang w:val="en-US"/>
        </w:rPr>
      </w:pPr>
      <w:r>
        <w:rPr>
          <w:noProof/>
          <w:lang w:eastAsia="de-DE"/>
        </w:rPr>
        <w:drawing>
          <wp:inline distT="0" distB="0" distL="0" distR="0" wp14:anchorId="56DB16AE" wp14:editId="2E01E38F">
            <wp:extent cx="5760720" cy="1670685"/>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Fig2-4.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1670685"/>
                    </a:xfrm>
                    <a:prstGeom prst="rect">
                      <a:avLst/>
                    </a:prstGeom>
                  </pic:spPr>
                </pic:pic>
              </a:graphicData>
            </a:graphic>
          </wp:inline>
        </w:drawing>
      </w:r>
    </w:p>
    <w:p w14:paraId="28FCEFCB" w14:textId="77777777" w:rsidR="008F45D7" w:rsidRDefault="008F45D7" w:rsidP="008F45D7">
      <w:pPr>
        <w:rPr>
          <w:lang w:val="en-US"/>
        </w:rPr>
      </w:pPr>
    </w:p>
    <w:p w14:paraId="0A87FF90" w14:textId="77777777" w:rsidR="008F45D7" w:rsidRDefault="008F45D7" w:rsidP="008F45D7">
      <w:pPr>
        <w:jc w:val="both"/>
        <w:rPr>
          <w:lang w:val="en-US"/>
        </w:rPr>
      </w:pPr>
      <w:r>
        <w:rPr>
          <w:lang w:val="en-US"/>
        </w:rPr>
        <w:t>Figure legend:</w:t>
      </w:r>
    </w:p>
    <w:p w14:paraId="1E63EF5C" w14:textId="77777777" w:rsidR="008F45D7" w:rsidRDefault="008F45D7" w:rsidP="008F45D7">
      <w:pPr>
        <w:jc w:val="both"/>
        <w:rPr>
          <w:lang w:val="en-US"/>
        </w:rPr>
      </w:pPr>
    </w:p>
    <w:p w14:paraId="7AE2712A" w14:textId="77777777" w:rsidR="008F45D7" w:rsidRDefault="008F45D7" w:rsidP="008F45D7">
      <w:pPr>
        <w:jc w:val="both"/>
        <w:rPr>
          <w:lang w:val="en-US"/>
        </w:rPr>
      </w:pPr>
      <w:r>
        <w:rPr>
          <w:lang w:val="en-US"/>
        </w:rPr>
        <w:t>Figure (A) depicts the original, uncropped western blot presented in the manuscript in figure 2d. Red rectangle highlights the three wild-type (</w:t>
      </w:r>
      <w:r w:rsidRPr="00AE4BFD">
        <w:rPr>
          <w:b/>
          <w:lang w:val="en-US"/>
        </w:rPr>
        <w:t>+/+</w:t>
      </w:r>
      <w:r>
        <w:rPr>
          <w:lang w:val="en-US"/>
        </w:rPr>
        <w:t xml:space="preserve">) and three homozygous </w:t>
      </w:r>
      <w:proofErr w:type="spellStart"/>
      <w:r>
        <w:rPr>
          <w:lang w:val="en-US"/>
        </w:rPr>
        <w:t>reeler</w:t>
      </w:r>
      <w:proofErr w:type="spellEnd"/>
      <w:r>
        <w:rPr>
          <w:lang w:val="en-US"/>
        </w:rPr>
        <w:t xml:space="preserve"> (</w:t>
      </w:r>
      <w:r w:rsidRPr="00AE4BFD">
        <w:rPr>
          <w:b/>
          <w:lang w:val="en-US"/>
        </w:rPr>
        <w:t>-/-</w:t>
      </w:r>
      <w:r>
        <w:rPr>
          <w:lang w:val="en-US"/>
        </w:rPr>
        <w:t xml:space="preserve">) mice aromatase positive bands of approximately 55 </w:t>
      </w:r>
      <w:proofErr w:type="spellStart"/>
      <w:r>
        <w:rPr>
          <w:lang w:val="en-US"/>
        </w:rPr>
        <w:t>kDa</w:t>
      </w:r>
      <w:proofErr w:type="spellEnd"/>
      <w:r>
        <w:rPr>
          <w:lang w:val="en-US"/>
        </w:rPr>
        <w:t xml:space="preserve"> that are presented in the manuscript. Upper black arrow marks the CYP19A1 (aromatase) positive band, lower black arrow the GAPDH positive band used for standardization. Even visual inspection reveals a decreased aromatase positive signal for all three </w:t>
      </w:r>
      <w:proofErr w:type="spellStart"/>
      <w:r>
        <w:rPr>
          <w:lang w:val="en-US"/>
        </w:rPr>
        <w:t>reeler</w:t>
      </w:r>
      <w:proofErr w:type="spellEnd"/>
      <w:r>
        <w:rPr>
          <w:lang w:val="en-US"/>
        </w:rPr>
        <w:t xml:space="preserve"> mutants. </w:t>
      </w:r>
      <w:r w:rsidRPr="00AE4BFD">
        <w:rPr>
          <w:b/>
          <w:lang w:val="en-US"/>
        </w:rPr>
        <w:t>+/-</w:t>
      </w:r>
      <w:r>
        <w:rPr>
          <w:lang w:val="en-US"/>
        </w:rPr>
        <w:t xml:space="preserve"> marks the reelin heterozygous genotype, which has not been analyzed. </w:t>
      </w:r>
    </w:p>
    <w:p w14:paraId="5C1C42CE" w14:textId="77777777" w:rsidR="008F45D7" w:rsidRDefault="008F45D7" w:rsidP="008F45D7">
      <w:pPr>
        <w:rPr>
          <w:lang w:val="en-US"/>
        </w:rPr>
      </w:pPr>
    </w:p>
    <w:p w14:paraId="433BBE10" w14:textId="77777777" w:rsidR="003174B3" w:rsidRDefault="003174B3" w:rsidP="008F45D7">
      <w:pPr>
        <w:rPr>
          <w:lang w:val="en-US"/>
        </w:rPr>
      </w:pPr>
    </w:p>
    <w:p w14:paraId="65F754DC" w14:textId="77777777" w:rsidR="003174B3" w:rsidRDefault="003174B3" w:rsidP="008F45D7">
      <w:pPr>
        <w:rPr>
          <w:lang w:val="en-US"/>
        </w:rPr>
      </w:pPr>
    </w:p>
    <w:p w14:paraId="5C7F6F16" w14:textId="77777777" w:rsidR="003174B3" w:rsidRDefault="003174B3" w:rsidP="008F45D7">
      <w:pPr>
        <w:rPr>
          <w:lang w:val="en-US"/>
        </w:rPr>
      </w:pPr>
    </w:p>
    <w:p w14:paraId="1FD57FCD" w14:textId="77777777" w:rsidR="003174B3" w:rsidRDefault="003174B3" w:rsidP="008F45D7">
      <w:pPr>
        <w:rPr>
          <w:lang w:val="en-US"/>
        </w:rPr>
      </w:pPr>
    </w:p>
    <w:p w14:paraId="5C94A906" w14:textId="77777777" w:rsidR="003174B3" w:rsidRDefault="003174B3" w:rsidP="008F45D7">
      <w:pPr>
        <w:rPr>
          <w:lang w:val="en-US"/>
        </w:rPr>
      </w:pPr>
    </w:p>
    <w:p w14:paraId="4E2524F1" w14:textId="77777777" w:rsidR="003174B3" w:rsidRDefault="003174B3" w:rsidP="008F45D7">
      <w:pPr>
        <w:rPr>
          <w:lang w:val="en-US"/>
        </w:rPr>
      </w:pPr>
    </w:p>
    <w:p w14:paraId="0207229F" w14:textId="77777777" w:rsidR="003174B3" w:rsidRDefault="003174B3" w:rsidP="008F45D7">
      <w:pPr>
        <w:rPr>
          <w:lang w:val="en-US"/>
        </w:rPr>
      </w:pPr>
    </w:p>
    <w:p w14:paraId="66C7E4E8" w14:textId="77777777" w:rsidR="003174B3" w:rsidRDefault="003174B3" w:rsidP="008F45D7">
      <w:pPr>
        <w:rPr>
          <w:lang w:val="en-US"/>
        </w:rPr>
      </w:pPr>
    </w:p>
    <w:p w14:paraId="1DA58C80" w14:textId="77777777" w:rsidR="003174B3" w:rsidRDefault="003174B3" w:rsidP="008F45D7">
      <w:pPr>
        <w:rPr>
          <w:lang w:val="en-US"/>
        </w:rPr>
      </w:pPr>
    </w:p>
    <w:p w14:paraId="730BCA69" w14:textId="77777777" w:rsidR="003174B3" w:rsidRDefault="003174B3" w:rsidP="008F45D7">
      <w:pPr>
        <w:rPr>
          <w:lang w:val="en-US"/>
        </w:rPr>
      </w:pPr>
    </w:p>
    <w:p w14:paraId="26611C07" w14:textId="77777777" w:rsidR="003174B3" w:rsidRDefault="003174B3" w:rsidP="008F45D7">
      <w:pPr>
        <w:rPr>
          <w:lang w:val="en-US"/>
        </w:rPr>
      </w:pPr>
    </w:p>
    <w:p w14:paraId="767CF203" w14:textId="77777777" w:rsidR="003174B3" w:rsidRDefault="003174B3" w:rsidP="008F45D7">
      <w:pPr>
        <w:rPr>
          <w:lang w:val="en-US"/>
        </w:rPr>
      </w:pPr>
    </w:p>
    <w:p w14:paraId="325D4325" w14:textId="77777777" w:rsidR="003174B3" w:rsidRDefault="003174B3" w:rsidP="008F45D7">
      <w:pPr>
        <w:rPr>
          <w:lang w:val="en-US"/>
        </w:rPr>
      </w:pPr>
    </w:p>
    <w:p w14:paraId="3EE5A534" w14:textId="77777777" w:rsidR="008F45D7" w:rsidRDefault="008F45D7" w:rsidP="008F45D7">
      <w:pPr>
        <w:rPr>
          <w:lang w:val="en-US"/>
        </w:rPr>
      </w:pPr>
    </w:p>
    <w:p w14:paraId="0AFF8FAA" w14:textId="77777777" w:rsidR="008F45D7" w:rsidRDefault="00BE6A71" w:rsidP="008F45D7">
      <w:pPr>
        <w:rPr>
          <w:lang w:val="en-US"/>
        </w:rPr>
      </w:pPr>
      <w:r>
        <w:rPr>
          <w:lang w:val="en-US"/>
        </w:rPr>
        <w:lastRenderedPageBreak/>
        <w:t>Supplemental data to figure 4f</w:t>
      </w:r>
      <w:r w:rsidR="008F45D7">
        <w:rPr>
          <w:lang w:val="en-US"/>
        </w:rPr>
        <w:t>:</w:t>
      </w:r>
    </w:p>
    <w:p w14:paraId="09372316" w14:textId="77777777" w:rsidR="008F45D7" w:rsidRDefault="008F45D7" w:rsidP="008F45D7">
      <w:pPr>
        <w:rPr>
          <w:lang w:val="en-US"/>
        </w:rPr>
      </w:pPr>
    </w:p>
    <w:p w14:paraId="2349AA8E" w14:textId="77777777" w:rsidR="008F45D7" w:rsidRDefault="008F45D7" w:rsidP="008F45D7">
      <w:pPr>
        <w:jc w:val="both"/>
        <w:rPr>
          <w:lang w:val="en-US"/>
        </w:rPr>
      </w:pPr>
      <w:r>
        <w:rPr>
          <w:noProof/>
          <w:lang w:eastAsia="de-DE"/>
        </w:rPr>
        <w:drawing>
          <wp:inline distT="0" distB="0" distL="0" distR="0" wp14:anchorId="1983B054" wp14:editId="6C105603">
            <wp:extent cx="5315712" cy="4337304"/>
            <wp:effectExtent l="0" t="0" r="0"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Fig3-2.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15712" cy="4337304"/>
                    </a:xfrm>
                    <a:prstGeom prst="rect">
                      <a:avLst/>
                    </a:prstGeom>
                  </pic:spPr>
                </pic:pic>
              </a:graphicData>
            </a:graphic>
          </wp:inline>
        </w:drawing>
      </w:r>
    </w:p>
    <w:p w14:paraId="5C20DFD4" w14:textId="77777777" w:rsidR="008F45D7" w:rsidRDefault="008F45D7" w:rsidP="008F45D7">
      <w:pPr>
        <w:jc w:val="both"/>
        <w:rPr>
          <w:lang w:val="en-US"/>
        </w:rPr>
      </w:pPr>
    </w:p>
    <w:p w14:paraId="7437A479" w14:textId="77777777" w:rsidR="008F45D7" w:rsidRDefault="008F45D7" w:rsidP="008F45D7">
      <w:pPr>
        <w:jc w:val="both"/>
        <w:rPr>
          <w:lang w:val="en-US"/>
        </w:rPr>
      </w:pPr>
      <w:r>
        <w:rPr>
          <w:lang w:val="en-US"/>
        </w:rPr>
        <w:t>Figure legend:</w:t>
      </w:r>
    </w:p>
    <w:p w14:paraId="15ADBBB5" w14:textId="77777777" w:rsidR="008F45D7" w:rsidRDefault="008F45D7" w:rsidP="008F45D7">
      <w:pPr>
        <w:jc w:val="both"/>
        <w:rPr>
          <w:lang w:val="en-US"/>
        </w:rPr>
      </w:pPr>
    </w:p>
    <w:p w14:paraId="4506CB12" w14:textId="77777777" w:rsidR="008F45D7" w:rsidRDefault="008F45D7" w:rsidP="008F45D7">
      <w:pPr>
        <w:jc w:val="both"/>
        <w:rPr>
          <w:lang w:val="en-US"/>
        </w:rPr>
      </w:pPr>
      <w:r>
        <w:rPr>
          <w:lang w:val="en-US"/>
        </w:rPr>
        <w:t xml:space="preserve">The original, uncropped </w:t>
      </w:r>
      <w:proofErr w:type="gramStart"/>
      <w:r>
        <w:rPr>
          <w:lang w:val="en-US"/>
        </w:rPr>
        <w:t xml:space="preserve">version of the presented western blotting </w:t>
      </w:r>
      <w:r w:rsidR="00BE6A71">
        <w:rPr>
          <w:lang w:val="en-US"/>
        </w:rPr>
        <w:t>bands from figure 4f</w:t>
      </w:r>
      <w:r>
        <w:rPr>
          <w:lang w:val="en-US"/>
        </w:rPr>
        <w:t xml:space="preserve"> are</w:t>
      </w:r>
      <w:proofErr w:type="gramEnd"/>
      <w:r>
        <w:rPr>
          <w:lang w:val="en-US"/>
        </w:rPr>
        <w:t xml:space="preserve"> shown here.</w:t>
      </w:r>
    </w:p>
    <w:p w14:paraId="30A953D9" w14:textId="77777777" w:rsidR="00C30538" w:rsidRPr="00772739" w:rsidRDefault="008F45D7" w:rsidP="00C30538">
      <w:pPr>
        <w:jc w:val="both"/>
        <w:rPr>
          <w:lang w:val="en-US"/>
        </w:rPr>
      </w:pPr>
      <w:r>
        <w:rPr>
          <w:lang w:val="en-US"/>
        </w:rPr>
        <w:t xml:space="preserve">(A) The overlay and the original picture (B) of a long exposure time demonstrating the increase of CYP19A1 (aromatase) positive bands (black arrow in (A) and white arrow in (B)) in KGN cells after treatment with reelin (R) compared to mock control (mock) or untreated control (ctrl). Red rectangle highlights the aromatase positive bands chosen for presentation in the manuscript. These aromatase positive </w:t>
      </w:r>
      <w:r w:rsidR="00BE6A71">
        <w:rPr>
          <w:lang w:val="en-US"/>
        </w:rPr>
        <w:t>bands were mirrored in figure 4f</w:t>
      </w:r>
      <w:bookmarkStart w:id="0" w:name="_GoBack"/>
      <w:bookmarkEnd w:id="0"/>
      <w:r>
        <w:rPr>
          <w:lang w:val="en-US"/>
        </w:rPr>
        <w:t xml:space="preserve"> of the manuscript to keep the order to present first the control and after that the reelin probe. An independent ovarian probe (</w:t>
      </w:r>
      <w:proofErr w:type="spellStart"/>
      <w:r>
        <w:rPr>
          <w:lang w:val="en-US"/>
        </w:rPr>
        <w:t>ov</w:t>
      </w:r>
      <w:proofErr w:type="spellEnd"/>
      <w:r>
        <w:rPr>
          <w:lang w:val="en-US"/>
        </w:rPr>
        <w:t xml:space="preserve">) from another animal was used as positive control to confirm the correct height of the aromatase band. (C) The ovarian aromatase band presented at a lower exposure time (red circle, black arrow) demonstrating the correct height. (D) GAPDH positive bands for standardization </w:t>
      </w:r>
      <w:r w:rsidR="00C30538">
        <w:rPr>
          <w:lang w:val="en-US"/>
        </w:rPr>
        <w:t>presented at the shortest exposure time (white arrow).</w:t>
      </w:r>
    </w:p>
    <w:p w14:paraId="6B026B4B" w14:textId="77777777" w:rsidR="00001DD2" w:rsidRPr="003174B3" w:rsidRDefault="00BE6A71" w:rsidP="008F45D7">
      <w:pPr>
        <w:rPr>
          <w:lang w:val="en-US"/>
        </w:rPr>
      </w:pPr>
    </w:p>
    <w:sectPr w:rsidR="00001DD2" w:rsidRPr="003174B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MS Mincho">
    <w:altName w:val="MS Gothic"/>
    <w:panose1 w:val="00000000000000000000"/>
    <w:charset w:val="80"/>
    <w:family w:val="roman"/>
    <w:notTrueType/>
    <w:pitch w:val="fixed"/>
    <w:sig w:usb0="00000000"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5D7"/>
    <w:rsid w:val="00264025"/>
    <w:rsid w:val="003174B3"/>
    <w:rsid w:val="008F45D7"/>
    <w:rsid w:val="00976D1E"/>
    <w:rsid w:val="00BE6A71"/>
    <w:rsid w:val="00C3053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EC34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F45D7"/>
    <w:pPr>
      <w:spacing w:after="0" w:line="240" w:lineRule="auto"/>
    </w:pPr>
    <w:rPr>
      <w:rFonts w:ascii="Times New Roman" w:eastAsia="MS Mincho" w:hAnsi="Times New Roman" w:cs="Times New Roman"/>
      <w:sz w:val="24"/>
      <w:szCs w:val="24"/>
      <w:lang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etont">
    <w:name w:val="Strong"/>
    <w:basedOn w:val="Absatzstandardschriftart"/>
    <w:uiPriority w:val="22"/>
    <w:qFormat/>
    <w:rsid w:val="008F45D7"/>
    <w:rPr>
      <w:b/>
      <w:bCs/>
    </w:rPr>
  </w:style>
  <w:style w:type="paragraph" w:styleId="Sprechblasentext">
    <w:name w:val="Balloon Text"/>
    <w:basedOn w:val="Standard"/>
    <w:link w:val="SprechblasentextZeichen"/>
    <w:uiPriority w:val="99"/>
    <w:semiHidden/>
    <w:unhideWhenUsed/>
    <w:rsid w:val="00BE6A71"/>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BE6A71"/>
    <w:rPr>
      <w:rFonts w:ascii="Lucida Grande" w:eastAsia="MS Mincho" w:hAnsi="Lucida Grande" w:cs="Lucida Grande"/>
      <w:sz w:val="18"/>
      <w:szCs w:val="18"/>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F45D7"/>
    <w:pPr>
      <w:spacing w:after="0" w:line="240" w:lineRule="auto"/>
    </w:pPr>
    <w:rPr>
      <w:rFonts w:ascii="Times New Roman" w:eastAsia="MS Mincho" w:hAnsi="Times New Roman" w:cs="Times New Roman"/>
      <w:sz w:val="24"/>
      <w:szCs w:val="24"/>
      <w:lang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etont">
    <w:name w:val="Strong"/>
    <w:basedOn w:val="Absatzstandardschriftart"/>
    <w:uiPriority w:val="22"/>
    <w:qFormat/>
    <w:rsid w:val="008F45D7"/>
    <w:rPr>
      <w:b/>
      <w:bCs/>
    </w:rPr>
  </w:style>
  <w:style w:type="paragraph" w:styleId="Sprechblasentext">
    <w:name w:val="Balloon Text"/>
    <w:basedOn w:val="Standard"/>
    <w:link w:val="SprechblasentextZeichen"/>
    <w:uiPriority w:val="99"/>
    <w:semiHidden/>
    <w:unhideWhenUsed/>
    <w:rsid w:val="00BE6A71"/>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BE6A71"/>
    <w:rPr>
      <w:rFonts w:ascii="Lucida Grande" w:eastAsia="MS Mincho" w:hAnsi="Lucida Grande" w:cs="Lucida Grande"/>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tiff"/><Relationship Id="rId6" Type="http://schemas.openxmlformats.org/officeDocument/2006/relationships/image" Target="media/image2.tiff"/><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1870</Characters>
  <Application>Microsoft Macintosh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Meseke</dc:creator>
  <cp:keywords/>
  <dc:description/>
  <cp:lastModifiedBy>Gabriele Rune</cp:lastModifiedBy>
  <cp:revision>3</cp:revision>
  <dcterms:created xsi:type="dcterms:W3CDTF">2018-01-19T13:09:00Z</dcterms:created>
  <dcterms:modified xsi:type="dcterms:W3CDTF">2018-04-19T13:43:00Z</dcterms:modified>
</cp:coreProperties>
</file>