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47CCE" w14:textId="77777777" w:rsidR="00402F97" w:rsidRDefault="00402F97" w:rsidP="00402F97">
      <w:pPr>
        <w:spacing w:line="0" w:lineRule="atLeast"/>
        <w:ind w:left="27"/>
        <w:rPr>
          <w:rFonts w:ascii="Arial" w:eastAsia="Arial" w:hAnsi="Arial"/>
          <w:b/>
          <w:sz w:val="39"/>
        </w:rPr>
      </w:pPr>
      <w:bookmarkStart w:id="0" w:name="OLE_LINK44"/>
      <w:bookmarkStart w:id="1" w:name="OLE_LINK17"/>
      <w:bookmarkStart w:id="2" w:name="OLE_LINK18"/>
      <w:r>
        <w:rPr>
          <w:rFonts w:ascii="Arial" w:eastAsia="Arial" w:hAnsi="Arial"/>
          <w:b/>
          <w:sz w:val="39"/>
        </w:rPr>
        <w:t>SVM-Sulfosite</w:t>
      </w:r>
      <w:bookmarkEnd w:id="1"/>
      <w:bookmarkEnd w:id="2"/>
      <w:r>
        <w:rPr>
          <w:rFonts w:ascii="Arial" w:eastAsia="Arial" w:hAnsi="Arial"/>
          <w:b/>
          <w:sz w:val="39"/>
        </w:rPr>
        <w:t>:A support vector machine based predictor for sulfenylation sites</w:t>
      </w:r>
    </w:p>
    <w:bookmarkEnd w:id="0"/>
    <w:p w14:paraId="15D4E486" w14:textId="77777777" w:rsidR="00402F97" w:rsidRDefault="00402F97" w:rsidP="00402F97">
      <w:pPr>
        <w:spacing w:line="185" w:lineRule="exact"/>
        <w:rPr>
          <w:rFonts w:ascii="Times New Roman" w:eastAsia="Times New Roman" w:hAnsi="Times New Roman"/>
          <w:sz w:val="24"/>
        </w:rPr>
      </w:pPr>
    </w:p>
    <w:p w14:paraId="234F9B8F" w14:textId="77777777" w:rsidR="00402F97" w:rsidRDefault="00402F97" w:rsidP="00402F97">
      <w:pPr>
        <w:spacing w:line="0" w:lineRule="atLeast"/>
        <w:ind w:left="7"/>
        <w:rPr>
          <w:rFonts w:ascii="Arial" w:eastAsia="Arial" w:hAnsi="Arial"/>
          <w:sz w:val="35"/>
          <w:vertAlign w:val="superscript"/>
        </w:rPr>
      </w:pPr>
      <w:r>
        <w:rPr>
          <w:rFonts w:ascii="Arial" w:eastAsia="Arial" w:hAnsi="Arial"/>
          <w:b/>
          <w:sz w:val="24"/>
        </w:rPr>
        <w:t>Hussam J. AL-barakati</w:t>
      </w:r>
      <w:r>
        <w:rPr>
          <w:rFonts w:ascii="Arial" w:eastAsia="Arial" w:hAnsi="Arial"/>
          <w:sz w:val="35"/>
          <w:vertAlign w:val="superscript"/>
        </w:rPr>
        <w:t>1</w:t>
      </w:r>
      <w:r>
        <w:rPr>
          <w:rFonts w:ascii="Arial" w:eastAsia="Arial" w:hAnsi="Arial"/>
          <w:b/>
          <w:sz w:val="24"/>
        </w:rPr>
        <w:t>, Evan W. McConnell</w:t>
      </w:r>
      <w:r>
        <w:rPr>
          <w:rFonts w:ascii="Arial" w:eastAsia="Arial" w:hAnsi="Arial"/>
          <w:sz w:val="35"/>
          <w:vertAlign w:val="superscript"/>
        </w:rPr>
        <w:t>2</w:t>
      </w:r>
      <w:r>
        <w:rPr>
          <w:rFonts w:ascii="Arial" w:eastAsia="Arial" w:hAnsi="Arial"/>
          <w:b/>
          <w:sz w:val="24"/>
        </w:rPr>
        <w:t>,</w:t>
      </w:r>
      <w:r w:rsidRPr="00EF430D"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b/>
          <w:sz w:val="24"/>
        </w:rPr>
        <w:t>Leslie</w:t>
      </w:r>
      <w:r>
        <w:rPr>
          <w:rFonts w:ascii="Arial" w:eastAsia="Arial" w:hAnsi="Arial" w:hint="cs"/>
          <w:b/>
          <w:sz w:val="24"/>
          <w:rtl/>
        </w:rPr>
        <w:t xml:space="preserve"> </w:t>
      </w:r>
      <w:r>
        <w:rPr>
          <w:rFonts w:ascii="Arial" w:eastAsia="Arial" w:hAnsi="Arial"/>
          <w:b/>
          <w:sz w:val="24"/>
        </w:rPr>
        <w:t>M. Hicks</w:t>
      </w:r>
      <w:r>
        <w:rPr>
          <w:rFonts w:ascii="Arial" w:eastAsia="Arial" w:hAnsi="Arial"/>
          <w:sz w:val="35"/>
          <w:vertAlign w:val="superscript"/>
        </w:rPr>
        <w:t>2</w:t>
      </w:r>
      <w:r>
        <w:rPr>
          <w:rFonts w:ascii="Arial" w:eastAsia="Arial" w:hAnsi="Arial"/>
          <w:b/>
          <w:sz w:val="24"/>
        </w:rPr>
        <w:t>, Leslie B. Poole</w:t>
      </w:r>
      <w:r>
        <w:rPr>
          <w:rFonts w:ascii="Arial" w:eastAsia="Arial" w:hAnsi="Arial"/>
          <w:sz w:val="35"/>
          <w:vertAlign w:val="superscript"/>
        </w:rPr>
        <w:t>3</w:t>
      </w:r>
      <w:r>
        <w:rPr>
          <w:rFonts w:ascii="Arial" w:eastAsia="Arial" w:hAnsi="Arial"/>
          <w:b/>
          <w:sz w:val="24"/>
        </w:rPr>
        <w:t>, Robert H. Newman</w:t>
      </w:r>
      <w:r>
        <w:rPr>
          <w:rFonts w:ascii="Arial" w:eastAsia="Arial" w:hAnsi="Arial"/>
          <w:sz w:val="35"/>
          <w:vertAlign w:val="superscript"/>
        </w:rPr>
        <w:t>4</w:t>
      </w:r>
      <w:r>
        <w:rPr>
          <w:rFonts w:ascii="Arial" w:eastAsia="Arial" w:hAnsi="Arial"/>
          <w:b/>
          <w:sz w:val="24"/>
        </w:rPr>
        <w:t xml:space="preserve">  &amp; Dukka B. KC</w:t>
      </w:r>
      <w:r>
        <w:rPr>
          <w:rFonts w:ascii="Arial" w:eastAsia="Arial" w:hAnsi="Arial"/>
          <w:sz w:val="35"/>
          <w:vertAlign w:val="superscript"/>
        </w:rPr>
        <w:t>1,*</w:t>
      </w:r>
    </w:p>
    <w:p w14:paraId="400F7D3D" w14:textId="77777777" w:rsidR="00402F97" w:rsidRDefault="00402F97" w:rsidP="00402F97">
      <w:pPr>
        <w:spacing w:line="203" w:lineRule="exact"/>
        <w:rPr>
          <w:rFonts w:ascii="Times New Roman" w:eastAsia="Times New Roman" w:hAnsi="Times New Roman"/>
          <w:sz w:val="24"/>
        </w:rPr>
      </w:pPr>
    </w:p>
    <w:p w14:paraId="2D446128" w14:textId="77777777" w:rsidR="00402F97" w:rsidRPr="00796FC5" w:rsidRDefault="00402F97" w:rsidP="00402F97">
      <w:pPr>
        <w:pStyle w:val="RSCF01FootnoteAuthorAddress"/>
        <w:numPr>
          <w:ilvl w:val="0"/>
          <w:numId w:val="0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pacing w:val="-2"/>
        </w:rPr>
        <w:t>1-</w:t>
      </w:r>
      <w:r w:rsidRPr="00796FC5">
        <w:rPr>
          <w:rFonts w:asciiTheme="minorBidi" w:hAnsiTheme="minorBidi" w:cstheme="minorBidi"/>
          <w:spacing w:val="-2"/>
        </w:rPr>
        <w:t xml:space="preserve">Department of Computational Science and Engineering, </w:t>
      </w:r>
      <w:r w:rsidRPr="00796FC5">
        <w:rPr>
          <w:rFonts w:asciiTheme="minorBidi" w:hAnsiTheme="minorBidi" w:cstheme="minorBidi"/>
        </w:rPr>
        <w:t>N</w:t>
      </w:r>
      <w:r>
        <w:rPr>
          <w:rFonts w:asciiTheme="minorBidi" w:hAnsiTheme="minorBidi" w:cstheme="minorBidi"/>
        </w:rPr>
        <w:t xml:space="preserve">orth </w:t>
      </w:r>
      <w:r w:rsidRPr="00796FC5">
        <w:rPr>
          <w:rFonts w:asciiTheme="minorBidi" w:hAnsiTheme="minorBidi" w:cstheme="minorBidi"/>
        </w:rPr>
        <w:t>C</w:t>
      </w:r>
      <w:r>
        <w:rPr>
          <w:rFonts w:asciiTheme="minorBidi" w:hAnsiTheme="minorBidi" w:cstheme="minorBidi"/>
        </w:rPr>
        <w:t xml:space="preserve">arolina </w:t>
      </w:r>
      <w:r w:rsidRPr="00796FC5">
        <w:rPr>
          <w:rFonts w:asciiTheme="minorBidi" w:hAnsiTheme="minorBidi" w:cstheme="minorBidi"/>
        </w:rPr>
        <w:t>A&amp;T State University, Greensboro NC 27411, USA. E-mail: dbkc@ncat.edu</w:t>
      </w:r>
    </w:p>
    <w:p w14:paraId="335006C3" w14:textId="77777777" w:rsidR="00402F97" w:rsidRPr="00796FC5" w:rsidRDefault="00402F97" w:rsidP="00402F97">
      <w:pPr>
        <w:pStyle w:val="RSCF01FootnoteAuthorAddress"/>
        <w:numPr>
          <w:ilvl w:val="0"/>
          <w:numId w:val="0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2-</w:t>
      </w:r>
      <w:r w:rsidRPr="00796FC5">
        <w:rPr>
          <w:rFonts w:asciiTheme="minorBidi" w:hAnsiTheme="minorBidi" w:cstheme="minorBidi"/>
        </w:rPr>
        <w:t>Department of Chemistry, University of North Carolina at Chapel Hill, Chapel Hill, NC 27599.</w:t>
      </w:r>
    </w:p>
    <w:p w14:paraId="20202868" w14:textId="77777777" w:rsidR="00402F97" w:rsidRPr="00796FC5" w:rsidRDefault="00402F97" w:rsidP="00402F97">
      <w:pPr>
        <w:pStyle w:val="RSCF01FootnoteAuthorAddress"/>
        <w:numPr>
          <w:ilvl w:val="0"/>
          <w:numId w:val="0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pacing w:val="-2"/>
        </w:rPr>
        <w:t>3-</w:t>
      </w:r>
      <w:r w:rsidRPr="00796FC5">
        <w:rPr>
          <w:rFonts w:asciiTheme="minorBidi" w:hAnsiTheme="minorBidi" w:cstheme="minorBidi"/>
          <w:spacing w:val="-2"/>
        </w:rPr>
        <w:t>Department of Biochemistry, Wake Forest University School of Medicine, Winston-Salem, NC 27157</w:t>
      </w:r>
      <w:r w:rsidRPr="00796FC5">
        <w:rPr>
          <w:rFonts w:asciiTheme="minorBidi" w:hAnsiTheme="minorBidi" w:cstheme="minorBidi"/>
        </w:rPr>
        <w:t>.</w:t>
      </w:r>
    </w:p>
    <w:p w14:paraId="0CBACECA" w14:textId="77777777" w:rsidR="00402F97" w:rsidRPr="00796FC5" w:rsidRDefault="00402F97" w:rsidP="00402F97">
      <w:pPr>
        <w:pStyle w:val="RSCF01FootnoteAuthorAddress"/>
        <w:numPr>
          <w:ilvl w:val="0"/>
          <w:numId w:val="0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4-</w:t>
      </w:r>
      <w:r w:rsidRPr="00796FC5">
        <w:rPr>
          <w:rFonts w:asciiTheme="minorBidi" w:hAnsiTheme="minorBidi" w:cstheme="minorBidi"/>
        </w:rPr>
        <w:t>Department of Biology, N</w:t>
      </w:r>
      <w:r>
        <w:rPr>
          <w:rFonts w:asciiTheme="minorBidi" w:hAnsiTheme="minorBidi" w:cstheme="minorBidi"/>
        </w:rPr>
        <w:t xml:space="preserve">orth Carolina </w:t>
      </w:r>
      <w:r w:rsidRPr="00796FC5">
        <w:rPr>
          <w:rFonts w:asciiTheme="minorBidi" w:hAnsiTheme="minorBidi" w:cstheme="minorBidi"/>
        </w:rPr>
        <w:t>A&amp;T State University, Greensboro NC 27411.</w:t>
      </w:r>
    </w:p>
    <w:p w14:paraId="759BC6EA" w14:textId="1443381C" w:rsidR="00402F97" w:rsidRDefault="00402F97" w:rsidP="00402F97">
      <w:pPr>
        <w:spacing w:line="352" w:lineRule="exact"/>
        <w:rPr>
          <w:rFonts w:ascii="Times New Roman" w:eastAsia="Times New Roman" w:hAnsi="Times New Roman"/>
          <w:sz w:val="24"/>
          <w:lang w:val="en-GB"/>
        </w:rPr>
      </w:pPr>
    </w:p>
    <w:p w14:paraId="48928C3A" w14:textId="77777777" w:rsidR="00C02B0C" w:rsidRDefault="00C02B0C" w:rsidP="00C02B0C">
      <w:pPr>
        <w:rPr>
          <w:rFonts w:cs="Times New Roman"/>
          <w:color w:val="1A1A1A"/>
        </w:rPr>
      </w:pPr>
    </w:p>
    <w:p w14:paraId="26F215CE" w14:textId="3C330425" w:rsidR="00402F97" w:rsidRPr="00402F97" w:rsidRDefault="00402F97" w:rsidP="00402F97">
      <w:pPr>
        <w:jc w:val="center"/>
        <w:rPr>
          <w:rFonts w:cs="Times New Roman"/>
          <w:color w:val="1A1A1A"/>
          <w:lang w:val="en-GB"/>
        </w:rPr>
      </w:pPr>
      <w:r>
        <w:rPr>
          <w:rFonts w:ascii="Arial" w:hAnsi="Arial" w:cs="Arial"/>
          <w:sz w:val="40"/>
          <w:szCs w:val="40"/>
        </w:rPr>
        <w:t>Supplementary Information File</w:t>
      </w:r>
    </w:p>
    <w:p w14:paraId="391A6197" w14:textId="6D74BCB9" w:rsidR="00C02B0C" w:rsidRDefault="00402F97" w:rsidP="00402F97">
      <w:pPr>
        <w:jc w:val="center"/>
        <w:rPr>
          <w:rFonts w:cs="Times New Roman"/>
          <w:color w:val="1A1A1A"/>
        </w:rPr>
      </w:pPr>
      <w:r w:rsidRPr="00C9553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A36B1" wp14:editId="567002D4">
                <wp:simplePos x="0" y="0"/>
                <wp:positionH relativeFrom="column">
                  <wp:posOffset>216535</wp:posOffset>
                </wp:positionH>
                <wp:positionV relativeFrom="paragraph">
                  <wp:posOffset>3660775</wp:posOffset>
                </wp:positionV>
                <wp:extent cx="6282690" cy="455295"/>
                <wp:effectExtent l="0" t="0" r="0" b="1905"/>
                <wp:wrapSquare wrapText="bothSides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69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03AEA" w14:textId="6492667E" w:rsidR="00C02B0C" w:rsidRPr="00420ACD" w:rsidRDefault="00C02B0C" w:rsidP="00C02B0C">
                            <w:pPr>
                              <w:rPr>
                                <w:i/>
                              </w:rPr>
                            </w:pPr>
                            <w:r w:rsidRPr="00402F97">
                              <w:rPr>
                                <w:rFonts w:asciiTheme="minorBidi" w:hAnsiTheme="minorBidi"/>
                                <w:b/>
                                <w:iCs/>
                                <w:sz w:val="18"/>
                                <w:szCs w:val="18"/>
                              </w:rPr>
                              <w:t>Fig</w:t>
                            </w:r>
                            <w:r w:rsidR="00402F97">
                              <w:rPr>
                                <w:rFonts w:asciiTheme="minorBidi" w:hAnsiTheme="minorBidi"/>
                                <w:b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  <w:r w:rsidRPr="00402F97">
                              <w:rPr>
                                <w:rFonts w:asciiTheme="minorBidi" w:hAnsiTheme="minorBidi"/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 S1.</w:t>
                            </w:r>
                            <w:r w:rsidRPr="00420ACD">
                              <w:rPr>
                                <w:i/>
                              </w:rPr>
                              <w:t xml:space="preserve"> </w:t>
                            </w:r>
                            <w:r w:rsidRPr="00402F97">
                              <w:rPr>
                                <w:rFonts w:asciiTheme="minorBidi" w:hAnsiTheme="minorBidi"/>
                                <w:iCs/>
                                <w:sz w:val="18"/>
                                <w:szCs w:val="18"/>
                              </w:rPr>
                              <w:t>Receiver operator characteristic (ROC) curve against the independent test set for Sulf-Rec (red).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A36B1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17.05pt;margin-top:288.25pt;width:494.7pt;height:3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" filled="f" stroked="f">
                <v:textbox>
                  <w:txbxContent>
                    <w:p w14:paraId="76303AEA" w14:textId="6492667E" w:rsidR="00C02B0C" w:rsidRPr="00420ACD" w:rsidRDefault="00C02B0C" w:rsidP="00C02B0C">
                      <w:pPr>
                        <w:rPr>
                          <w:i/>
                        </w:rPr>
                      </w:pPr>
                      <w:r w:rsidRPr="00402F97">
                        <w:rPr>
                          <w:rFonts w:asciiTheme="minorBidi" w:hAnsiTheme="minorBidi"/>
                          <w:b/>
                          <w:iCs/>
                          <w:sz w:val="18"/>
                          <w:szCs w:val="18"/>
                        </w:rPr>
                        <w:t>Fig</w:t>
                      </w:r>
                      <w:r w:rsidR="00402F97">
                        <w:rPr>
                          <w:rFonts w:asciiTheme="minorBidi" w:hAnsiTheme="minorBidi"/>
                          <w:b/>
                          <w:iCs/>
                          <w:sz w:val="18"/>
                          <w:szCs w:val="18"/>
                        </w:rPr>
                        <w:t>.</w:t>
                      </w:r>
                      <w:r w:rsidRPr="00402F97">
                        <w:rPr>
                          <w:rFonts w:asciiTheme="minorBidi" w:hAnsiTheme="minorBidi"/>
                          <w:b/>
                          <w:iCs/>
                          <w:sz w:val="18"/>
                          <w:szCs w:val="18"/>
                        </w:rPr>
                        <w:t xml:space="preserve"> S1.</w:t>
                      </w:r>
                      <w:r w:rsidRPr="00420ACD">
                        <w:rPr>
                          <w:i/>
                        </w:rPr>
                        <w:t xml:space="preserve"> </w:t>
                      </w:r>
                      <w:r w:rsidRPr="00402F97">
                        <w:rPr>
                          <w:rFonts w:asciiTheme="minorBidi" w:hAnsiTheme="minorBidi"/>
                          <w:iCs/>
                          <w:sz w:val="18"/>
                          <w:szCs w:val="18"/>
                        </w:rPr>
                        <w:t>Receiver operator characteristic (ROC) curve against the independent test set for Sulf-Rec (red).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Times New Roman"/>
          <w:noProof/>
          <w:color w:val="1A1A1A"/>
        </w:rPr>
        <w:drawing>
          <wp:inline distT="0" distB="0" distL="0" distR="0" wp14:anchorId="52E010B7" wp14:editId="03ADBFA8">
            <wp:extent cx="4966804" cy="34932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OC_2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804" cy="349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EB380" w14:textId="5CD5E860" w:rsidR="00C02B0C" w:rsidRDefault="00C02B0C" w:rsidP="00C02B0C">
      <w:pPr>
        <w:rPr>
          <w:rFonts w:cs="Times New Roman"/>
          <w:color w:val="1A1A1A"/>
        </w:rPr>
      </w:pPr>
    </w:p>
    <w:p w14:paraId="68D90093" w14:textId="25955899" w:rsidR="00C02B0C" w:rsidRDefault="00C02B0C" w:rsidP="00C02B0C">
      <w:pPr>
        <w:rPr>
          <w:rFonts w:cs="Times New Roman"/>
          <w:color w:val="1A1A1A"/>
        </w:rPr>
      </w:pPr>
    </w:p>
    <w:p w14:paraId="67F807C1" w14:textId="77777777" w:rsidR="00C02B0C" w:rsidRDefault="00C02B0C" w:rsidP="00C02B0C"/>
    <w:p w14:paraId="58ECEC27" w14:textId="5B07519D" w:rsidR="00402F97" w:rsidRDefault="00402F97" w:rsidP="00402F97">
      <w:pPr>
        <w:rPr>
          <w:sz w:val="23"/>
          <w:szCs w:val="23"/>
        </w:rPr>
      </w:pPr>
      <w:r w:rsidRPr="00DB4001">
        <w:rPr>
          <w:rFonts w:asciiTheme="minorBidi" w:hAnsiTheme="minorBidi"/>
          <w:b/>
          <w:bCs/>
          <w:sz w:val="18"/>
          <w:szCs w:val="18"/>
        </w:rPr>
        <w:lastRenderedPageBreak/>
        <w:t>Table 5</w:t>
      </w:r>
      <w:r w:rsidR="00DB4001" w:rsidRPr="00DB4001">
        <w:rPr>
          <w:rFonts w:asciiTheme="minorBidi" w:hAnsiTheme="minorBidi"/>
          <w:b/>
          <w:bCs/>
          <w:sz w:val="18"/>
          <w:szCs w:val="18"/>
        </w:rPr>
        <w:t>.</w:t>
      </w:r>
      <w:r>
        <w:rPr>
          <w:sz w:val="23"/>
          <w:szCs w:val="23"/>
        </w:rPr>
        <w:t xml:space="preserve"> </w:t>
      </w:r>
      <w:r w:rsidR="00DB4001" w:rsidRPr="00DB4001">
        <w:rPr>
          <w:rFonts w:asciiTheme="minorBidi" w:hAnsiTheme="minorBidi"/>
          <w:sz w:val="18"/>
          <w:szCs w:val="18"/>
        </w:rPr>
        <w:t>S</w:t>
      </w:r>
      <w:r w:rsidRPr="00DB4001">
        <w:rPr>
          <w:rFonts w:asciiTheme="minorBidi" w:hAnsiTheme="minorBidi"/>
          <w:sz w:val="18"/>
          <w:szCs w:val="18"/>
        </w:rPr>
        <w:t xml:space="preserve">hows </w:t>
      </w:r>
      <w:r w:rsidR="00DB4001" w:rsidRPr="00DB4001">
        <w:rPr>
          <w:rFonts w:asciiTheme="minorBidi" w:hAnsiTheme="minorBidi"/>
          <w:sz w:val="18"/>
          <w:szCs w:val="18"/>
        </w:rPr>
        <w:t>14</w:t>
      </w:r>
      <w:r w:rsidRPr="00DB4001">
        <w:rPr>
          <w:rFonts w:asciiTheme="minorBidi" w:hAnsiTheme="minorBidi"/>
          <w:sz w:val="18"/>
          <w:szCs w:val="18"/>
        </w:rPr>
        <w:t xml:space="preserve"> types of physicochemical properties with AAindex ID</w:t>
      </w:r>
    </w:p>
    <w:p w14:paraId="314E56B9" w14:textId="77777777" w:rsidR="00C02B0C" w:rsidRDefault="00C02B0C" w:rsidP="00C02B0C"/>
    <w:p w14:paraId="2561C85B" w14:textId="77777777" w:rsidR="00C02B0C" w:rsidRDefault="00C02B0C" w:rsidP="00C02B0C"/>
    <w:p w14:paraId="33501A09" w14:textId="77777777" w:rsidR="00C02B0C" w:rsidRDefault="00C02B0C" w:rsidP="00C02B0C"/>
    <w:p w14:paraId="4B169E6C" w14:textId="06EE4F6A" w:rsidR="00C02B0C" w:rsidRDefault="00C02B0C"/>
    <w:p w14:paraId="0C790B3B" w14:textId="77777777" w:rsidR="00C02B0C" w:rsidRDefault="00C02B0C" w:rsidP="00C02B0C"/>
    <w:tbl>
      <w:tblPr>
        <w:tblStyle w:val="TableGrid"/>
        <w:tblpPr w:leftFromText="180" w:rightFromText="180" w:horzAnchor="margin" w:tblpY="690"/>
        <w:tblW w:w="0" w:type="auto"/>
        <w:tblLook w:val="04A0" w:firstRow="1" w:lastRow="0" w:firstColumn="1" w:lastColumn="0" w:noHBand="0" w:noVBand="1"/>
      </w:tblPr>
      <w:tblGrid>
        <w:gridCol w:w="535"/>
        <w:gridCol w:w="1710"/>
        <w:gridCol w:w="7105"/>
      </w:tblGrid>
      <w:tr w:rsidR="00C02B0C" w14:paraId="08CB525E" w14:textId="77777777" w:rsidTr="00614A38">
        <w:tc>
          <w:tcPr>
            <w:tcW w:w="535" w:type="dxa"/>
          </w:tcPr>
          <w:p w14:paraId="1AB08857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NO </w:t>
            </w:r>
          </w:p>
          <w:p w14:paraId="016B2409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6522A1D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AAindex ID </w:t>
            </w:r>
          </w:p>
          <w:p w14:paraId="192660E6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706005AA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Name of feature (References) </w:t>
            </w:r>
          </w:p>
          <w:p w14:paraId="2EC64ED7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30D2F299" w14:textId="77777777" w:rsidTr="00614A38">
        <w:tc>
          <w:tcPr>
            <w:tcW w:w="535" w:type="dxa"/>
          </w:tcPr>
          <w:p w14:paraId="7B23A5D4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219DB35F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ARGP820101 </w:t>
            </w:r>
          </w:p>
          <w:p w14:paraId="39F71901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57871EDE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Hydrophobicity index (Argos et al., 1982) </w:t>
            </w:r>
          </w:p>
          <w:p w14:paraId="75B80CE0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76934BEF" w14:textId="77777777" w:rsidTr="00614A38">
        <w:tc>
          <w:tcPr>
            <w:tcW w:w="535" w:type="dxa"/>
          </w:tcPr>
          <w:p w14:paraId="27B1AFED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66B6D07E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NOZY710101 </w:t>
            </w:r>
          </w:p>
          <w:p w14:paraId="0E6950DC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794FCEA7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Transfer energy, organic solvent/water (Nozaki-Tanford, 1971) </w:t>
            </w:r>
          </w:p>
          <w:p w14:paraId="05B7C87E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7D5CD081" w14:textId="77777777" w:rsidTr="00614A38">
        <w:tc>
          <w:tcPr>
            <w:tcW w:w="535" w:type="dxa"/>
          </w:tcPr>
          <w:p w14:paraId="0BD4F894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0450F6D9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GRAR740102 </w:t>
            </w:r>
          </w:p>
          <w:p w14:paraId="311A9556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63DFC80D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Polarity (Grantham, 1974) </w:t>
            </w:r>
          </w:p>
          <w:p w14:paraId="1B0A8353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77623E15" w14:textId="77777777" w:rsidTr="00614A38">
        <w:tc>
          <w:tcPr>
            <w:tcW w:w="535" w:type="dxa"/>
          </w:tcPr>
          <w:p w14:paraId="6CB7DE65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64DBBA81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CHAM820101 </w:t>
            </w:r>
          </w:p>
          <w:p w14:paraId="5C8EE3C4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70C4CE89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Polarizability parameter (Charton-Charton, 1982) </w:t>
            </w:r>
          </w:p>
          <w:p w14:paraId="49345308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0DDFDB37" w14:textId="77777777" w:rsidTr="00614A38">
        <w:tc>
          <w:tcPr>
            <w:tcW w:w="535" w:type="dxa"/>
          </w:tcPr>
          <w:p w14:paraId="0EF4A637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14:paraId="5A9945C0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CHOC760102 </w:t>
            </w:r>
          </w:p>
          <w:p w14:paraId="4515B250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6C667F8D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Residue accessible surface area in folded protein (Chothia, 1976) </w:t>
            </w:r>
          </w:p>
          <w:p w14:paraId="333831EB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2A0B957E" w14:textId="77777777" w:rsidTr="00614A38">
        <w:tc>
          <w:tcPr>
            <w:tcW w:w="535" w:type="dxa"/>
          </w:tcPr>
          <w:p w14:paraId="5FE99476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6</w:t>
            </w:r>
          </w:p>
        </w:tc>
        <w:tc>
          <w:tcPr>
            <w:tcW w:w="1710" w:type="dxa"/>
          </w:tcPr>
          <w:p w14:paraId="1EF157A6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FASG760104 </w:t>
            </w:r>
          </w:p>
          <w:p w14:paraId="2BBC3A8C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6F1ECC05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pK-N (Fasman, 1976) </w:t>
            </w:r>
          </w:p>
          <w:p w14:paraId="0B85E0BE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5955D347" w14:textId="77777777" w:rsidTr="00614A38">
        <w:tc>
          <w:tcPr>
            <w:tcW w:w="535" w:type="dxa"/>
          </w:tcPr>
          <w:p w14:paraId="1972CCA8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64220040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FASG760105 </w:t>
            </w:r>
          </w:p>
          <w:p w14:paraId="07709270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04AE777B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pK-C (Fasman, 1976) </w:t>
            </w:r>
          </w:p>
          <w:p w14:paraId="342A6447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347AA477" w14:textId="77777777" w:rsidTr="00614A38">
        <w:tc>
          <w:tcPr>
            <w:tcW w:w="535" w:type="dxa"/>
          </w:tcPr>
          <w:p w14:paraId="4C9742AE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8</w:t>
            </w:r>
          </w:p>
        </w:tc>
        <w:tc>
          <w:tcPr>
            <w:tcW w:w="1710" w:type="dxa"/>
          </w:tcPr>
          <w:p w14:paraId="61E5D8A9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FASG760102 </w:t>
            </w:r>
          </w:p>
          <w:p w14:paraId="49B5C83A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5DCF2412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Melting point (Fasman, 1976) </w:t>
            </w:r>
          </w:p>
          <w:p w14:paraId="6EA7BFEC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1ADBE7E6" w14:textId="77777777" w:rsidTr="00614A38">
        <w:tc>
          <w:tcPr>
            <w:tcW w:w="535" w:type="dxa"/>
          </w:tcPr>
          <w:p w14:paraId="60043A14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1D34EABC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FASG760101 </w:t>
            </w:r>
          </w:p>
          <w:p w14:paraId="121DDD21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1EB9029F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Molecular weight (Fasman, 1976) </w:t>
            </w:r>
          </w:p>
          <w:p w14:paraId="3AA65A1D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1BA1C61A" w14:textId="77777777" w:rsidTr="00614A38">
        <w:tc>
          <w:tcPr>
            <w:tcW w:w="535" w:type="dxa"/>
          </w:tcPr>
          <w:p w14:paraId="015C2279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10</w:t>
            </w:r>
          </w:p>
        </w:tc>
        <w:tc>
          <w:tcPr>
            <w:tcW w:w="1710" w:type="dxa"/>
          </w:tcPr>
          <w:p w14:paraId="46A32D1C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FASG760103 </w:t>
            </w:r>
          </w:p>
          <w:p w14:paraId="7D066B01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7A43F6E0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Optical rotation (Fasman, 1976) </w:t>
            </w:r>
          </w:p>
          <w:p w14:paraId="1C62F6C6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54F21951" w14:textId="77777777" w:rsidTr="00614A38">
        <w:tc>
          <w:tcPr>
            <w:tcW w:w="535" w:type="dxa"/>
          </w:tcPr>
          <w:p w14:paraId="28398174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11</w:t>
            </w:r>
          </w:p>
        </w:tc>
        <w:tc>
          <w:tcPr>
            <w:tcW w:w="1710" w:type="dxa"/>
          </w:tcPr>
          <w:p w14:paraId="412806D9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KLEP840101 </w:t>
            </w:r>
          </w:p>
          <w:p w14:paraId="379B8627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64765F68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Net charge (Klein et al., 1984) </w:t>
            </w:r>
          </w:p>
          <w:p w14:paraId="2C36FF6F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5949A74C" w14:textId="77777777" w:rsidTr="00614A38">
        <w:tc>
          <w:tcPr>
            <w:tcW w:w="535" w:type="dxa"/>
          </w:tcPr>
          <w:p w14:paraId="66C22A04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12</w:t>
            </w:r>
          </w:p>
        </w:tc>
        <w:tc>
          <w:tcPr>
            <w:tcW w:w="1710" w:type="dxa"/>
          </w:tcPr>
          <w:p w14:paraId="41D2C361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HUTJ700103 </w:t>
            </w:r>
          </w:p>
          <w:p w14:paraId="4D9E379B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49C80734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Entropy of formation (Hutchens, 1970) </w:t>
            </w:r>
          </w:p>
          <w:p w14:paraId="19C94430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6CAF84F4" w14:textId="77777777" w:rsidTr="00614A38">
        <w:tc>
          <w:tcPr>
            <w:tcW w:w="535" w:type="dxa"/>
          </w:tcPr>
          <w:p w14:paraId="79A401D9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13</w:t>
            </w:r>
          </w:p>
        </w:tc>
        <w:tc>
          <w:tcPr>
            <w:tcW w:w="1710" w:type="dxa"/>
          </w:tcPr>
          <w:p w14:paraId="23E7C99C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HUTJ700101 </w:t>
            </w:r>
          </w:p>
          <w:p w14:paraId="0E2E2F2E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1CD4B275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Heat capacity (Hutchens, 1970) </w:t>
            </w:r>
          </w:p>
          <w:p w14:paraId="26CEF591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2B0C" w14:paraId="15BED760" w14:textId="77777777" w:rsidTr="00614A38">
        <w:tc>
          <w:tcPr>
            <w:tcW w:w="535" w:type="dxa"/>
          </w:tcPr>
          <w:p w14:paraId="248C7735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  <w:r w:rsidRPr="00DB4001">
              <w:rPr>
                <w:rFonts w:asciiTheme="minorBidi" w:hAnsiTheme="minorBidi"/>
                <w:sz w:val="20"/>
                <w:szCs w:val="20"/>
              </w:rPr>
              <w:t>14</w:t>
            </w:r>
          </w:p>
        </w:tc>
        <w:tc>
          <w:tcPr>
            <w:tcW w:w="1710" w:type="dxa"/>
          </w:tcPr>
          <w:p w14:paraId="3BC5FBC1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HUTJ700102 </w:t>
            </w:r>
          </w:p>
          <w:p w14:paraId="3557EA3D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105" w:type="dxa"/>
          </w:tcPr>
          <w:p w14:paraId="08C1F8CF" w14:textId="77777777" w:rsidR="00C02B0C" w:rsidRPr="00DB4001" w:rsidRDefault="00C02B0C" w:rsidP="00614A3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DB4001">
              <w:rPr>
                <w:rFonts w:asciiTheme="minorBidi" w:hAnsiTheme="minorBidi" w:cstheme="minorBidi"/>
                <w:sz w:val="20"/>
                <w:szCs w:val="20"/>
              </w:rPr>
              <w:t xml:space="preserve">Absolute entropy (Hutchens, 1970) </w:t>
            </w:r>
          </w:p>
          <w:p w14:paraId="1472DE17" w14:textId="77777777" w:rsidR="00C02B0C" w:rsidRPr="00DB4001" w:rsidRDefault="00C02B0C" w:rsidP="00614A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55592822" w14:textId="77777777" w:rsidR="00C02B0C" w:rsidRDefault="00C02B0C" w:rsidP="00C02B0C"/>
    <w:p w14:paraId="58658B46" w14:textId="44A4549C" w:rsidR="00C02B0C" w:rsidRDefault="00C02B0C" w:rsidP="00C02B0C">
      <w:pPr>
        <w:rPr>
          <w:rFonts w:asciiTheme="majorHAnsi" w:hAnsiTheme="majorHAnsi"/>
          <w:b/>
        </w:rPr>
      </w:pPr>
    </w:p>
    <w:p w14:paraId="6F4EACD3" w14:textId="384917C9" w:rsidR="00C02B0C" w:rsidRDefault="00C02B0C" w:rsidP="00C02B0C">
      <w:pPr>
        <w:rPr>
          <w:rFonts w:asciiTheme="majorHAnsi" w:hAnsiTheme="majorHAnsi"/>
          <w:b/>
        </w:rPr>
      </w:pPr>
    </w:p>
    <w:p w14:paraId="67223AAE" w14:textId="27321C0D" w:rsidR="00C02B0C" w:rsidRDefault="00C02B0C" w:rsidP="00C02B0C">
      <w:pPr>
        <w:rPr>
          <w:rFonts w:asciiTheme="majorHAnsi" w:hAnsiTheme="majorHAnsi"/>
          <w:b/>
        </w:rPr>
      </w:pPr>
    </w:p>
    <w:p w14:paraId="486AD558" w14:textId="45877AC4" w:rsidR="00C02B0C" w:rsidRDefault="00C02B0C" w:rsidP="00C02B0C">
      <w:pPr>
        <w:rPr>
          <w:rFonts w:asciiTheme="majorHAnsi" w:hAnsiTheme="majorHAnsi"/>
          <w:b/>
        </w:rPr>
      </w:pPr>
    </w:p>
    <w:p w14:paraId="797D9D52" w14:textId="77777777" w:rsidR="00C02B0C" w:rsidRPr="00614A38" w:rsidRDefault="00C02B0C" w:rsidP="00C02B0C">
      <w:pPr>
        <w:rPr>
          <w:rFonts w:asciiTheme="majorHAnsi" w:hAnsiTheme="majorHAnsi"/>
          <w:b/>
        </w:rPr>
      </w:pPr>
    </w:p>
    <w:p w14:paraId="6DD0AC05" w14:textId="65202E63" w:rsidR="00DB4001" w:rsidRDefault="00DB4001" w:rsidP="00C02B0C">
      <w:pPr>
        <w:rPr>
          <w:rFonts w:asciiTheme="majorHAnsi" w:hAnsiTheme="majorHAnsi"/>
          <w:b/>
        </w:rPr>
      </w:pPr>
    </w:p>
    <w:p w14:paraId="1EA076AA" w14:textId="77777777" w:rsidR="00DB4001" w:rsidRPr="00614A38" w:rsidRDefault="00DB4001" w:rsidP="00C02B0C">
      <w:pPr>
        <w:rPr>
          <w:rFonts w:asciiTheme="majorHAnsi" w:hAnsiTheme="majorHAnsi"/>
          <w:b/>
        </w:rPr>
      </w:pPr>
    </w:p>
    <w:p w14:paraId="7EFCF96A" w14:textId="77777777" w:rsidR="00C02B0C" w:rsidRPr="00DB4001" w:rsidRDefault="00C02B0C" w:rsidP="00C02B0C">
      <w:pPr>
        <w:rPr>
          <w:rFonts w:asciiTheme="minorBidi" w:hAnsiTheme="minorBidi"/>
          <w:b/>
          <w:sz w:val="20"/>
          <w:szCs w:val="20"/>
        </w:rPr>
      </w:pPr>
      <w:r w:rsidRPr="00DB4001">
        <w:rPr>
          <w:rFonts w:asciiTheme="minorBidi" w:hAnsiTheme="minorBidi"/>
          <w:b/>
          <w:sz w:val="20"/>
          <w:szCs w:val="20"/>
        </w:rPr>
        <w:t>References and definitions for the 14 physicochemical amino acid properties</w:t>
      </w:r>
    </w:p>
    <w:p w14:paraId="49F954CA" w14:textId="77777777" w:rsidR="00C02B0C" w:rsidRDefault="00C02B0C" w:rsidP="00C02B0C"/>
    <w:p w14:paraId="7D3697D4" w14:textId="77777777" w:rsidR="00C02B0C" w:rsidRPr="00B85DA1" w:rsidRDefault="00C02B0C" w:rsidP="00C02B0C">
      <w:pPr>
        <w:pBdr>
          <w:bottom w:val="single" w:sz="6" w:space="1" w:color="auto"/>
        </w:pBdr>
        <w:ind w:left="180" w:hanging="180"/>
        <w:rPr>
          <w:rFonts w:ascii="Arial" w:hAnsi="Arial"/>
          <w:sz w:val="20"/>
        </w:rPr>
      </w:pPr>
    </w:p>
    <w:p w14:paraId="326BA70A" w14:textId="77777777" w:rsidR="00C02B0C" w:rsidRPr="006C684F" w:rsidRDefault="00C02B0C" w:rsidP="00C02B0C">
      <w:pPr>
        <w:rPr>
          <w:rFonts w:ascii="Arial" w:hAnsi="Arial"/>
          <w:b/>
        </w:rPr>
      </w:pPr>
    </w:p>
    <w:p w14:paraId="66F3EA65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3" w:name="OLE_LINK21"/>
      <w:bookmarkStart w:id="4" w:name="OLE_LINK22"/>
      <w:bookmarkStart w:id="5" w:name="OLE_LINK23"/>
      <w:r w:rsidRPr="00DB4001">
        <w:rPr>
          <w:rFonts w:asciiTheme="minorBidi" w:hAnsiTheme="minorBidi"/>
          <w:color w:val="000000" w:themeColor="text1"/>
          <w:sz w:val="20"/>
          <w:szCs w:val="20"/>
        </w:rPr>
        <w:t>Hydrophobicity</w:t>
      </w:r>
    </w:p>
    <w:p w14:paraId="367414A3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ID: </w:t>
      </w:r>
      <w:bookmarkStart w:id="6" w:name="OLE_LINK259"/>
      <w:bookmarkStart w:id="7" w:name="OLE_LINK260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ARGP820101</w:t>
      </w:r>
      <w:bookmarkEnd w:id="6"/>
      <w:bookmarkEnd w:id="7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</w:t>
      </w:r>
    </w:p>
    <w:p w14:paraId="1E4872EE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name: Hydrophobicity index (Argos et al., 1982) </w:t>
      </w:r>
    </w:p>
    <w:p w14:paraId="5C6DD366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</w:p>
    <w:p w14:paraId="7C53E012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Argos et al., 1982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38C80195" w14:textId="77777777" w:rsidR="00C02B0C" w:rsidRPr="00DB4001" w:rsidRDefault="00C02B0C" w:rsidP="00C02B0C">
      <w:pPr>
        <w:rPr>
          <w:rFonts w:asciiTheme="minorBidi" w:hAnsiTheme="minorBidi"/>
          <w:b/>
          <w:color w:val="000000" w:themeColor="text1"/>
          <w:sz w:val="20"/>
          <w:szCs w:val="20"/>
        </w:rPr>
      </w:pPr>
      <w:r w:rsidRPr="00DB4001">
        <w:rPr>
          <w:rFonts w:asciiTheme="minorBidi" w:hAnsiTheme="minorBidi"/>
          <w:color w:val="000000" w:themeColor="text1"/>
          <w:sz w:val="20"/>
          <w:szCs w:val="20"/>
        </w:rPr>
        <w:t>Argos, Patrick, J. K. Rao, and Paul A. Hargrave. "Structural prediction of membrane</w:t>
      </w:r>
      <w:r w:rsidRPr="00DB4001">
        <w:rPr>
          <w:rFonts w:ascii="Cambria Math" w:hAnsi="Cambria Math" w:cs="Cambria Math"/>
          <w:color w:val="000000" w:themeColor="text1"/>
          <w:sz w:val="20"/>
          <w:szCs w:val="20"/>
        </w:rPr>
        <w:t>‐</w:t>
      </w:r>
      <w:r w:rsidRPr="00DB4001">
        <w:rPr>
          <w:rFonts w:asciiTheme="minorBidi" w:hAnsiTheme="minorBidi"/>
          <w:color w:val="000000" w:themeColor="text1"/>
          <w:sz w:val="20"/>
          <w:szCs w:val="20"/>
        </w:rPr>
        <w:t xml:space="preserve">bound proteins." </w:t>
      </w:r>
      <w:r w:rsidRPr="00DB4001">
        <w:rPr>
          <w:rFonts w:asciiTheme="minorBidi" w:hAnsiTheme="minorBidi"/>
          <w:i/>
          <w:iCs/>
          <w:color w:val="000000" w:themeColor="text1"/>
          <w:sz w:val="20"/>
          <w:szCs w:val="20"/>
        </w:rPr>
        <w:t>The FEBS Journal</w:t>
      </w:r>
      <w:r w:rsidRPr="00DB4001">
        <w:rPr>
          <w:rFonts w:asciiTheme="minorBidi" w:hAnsiTheme="minorBidi"/>
          <w:color w:val="000000" w:themeColor="text1"/>
          <w:sz w:val="20"/>
          <w:szCs w:val="20"/>
        </w:rPr>
        <w:t xml:space="preserve"> 128.2</w:t>
      </w:r>
      <w:r w:rsidRPr="00DB4001">
        <w:rPr>
          <w:rFonts w:ascii="Cambria Math" w:hAnsi="Cambria Math" w:cs="Cambria Math"/>
          <w:color w:val="000000" w:themeColor="text1"/>
          <w:sz w:val="20"/>
          <w:szCs w:val="20"/>
        </w:rPr>
        <w:t>‐</w:t>
      </w:r>
      <w:r w:rsidRPr="00DB4001">
        <w:rPr>
          <w:rFonts w:asciiTheme="minorBidi" w:hAnsiTheme="minorBidi"/>
          <w:color w:val="000000" w:themeColor="text1"/>
          <w:sz w:val="20"/>
          <w:szCs w:val="20"/>
        </w:rPr>
        <w:t>3 (1982): 565-575.(PMID: 7151796)</w:t>
      </w:r>
    </w:p>
    <w:bookmarkEnd w:id="3"/>
    <w:bookmarkEnd w:id="4"/>
    <w:bookmarkEnd w:id="5"/>
    <w:p w14:paraId="6BF19275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2D8C90D6" w14:textId="77777777" w:rsidR="00C02B0C" w:rsidRPr="00B85DA1" w:rsidRDefault="00C02B0C" w:rsidP="00C02B0C">
      <w:pPr>
        <w:pBdr>
          <w:bottom w:val="single" w:sz="6" w:space="1" w:color="auto"/>
        </w:pBdr>
        <w:ind w:left="180" w:hanging="180"/>
        <w:rPr>
          <w:rFonts w:ascii="Arial" w:hAnsi="Arial"/>
          <w:sz w:val="20"/>
        </w:rPr>
      </w:pPr>
    </w:p>
    <w:p w14:paraId="049D1ED0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1AB3C677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8" w:name="OLE_LINK49"/>
      <w:bookmarkStart w:id="9" w:name="OLE_LINK50"/>
      <w:bookmarkStart w:id="10" w:name="OLE_LINK51"/>
      <w:bookmarkStart w:id="11" w:name="OLE_LINK52"/>
      <w:r w:rsidRPr="00DB4001">
        <w:rPr>
          <w:rFonts w:asciiTheme="minorBidi" w:hAnsiTheme="minorBidi"/>
          <w:color w:val="000000" w:themeColor="text1"/>
          <w:sz w:val="20"/>
          <w:szCs w:val="20"/>
        </w:rPr>
        <w:t>Transfer energy, organic solvent/water</w:t>
      </w:r>
    </w:p>
    <w:p w14:paraId="7DD17FD8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ID: NOZY710101 </w:t>
      </w:r>
    </w:p>
    <w:p w14:paraId="69227FA5" w14:textId="77777777" w:rsidR="00C02B0C" w:rsidRPr="00DB4001" w:rsidRDefault="00C02B0C" w:rsidP="00C02B0C">
      <w:pPr>
        <w:pStyle w:val="HTMLPreformatted"/>
        <w:rPr>
          <w:rFonts w:asciiTheme="minorBidi" w:hAnsiTheme="minorBidi" w:cstheme="minorBidi"/>
          <w:color w:val="000000" w:themeColor="text1"/>
        </w:rPr>
      </w:pPr>
      <w:r w:rsidRPr="00DB4001">
        <w:rPr>
          <w:rFonts w:asciiTheme="minorBidi" w:hAnsiTheme="minorBidi" w:cstheme="minorBidi"/>
          <w:color w:val="000000" w:themeColor="text1"/>
        </w:rPr>
        <w:t>AAindex name: HTransfer energy, organic solvent/water (</w:t>
      </w:r>
      <w:bookmarkStart w:id="12" w:name="OLE_LINK26"/>
      <w:bookmarkStart w:id="13" w:name="OLE_LINK27"/>
      <w:bookmarkStart w:id="14" w:name="OLE_LINK28"/>
      <w:r w:rsidRPr="00DB4001">
        <w:rPr>
          <w:rFonts w:asciiTheme="minorBidi" w:hAnsiTheme="minorBidi" w:cstheme="minorBidi"/>
          <w:color w:val="000000" w:themeColor="text1"/>
        </w:rPr>
        <w:t>Nozaki-Tanford, 1971</w:t>
      </w:r>
      <w:bookmarkEnd w:id="12"/>
      <w:bookmarkEnd w:id="13"/>
      <w:bookmarkEnd w:id="14"/>
      <w:r w:rsidRPr="00DB4001">
        <w:rPr>
          <w:rFonts w:asciiTheme="minorBidi" w:hAnsiTheme="minorBidi" w:cstheme="minorBidi"/>
          <w:color w:val="000000" w:themeColor="text1"/>
        </w:rPr>
        <w:t>)</w:t>
      </w:r>
    </w:p>
    <w:p w14:paraId="6B87D8A5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  <w:bookmarkStart w:id="15" w:name="OLE_LINK35"/>
      <w:bookmarkStart w:id="16" w:name="OLE_LINK36"/>
      <w:bookmarkStart w:id="17" w:name="OLE_LINK37"/>
    </w:p>
    <w:p w14:paraId="558F2DDF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Nozaki-Tanford, 1971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bookmarkEnd w:id="15"/>
    <w:bookmarkEnd w:id="16"/>
    <w:bookmarkEnd w:id="17"/>
    <w:p w14:paraId="70DFAEA2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Nozaki, Yasuhiko, and Charles Tanford. "The solubility of amino acids and two glycine peptides in aqueous ethanol and dioxane solutions establishment of a hydrophobicity scale." </w:t>
      </w:r>
      <w:r w:rsidRPr="00DB4001">
        <w:rPr>
          <w:rFonts w:asciiTheme="minorBidi" w:hAnsiTheme="minorBidi" w:cstheme="minorBidi"/>
          <w:i/>
          <w:iCs/>
          <w:color w:val="000000" w:themeColor="text1"/>
          <w:sz w:val="20"/>
          <w:szCs w:val="20"/>
        </w:rPr>
        <w:t>Journal of Biological Chemistry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246.7 (1971): 2211-2217. (PMID: 5555568)</w:t>
      </w:r>
    </w:p>
    <w:p w14:paraId="503B68E6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18" w:name="OLE_LINK45"/>
      <w:bookmarkStart w:id="19" w:name="OLE_LINK46"/>
      <w:bookmarkStart w:id="20" w:name="OLE_LINK47"/>
      <w:bookmarkStart w:id="21" w:name="OLE_LINK48"/>
    </w:p>
    <w:bookmarkEnd w:id="8"/>
    <w:bookmarkEnd w:id="9"/>
    <w:p w14:paraId="123416B3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p w14:paraId="73578E04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00F02A1D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22" w:name="OLE_LINK59"/>
      <w:bookmarkStart w:id="23" w:name="OLE_LINK60"/>
      <w:bookmarkStart w:id="24" w:name="OLE_LINK61"/>
      <w:bookmarkStart w:id="25" w:name="OLE_LINK142"/>
      <w:bookmarkStart w:id="26" w:name="OLE_LINK143"/>
      <w:r w:rsidRPr="00DB4001">
        <w:rPr>
          <w:rFonts w:asciiTheme="minorBidi" w:hAnsiTheme="minorBidi"/>
          <w:color w:val="000000" w:themeColor="text1"/>
          <w:sz w:val="20"/>
          <w:szCs w:val="20"/>
        </w:rPr>
        <w:t>Polarity</w:t>
      </w:r>
    </w:p>
    <w:p w14:paraId="188C5B5A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ID: GRAR740102 </w:t>
      </w:r>
    </w:p>
    <w:p w14:paraId="5B9943BE" w14:textId="77777777" w:rsidR="00C02B0C" w:rsidRPr="00DB4001" w:rsidRDefault="00C02B0C" w:rsidP="00C02B0C">
      <w:pPr>
        <w:pStyle w:val="HTMLPreformatted"/>
        <w:rPr>
          <w:rFonts w:asciiTheme="minorBidi" w:hAnsiTheme="minorBidi" w:cstheme="minorBidi"/>
          <w:color w:val="000000" w:themeColor="text1"/>
        </w:rPr>
      </w:pPr>
      <w:r w:rsidRPr="00DB4001">
        <w:rPr>
          <w:rFonts w:asciiTheme="minorBidi" w:hAnsiTheme="minorBidi" w:cstheme="minorBidi"/>
          <w:color w:val="000000" w:themeColor="text1"/>
        </w:rPr>
        <w:t>AAindex name: Polarity (</w:t>
      </w:r>
      <w:bookmarkStart w:id="27" w:name="OLE_LINK95"/>
      <w:bookmarkStart w:id="28" w:name="OLE_LINK96"/>
      <w:bookmarkStart w:id="29" w:name="OLE_LINK97"/>
      <w:r w:rsidRPr="00DB4001">
        <w:rPr>
          <w:rFonts w:asciiTheme="minorBidi" w:hAnsiTheme="minorBidi" w:cstheme="minorBidi"/>
          <w:color w:val="000000" w:themeColor="text1"/>
        </w:rPr>
        <w:t>Grantham, 1974</w:t>
      </w:r>
      <w:bookmarkEnd w:id="27"/>
      <w:bookmarkEnd w:id="28"/>
      <w:bookmarkEnd w:id="29"/>
      <w:r w:rsidRPr="00DB4001">
        <w:rPr>
          <w:rFonts w:asciiTheme="minorBidi" w:hAnsiTheme="minorBidi" w:cstheme="minorBidi"/>
          <w:color w:val="000000" w:themeColor="text1"/>
        </w:rPr>
        <w:t>)</w:t>
      </w:r>
    </w:p>
    <w:p w14:paraId="21C8B045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</w:p>
    <w:p w14:paraId="2B1F19F0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Grantham, 1974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6332E1FB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Grantham, R. "Amino acid difference formula to help explain protein evolution." </w:t>
      </w:r>
      <w:r w:rsidRPr="00DB4001">
        <w:rPr>
          <w:rFonts w:asciiTheme="minorBidi" w:hAnsiTheme="minorBidi" w:cstheme="minorBidi"/>
          <w:i/>
          <w:iCs/>
          <w:color w:val="000000" w:themeColor="text1"/>
          <w:sz w:val="20"/>
          <w:szCs w:val="20"/>
        </w:rPr>
        <w:t>Science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185.4154 (1974): 862-864. (PMID: 4843792)</w:t>
      </w:r>
    </w:p>
    <w:p w14:paraId="32143333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4BFCFD46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bookmarkEnd w:id="22"/>
    <w:bookmarkEnd w:id="23"/>
    <w:bookmarkEnd w:id="24"/>
    <w:bookmarkEnd w:id="25"/>
    <w:bookmarkEnd w:id="26"/>
    <w:p w14:paraId="438D46CA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1DE17D7D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30" w:name="OLE_LINK74"/>
      <w:bookmarkStart w:id="31" w:name="OLE_LINK75"/>
      <w:bookmarkStart w:id="32" w:name="OLE_LINK76"/>
      <w:r w:rsidRPr="00DB4001">
        <w:rPr>
          <w:rFonts w:asciiTheme="minorBidi" w:hAnsiTheme="minorBidi"/>
          <w:color w:val="000000" w:themeColor="text1"/>
          <w:sz w:val="20"/>
          <w:szCs w:val="20"/>
        </w:rPr>
        <w:t>Polarizability parameter</w:t>
      </w:r>
    </w:p>
    <w:p w14:paraId="6E97F089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AAindex ID: CHAM820101</w:t>
      </w:r>
    </w:p>
    <w:p w14:paraId="55F3A696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name: </w:t>
      </w:r>
      <w:bookmarkStart w:id="33" w:name="OLE_LINK71"/>
      <w:bookmarkStart w:id="34" w:name="OLE_LINK72"/>
      <w:bookmarkStart w:id="35" w:name="OLE_LINK73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Polarizability parameter </w:t>
      </w:r>
      <w:bookmarkEnd w:id="33"/>
      <w:bookmarkEnd w:id="34"/>
      <w:bookmarkEnd w:id="35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(</w:t>
      </w:r>
      <w:bookmarkStart w:id="36" w:name="OLE_LINK92"/>
      <w:bookmarkStart w:id="37" w:name="OLE_LINK93"/>
      <w:bookmarkStart w:id="38" w:name="OLE_LINK94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Charton-Charton, 1982</w:t>
      </w:r>
      <w:bookmarkEnd w:id="36"/>
      <w:bookmarkEnd w:id="37"/>
      <w:bookmarkEnd w:id="38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) </w:t>
      </w:r>
    </w:p>
    <w:p w14:paraId="7F4ABB34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</w:p>
    <w:p w14:paraId="70FCBD9D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lastRenderedPageBreak/>
        <w:t>Charton-Charton, 1982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2B031677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Charton, Marvin, and Barbara I. Charton. "The structural dependence of amino acid hydrophobicity parameters." </w:t>
      </w:r>
      <w:r w:rsidRPr="00DB4001">
        <w:rPr>
          <w:rFonts w:asciiTheme="minorBidi" w:hAnsiTheme="minorBidi" w:cstheme="minorBidi"/>
          <w:i/>
          <w:iCs/>
          <w:color w:val="000000" w:themeColor="text1"/>
          <w:sz w:val="20"/>
          <w:szCs w:val="20"/>
        </w:rPr>
        <w:t>Journal of theoretical biology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99.4 (1982): 629-644. </w:t>
      </w:r>
      <w:bookmarkStart w:id="39" w:name="OLE_LINK85"/>
      <w:bookmarkStart w:id="40" w:name="OLE_LINK86"/>
      <w:bookmarkStart w:id="41" w:name="OLE_LINK87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(PMID: 7183857)</w:t>
      </w:r>
    </w:p>
    <w:p w14:paraId="30819265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bookmarkEnd w:id="39"/>
    <w:bookmarkEnd w:id="40"/>
    <w:bookmarkEnd w:id="41"/>
    <w:p w14:paraId="75DA0B3F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bookmarkEnd w:id="30"/>
    <w:bookmarkEnd w:id="31"/>
    <w:bookmarkEnd w:id="32"/>
    <w:p w14:paraId="48EE78EE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7FA224D7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42" w:name="OLE_LINK88"/>
      <w:bookmarkStart w:id="43" w:name="OLE_LINK89"/>
      <w:r w:rsidRPr="00DB4001">
        <w:rPr>
          <w:rFonts w:asciiTheme="minorBidi" w:hAnsiTheme="minorBidi"/>
          <w:color w:val="000000" w:themeColor="text1"/>
          <w:sz w:val="20"/>
          <w:szCs w:val="20"/>
        </w:rPr>
        <w:t>Residue accessible surface area in folded protein</w:t>
      </w:r>
    </w:p>
    <w:p w14:paraId="0A6C38E8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ID: </w:t>
      </w:r>
      <w:bookmarkStart w:id="44" w:name="OLE_LINK83"/>
      <w:bookmarkStart w:id="45" w:name="OLE_LINK84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CHOC760102</w:t>
      </w:r>
    </w:p>
    <w:bookmarkEnd w:id="44"/>
    <w:bookmarkEnd w:id="45"/>
    <w:p w14:paraId="74CFC5DD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AAindex name: Residue accessible surface area in folded protein (</w:t>
      </w:r>
      <w:bookmarkStart w:id="46" w:name="OLE_LINK90"/>
      <w:bookmarkStart w:id="47" w:name="OLE_LINK91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Chothia, 1976</w:t>
      </w:r>
      <w:bookmarkEnd w:id="46"/>
      <w:bookmarkEnd w:id="47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) </w:t>
      </w:r>
    </w:p>
    <w:p w14:paraId="61E6A838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</w:p>
    <w:p w14:paraId="68D04CC6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Chothia, 1976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1A1E3F5E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Chothia, Cyrus. "The nature of the accessible and buried surfaces in proteins." </w:t>
      </w:r>
      <w:r w:rsidRPr="00DB4001">
        <w:rPr>
          <w:rFonts w:asciiTheme="minorBidi" w:hAnsiTheme="minorBidi" w:cstheme="minorBidi"/>
          <w:i/>
          <w:iCs/>
          <w:color w:val="000000" w:themeColor="text1"/>
          <w:sz w:val="20"/>
          <w:szCs w:val="20"/>
        </w:rPr>
        <w:t>Journal of molecular biology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105.1 (1976): 1-12. </w:t>
      </w:r>
      <w:bookmarkStart w:id="48" w:name="OLE_LINK195"/>
      <w:bookmarkStart w:id="49" w:name="OLE_LINK196"/>
      <w:bookmarkStart w:id="50" w:name="OLE_LINK197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(PMID: 994183)</w:t>
      </w:r>
    </w:p>
    <w:p w14:paraId="1571C128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51" w:name="OLE_LINK115"/>
      <w:bookmarkStart w:id="52" w:name="OLE_LINK116"/>
      <w:bookmarkStart w:id="53" w:name="OLE_LINK117"/>
      <w:bookmarkEnd w:id="42"/>
      <w:bookmarkEnd w:id="43"/>
      <w:bookmarkEnd w:id="48"/>
      <w:bookmarkEnd w:id="49"/>
      <w:bookmarkEnd w:id="50"/>
    </w:p>
    <w:p w14:paraId="480BE45D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p w14:paraId="0B448C8B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5FD07248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54" w:name="OLE_LINK118"/>
      <w:bookmarkStart w:id="55" w:name="OLE_LINK119"/>
      <w:bookmarkStart w:id="56" w:name="OLE_LINK120"/>
      <w:bookmarkEnd w:id="10"/>
      <w:bookmarkEnd w:id="11"/>
      <w:bookmarkEnd w:id="51"/>
      <w:bookmarkEnd w:id="52"/>
      <w:bookmarkEnd w:id="53"/>
      <w:r w:rsidRPr="00DB4001">
        <w:rPr>
          <w:rFonts w:asciiTheme="minorBidi" w:hAnsiTheme="minorBidi"/>
          <w:color w:val="000000" w:themeColor="text1"/>
          <w:sz w:val="20"/>
          <w:szCs w:val="20"/>
        </w:rPr>
        <w:t>pK-N</w:t>
      </w:r>
    </w:p>
    <w:p w14:paraId="5ABD206D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AAindex ID: FASG760104</w:t>
      </w:r>
    </w:p>
    <w:p w14:paraId="2491E17F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name: </w:t>
      </w:r>
      <w:bookmarkStart w:id="57" w:name="OLE_LINK109"/>
      <w:bookmarkStart w:id="58" w:name="OLE_LINK110"/>
      <w:bookmarkStart w:id="59" w:name="OLE_LINK111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pK-N (Fasman, 1976) </w:t>
      </w:r>
      <w:bookmarkEnd w:id="57"/>
      <w:bookmarkEnd w:id="58"/>
      <w:bookmarkEnd w:id="59"/>
    </w:p>
    <w:p w14:paraId="0B848E32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</w:p>
    <w:p w14:paraId="774FCB75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color w:val="000000" w:themeColor="text1"/>
          <w:sz w:val="20"/>
          <w:szCs w:val="20"/>
        </w:rPr>
      </w:pPr>
      <w:bookmarkStart w:id="60" w:name="OLE_LINK112"/>
      <w:bookmarkStart w:id="61" w:name="OLE_LINK113"/>
      <w:bookmarkStart w:id="62" w:name="OLE_LINK114"/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 xml:space="preserve">pK-N </w:t>
      </w:r>
      <w:bookmarkEnd w:id="60"/>
      <w:bookmarkEnd w:id="61"/>
      <w:bookmarkEnd w:id="62"/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Fasman, 1976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4B3D49A7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/>
          <w:color w:val="000000" w:themeColor="text1"/>
          <w:sz w:val="20"/>
          <w:szCs w:val="20"/>
        </w:rPr>
        <w:t>Fasman, Gerald D. "Handbook of biochemistry and molecular biology. Lipids, carbohydrates, steroids-3." (1975).</w:t>
      </w:r>
    </w:p>
    <w:p w14:paraId="093F7924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/>
          <w:color w:val="000000" w:themeColor="text1"/>
          <w:sz w:val="20"/>
          <w:szCs w:val="20"/>
        </w:rPr>
        <w:t>“</w:t>
      </w:r>
      <w:bookmarkStart w:id="63" w:name="OLE_LINK137"/>
      <w:bookmarkStart w:id="64" w:name="OLE_LINK138"/>
      <w:bookmarkStart w:id="65" w:name="OLE_LINK139"/>
      <w:r w:rsidRPr="00DB4001">
        <w:rPr>
          <w:rFonts w:asciiTheme="minorBidi" w:hAnsiTheme="minorBidi"/>
          <w:color w:val="000000" w:themeColor="text1"/>
          <w:sz w:val="20"/>
          <w:szCs w:val="20"/>
        </w:rPr>
        <w:t xml:space="preserve">pK-N, it perhaps refers to </w:t>
      </w:r>
      <w:bookmarkEnd w:id="63"/>
      <w:bookmarkEnd w:id="64"/>
      <w:bookmarkEnd w:id="65"/>
      <w:r w:rsidRPr="00DB4001">
        <w:rPr>
          <w:rFonts w:asciiTheme="minorBidi" w:hAnsiTheme="minorBidi"/>
          <w:color w:val="000000" w:themeColor="text1"/>
          <w:sz w:val="20"/>
          <w:szCs w:val="20"/>
        </w:rPr>
        <w:t>the pK of the amino group either in the single free amino acid, or when it is at the N-terminus of a protein.”</w:t>
      </w:r>
    </w:p>
    <w:p w14:paraId="63171C03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bookmarkEnd w:id="54"/>
    <w:bookmarkEnd w:id="55"/>
    <w:bookmarkEnd w:id="56"/>
    <w:p w14:paraId="089A994D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61443A68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118198ED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66" w:name="OLE_LINK132"/>
      <w:bookmarkStart w:id="67" w:name="OLE_LINK133"/>
      <w:r w:rsidRPr="00DB4001">
        <w:rPr>
          <w:rFonts w:asciiTheme="minorBidi" w:hAnsiTheme="minorBidi"/>
          <w:color w:val="000000" w:themeColor="text1"/>
          <w:sz w:val="20"/>
          <w:szCs w:val="20"/>
        </w:rPr>
        <w:t>pK-C</w:t>
      </w:r>
    </w:p>
    <w:bookmarkEnd w:id="66"/>
    <w:bookmarkEnd w:id="67"/>
    <w:p w14:paraId="33D47A37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AAindex ID: FASG760105</w:t>
      </w:r>
    </w:p>
    <w:p w14:paraId="796159B5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name: pK-C (Fasman, 1976) </w:t>
      </w:r>
    </w:p>
    <w:p w14:paraId="26BB6AC5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</w:p>
    <w:p w14:paraId="7EFBBE56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pK-C Fasman, 1976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1AC1E0FB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68" w:name="OLE_LINK121"/>
      <w:bookmarkStart w:id="69" w:name="OLE_LINK122"/>
      <w:r w:rsidRPr="00DB4001">
        <w:rPr>
          <w:rFonts w:asciiTheme="minorBidi" w:hAnsiTheme="minorBidi"/>
          <w:color w:val="000000" w:themeColor="text1"/>
          <w:sz w:val="20"/>
          <w:szCs w:val="20"/>
        </w:rPr>
        <w:t>Fasman, Gerald D. "Handbook of biochemistry and molecular biology. Lipids, carbohydrates, steroids-3." (1975).</w:t>
      </w:r>
    </w:p>
    <w:bookmarkEnd w:id="68"/>
    <w:bookmarkEnd w:id="69"/>
    <w:p w14:paraId="1AE0BADA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3A6D037B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/>
          <w:color w:val="000000" w:themeColor="text1"/>
          <w:sz w:val="20"/>
          <w:szCs w:val="20"/>
        </w:rPr>
        <w:t>“pK-C, it perhaps refers to the carboxylate group at the C-terminus”</w:t>
      </w:r>
    </w:p>
    <w:p w14:paraId="032B47B3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p w14:paraId="2E6A527B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bookmarkEnd w:id="18"/>
    <w:bookmarkEnd w:id="19"/>
    <w:bookmarkEnd w:id="20"/>
    <w:bookmarkEnd w:id="21"/>
    <w:p w14:paraId="3382A304" w14:textId="77777777" w:rsidR="00DB4001" w:rsidRDefault="00DB4001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3FEAF1DB" w14:textId="0CF5246A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70" w:name="_GoBack"/>
      <w:bookmarkEnd w:id="70"/>
      <w:r w:rsidRPr="00DB4001">
        <w:rPr>
          <w:rFonts w:asciiTheme="minorBidi" w:hAnsiTheme="minorBidi"/>
          <w:color w:val="000000" w:themeColor="text1"/>
          <w:sz w:val="20"/>
          <w:szCs w:val="20"/>
        </w:rPr>
        <w:lastRenderedPageBreak/>
        <w:t>Molecular weight</w:t>
      </w:r>
    </w:p>
    <w:p w14:paraId="334D3FBE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ID: FASG760101 </w:t>
      </w:r>
    </w:p>
    <w:p w14:paraId="3593260E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name: </w:t>
      </w:r>
      <w:bookmarkStart w:id="71" w:name="OLE_LINK164"/>
      <w:bookmarkStart w:id="72" w:name="OLE_LINK165"/>
      <w:bookmarkStart w:id="73" w:name="OLE_LINK166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Molecular weight (Fasman, 1976) </w:t>
      </w:r>
      <w:bookmarkEnd w:id="71"/>
      <w:bookmarkEnd w:id="72"/>
      <w:bookmarkEnd w:id="73"/>
    </w:p>
    <w:p w14:paraId="6927AC3E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</w:p>
    <w:p w14:paraId="3207B977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Molecular weight (Fasman, 1976)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6D62D621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/>
          <w:color w:val="000000" w:themeColor="text1"/>
          <w:sz w:val="20"/>
          <w:szCs w:val="20"/>
        </w:rPr>
        <w:t>Fasman, Gerald D. "Handbook of biochemistry and molecular biology. Lipids, carbohydrates, steroids-3." (1975).</w:t>
      </w:r>
    </w:p>
    <w:p w14:paraId="03BDB045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1F1FF958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p w14:paraId="28AD7A3D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223744C3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74" w:name="OLE_LINK179"/>
      <w:bookmarkStart w:id="75" w:name="OLE_LINK180"/>
      <w:r w:rsidRPr="00DB4001">
        <w:rPr>
          <w:rFonts w:asciiTheme="minorBidi" w:hAnsiTheme="minorBidi"/>
          <w:color w:val="000000" w:themeColor="text1"/>
          <w:sz w:val="20"/>
          <w:szCs w:val="20"/>
        </w:rPr>
        <w:t>Optical rotation</w:t>
      </w:r>
    </w:p>
    <w:p w14:paraId="3D55B512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AAindex ID: FASG760103</w:t>
      </w:r>
    </w:p>
    <w:p w14:paraId="1C105147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name: </w:t>
      </w:r>
      <w:bookmarkStart w:id="76" w:name="OLE_LINK176"/>
      <w:bookmarkStart w:id="77" w:name="OLE_LINK177"/>
      <w:bookmarkStart w:id="78" w:name="OLE_LINK178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Optical rotation (Fasman, 1976) </w:t>
      </w:r>
      <w:bookmarkEnd w:id="76"/>
      <w:bookmarkEnd w:id="77"/>
      <w:bookmarkEnd w:id="78"/>
    </w:p>
    <w:p w14:paraId="390ACD30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</w:p>
    <w:p w14:paraId="6E6E6D59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Optical rotation (Fasman, 1976)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1D65D10A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/>
          <w:color w:val="000000" w:themeColor="text1"/>
          <w:sz w:val="20"/>
          <w:szCs w:val="20"/>
        </w:rPr>
        <w:t>Fasman, Gerald D. "Handbook of biochemistry and molecular biology. Lipids, carbohydrates, steroids-3." (1975).</w:t>
      </w:r>
    </w:p>
    <w:p w14:paraId="66114113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3EFA6AF1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p w14:paraId="27E56EC0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bookmarkEnd w:id="74"/>
    <w:bookmarkEnd w:id="75"/>
    <w:p w14:paraId="4D963DC3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17CC2F18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79" w:name="OLE_LINK198"/>
      <w:bookmarkStart w:id="80" w:name="OLE_LINK199"/>
      <w:bookmarkStart w:id="81" w:name="OLE_LINK200"/>
      <w:r w:rsidRPr="00DB4001">
        <w:rPr>
          <w:rFonts w:asciiTheme="minorBidi" w:hAnsiTheme="minorBidi"/>
          <w:color w:val="000000" w:themeColor="text1"/>
          <w:sz w:val="20"/>
          <w:szCs w:val="20"/>
        </w:rPr>
        <w:t>Net charge</w:t>
      </w:r>
    </w:p>
    <w:p w14:paraId="0F37699D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ID: </w:t>
      </w:r>
      <w:bookmarkStart w:id="82" w:name="OLE_LINK193"/>
      <w:bookmarkStart w:id="83" w:name="OLE_LINK194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KLEP840101 </w:t>
      </w:r>
      <w:bookmarkEnd w:id="82"/>
      <w:bookmarkEnd w:id="83"/>
    </w:p>
    <w:p w14:paraId="5BDB60DC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name: </w:t>
      </w:r>
      <w:bookmarkStart w:id="84" w:name="OLE_LINK190"/>
      <w:bookmarkStart w:id="85" w:name="OLE_LINK191"/>
      <w:bookmarkStart w:id="86" w:name="OLE_LINK192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Net charge (Klein et al., 1984) </w:t>
      </w:r>
    </w:p>
    <w:bookmarkEnd w:id="84"/>
    <w:bookmarkEnd w:id="85"/>
    <w:bookmarkEnd w:id="86"/>
    <w:p w14:paraId="0A1FB3F0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</w:p>
    <w:p w14:paraId="7D46B3C2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Net charge (Klein et al., 1984)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1C6B14D0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Klein, Petr, Minoru Kanehisa, and Charles DeLisi. "Prediction of protein function from sequence properties: Discriminant analysis of a data base." </w:t>
      </w:r>
      <w:r w:rsidRPr="00DB4001">
        <w:rPr>
          <w:rFonts w:asciiTheme="minorBidi" w:hAnsiTheme="minorBidi" w:cstheme="minorBidi"/>
          <w:i/>
          <w:iCs/>
          <w:color w:val="000000" w:themeColor="text1"/>
          <w:sz w:val="20"/>
          <w:szCs w:val="20"/>
        </w:rPr>
        <w:t>Biochimica et Biophysica Acta (BBA)-Protein Structure and Molecular Enzymology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787.3 (1984): 221-226. (PMID: 6547351)</w:t>
      </w:r>
    </w:p>
    <w:p w14:paraId="530A2270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46D80957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bookmarkEnd w:id="79"/>
    <w:bookmarkEnd w:id="80"/>
    <w:bookmarkEnd w:id="81"/>
    <w:p w14:paraId="68EB2299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1F9B392D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87" w:name="OLE_LINK217"/>
      <w:bookmarkStart w:id="88" w:name="OLE_LINK218"/>
      <w:r w:rsidRPr="00DB4001">
        <w:rPr>
          <w:rFonts w:asciiTheme="minorBidi" w:hAnsiTheme="minorBidi"/>
          <w:color w:val="000000" w:themeColor="text1"/>
          <w:sz w:val="20"/>
          <w:szCs w:val="20"/>
        </w:rPr>
        <w:t>Entropy of formation</w:t>
      </w:r>
    </w:p>
    <w:p w14:paraId="20ED34EA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ID: HUTJ700103  </w:t>
      </w:r>
    </w:p>
    <w:p w14:paraId="4713A603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name: </w:t>
      </w:r>
      <w:bookmarkStart w:id="89" w:name="OLE_LINK211"/>
      <w:bookmarkStart w:id="90" w:name="OLE_LINK212"/>
      <w:bookmarkStart w:id="91" w:name="OLE_LINK213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Entropy of formation (Hutchens, 1970) </w:t>
      </w:r>
      <w:bookmarkEnd w:id="89"/>
      <w:bookmarkEnd w:id="90"/>
      <w:bookmarkEnd w:id="91"/>
    </w:p>
    <w:p w14:paraId="57D492FC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</w:p>
    <w:p w14:paraId="1117BBD8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Entropy of formation (Hutchens, 1970)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568E0F54" w14:textId="77777777" w:rsidR="00C02B0C" w:rsidRPr="00DB4001" w:rsidRDefault="00C02B0C" w:rsidP="00C02B0C">
      <w:pPr>
        <w:rPr>
          <w:rFonts w:asciiTheme="minorBidi" w:eastAsia="Times New Roman" w:hAnsiTheme="minorBidi"/>
          <w:color w:val="000000" w:themeColor="text1"/>
          <w:sz w:val="20"/>
          <w:szCs w:val="20"/>
        </w:rPr>
      </w:pPr>
      <w:r w:rsidRPr="00DB4001">
        <w:rPr>
          <w:rFonts w:asciiTheme="minorBidi" w:eastAsia="Times New Roman" w:hAnsiTheme="minorBidi"/>
          <w:color w:val="000000" w:themeColor="text1"/>
          <w:sz w:val="20"/>
          <w:szCs w:val="20"/>
        </w:rPr>
        <w:t xml:space="preserve">Hutchens, John O. "Heat capacities, absolute entropies, and entropies of formation of amino acids and related compounds." </w:t>
      </w:r>
      <w:r w:rsidRPr="00DB4001">
        <w:rPr>
          <w:rFonts w:asciiTheme="minorBidi" w:eastAsia="Times New Roman" w:hAnsiTheme="minorBidi"/>
          <w:i/>
          <w:iCs/>
          <w:color w:val="000000" w:themeColor="text1"/>
          <w:sz w:val="20"/>
          <w:szCs w:val="20"/>
        </w:rPr>
        <w:t>Handbook of biochemistry</w:t>
      </w:r>
      <w:r w:rsidRPr="00DB4001">
        <w:rPr>
          <w:rFonts w:asciiTheme="minorBidi" w:eastAsia="Times New Roman" w:hAnsiTheme="minorBidi"/>
          <w:color w:val="000000" w:themeColor="text1"/>
          <w:sz w:val="20"/>
          <w:szCs w:val="20"/>
        </w:rPr>
        <w:t xml:space="preserve"> (1970).</w:t>
      </w:r>
    </w:p>
    <w:p w14:paraId="22EEFCC2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p w14:paraId="45635FE4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p w14:paraId="10627743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bookmarkStart w:id="92" w:name="OLE_LINK229"/>
      <w:bookmarkStart w:id="93" w:name="OLE_LINK230"/>
      <w:bookmarkEnd w:id="87"/>
      <w:bookmarkEnd w:id="88"/>
      <w:r w:rsidRPr="00DB4001">
        <w:rPr>
          <w:rFonts w:asciiTheme="minorBidi" w:hAnsiTheme="minorBidi"/>
          <w:color w:val="000000" w:themeColor="text1"/>
          <w:sz w:val="20"/>
          <w:szCs w:val="20"/>
        </w:rPr>
        <w:lastRenderedPageBreak/>
        <w:t>Heat capacity</w:t>
      </w:r>
    </w:p>
    <w:p w14:paraId="2C85F91E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AAindex ID: HUTJ700101</w:t>
      </w:r>
    </w:p>
    <w:p w14:paraId="2AB2BB15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name: Heat capacity (Hutchens, 1970) </w:t>
      </w:r>
    </w:p>
    <w:p w14:paraId="25BFDD89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</w:p>
    <w:p w14:paraId="4CA2A07E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Heat capacity (Hutchens, 1970)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15F3E5CE" w14:textId="77777777" w:rsidR="00C02B0C" w:rsidRPr="00DB4001" w:rsidRDefault="00C02B0C" w:rsidP="00C02B0C">
      <w:pPr>
        <w:rPr>
          <w:rFonts w:asciiTheme="minorBidi" w:eastAsia="Times New Roman" w:hAnsiTheme="minorBidi"/>
          <w:color w:val="000000" w:themeColor="text1"/>
          <w:sz w:val="20"/>
          <w:szCs w:val="20"/>
        </w:rPr>
      </w:pPr>
      <w:r w:rsidRPr="00DB4001">
        <w:rPr>
          <w:rFonts w:asciiTheme="minorBidi" w:eastAsia="Times New Roman" w:hAnsiTheme="minorBidi"/>
          <w:color w:val="000000" w:themeColor="text1"/>
          <w:sz w:val="20"/>
          <w:szCs w:val="20"/>
        </w:rPr>
        <w:t xml:space="preserve">Hutchens, John O. "Heat capacities, absolute entropies, and entropies of formation of amino acids and related compounds." </w:t>
      </w:r>
      <w:r w:rsidRPr="00DB4001">
        <w:rPr>
          <w:rFonts w:asciiTheme="minorBidi" w:eastAsia="Times New Roman" w:hAnsiTheme="minorBidi"/>
          <w:i/>
          <w:iCs/>
          <w:color w:val="000000" w:themeColor="text1"/>
          <w:sz w:val="20"/>
          <w:szCs w:val="20"/>
        </w:rPr>
        <w:t>Handbook of biochemistry</w:t>
      </w:r>
      <w:r w:rsidRPr="00DB4001">
        <w:rPr>
          <w:rFonts w:asciiTheme="minorBidi" w:eastAsia="Times New Roman" w:hAnsiTheme="minorBidi"/>
          <w:color w:val="000000" w:themeColor="text1"/>
          <w:sz w:val="20"/>
          <w:szCs w:val="20"/>
        </w:rPr>
        <w:t xml:space="preserve"> (1970).</w:t>
      </w:r>
    </w:p>
    <w:p w14:paraId="48C3D61E" w14:textId="77777777" w:rsidR="00C02B0C" w:rsidRPr="00DB4001" w:rsidRDefault="00C02B0C" w:rsidP="00C02B0C">
      <w:pPr>
        <w:pBdr>
          <w:bottom w:val="single" w:sz="6" w:space="1" w:color="auto"/>
        </w:pBdr>
        <w:ind w:left="180" w:hanging="180"/>
        <w:rPr>
          <w:rFonts w:asciiTheme="minorBidi" w:hAnsiTheme="minorBidi"/>
          <w:color w:val="000000" w:themeColor="text1"/>
          <w:sz w:val="20"/>
          <w:szCs w:val="20"/>
        </w:rPr>
      </w:pPr>
    </w:p>
    <w:p w14:paraId="1BFA2547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bookmarkEnd w:id="92"/>
    <w:bookmarkEnd w:id="93"/>
    <w:p w14:paraId="6674C93E" w14:textId="77777777" w:rsidR="00C02B0C" w:rsidRPr="00DB4001" w:rsidRDefault="00C02B0C" w:rsidP="00C02B0C">
      <w:pPr>
        <w:rPr>
          <w:rFonts w:asciiTheme="minorBidi" w:hAnsi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/>
          <w:color w:val="000000" w:themeColor="text1"/>
          <w:sz w:val="20"/>
          <w:szCs w:val="20"/>
        </w:rPr>
        <w:t>Absolute entropy</w:t>
      </w:r>
    </w:p>
    <w:p w14:paraId="29592F0F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>AAindex ID: HUTJ700102</w:t>
      </w:r>
    </w:p>
    <w:p w14:paraId="5D6F1CA0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AAindex name: </w:t>
      </w:r>
      <w:bookmarkStart w:id="94" w:name="OLE_LINK236"/>
      <w:bookmarkStart w:id="95" w:name="OLE_LINK237"/>
      <w:bookmarkStart w:id="96" w:name="OLE_LINK238"/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Absolute entropy (Hutchens, 1970) </w:t>
      </w:r>
    </w:p>
    <w:bookmarkEnd w:id="94"/>
    <w:bookmarkEnd w:id="95"/>
    <w:bookmarkEnd w:id="96"/>
    <w:p w14:paraId="0AAA1F96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</w:p>
    <w:p w14:paraId="3B8A81D4" w14:textId="77777777" w:rsidR="00C02B0C" w:rsidRPr="00DB4001" w:rsidRDefault="00C02B0C" w:rsidP="00C02B0C">
      <w:pPr>
        <w:pStyle w:val="Default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DB4001"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  <w:t>Absolute entropy (Hutchens, 1970)</w:t>
      </w:r>
      <w:r w:rsidRPr="00DB4001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 (AAindex ref)</w:t>
      </w:r>
      <w:r w:rsidRPr="00DB4001">
        <w:rPr>
          <w:rFonts w:asciiTheme="minorBidi" w:hAnsiTheme="minorBidi" w:cstheme="minorBidi"/>
          <w:b/>
          <w:color w:val="000000" w:themeColor="text1"/>
          <w:sz w:val="20"/>
          <w:szCs w:val="20"/>
        </w:rPr>
        <w:t xml:space="preserve">: </w:t>
      </w:r>
    </w:p>
    <w:p w14:paraId="4BA36EAB" w14:textId="77777777" w:rsidR="00C02B0C" w:rsidRPr="00DB4001" w:rsidRDefault="00C02B0C" w:rsidP="00C02B0C">
      <w:pPr>
        <w:rPr>
          <w:rFonts w:asciiTheme="minorBidi" w:eastAsia="Times New Roman" w:hAnsiTheme="minorBidi"/>
          <w:color w:val="000000" w:themeColor="text1"/>
          <w:sz w:val="20"/>
          <w:szCs w:val="20"/>
        </w:rPr>
      </w:pPr>
      <w:r w:rsidRPr="00DB4001">
        <w:rPr>
          <w:rFonts w:asciiTheme="minorBidi" w:eastAsia="Times New Roman" w:hAnsiTheme="minorBidi"/>
          <w:color w:val="000000" w:themeColor="text1"/>
          <w:sz w:val="20"/>
          <w:szCs w:val="20"/>
        </w:rPr>
        <w:t xml:space="preserve">Hutchens, John O. "Heat capacities, absolute entropies, and entropies of formation of amino acids and related compounds." </w:t>
      </w:r>
      <w:r w:rsidRPr="00DB4001">
        <w:rPr>
          <w:rFonts w:asciiTheme="minorBidi" w:eastAsia="Times New Roman" w:hAnsiTheme="minorBidi"/>
          <w:i/>
          <w:iCs/>
          <w:color w:val="000000" w:themeColor="text1"/>
          <w:sz w:val="20"/>
          <w:szCs w:val="20"/>
        </w:rPr>
        <w:t>Handbook of biochemistry</w:t>
      </w:r>
      <w:r w:rsidRPr="00DB4001">
        <w:rPr>
          <w:rFonts w:asciiTheme="minorBidi" w:eastAsia="Times New Roman" w:hAnsiTheme="minorBidi"/>
          <w:color w:val="000000" w:themeColor="text1"/>
          <w:sz w:val="20"/>
          <w:szCs w:val="20"/>
        </w:rPr>
        <w:t xml:space="preserve"> (1970).</w:t>
      </w:r>
    </w:p>
    <w:p w14:paraId="7FD76FF0" w14:textId="77777777" w:rsidR="00C02B0C" w:rsidRPr="00DB4001" w:rsidRDefault="00C02B0C">
      <w:pPr>
        <w:rPr>
          <w:rFonts w:asciiTheme="minorBidi" w:hAnsiTheme="minorBidi"/>
          <w:color w:val="000000" w:themeColor="text1"/>
          <w:sz w:val="20"/>
          <w:szCs w:val="20"/>
        </w:rPr>
      </w:pPr>
    </w:p>
    <w:sectPr w:rsidR="00C02B0C" w:rsidRPr="00DB4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0C"/>
    <w:rsid w:val="00402F97"/>
    <w:rsid w:val="00C02B0C"/>
    <w:rsid w:val="00CB295B"/>
    <w:rsid w:val="00DB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480C5"/>
  <w15:chartTrackingRefBased/>
  <w15:docId w15:val="{BA0F8080-7ABE-4D2A-8F72-CCE84F56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B0C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2B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B0C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B0C"/>
    <w:rPr>
      <w:rFonts w:eastAsiaTheme="minorEastAsia"/>
      <w:sz w:val="24"/>
      <w:szCs w:val="24"/>
    </w:rPr>
  </w:style>
  <w:style w:type="paragraph" w:customStyle="1" w:styleId="Default">
    <w:name w:val="Default"/>
    <w:rsid w:val="00C02B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2B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2B0C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B0C"/>
    <w:rPr>
      <w:rFonts w:ascii="Segoe UI" w:hAnsi="Segoe UI" w:cs="Segoe UI"/>
      <w:sz w:val="18"/>
      <w:szCs w:val="18"/>
    </w:rPr>
  </w:style>
  <w:style w:type="paragraph" w:customStyle="1" w:styleId="RSCF01FootnoteAuthorAddress">
    <w:name w:val="RSC F01 Footnote Author Address"/>
    <w:link w:val="RSCF01FootnoteAuthorAddressChar"/>
    <w:qFormat/>
    <w:rsid w:val="00402F97"/>
    <w:pPr>
      <w:numPr>
        <w:numId w:val="1"/>
      </w:numPr>
      <w:pBdr>
        <w:top w:val="single" w:sz="12" w:space="1" w:color="A6A6A6"/>
      </w:pBdr>
      <w:spacing w:after="0" w:line="240" w:lineRule="auto"/>
      <w:ind w:left="85" w:hanging="85"/>
      <w:suppressOverlap/>
    </w:pPr>
    <w:rPr>
      <w:rFonts w:ascii="Calibri" w:eastAsia="Calibri" w:hAnsi="Calibri" w:cs="Times New Roman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link w:val="RSCF01FootnoteAuthorAddress"/>
    <w:rsid w:val="00402F97"/>
    <w:rPr>
      <w:rFonts w:ascii="Calibri" w:eastAsia="Calibri" w:hAnsi="Calibri" w:cs="Times New Roman"/>
      <w:i/>
      <w:w w:val="105"/>
      <w:sz w:val="14"/>
      <w:szCs w:val="1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2018-04-07T10:12:00Z</dcterms:created>
  <dcterms:modified xsi:type="dcterms:W3CDTF">2018-04-07T10:12:00Z</dcterms:modified>
</cp:coreProperties>
</file>