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A8878A" w14:textId="77777777" w:rsidR="00344123" w:rsidRPr="00CA184F" w:rsidRDefault="00344123" w:rsidP="00344123">
      <w:pPr>
        <w:pStyle w:val="Title"/>
        <w:jc w:val="center"/>
        <w:rPr>
          <w:i/>
          <w:sz w:val="36"/>
        </w:rPr>
      </w:pPr>
      <w:r w:rsidRPr="00CA184F">
        <w:rPr>
          <w:sz w:val="36"/>
        </w:rPr>
        <w:t xml:space="preserve">The UV/Visible Radiation Boundary Region (385 – 405 nm) Damages Skin Cells and Induces “dark” Cyclobutane Pyrimidine Dimers in Human Skin </w:t>
      </w:r>
      <w:r w:rsidRPr="00CA184F">
        <w:rPr>
          <w:i/>
          <w:sz w:val="36"/>
        </w:rPr>
        <w:t>in vivo</w:t>
      </w:r>
    </w:p>
    <w:p w14:paraId="7C648688" w14:textId="77777777" w:rsidR="00344123" w:rsidRPr="00C66252" w:rsidRDefault="00344123" w:rsidP="00344123">
      <w:pPr>
        <w:jc w:val="center"/>
        <w:rPr>
          <w:vertAlign w:val="superscript"/>
        </w:rPr>
      </w:pPr>
      <w:proofErr w:type="gramStart"/>
      <w:r>
        <w:t>Karl P.</w:t>
      </w:r>
      <w:r w:rsidRPr="00C66252">
        <w:t xml:space="preserve"> Lawrence</w:t>
      </w:r>
      <w:r w:rsidRPr="00C66252">
        <w:rPr>
          <w:vertAlign w:val="superscript"/>
        </w:rPr>
        <w:t>1</w:t>
      </w:r>
      <w:r>
        <w:rPr>
          <w:vertAlign w:val="superscript"/>
        </w:rPr>
        <w:t>*</w:t>
      </w:r>
      <w:r>
        <w:t>,</w:t>
      </w:r>
      <w:r w:rsidRPr="007C4C2C">
        <w:t xml:space="preserve"> </w:t>
      </w:r>
      <w:r w:rsidRPr="00C66252">
        <w:t>Thierry Douki</w:t>
      </w:r>
      <w:r w:rsidRPr="00C66252">
        <w:rPr>
          <w:vertAlign w:val="superscript"/>
        </w:rPr>
        <w:t>2</w:t>
      </w:r>
      <w:r>
        <w:t>,</w:t>
      </w:r>
      <w:r w:rsidRPr="00C66252">
        <w:t xml:space="preserve"> </w:t>
      </w:r>
      <w:r>
        <w:t>Robert PE.</w:t>
      </w:r>
      <w:proofErr w:type="gramEnd"/>
      <w:r>
        <w:t xml:space="preserve"> </w:t>
      </w:r>
      <w:r w:rsidRPr="009377E0">
        <w:t>Sarkany</w:t>
      </w:r>
      <w:r w:rsidRPr="009377E0">
        <w:rPr>
          <w:vertAlign w:val="superscript"/>
        </w:rPr>
        <w:t>1</w:t>
      </w:r>
      <w:r>
        <w:t xml:space="preserve">, </w:t>
      </w:r>
      <w:r w:rsidRPr="00C66252">
        <w:t>Stephanie Acker</w:t>
      </w:r>
      <w:r w:rsidRPr="00C66252">
        <w:rPr>
          <w:vertAlign w:val="superscript"/>
        </w:rPr>
        <w:t>3</w:t>
      </w:r>
      <w:r w:rsidRPr="00C66252">
        <w:t>, Bernd Herzog</w:t>
      </w:r>
      <w:r w:rsidRPr="00C66252">
        <w:rPr>
          <w:vertAlign w:val="superscript"/>
        </w:rPr>
        <w:t>3</w:t>
      </w:r>
      <w:r>
        <w:t xml:space="preserve">, </w:t>
      </w:r>
      <w:r w:rsidRPr="009377E0">
        <w:t>Antony</w:t>
      </w:r>
      <w:r w:rsidRPr="00C66252">
        <w:t xml:space="preserve"> R</w:t>
      </w:r>
      <w:r>
        <w:t>.</w:t>
      </w:r>
      <w:r w:rsidRPr="00C66252">
        <w:t xml:space="preserve"> Young</w:t>
      </w:r>
      <w:r w:rsidRPr="00C66252">
        <w:rPr>
          <w:vertAlign w:val="superscript"/>
        </w:rPr>
        <w:t>1</w:t>
      </w:r>
      <w:r>
        <w:rPr>
          <w:vertAlign w:val="superscript"/>
        </w:rPr>
        <w:t>*</w:t>
      </w:r>
    </w:p>
    <w:p w14:paraId="378A0199" w14:textId="77777777" w:rsidR="00344123" w:rsidRPr="00C66252" w:rsidRDefault="00344123" w:rsidP="00344123">
      <w:pPr>
        <w:jc w:val="center"/>
      </w:pPr>
    </w:p>
    <w:p w14:paraId="446C1D87" w14:textId="77777777" w:rsidR="00344123" w:rsidRPr="00C66252" w:rsidRDefault="00344123" w:rsidP="00344123">
      <w:pPr>
        <w:jc w:val="center"/>
      </w:pPr>
      <w:r w:rsidRPr="00C66252">
        <w:rPr>
          <w:vertAlign w:val="superscript"/>
        </w:rPr>
        <w:t>1</w:t>
      </w:r>
      <w:r w:rsidRPr="00C66252">
        <w:t xml:space="preserve"> St John’s Institute of Dermatology, King’s College London, London, UK.</w:t>
      </w:r>
    </w:p>
    <w:p w14:paraId="02B5A0CF" w14:textId="77777777" w:rsidR="00344123" w:rsidRPr="00D1300F" w:rsidRDefault="00344123" w:rsidP="00344123">
      <w:pPr>
        <w:jc w:val="center"/>
      </w:pPr>
      <w:r w:rsidRPr="00D1300F">
        <w:rPr>
          <w:rFonts w:cs="Times New Roman"/>
          <w:vertAlign w:val="superscript"/>
        </w:rPr>
        <w:t>2</w:t>
      </w:r>
      <w:r w:rsidRPr="00D1300F">
        <w:rPr>
          <w:rFonts w:cs="Times New Roman"/>
        </w:rPr>
        <w:t xml:space="preserve">Université </w:t>
      </w:r>
      <w:r w:rsidRPr="00D1300F">
        <w:rPr>
          <w:rFonts w:cs="Times New Roman"/>
          <w:lang w:val="en-US"/>
        </w:rPr>
        <w:t xml:space="preserve">Grenoble </w:t>
      </w:r>
      <w:proofErr w:type="spellStart"/>
      <w:r w:rsidRPr="00D1300F">
        <w:rPr>
          <w:rFonts w:cs="Times New Roman"/>
          <w:lang w:val="en-US"/>
        </w:rPr>
        <w:t>Alpes</w:t>
      </w:r>
      <w:proofErr w:type="spellEnd"/>
      <w:r w:rsidRPr="00D1300F">
        <w:rPr>
          <w:rFonts w:cs="Times New Roman"/>
          <w:lang w:val="en-US"/>
        </w:rPr>
        <w:t xml:space="preserve">, </w:t>
      </w:r>
      <w:proofErr w:type="spellStart"/>
      <w:r w:rsidRPr="00D1300F">
        <w:rPr>
          <w:rFonts w:cs="Times New Roman"/>
          <w:lang w:val="en-US"/>
        </w:rPr>
        <w:t>SyMMES</w:t>
      </w:r>
      <w:proofErr w:type="spellEnd"/>
      <w:r w:rsidRPr="00D1300F">
        <w:rPr>
          <w:rFonts w:cs="Times New Roman"/>
          <w:lang w:val="en-US"/>
        </w:rPr>
        <w:t xml:space="preserve">, &amp; CEA, INAC, </w:t>
      </w:r>
      <w:proofErr w:type="spellStart"/>
      <w:r w:rsidRPr="00D1300F">
        <w:rPr>
          <w:rFonts w:cs="Times New Roman"/>
          <w:lang w:val="en-US"/>
        </w:rPr>
        <w:t>SyMMES</w:t>
      </w:r>
      <w:proofErr w:type="spellEnd"/>
      <w:r w:rsidRPr="00D1300F">
        <w:rPr>
          <w:rFonts w:cs="Times New Roman"/>
          <w:lang w:val="en-US"/>
        </w:rPr>
        <w:t>, LAN, F-38000 Grenoble, France</w:t>
      </w:r>
    </w:p>
    <w:p w14:paraId="0CE6D3BC" w14:textId="77777777" w:rsidR="00344123" w:rsidRPr="00C66252" w:rsidRDefault="00344123" w:rsidP="00344123">
      <w:pPr>
        <w:jc w:val="center"/>
      </w:pPr>
      <w:r w:rsidRPr="00C66252">
        <w:rPr>
          <w:vertAlign w:val="superscript"/>
        </w:rPr>
        <w:t>3</w:t>
      </w:r>
      <w:r w:rsidRPr="00C66252">
        <w:t xml:space="preserve">BASF </w:t>
      </w:r>
      <w:proofErr w:type="spellStart"/>
      <w:r w:rsidRPr="00C66252">
        <w:t>Grenzach</w:t>
      </w:r>
      <w:proofErr w:type="spellEnd"/>
      <w:r w:rsidRPr="00C66252">
        <w:t xml:space="preserve"> GmbH, </w:t>
      </w:r>
      <w:proofErr w:type="spellStart"/>
      <w:r w:rsidRPr="00C66252">
        <w:t>Grenzach-Whylen</w:t>
      </w:r>
      <w:proofErr w:type="spellEnd"/>
      <w:r w:rsidRPr="00C66252">
        <w:t>, Germany</w:t>
      </w:r>
    </w:p>
    <w:p w14:paraId="0E557F10" w14:textId="77777777" w:rsidR="00344123" w:rsidRPr="00C66252" w:rsidRDefault="00344123" w:rsidP="00344123">
      <w:pPr>
        <w:jc w:val="center"/>
        <w:rPr>
          <w:sz w:val="22"/>
        </w:rPr>
      </w:pPr>
    </w:p>
    <w:p w14:paraId="00F82FEB" w14:textId="77777777" w:rsidR="00344123" w:rsidRDefault="00344123" w:rsidP="00344123">
      <w:pPr>
        <w:spacing w:line="48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*</w:t>
      </w:r>
      <w:r w:rsidRPr="00947825">
        <w:rPr>
          <w:rFonts w:ascii="Times New Roman" w:hAnsi="Times New Roman" w:cs="Times New Roman"/>
          <w:b/>
        </w:rPr>
        <w:t>Correspond</w:t>
      </w:r>
      <w:r>
        <w:rPr>
          <w:rFonts w:ascii="Times New Roman" w:hAnsi="Times New Roman" w:cs="Times New Roman"/>
          <w:b/>
        </w:rPr>
        <w:t xml:space="preserve">ence to </w:t>
      </w:r>
      <w:hyperlink r:id="rId5" w:history="1">
        <w:r w:rsidRPr="008B465B">
          <w:rPr>
            <w:rStyle w:val="Hyperlink"/>
            <w:rFonts w:ascii="Times New Roman" w:hAnsi="Times New Roman" w:cs="Times New Roman"/>
            <w:b/>
          </w:rPr>
          <w:t>karl.lawrence@kcl.ac.uk</w:t>
        </w:r>
      </w:hyperlink>
      <w:r>
        <w:rPr>
          <w:rFonts w:ascii="Times New Roman" w:hAnsi="Times New Roman" w:cs="Times New Roman"/>
          <w:b/>
        </w:rPr>
        <w:t xml:space="preserve"> or </w:t>
      </w:r>
      <w:hyperlink r:id="rId6" w:history="1">
        <w:r w:rsidRPr="008B465B">
          <w:rPr>
            <w:rStyle w:val="Hyperlink"/>
            <w:rFonts w:ascii="Times New Roman" w:hAnsi="Times New Roman" w:cs="Times New Roman"/>
            <w:b/>
          </w:rPr>
          <w:t>antony.young@kcl.ac.uk</w:t>
        </w:r>
      </w:hyperlink>
    </w:p>
    <w:p w14:paraId="4C530DEB" w14:textId="77777777" w:rsidR="00344123" w:rsidRPr="00344123" w:rsidRDefault="00344123" w:rsidP="00344123">
      <w:pPr>
        <w:spacing w:line="480" w:lineRule="auto"/>
        <w:rPr>
          <w:rFonts w:ascii="Times New Roman" w:hAnsi="Times New Roman" w:cs="Times New Roman"/>
          <w:b/>
        </w:rPr>
      </w:pPr>
      <w:bookmarkStart w:id="0" w:name="_GoBack"/>
    </w:p>
    <w:p w14:paraId="2949D3C4" w14:textId="77777777" w:rsidR="00344123" w:rsidRDefault="00344123" w:rsidP="00631910">
      <w:pPr>
        <w:rPr>
          <w:b/>
          <w:u w:val="single"/>
        </w:rPr>
      </w:pPr>
    </w:p>
    <w:p w14:paraId="104DD64E" w14:textId="77777777" w:rsidR="00631910" w:rsidRDefault="00631910" w:rsidP="00631910">
      <w:pPr>
        <w:rPr>
          <w:b/>
          <w:u w:val="single"/>
        </w:rPr>
      </w:pPr>
      <w:r>
        <w:rPr>
          <w:b/>
          <w:u w:val="single"/>
        </w:rPr>
        <w:t>SUPPLEMENTARY MATERIALS</w:t>
      </w:r>
    </w:p>
    <w:bookmarkEnd w:id="0"/>
    <w:p w14:paraId="1523287C" w14:textId="77777777" w:rsidR="00631910" w:rsidRDefault="00631910" w:rsidP="00631910">
      <w:pPr>
        <w:pStyle w:val="Heading2"/>
      </w:pPr>
    </w:p>
    <w:p w14:paraId="00D4CEBB" w14:textId="77777777" w:rsidR="00CA184F" w:rsidRDefault="00CA184F" w:rsidP="00CA184F">
      <w:pPr>
        <w:pStyle w:val="Heading2"/>
      </w:pPr>
    </w:p>
    <w:p w14:paraId="7F0B7974" w14:textId="77777777" w:rsidR="00631910" w:rsidRPr="00B50EC3" w:rsidRDefault="00631910" w:rsidP="00631910">
      <w:pPr>
        <w:rPr>
          <w:b/>
          <w:u w:val="single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60288" behindDoc="0" locked="0" layoutInCell="1" allowOverlap="1" wp14:anchorId="381614D1" wp14:editId="42295DB5">
            <wp:simplePos x="0" y="0"/>
            <wp:positionH relativeFrom="column">
              <wp:posOffset>228600</wp:posOffset>
            </wp:positionH>
            <wp:positionV relativeFrom="paragraph">
              <wp:posOffset>914400</wp:posOffset>
            </wp:positionV>
            <wp:extent cx="5270500" cy="5939155"/>
            <wp:effectExtent l="0" t="0" r="12700" b="4445"/>
            <wp:wrapTopAndBottom/>
            <wp:docPr id="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593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3F46B5" w14:textId="77777777" w:rsidR="00CA184F" w:rsidRPr="00CA184F" w:rsidRDefault="00CA184F" w:rsidP="00CA184F">
      <w:pPr>
        <w:pStyle w:val="Heading2"/>
      </w:pPr>
      <w:r>
        <w:t xml:space="preserve">S1: Individual </w:t>
      </w:r>
      <w:r w:rsidRPr="00021383">
        <w:rPr>
          <w:i/>
        </w:rPr>
        <w:t>in vivo</w:t>
      </w:r>
      <w:r>
        <w:t xml:space="preserve"> gene expression changes</w:t>
      </w:r>
    </w:p>
    <w:p w14:paraId="748884F6" w14:textId="77777777" w:rsidR="00CA184F" w:rsidRDefault="00CA184F" w:rsidP="00631910">
      <w:pPr>
        <w:pStyle w:val="Caption"/>
        <w:ind w:firstLine="0"/>
      </w:pPr>
    </w:p>
    <w:p w14:paraId="3461D145" w14:textId="77777777" w:rsidR="00CA184F" w:rsidRDefault="00CA184F" w:rsidP="00631910">
      <w:pPr>
        <w:pStyle w:val="Caption"/>
        <w:ind w:firstLine="0"/>
      </w:pPr>
    </w:p>
    <w:p w14:paraId="27A6204E" w14:textId="77777777" w:rsidR="00CA184F" w:rsidRDefault="00CA184F" w:rsidP="00631910">
      <w:pPr>
        <w:pStyle w:val="Caption"/>
        <w:ind w:firstLine="0"/>
      </w:pPr>
    </w:p>
    <w:p w14:paraId="2B321AD1" w14:textId="77777777" w:rsidR="00631910" w:rsidRDefault="00631910" w:rsidP="00631910">
      <w:pPr>
        <w:pStyle w:val="Caption"/>
        <w:ind w:firstLine="0"/>
        <w:rPr>
          <w:b w:val="0"/>
        </w:rPr>
      </w:pPr>
      <w:r>
        <w:t>Figure S1:</w:t>
      </w:r>
      <w:r w:rsidRPr="00F73C11">
        <w:t xml:space="preserve"> </w:t>
      </w:r>
      <w:r w:rsidRPr="00456293">
        <w:t>385</w:t>
      </w:r>
      <w:r>
        <w:t xml:space="preserve"> </w:t>
      </w:r>
      <w:r w:rsidRPr="00456293">
        <w:t>nm and 405</w:t>
      </w:r>
      <w:r>
        <w:t xml:space="preserve"> </w:t>
      </w:r>
      <w:r w:rsidRPr="00456293">
        <w:t xml:space="preserve">nm induced gene changes </w:t>
      </w:r>
      <w:r w:rsidRPr="00456293">
        <w:rPr>
          <w:i/>
        </w:rPr>
        <w:t>in vivo</w:t>
      </w:r>
      <w:r w:rsidRPr="00456293">
        <w:t xml:space="preserve">. </w:t>
      </w:r>
      <w:r w:rsidRPr="00456293">
        <w:rPr>
          <w:b w:val="0"/>
        </w:rPr>
        <w:t>Volunteers were exposed to 0 or 150J/cm</w:t>
      </w:r>
      <w:r w:rsidRPr="00456293">
        <w:rPr>
          <w:b w:val="0"/>
          <w:vertAlign w:val="superscript"/>
        </w:rPr>
        <w:t>2</w:t>
      </w:r>
      <w:r w:rsidRPr="00456293">
        <w:rPr>
          <w:b w:val="0"/>
        </w:rPr>
        <w:t xml:space="preserve"> of 385 or 405</w:t>
      </w:r>
      <w:r>
        <w:rPr>
          <w:b w:val="0"/>
        </w:rPr>
        <w:t xml:space="preserve"> </w:t>
      </w:r>
      <w:r w:rsidRPr="00456293">
        <w:rPr>
          <w:b w:val="0"/>
        </w:rPr>
        <w:t xml:space="preserve">nm </w:t>
      </w:r>
      <w:proofErr w:type="gramStart"/>
      <w:r w:rsidRPr="00456293">
        <w:rPr>
          <w:b w:val="0"/>
        </w:rPr>
        <w:t>radiation</w:t>
      </w:r>
      <w:proofErr w:type="gramEnd"/>
      <w:r w:rsidRPr="00456293">
        <w:rPr>
          <w:b w:val="0"/>
        </w:rPr>
        <w:t xml:space="preserve">. </w:t>
      </w:r>
      <w:r w:rsidRPr="00AF7707">
        <w:rPr>
          <w:b w:val="0"/>
        </w:rPr>
        <w:t xml:space="preserve">Biopsies were taken 0, 6 or 24 </w:t>
      </w:r>
      <w:proofErr w:type="spellStart"/>
      <w:r w:rsidRPr="00AF7707">
        <w:rPr>
          <w:b w:val="0"/>
        </w:rPr>
        <w:t>hrs</w:t>
      </w:r>
      <w:proofErr w:type="spellEnd"/>
      <w:r w:rsidRPr="00AF7707">
        <w:rPr>
          <w:b w:val="0"/>
        </w:rPr>
        <w:t xml:space="preserve"> post exposure and gene expression changes were measured by qPCR and categorised based on (a) inflammation (b) photoageing and (c) oxidative stress. </w:t>
      </w:r>
      <w:r>
        <w:rPr>
          <w:b w:val="0"/>
        </w:rPr>
        <w:t>Each point</w:t>
      </w:r>
      <w:r w:rsidRPr="00AF7707">
        <w:rPr>
          <w:b w:val="0"/>
        </w:rPr>
        <w:t xml:space="preserve"> represent</w:t>
      </w:r>
      <w:r>
        <w:rPr>
          <w:b w:val="0"/>
        </w:rPr>
        <w:t>s</w:t>
      </w:r>
      <w:r w:rsidRPr="00AF7707">
        <w:rPr>
          <w:b w:val="0"/>
        </w:rPr>
        <w:t xml:space="preserve"> the mean ± SD (n</w:t>
      </w:r>
      <w:r w:rsidRPr="00AF7707">
        <w:rPr>
          <w:rFonts w:ascii="Cambria" w:hAnsi="Cambria"/>
          <w:b w:val="0"/>
        </w:rPr>
        <w:t>=5</w:t>
      </w:r>
      <w:r w:rsidRPr="00AF7707">
        <w:rPr>
          <w:b w:val="0"/>
        </w:rPr>
        <w:t xml:space="preserve">). </w:t>
      </w:r>
    </w:p>
    <w:p w14:paraId="3C3B8C88" w14:textId="77777777" w:rsidR="00631910" w:rsidRDefault="00631910" w:rsidP="00631910">
      <w:pPr>
        <w:rPr>
          <w:b/>
          <w:u w:val="single"/>
        </w:rPr>
      </w:pPr>
    </w:p>
    <w:p w14:paraId="538B179E" w14:textId="77777777" w:rsidR="00631910" w:rsidRDefault="00631910" w:rsidP="00631910">
      <w:pPr>
        <w:rPr>
          <w:rStyle w:val="SubtleEmphasis"/>
          <w:rFonts w:asciiTheme="majorHAnsi" w:eastAsiaTheme="majorEastAsia" w:hAnsiTheme="majorHAnsi" w:cstheme="majorBidi"/>
          <w:b/>
          <w:bCs/>
          <w:sz w:val="26"/>
          <w:szCs w:val="26"/>
        </w:rPr>
      </w:pPr>
      <w:r>
        <w:rPr>
          <w:rStyle w:val="SubtleEmphasis"/>
        </w:rPr>
        <w:br w:type="page"/>
      </w:r>
    </w:p>
    <w:p w14:paraId="1A15FCEA" w14:textId="77777777" w:rsidR="00631910" w:rsidRPr="007F6E4F" w:rsidRDefault="00631910" w:rsidP="00631910">
      <w:pPr>
        <w:pStyle w:val="Heading2"/>
        <w:rPr>
          <w:rStyle w:val="Strong"/>
        </w:rPr>
      </w:pPr>
      <w:r w:rsidRPr="007F6E4F">
        <w:rPr>
          <w:rStyle w:val="Strong"/>
        </w:rPr>
        <w:t xml:space="preserve">S2: </w:t>
      </w:r>
      <w:r w:rsidRPr="007F6E4F">
        <w:rPr>
          <w:rStyle w:val="Strong"/>
          <w:i/>
        </w:rPr>
        <w:t>In Vitro</w:t>
      </w:r>
      <w:r w:rsidRPr="007F6E4F">
        <w:rPr>
          <w:rStyle w:val="Strong"/>
        </w:rPr>
        <w:t xml:space="preserve"> – </w:t>
      </w:r>
      <w:r w:rsidRPr="007F6E4F">
        <w:rPr>
          <w:rStyle w:val="Strong"/>
          <w:i/>
        </w:rPr>
        <w:t>In Vivo</w:t>
      </w:r>
      <w:r w:rsidRPr="007F6E4F">
        <w:rPr>
          <w:rStyle w:val="Strong"/>
        </w:rPr>
        <w:t xml:space="preserve"> Gene Expression Comparisons</w:t>
      </w:r>
    </w:p>
    <w:p w14:paraId="589461CA" w14:textId="77777777" w:rsidR="00631910" w:rsidRDefault="00631910" w:rsidP="00631910">
      <w:pPr>
        <w:jc w:val="both"/>
      </w:pPr>
    </w:p>
    <w:p w14:paraId="4F7878D8" w14:textId="77777777" w:rsidR="00631910" w:rsidRPr="0040674A" w:rsidRDefault="00631910" w:rsidP="00631910">
      <w:pPr>
        <w:jc w:val="both"/>
      </w:pPr>
    </w:p>
    <w:p w14:paraId="5BC0D6FA" w14:textId="77777777" w:rsidR="00631910" w:rsidRPr="00E8600C" w:rsidRDefault="00631910" w:rsidP="00631910">
      <w:pPr>
        <w:spacing w:line="480" w:lineRule="auto"/>
        <w:jc w:val="both"/>
      </w:pPr>
      <w:r>
        <w:t xml:space="preserve">The </w:t>
      </w:r>
      <w:r w:rsidRPr="00BD0EC4">
        <w:rPr>
          <w:i/>
        </w:rPr>
        <w:t>in vitro</w:t>
      </w:r>
      <w:r>
        <w:t xml:space="preserve"> and </w:t>
      </w:r>
      <w:r w:rsidRPr="00BD0EC4">
        <w:rPr>
          <w:i/>
        </w:rPr>
        <w:t>in vivo</w:t>
      </w:r>
      <w:r>
        <w:t xml:space="preserve"> gene expression responses were compared (</w:t>
      </w:r>
      <w:r w:rsidRPr="00F02FF7">
        <w:t xml:space="preserve">Figure </w:t>
      </w:r>
      <w:r>
        <w:t xml:space="preserve">S2) to assess the validity of the </w:t>
      </w:r>
      <w:r w:rsidRPr="00D62999">
        <w:rPr>
          <w:i/>
        </w:rPr>
        <w:t>in vitro</w:t>
      </w:r>
      <w:r>
        <w:t xml:space="preserve"> model. The time points used for studies were different so direct time comparison was not possible but general responses were compared for genes that were measured using both methods. </w:t>
      </w:r>
    </w:p>
    <w:p w14:paraId="10040CDD" w14:textId="77777777" w:rsidR="00631910" w:rsidRDefault="00631910" w:rsidP="00631910">
      <w:pPr>
        <w:spacing w:line="480" w:lineRule="auto"/>
        <w:jc w:val="both"/>
        <w:rPr>
          <w:b/>
          <w:sz w:val="22"/>
        </w:rPr>
      </w:pPr>
    </w:p>
    <w:p w14:paraId="066E3E2D" w14:textId="77777777" w:rsidR="00631910" w:rsidRDefault="00631910" w:rsidP="00631910">
      <w:pPr>
        <w:spacing w:line="480" w:lineRule="auto"/>
        <w:jc w:val="both"/>
        <w:rPr>
          <w:b/>
          <w:sz w:val="2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47FCC30B" wp14:editId="46D3521D">
            <wp:simplePos x="0" y="0"/>
            <wp:positionH relativeFrom="column">
              <wp:posOffset>0</wp:posOffset>
            </wp:positionH>
            <wp:positionV relativeFrom="paragraph">
              <wp:posOffset>17780</wp:posOffset>
            </wp:positionV>
            <wp:extent cx="5270500" cy="2143760"/>
            <wp:effectExtent l="0" t="0" r="12700" b="0"/>
            <wp:wrapTopAndBottom/>
            <wp:docPr id="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14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53E730" w14:textId="77777777" w:rsidR="00631910" w:rsidRPr="00E132FB" w:rsidRDefault="00631910" w:rsidP="00631910">
      <w:pPr>
        <w:pStyle w:val="Caption"/>
        <w:ind w:firstLine="0"/>
        <w:rPr>
          <w:b w:val="0"/>
        </w:rPr>
      </w:pPr>
      <w:r>
        <w:t>Figure S2</w:t>
      </w:r>
      <w:r w:rsidRPr="00F73C11">
        <w:t xml:space="preserve">. </w:t>
      </w:r>
      <w:r w:rsidRPr="006945C0">
        <w:t xml:space="preserve">Comparison of </w:t>
      </w:r>
      <w:r w:rsidRPr="006945C0">
        <w:rPr>
          <w:i/>
        </w:rPr>
        <w:t>in vitro</w:t>
      </w:r>
      <w:r w:rsidRPr="006945C0">
        <w:t xml:space="preserve"> and </w:t>
      </w:r>
      <w:r w:rsidRPr="006945C0">
        <w:rPr>
          <w:i/>
        </w:rPr>
        <w:t>in vivo</w:t>
      </w:r>
      <w:r w:rsidRPr="006945C0">
        <w:t xml:space="preserve"> 385</w:t>
      </w:r>
      <w:r>
        <w:t xml:space="preserve"> </w:t>
      </w:r>
      <w:r w:rsidRPr="006945C0">
        <w:t>nm and 405</w:t>
      </w:r>
      <w:r>
        <w:t xml:space="preserve"> </w:t>
      </w:r>
      <w:r w:rsidRPr="006945C0">
        <w:t>nm induced gene changes.</w:t>
      </w:r>
      <w:r>
        <w:t xml:space="preserve"> </w:t>
      </w:r>
      <w:r w:rsidRPr="00E132FB">
        <w:rPr>
          <w:b w:val="0"/>
        </w:rPr>
        <w:t xml:space="preserve">The </w:t>
      </w:r>
      <w:r w:rsidRPr="00E132FB">
        <w:rPr>
          <w:b w:val="0"/>
          <w:i/>
        </w:rPr>
        <w:t>in vitro</w:t>
      </w:r>
      <w:r w:rsidRPr="00E132FB">
        <w:rPr>
          <w:b w:val="0"/>
        </w:rPr>
        <w:t xml:space="preserve"> and </w:t>
      </w:r>
      <w:r w:rsidRPr="00E132FB">
        <w:rPr>
          <w:b w:val="0"/>
          <w:i/>
        </w:rPr>
        <w:t>in vivo</w:t>
      </w:r>
      <w:r w:rsidRPr="00E132FB">
        <w:rPr>
          <w:b w:val="0"/>
        </w:rPr>
        <w:t xml:space="preserve"> responses to 385</w:t>
      </w:r>
      <w:r>
        <w:rPr>
          <w:b w:val="0"/>
        </w:rPr>
        <w:t xml:space="preserve"> </w:t>
      </w:r>
      <w:r w:rsidRPr="00E132FB">
        <w:rPr>
          <w:b w:val="0"/>
        </w:rPr>
        <w:t>nm and 405</w:t>
      </w:r>
      <w:r>
        <w:rPr>
          <w:b w:val="0"/>
        </w:rPr>
        <w:t xml:space="preserve"> </w:t>
      </w:r>
      <w:r w:rsidRPr="00E132FB">
        <w:rPr>
          <w:b w:val="0"/>
        </w:rPr>
        <w:t xml:space="preserve">nm irradiation were compared to assess the validity of </w:t>
      </w:r>
      <w:r w:rsidRPr="00E132FB">
        <w:rPr>
          <w:b w:val="0"/>
          <w:i/>
        </w:rPr>
        <w:t>in vitro</w:t>
      </w:r>
      <w:r w:rsidRPr="00E132FB">
        <w:rPr>
          <w:b w:val="0"/>
        </w:rPr>
        <w:t xml:space="preserve"> studies. Differences were analysed using two-way ANOVA with </w:t>
      </w:r>
      <w:proofErr w:type="spellStart"/>
      <w:r w:rsidRPr="00E132FB">
        <w:rPr>
          <w:b w:val="0"/>
        </w:rPr>
        <w:t>Sidak’s</w:t>
      </w:r>
      <w:proofErr w:type="spellEnd"/>
      <w:r w:rsidRPr="00E132FB">
        <w:rPr>
          <w:b w:val="0"/>
        </w:rPr>
        <w:t xml:space="preserve"> multiple comparisons test, comparing the fold change differences between </w:t>
      </w:r>
      <w:r w:rsidRPr="00E132FB">
        <w:rPr>
          <w:b w:val="0"/>
          <w:i/>
        </w:rPr>
        <w:t>in vitro</w:t>
      </w:r>
      <w:r w:rsidRPr="00E132FB">
        <w:rPr>
          <w:b w:val="0"/>
        </w:rPr>
        <w:t xml:space="preserve"> </w:t>
      </w:r>
      <w:r>
        <w:rPr>
          <w:b w:val="0"/>
        </w:rPr>
        <w:t xml:space="preserve">response at 12 </w:t>
      </w:r>
      <w:proofErr w:type="spellStart"/>
      <w:r>
        <w:rPr>
          <w:b w:val="0"/>
        </w:rPr>
        <w:t>h</w:t>
      </w:r>
      <w:r w:rsidRPr="00E132FB">
        <w:rPr>
          <w:b w:val="0"/>
        </w:rPr>
        <w:t>rs</w:t>
      </w:r>
      <w:proofErr w:type="spellEnd"/>
      <w:r w:rsidRPr="00E132FB">
        <w:rPr>
          <w:b w:val="0"/>
        </w:rPr>
        <w:t xml:space="preserve"> with the </w:t>
      </w:r>
      <w:r w:rsidRPr="00E132FB">
        <w:rPr>
          <w:b w:val="0"/>
          <w:i/>
        </w:rPr>
        <w:t>in vivo</w:t>
      </w:r>
      <w:r w:rsidRPr="00E132FB">
        <w:rPr>
          <w:b w:val="0"/>
        </w:rPr>
        <w:t xml:space="preserve"> response at 6 and 24 hrs. There was no significant difference between methods used</w:t>
      </w:r>
      <w:r>
        <w:rPr>
          <w:b w:val="0"/>
        </w:rPr>
        <w:t xml:space="preserve"> with the exception of MMP-1, which showed the same trend, but a different magnitude of response</w:t>
      </w:r>
      <w:r w:rsidRPr="00E132FB">
        <w:rPr>
          <w:b w:val="0"/>
        </w:rPr>
        <w:t xml:space="preserve"> (385</w:t>
      </w:r>
      <w:r>
        <w:rPr>
          <w:b w:val="0"/>
        </w:rPr>
        <w:t xml:space="preserve"> </w:t>
      </w:r>
      <w:r w:rsidRPr="00E132FB">
        <w:rPr>
          <w:b w:val="0"/>
        </w:rPr>
        <w:t>nm: p=0.0.0915, 405</w:t>
      </w:r>
      <w:r>
        <w:rPr>
          <w:b w:val="0"/>
        </w:rPr>
        <w:t xml:space="preserve"> </w:t>
      </w:r>
      <w:r w:rsidRPr="00E132FB">
        <w:rPr>
          <w:b w:val="0"/>
        </w:rPr>
        <w:t xml:space="preserve">nm: p=0.6083). The response at 6 and 24 </w:t>
      </w:r>
      <w:proofErr w:type="spellStart"/>
      <w:r w:rsidRPr="00E132FB">
        <w:rPr>
          <w:b w:val="0"/>
        </w:rPr>
        <w:t>hrs</w:t>
      </w:r>
      <w:proofErr w:type="spellEnd"/>
      <w:r w:rsidRPr="00E132FB">
        <w:rPr>
          <w:b w:val="0"/>
        </w:rPr>
        <w:t xml:space="preserve"> </w:t>
      </w:r>
      <w:r w:rsidRPr="00E360D9">
        <w:rPr>
          <w:b w:val="0"/>
          <w:i/>
        </w:rPr>
        <w:t>in vivo</w:t>
      </w:r>
      <w:r w:rsidRPr="00E132FB">
        <w:rPr>
          <w:b w:val="0"/>
        </w:rPr>
        <w:t xml:space="preserve"> were also compared</w:t>
      </w:r>
      <w:r>
        <w:rPr>
          <w:b w:val="0"/>
        </w:rPr>
        <w:t xml:space="preserve"> with the same outcome; in general there was no significant difference with the exception of MMP-1.</w:t>
      </w:r>
      <w:r w:rsidRPr="00E132FB">
        <w:rPr>
          <w:b w:val="0"/>
        </w:rPr>
        <w:t xml:space="preserve"> Columns represent the mean ± SD (</w:t>
      </w:r>
      <w:r w:rsidRPr="00E132FB">
        <w:rPr>
          <w:b w:val="0"/>
          <w:i/>
        </w:rPr>
        <w:t>in vitro</w:t>
      </w:r>
      <w:r w:rsidRPr="00E132FB">
        <w:rPr>
          <w:b w:val="0"/>
        </w:rPr>
        <w:t xml:space="preserve"> n=4; </w:t>
      </w:r>
      <w:r w:rsidRPr="00E132FB">
        <w:rPr>
          <w:b w:val="0"/>
          <w:i/>
        </w:rPr>
        <w:t>in vivo</w:t>
      </w:r>
      <w:r w:rsidRPr="00E132FB">
        <w:rPr>
          <w:b w:val="0"/>
        </w:rPr>
        <w:t xml:space="preserve"> n= 5)</w:t>
      </w:r>
    </w:p>
    <w:p w14:paraId="03D9080A" w14:textId="77777777" w:rsidR="004241E5" w:rsidRDefault="004241E5"/>
    <w:sectPr w:rsidR="004241E5" w:rsidSect="005C66A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910"/>
    <w:rsid w:val="00175FB7"/>
    <w:rsid w:val="00344123"/>
    <w:rsid w:val="004241E5"/>
    <w:rsid w:val="005C66A4"/>
    <w:rsid w:val="00631910"/>
    <w:rsid w:val="00CA1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D35A9C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910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191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5FB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5FB7"/>
    <w:rPr>
      <w:rFonts w:ascii="Lucida Grande" w:hAnsi="Lucida Grande" w:cs="Lucida Grande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6319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ption">
    <w:name w:val="caption"/>
    <w:basedOn w:val="Normal"/>
    <w:next w:val="Normal"/>
    <w:uiPriority w:val="35"/>
    <w:unhideWhenUsed/>
    <w:qFormat/>
    <w:rsid w:val="00631910"/>
    <w:pPr>
      <w:spacing w:line="360" w:lineRule="auto"/>
      <w:ind w:firstLine="360"/>
      <w:jc w:val="both"/>
    </w:pPr>
    <w:rPr>
      <w:b/>
      <w:bCs/>
      <w:sz w:val="20"/>
      <w:szCs w:val="18"/>
    </w:rPr>
  </w:style>
  <w:style w:type="character" w:styleId="SubtleEmphasis">
    <w:name w:val="Subtle Emphasis"/>
    <w:basedOn w:val="DefaultParagraphFont"/>
    <w:uiPriority w:val="19"/>
    <w:qFormat/>
    <w:rsid w:val="00631910"/>
    <w:rPr>
      <w:i/>
      <w:iCs/>
      <w:color w:val="808080" w:themeColor="text1" w:themeTint="7F"/>
    </w:rPr>
  </w:style>
  <w:style w:type="character" w:styleId="Strong">
    <w:name w:val="Strong"/>
    <w:basedOn w:val="DefaultParagraphFont"/>
    <w:uiPriority w:val="22"/>
    <w:qFormat/>
    <w:rsid w:val="00631910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34412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4412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DefaultParagraphFont"/>
    <w:uiPriority w:val="99"/>
    <w:unhideWhenUsed/>
    <w:rsid w:val="003441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910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191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5FB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5FB7"/>
    <w:rPr>
      <w:rFonts w:ascii="Lucida Grande" w:hAnsi="Lucida Grande" w:cs="Lucida Grande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63191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ption">
    <w:name w:val="caption"/>
    <w:basedOn w:val="Normal"/>
    <w:next w:val="Normal"/>
    <w:uiPriority w:val="35"/>
    <w:unhideWhenUsed/>
    <w:qFormat/>
    <w:rsid w:val="00631910"/>
    <w:pPr>
      <w:spacing w:line="360" w:lineRule="auto"/>
      <w:ind w:firstLine="360"/>
      <w:jc w:val="both"/>
    </w:pPr>
    <w:rPr>
      <w:b/>
      <w:bCs/>
      <w:sz w:val="20"/>
      <w:szCs w:val="18"/>
    </w:rPr>
  </w:style>
  <w:style w:type="character" w:styleId="SubtleEmphasis">
    <w:name w:val="Subtle Emphasis"/>
    <w:basedOn w:val="DefaultParagraphFont"/>
    <w:uiPriority w:val="19"/>
    <w:qFormat/>
    <w:rsid w:val="00631910"/>
    <w:rPr>
      <w:i/>
      <w:iCs/>
      <w:color w:val="808080" w:themeColor="text1" w:themeTint="7F"/>
    </w:rPr>
  </w:style>
  <w:style w:type="character" w:styleId="Strong">
    <w:name w:val="Strong"/>
    <w:basedOn w:val="DefaultParagraphFont"/>
    <w:uiPriority w:val="22"/>
    <w:qFormat/>
    <w:rsid w:val="00631910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34412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4412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link">
    <w:name w:val="Hyperlink"/>
    <w:basedOn w:val="DefaultParagraphFont"/>
    <w:uiPriority w:val="99"/>
    <w:unhideWhenUsed/>
    <w:rsid w:val="003441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karl.lawrence@kcl.ac.uk" TargetMode="External"/><Relationship Id="rId6" Type="http://schemas.openxmlformats.org/officeDocument/2006/relationships/hyperlink" Target="mailto:antony.young@kcl.ac.uk" TargetMode="External"/><Relationship Id="rId7" Type="http://schemas.openxmlformats.org/officeDocument/2006/relationships/image" Target="media/image1.emf"/><Relationship Id="rId8" Type="http://schemas.openxmlformats.org/officeDocument/2006/relationships/image" Target="media/image2.emf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334</Words>
  <Characters>1909</Characters>
  <Application>Microsoft Macintosh Word</Application>
  <DocSecurity>0</DocSecurity>
  <Lines>15</Lines>
  <Paragraphs>4</Paragraphs>
  <ScaleCrop>false</ScaleCrop>
  <Company>KCL</Company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 Lawrence</dc:creator>
  <cp:keywords/>
  <dc:description/>
  <cp:lastModifiedBy>Karl Lawrence</cp:lastModifiedBy>
  <cp:revision>3</cp:revision>
  <dcterms:created xsi:type="dcterms:W3CDTF">2018-06-15T08:23:00Z</dcterms:created>
  <dcterms:modified xsi:type="dcterms:W3CDTF">2018-06-15T08:43:00Z</dcterms:modified>
</cp:coreProperties>
</file>