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014" w:rsidRDefault="00C15C8B">
      <w:pPr>
        <w:rPr>
          <w:sz w:val="36"/>
          <w:szCs w:val="36"/>
        </w:rPr>
      </w:pPr>
      <w:r w:rsidRPr="003E791B">
        <w:rPr>
          <w:sz w:val="36"/>
          <w:szCs w:val="36"/>
        </w:rPr>
        <w:t>Supplemental information</w:t>
      </w:r>
    </w:p>
    <w:p w:rsidR="005C7A17" w:rsidRPr="00891A01" w:rsidRDefault="005C7A17" w:rsidP="005C7A17">
      <w:pPr>
        <w:rPr>
          <w:rFonts w:ascii="Arial" w:hAnsi="Arial" w:cs="Arial"/>
          <w:b/>
          <w:sz w:val="32"/>
          <w:szCs w:val="32"/>
        </w:rPr>
      </w:pPr>
      <w:r w:rsidRPr="00891A01">
        <w:rPr>
          <w:rFonts w:ascii="Arial" w:hAnsi="Arial" w:cs="Arial"/>
          <w:b/>
          <w:sz w:val="32"/>
          <w:szCs w:val="32"/>
        </w:rPr>
        <w:t xml:space="preserve">Depression is associated with enhanced aversive Pavlovian control over instrumental behaviour </w:t>
      </w:r>
    </w:p>
    <w:p w:rsidR="005C7A17" w:rsidRPr="006374A7" w:rsidRDefault="005C7A17" w:rsidP="005C7A17">
      <w:pPr>
        <w:rPr>
          <w:rFonts w:ascii="Arial" w:hAnsi="Arial" w:cs="Arial"/>
          <w:sz w:val="24"/>
          <w:szCs w:val="24"/>
          <w:vertAlign w:val="superscript"/>
        </w:rPr>
      </w:pPr>
      <w:r w:rsidRPr="006374A7">
        <w:rPr>
          <w:rFonts w:ascii="Arial" w:hAnsi="Arial" w:cs="Arial"/>
          <w:sz w:val="24"/>
          <w:szCs w:val="24"/>
        </w:rPr>
        <w:t>Nord, C.L</w:t>
      </w:r>
      <w:proofErr w:type="gramStart"/>
      <w:r w:rsidRPr="006374A7">
        <w:rPr>
          <w:rFonts w:ascii="Arial" w:hAnsi="Arial" w:cs="Arial"/>
          <w:sz w:val="24"/>
          <w:szCs w:val="24"/>
        </w:rPr>
        <w:t>.</w:t>
      </w:r>
      <w:r w:rsidRPr="006374A7">
        <w:rPr>
          <w:rFonts w:ascii="Arial" w:hAnsi="Arial" w:cs="Arial"/>
          <w:sz w:val="24"/>
          <w:szCs w:val="24"/>
          <w:vertAlign w:val="superscript"/>
        </w:rPr>
        <w:t>†</w:t>
      </w:r>
      <w:proofErr w:type="gramEnd"/>
      <w:r w:rsidRPr="006374A7">
        <w:rPr>
          <w:rFonts w:ascii="Arial" w:hAnsi="Arial" w:cs="Arial"/>
          <w:sz w:val="24"/>
          <w:szCs w:val="24"/>
          <w:vertAlign w:val="superscript"/>
        </w:rPr>
        <w:t xml:space="preserve"> </w:t>
      </w:r>
      <w:r w:rsidRPr="006374A7">
        <w:rPr>
          <w:rFonts w:ascii="Arial" w:hAnsi="Arial" w:cs="Arial"/>
          <w:sz w:val="24"/>
          <w:szCs w:val="24"/>
        </w:rPr>
        <w:t>, Lawson, R.P.</w:t>
      </w:r>
      <w:r w:rsidRPr="006374A7">
        <w:rPr>
          <w:rFonts w:ascii="Arial" w:hAnsi="Arial" w:cs="Arial"/>
          <w:sz w:val="24"/>
          <w:szCs w:val="24"/>
          <w:vertAlign w:val="superscript"/>
        </w:rPr>
        <w:t xml:space="preserve"> †</w:t>
      </w:r>
      <w:r w:rsidRPr="006374A7">
        <w:rPr>
          <w:rFonts w:ascii="Arial" w:hAnsi="Arial" w:cs="Arial"/>
          <w:sz w:val="24"/>
          <w:szCs w:val="24"/>
        </w:rPr>
        <w:t>, Huys, Q.</w:t>
      </w:r>
      <w:r>
        <w:rPr>
          <w:rFonts w:ascii="Arial" w:hAnsi="Arial" w:cs="Arial"/>
          <w:sz w:val="24"/>
          <w:szCs w:val="24"/>
        </w:rPr>
        <w:t>J.M.</w:t>
      </w:r>
      <w:r w:rsidRPr="006374A7">
        <w:rPr>
          <w:rFonts w:ascii="Arial" w:hAnsi="Arial" w:cs="Arial"/>
          <w:sz w:val="24"/>
          <w:szCs w:val="24"/>
        </w:rPr>
        <w:t>,</w:t>
      </w:r>
      <w:r w:rsidRPr="006374A7">
        <w:rPr>
          <w:rFonts w:ascii="Arial" w:hAnsi="Arial" w:cs="Arial"/>
          <w:b/>
          <w:sz w:val="24"/>
          <w:szCs w:val="24"/>
        </w:rPr>
        <w:t xml:space="preserve"> </w:t>
      </w:r>
      <w:r w:rsidRPr="006374A7">
        <w:rPr>
          <w:rFonts w:ascii="Arial" w:hAnsi="Arial" w:cs="Arial"/>
          <w:sz w:val="24"/>
          <w:szCs w:val="24"/>
        </w:rPr>
        <w:t>Pilling, S., Roiser, J.P.</w:t>
      </w:r>
    </w:p>
    <w:p w:rsidR="005C7A17" w:rsidRPr="006374A7" w:rsidRDefault="005C7A17" w:rsidP="005C7A17">
      <w:pPr>
        <w:rPr>
          <w:rFonts w:ascii="Arial" w:hAnsi="Arial" w:cs="Arial"/>
          <w:sz w:val="24"/>
          <w:szCs w:val="24"/>
        </w:rPr>
      </w:pPr>
      <w:r w:rsidRPr="006374A7">
        <w:rPr>
          <w:rFonts w:ascii="Arial" w:hAnsi="Arial" w:cs="Arial"/>
          <w:sz w:val="24"/>
          <w:szCs w:val="24"/>
          <w:vertAlign w:val="superscript"/>
        </w:rPr>
        <w:t>†</w:t>
      </w:r>
      <w:r w:rsidRPr="006374A7">
        <w:rPr>
          <w:rFonts w:ascii="Arial" w:hAnsi="Arial" w:cs="Arial"/>
          <w:sz w:val="24"/>
          <w:szCs w:val="24"/>
        </w:rPr>
        <w:t xml:space="preserve">These authors contributed equally. </w:t>
      </w:r>
    </w:p>
    <w:p w:rsidR="005C7A17" w:rsidRDefault="005C7A17">
      <w:pPr>
        <w:rPr>
          <w:sz w:val="36"/>
          <w:szCs w:val="36"/>
        </w:rPr>
      </w:pPr>
    </w:p>
    <w:p w:rsidR="00B335B9" w:rsidRPr="00DC2DD8" w:rsidRDefault="00B335B9" w:rsidP="00B335B9">
      <w:pPr>
        <w:rPr>
          <w:rFonts w:ascii="Arial" w:hAnsi="Arial" w:cs="Arial"/>
          <w:i/>
          <w:sz w:val="24"/>
        </w:rPr>
      </w:pPr>
      <w:r w:rsidRPr="00DC2DD8">
        <w:rPr>
          <w:rFonts w:ascii="Arial" w:hAnsi="Arial" w:cs="Arial"/>
          <w:i/>
          <w:sz w:val="24"/>
        </w:rPr>
        <w:t>Effect of Stage 1 and Stage 2 performance</w:t>
      </w:r>
    </w:p>
    <w:p w:rsidR="00B335B9" w:rsidRPr="00DC2DD8" w:rsidRDefault="00B335B9" w:rsidP="00B335B9">
      <w:pPr>
        <w:rPr>
          <w:rFonts w:ascii="Arial" w:hAnsi="Arial" w:cs="Arial"/>
          <w:sz w:val="24"/>
        </w:rPr>
      </w:pPr>
      <w:r w:rsidRPr="00DC2DD8">
        <w:rPr>
          <w:rFonts w:ascii="Arial" w:hAnsi="Arial" w:cs="Arial"/>
          <w:sz w:val="24"/>
        </w:rPr>
        <w:t xml:space="preserve">Group differences at Stage 3 remained significant when </w:t>
      </w:r>
      <w:proofErr w:type="spellStart"/>
      <w:r w:rsidRPr="00DC2DD8">
        <w:rPr>
          <w:rFonts w:ascii="Arial" w:hAnsi="Arial" w:cs="Arial"/>
          <w:sz w:val="24"/>
        </w:rPr>
        <w:t>covarying</w:t>
      </w:r>
      <w:proofErr w:type="spellEnd"/>
      <w:r w:rsidRPr="00DC2DD8">
        <w:rPr>
          <w:rFonts w:ascii="Arial" w:hAnsi="Arial" w:cs="Arial"/>
          <w:sz w:val="24"/>
        </w:rPr>
        <w:t xml:space="preserve"> for baseline performance in Stage 1 (Instrumental), for all conditions. The three-way interaction between group, condition, and valence was significant when controlling for “go” performance in the approach block (F(4,196)=4.125, p=0.003), “no go” performance in the approach block (F(4,196)=5.103, p=0.001), “go” performance in the withdrawal block (F(4,196)=3.651, p=0.007), and “no go” performance in the withdrawal block (F(4,196)=4.215, p=0.003). </w:t>
      </w:r>
    </w:p>
    <w:p w:rsidR="00B335B9" w:rsidRPr="00DC2DD8" w:rsidRDefault="00B335B9" w:rsidP="00B335B9">
      <w:pPr>
        <w:rPr>
          <w:rFonts w:ascii="Arial" w:hAnsi="Arial" w:cs="Arial"/>
          <w:sz w:val="24"/>
        </w:rPr>
      </w:pPr>
      <w:r w:rsidRPr="00DC2DD8">
        <w:rPr>
          <w:rFonts w:ascii="Arial" w:hAnsi="Arial" w:cs="Arial"/>
          <w:sz w:val="24"/>
        </w:rPr>
        <w:t xml:space="preserve">Group differences at Stage 3 also remained significant when </w:t>
      </w:r>
      <w:proofErr w:type="spellStart"/>
      <w:r w:rsidRPr="00DC2DD8">
        <w:rPr>
          <w:rFonts w:ascii="Arial" w:hAnsi="Arial" w:cs="Arial"/>
          <w:sz w:val="24"/>
        </w:rPr>
        <w:t>covarying</w:t>
      </w:r>
      <w:proofErr w:type="spellEnd"/>
      <w:r w:rsidRPr="00DC2DD8">
        <w:rPr>
          <w:rFonts w:ascii="Arial" w:hAnsi="Arial" w:cs="Arial"/>
          <w:sz w:val="24"/>
        </w:rPr>
        <w:t xml:space="preserve"> for baseline conditioning in Stage 2 (Pavlovian): </w:t>
      </w:r>
      <w:proofErr w:type="gramStart"/>
      <w:r w:rsidRPr="00DC2DD8">
        <w:rPr>
          <w:rFonts w:ascii="Arial" w:hAnsi="Arial" w:cs="Arial"/>
          <w:sz w:val="24"/>
        </w:rPr>
        <w:t>F(</w:t>
      </w:r>
      <w:proofErr w:type="gramEnd"/>
      <w:r w:rsidRPr="00DC2DD8">
        <w:rPr>
          <w:rFonts w:ascii="Arial" w:hAnsi="Arial" w:cs="Arial"/>
          <w:sz w:val="24"/>
        </w:rPr>
        <w:t xml:space="preserve">4,196)=4.327, p=0.002). </w:t>
      </w:r>
    </w:p>
    <w:p w:rsidR="003E791B" w:rsidRPr="00DC2DD8" w:rsidRDefault="00B335B9" w:rsidP="00B335B9">
      <w:pPr>
        <w:rPr>
          <w:sz w:val="40"/>
          <w:szCs w:val="36"/>
        </w:rPr>
      </w:pPr>
      <w:r w:rsidRPr="00DC2DD8">
        <w:rPr>
          <w:rFonts w:ascii="Arial" w:hAnsi="Arial" w:cs="Arial"/>
          <w:sz w:val="24"/>
        </w:rPr>
        <w:t>Finally, we tested whether there was an interaction between baseline Pavlovian conditioning and the PIT effect across all participants. This was non-significant (</w:t>
      </w:r>
      <w:proofErr w:type="gramStart"/>
      <w:r w:rsidRPr="00DC2DD8">
        <w:rPr>
          <w:rFonts w:ascii="Arial" w:hAnsi="Arial" w:cs="Arial"/>
          <w:sz w:val="24"/>
        </w:rPr>
        <w:t>F(</w:t>
      </w:r>
      <w:proofErr w:type="gramEnd"/>
      <w:r w:rsidRPr="00DC2DD8">
        <w:rPr>
          <w:rFonts w:ascii="Arial" w:hAnsi="Arial" w:cs="Arial"/>
          <w:sz w:val="24"/>
        </w:rPr>
        <w:t>4,196)=9.647, p=0.630).</w:t>
      </w:r>
    </w:p>
    <w:p w:rsidR="00C15C8B" w:rsidRPr="003E791B" w:rsidRDefault="00F44095">
      <w:pPr>
        <w:rPr>
          <w:rFonts w:ascii="Arial" w:hAnsi="Arial" w:cs="Arial"/>
          <w:i/>
          <w:sz w:val="24"/>
          <w:szCs w:val="24"/>
        </w:rPr>
      </w:pPr>
      <w:r w:rsidRPr="003E791B">
        <w:rPr>
          <w:rFonts w:ascii="Arial" w:hAnsi="Arial" w:cs="Arial"/>
          <w:i/>
          <w:sz w:val="24"/>
          <w:szCs w:val="24"/>
        </w:rPr>
        <w:t>Analysis of anxiety (GAD) diagnosis</w:t>
      </w:r>
    </w:p>
    <w:p w:rsidR="00F44095" w:rsidRPr="003E791B" w:rsidRDefault="00C15C8B">
      <w:pPr>
        <w:rPr>
          <w:rFonts w:ascii="Arial" w:hAnsi="Arial" w:cs="Arial"/>
          <w:sz w:val="24"/>
          <w:szCs w:val="24"/>
        </w:rPr>
      </w:pPr>
      <w:r w:rsidRPr="003E791B">
        <w:rPr>
          <w:rFonts w:ascii="Arial" w:hAnsi="Arial" w:cs="Arial"/>
          <w:sz w:val="24"/>
          <w:szCs w:val="24"/>
        </w:rPr>
        <w:t xml:space="preserve">We repeated our analysis of the third (PIT) stage of the task including anxiety comorbidity as a covariate. We classified patients according to criteria for Generalized Anxiety Disorder (GAD) on the MINI Neuropsychiatric Interview. Sixteen patients (59% of our sample) met criteria for GAD. We included GAD diagnosis as a between-subject factor in a repeated-measures analysis of variance conducted only on the patient group. </w:t>
      </w:r>
    </w:p>
    <w:p w:rsidR="00C15C8B" w:rsidRDefault="00F44095">
      <w:pPr>
        <w:rPr>
          <w:rFonts w:ascii="Arial" w:hAnsi="Arial" w:cs="Arial"/>
          <w:sz w:val="24"/>
          <w:szCs w:val="24"/>
        </w:rPr>
      </w:pPr>
      <w:r w:rsidRPr="003E791B">
        <w:rPr>
          <w:rFonts w:ascii="Arial" w:hAnsi="Arial" w:cs="Arial"/>
          <w:sz w:val="24"/>
          <w:szCs w:val="24"/>
        </w:rPr>
        <w:t>We found that</w:t>
      </w:r>
      <w:r w:rsidR="00C15C8B" w:rsidRPr="003E791B">
        <w:rPr>
          <w:rFonts w:ascii="Arial" w:hAnsi="Arial" w:cs="Arial"/>
          <w:sz w:val="24"/>
          <w:szCs w:val="24"/>
        </w:rPr>
        <w:t xml:space="preserve"> </w:t>
      </w:r>
      <w:r w:rsidRPr="003E791B">
        <w:rPr>
          <w:rFonts w:ascii="Arial" w:hAnsi="Arial" w:cs="Arial"/>
          <w:sz w:val="24"/>
          <w:szCs w:val="24"/>
        </w:rPr>
        <w:t xml:space="preserve">diagnosis of GAD did not interact with the main effect of approach or withdrawal, </w:t>
      </w:r>
      <w:r w:rsidRPr="003E791B">
        <w:rPr>
          <w:rFonts w:ascii="Arial" w:hAnsi="Arial" w:cs="Arial"/>
          <w:i/>
          <w:sz w:val="24"/>
          <w:szCs w:val="24"/>
        </w:rPr>
        <w:t>F</w:t>
      </w:r>
      <w:r w:rsidRPr="003E791B">
        <w:rPr>
          <w:rFonts w:ascii="Arial" w:hAnsi="Arial" w:cs="Arial"/>
          <w:sz w:val="24"/>
          <w:szCs w:val="24"/>
        </w:rPr>
        <w:t xml:space="preserve">(1,23)=0.359, </w:t>
      </w:r>
      <w:r w:rsidRPr="003E791B">
        <w:rPr>
          <w:rFonts w:ascii="Arial" w:hAnsi="Arial" w:cs="Arial"/>
          <w:i/>
          <w:sz w:val="24"/>
          <w:szCs w:val="24"/>
        </w:rPr>
        <w:t>p</w:t>
      </w:r>
      <w:r w:rsidRPr="003E791B">
        <w:rPr>
          <w:rFonts w:ascii="Arial" w:hAnsi="Arial" w:cs="Arial"/>
          <w:sz w:val="24"/>
          <w:szCs w:val="24"/>
        </w:rPr>
        <w:t xml:space="preserve">=0.555, the main effect of Pavlovian stimulus valence, </w:t>
      </w:r>
      <w:r w:rsidRPr="003E791B">
        <w:rPr>
          <w:rFonts w:ascii="Arial" w:hAnsi="Arial" w:cs="Arial"/>
          <w:i/>
          <w:sz w:val="24"/>
          <w:szCs w:val="24"/>
        </w:rPr>
        <w:t>F</w:t>
      </w:r>
      <w:r w:rsidRPr="003E791B">
        <w:rPr>
          <w:rFonts w:ascii="Arial" w:hAnsi="Arial" w:cs="Arial"/>
          <w:sz w:val="24"/>
          <w:szCs w:val="24"/>
        </w:rPr>
        <w:t>(4,92)=0.478,</w:t>
      </w:r>
      <w:r w:rsidR="006E4856" w:rsidRPr="003E791B">
        <w:rPr>
          <w:rFonts w:ascii="Arial" w:hAnsi="Arial" w:cs="Arial"/>
          <w:sz w:val="24"/>
          <w:szCs w:val="24"/>
        </w:rPr>
        <w:t xml:space="preserve"> </w:t>
      </w:r>
      <w:r w:rsidRPr="003E791B">
        <w:rPr>
          <w:rFonts w:ascii="Arial" w:hAnsi="Arial" w:cs="Arial"/>
          <w:i/>
          <w:sz w:val="24"/>
          <w:szCs w:val="24"/>
        </w:rPr>
        <w:t>p</w:t>
      </w:r>
      <w:r w:rsidRPr="003E791B">
        <w:rPr>
          <w:rFonts w:ascii="Arial" w:hAnsi="Arial" w:cs="Arial"/>
          <w:sz w:val="24"/>
          <w:szCs w:val="24"/>
        </w:rPr>
        <w:t xml:space="preserve">=0.752, or the interaction between approach or withdrawal with Pavlovian stimulus valence (i.e., the PIT effect), </w:t>
      </w:r>
      <w:r w:rsidRPr="003E791B">
        <w:rPr>
          <w:rFonts w:ascii="Arial" w:hAnsi="Arial" w:cs="Arial"/>
          <w:i/>
          <w:sz w:val="24"/>
          <w:szCs w:val="24"/>
        </w:rPr>
        <w:t>F</w:t>
      </w:r>
      <w:r w:rsidRPr="003E791B">
        <w:rPr>
          <w:rFonts w:ascii="Arial" w:hAnsi="Arial" w:cs="Arial"/>
          <w:sz w:val="24"/>
          <w:szCs w:val="24"/>
        </w:rPr>
        <w:t xml:space="preserve">(4,92)=0.842, </w:t>
      </w:r>
      <w:r w:rsidRPr="003E791B">
        <w:rPr>
          <w:rFonts w:ascii="Arial" w:hAnsi="Arial" w:cs="Arial"/>
          <w:i/>
          <w:sz w:val="24"/>
          <w:szCs w:val="24"/>
        </w:rPr>
        <w:t>p</w:t>
      </w:r>
      <w:r w:rsidRPr="003E791B">
        <w:rPr>
          <w:rFonts w:ascii="Arial" w:hAnsi="Arial" w:cs="Arial"/>
          <w:sz w:val="24"/>
          <w:szCs w:val="24"/>
        </w:rPr>
        <w:t xml:space="preserve">=0.502. </w:t>
      </w:r>
    </w:p>
    <w:p w:rsidR="008C3F55" w:rsidRPr="008C3F55" w:rsidRDefault="008C3F55" w:rsidP="008C3F55">
      <w:pPr>
        <w:rPr>
          <w:rFonts w:ascii="Arial" w:hAnsi="Arial" w:cs="Arial"/>
          <w:i/>
          <w:sz w:val="24"/>
          <w:szCs w:val="24"/>
        </w:rPr>
      </w:pPr>
      <w:r w:rsidRPr="008C3F55">
        <w:rPr>
          <w:rFonts w:ascii="Arial" w:hAnsi="Arial" w:cs="Arial"/>
          <w:i/>
          <w:sz w:val="24"/>
          <w:szCs w:val="24"/>
        </w:rPr>
        <w:t>Analysis of previous medication use</w:t>
      </w:r>
    </w:p>
    <w:p w:rsidR="008C3F55" w:rsidRPr="008C3F55" w:rsidRDefault="008C3F55" w:rsidP="008C3F55">
      <w:pPr>
        <w:rPr>
          <w:rFonts w:ascii="Arial" w:hAnsi="Arial" w:cs="Arial"/>
          <w:sz w:val="24"/>
          <w:szCs w:val="24"/>
        </w:rPr>
      </w:pPr>
      <w:r w:rsidRPr="008C3F55">
        <w:rPr>
          <w:rFonts w:ascii="Arial" w:hAnsi="Arial" w:cs="Arial"/>
          <w:sz w:val="24"/>
          <w:szCs w:val="24"/>
        </w:rPr>
        <w:t>We repeated our analysis of the third (PIT) stage of the task including previous medication use as a covariate, finding that there was no interaction between previous medication use at the effect of group on the PIT effect (</w:t>
      </w:r>
      <w:r w:rsidRPr="008C3F55">
        <w:rPr>
          <w:rFonts w:ascii="Arial" w:hAnsi="Arial" w:cs="Arial"/>
          <w:i/>
          <w:sz w:val="24"/>
          <w:szCs w:val="24"/>
        </w:rPr>
        <w:t>F</w:t>
      </w:r>
      <w:r w:rsidRPr="008C3F55">
        <w:rPr>
          <w:rFonts w:ascii="Arial" w:hAnsi="Arial" w:cs="Arial"/>
          <w:sz w:val="24"/>
          <w:szCs w:val="24"/>
        </w:rPr>
        <w:t xml:space="preserve">(4,96)=0.806, </w:t>
      </w:r>
      <w:r w:rsidRPr="008C3F55">
        <w:rPr>
          <w:rFonts w:ascii="Arial" w:hAnsi="Arial" w:cs="Arial"/>
          <w:i/>
          <w:sz w:val="24"/>
          <w:szCs w:val="24"/>
        </w:rPr>
        <w:t>p</w:t>
      </w:r>
      <w:r w:rsidRPr="008C3F55">
        <w:rPr>
          <w:rFonts w:ascii="Arial" w:hAnsi="Arial" w:cs="Arial"/>
          <w:sz w:val="24"/>
          <w:szCs w:val="24"/>
        </w:rPr>
        <w:t>=0.524); inclusion of this variable as a covariate strengthened the three-way interaction between group, instrumental condition, and Pavlovian valence (</w:t>
      </w:r>
      <w:r w:rsidRPr="008C3F55">
        <w:rPr>
          <w:rFonts w:ascii="Arial" w:hAnsi="Arial" w:cs="Arial"/>
          <w:i/>
          <w:sz w:val="24"/>
          <w:szCs w:val="24"/>
        </w:rPr>
        <w:t>F</w:t>
      </w:r>
      <w:r w:rsidRPr="008C3F55">
        <w:rPr>
          <w:rFonts w:ascii="Arial" w:hAnsi="Arial" w:cs="Arial"/>
          <w:sz w:val="24"/>
          <w:szCs w:val="24"/>
        </w:rPr>
        <w:t xml:space="preserve">(4,96)=7.147, </w:t>
      </w:r>
      <w:r w:rsidRPr="008C3F55">
        <w:rPr>
          <w:rFonts w:ascii="Arial" w:hAnsi="Arial" w:cs="Arial"/>
          <w:i/>
          <w:sz w:val="24"/>
          <w:szCs w:val="24"/>
        </w:rPr>
        <w:t>p</w:t>
      </w:r>
      <w:r w:rsidRPr="008C3F55">
        <w:rPr>
          <w:rFonts w:ascii="Arial" w:hAnsi="Arial" w:cs="Arial"/>
          <w:sz w:val="24"/>
          <w:szCs w:val="24"/>
        </w:rPr>
        <w:t xml:space="preserve">&lt;0.001). </w:t>
      </w:r>
      <w:bookmarkStart w:id="0" w:name="_GoBack"/>
      <w:bookmarkEnd w:id="0"/>
    </w:p>
    <w:p w:rsidR="003E791B" w:rsidRPr="00DC2DD8" w:rsidRDefault="003E791B" w:rsidP="003E791B">
      <w:pPr>
        <w:rPr>
          <w:rFonts w:ascii="Arial" w:hAnsi="Arial" w:cs="Arial"/>
          <w:i/>
          <w:sz w:val="24"/>
          <w:szCs w:val="24"/>
        </w:rPr>
      </w:pPr>
      <w:r w:rsidRPr="00DC2DD8">
        <w:rPr>
          <w:rFonts w:ascii="Arial" w:hAnsi="Arial" w:cs="Arial"/>
          <w:i/>
          <w:sz w:val="24"/>
          <w:szCs w:val="24"/>
        </w:rPr>
        <w:lastRenderedPageBreak/>
        <w:t>Comparison with Huys et al., 2016</w:t>
      </w:r>
    </w:p>
    <w:p w:rsidR="003E791B" w:rsidRPr="00DC2DD8" w:rsidRDefault="003E791B" w:rsidP="003E791B">
      <w:pPr>
        <w:rPr>
          <w:rFonts w:ascii="Arial" w:hAnsi="Arial" w:cs="Arial"/>
        </w:rPr>
      </w:pPr>
      <w:r w:rsidRPr="00DC2DD8">
        <w:rPr>
          <w:rFonts w:ascii="Arial" w:hAnsi="Arial" w:cs="Arial"/>
          <w:sz w:val="24"/>
          <w:szCs w:val="24"/>
        </w:rPr>
        <w:t>We compared the action specificity measure (slope of approach line – slope of withdrawal line) between the groups include in the present study and the groups included in Huys et al. (2016). We found that the present sample of healthy controls differed from those in Huys et al. (2016) (</w:t>
      </w:r>
      <w:proofErr w:type="gramStart"/>
      <w:r w:rsidRPr="00DC2DD8">
        <w:rPr>
          <w:rFonts w:ascii="Arial" w:hAnsi="Arial" w:cs="Arial"/>
          <w:i/>
          <w:sz w:val="24"/>
          <w:szCs w:val="24"/>
        </w:rPr>
        <w:t>t</w:t>
      </w:r>
      <w:r w:rsidRPr="00DC2DD8">
        <w:rPr>
          <w:rFonts w:ascii="Arial" w:hAnsi="Arial" w:cs="Arial"/>
          <w:sz w:val="24"/>
          <w:szCs w:val="24"/>
        </w:rPr>
        <w:t>(</w:t>
      </w:r>
      <w:proofErr w:type="gramEnd"/>
      <w:r w:rsidRPr="00DC2DD8">
        <w:rPr>
          <w:rFonts w:ascii="Arial" w:hAnsi="Arial" w:cs="Arial"/>
          <w:sz w:val="24"/>
          <w:szCs w:val="24"/>
        </w:rPr>
        <w:t xml:space="preserve">65)=2.05, </w:t>
      </w:r>
      <w:r w:rsidRPr="00DC2DD8">
        <w:rPr>
          <w:rFonts w:ascii="Arial" w:hAnsi="Arial" w:cs="Arial"/>
          <w:i/>
          <w:sz w:val="24"/>
          <w:szCs w:val="24"/>
        </w:rPr>
        <w:t>p</w:t>
      </w:r>
      <w:r w:rsidRPr="00DC2DD8">
        <w:rPr>
          <w:rFonts w:ascii="Arial" w:hAnsi="Arial" w:cs="Arial"/>
          <w:sz w:val="24"/>
          <w:szCs w:val="24"/>
        </w:rPr>
        <w:t>=0.044), and that the samples of MDD patients also differed (</w:t>
      </w:r>
      <w:r w:rsidRPr="00DC2DD8">
        <w:rPr>
          <w:rFonts w:ascii="Arial" w:hAnsi="Arial" w:cs="Arial"/>
          <w:i/>
          <w:sz w:val="24"/>
          <w:szCs w:val="24"/>
        </w:rPr>
        <w:t>t</w:t>
      </w:r>
      <w:r w:rsidRPr="00DC2DD8">
        <w:rPr>
          <w:rFonts w:ascii="Arial" w:hAnsi="Arial" w:cs="Arial"/>
          <w:sz w:val="24"/>
          <w:szCs w:val="24"/>
        </w:rPr>
        <w:t xml:space="preserve">(26.87)=2.62, </w:t>
      </w:r>
      <w:r w:rsidRPr="00DC2DD8">
        <w:rPr>
          <w:rFonts w:ascii="Arial" w:hAnsi="Arial" w:cs="Arial"/>
          <w:i/>
          <w:sz w:val="24"/>
          <w:szCs w:val="24"/>
        </w:rPr>
        <w:t>p</w:t>
      </w:r>
      <w:r w:rsidRPr="00DC2DD8">
        <w:rPr>
          <w:rFonts w:ascii="Arial" w:hAnsi="Arial" w:cs="Arial"/>
          <w:sz w:val="24"/>
          <w:szCs w:val="24"/>
        </w:rPr>
        <w:t>=0.014). See figure below</w:t>
      </w:r>
      <w:r w:rsidRPr="00DC2DD8">
        <w:rPr>
          <w:rFonts w:ascii="Arial" w:hAnsi="Arial" w:cs="Arial"/>
        </w:rPr>
        <w:t xml:space="preserve">: </w:t>
      </w:r>
    </w:p>
    <w:p w:rsidR="003E791B" w:rsidRPr="003E791B" w:rsidRDefault="003E791B" w:rsidP="003E791B">
      <w:pPr>
        <w:rPr>
          <w:rFonts w:ascii="Arial" w:hAnsi="Arial" w:cs="Arial"/>
        </w:rPr>
      </w:pPr>
      <w:r w:rsidRPr="003E791B">
        <w:rPr>
          <w:rFonts w:ascii="Arial" w:hAnsi="Arial" w:cs="Arial"/>
          <w:noProof/>
          <w:lang w:eastAsia="en-GB"/>
        </w:rPr>
        <w:drawing>
          <wp:inline distT="0" distB="0" distL="0" distR="0" wp14:anchorId="53B474C9" wp14:editId="4CF1282C">
            <wp:extent cx="3133725" cy="3286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_QvsCdata_difference.tif"/>
                    <pic:cNvPicPr/>
                  </pic:nvPicPr>
                  <pic:blipFill rotWithShape="1">
                    <a:blip r:embed="rId4" cstate="print">
                      <a:extLst>
                        <a:ext uri="{28A0092B-C50C-407E-A947-70E740481C1C}">
                          <a14:useLocalDpi xmlns:a14="http://schemas.microsoft.com/office/drawing/2010/main" val="0"/>
                        </a:ext>
                      </a:extLst>
                    </a:blip>
                    <a:srcRect l="7146" t="8163" r="38179" b="9011"/>
                    <a:stretch/>
                  </pic:blipFill>
                  <pic:spPr bwMode="auto">
                    <a:xfrm>
                      <a:off x="0" y="0"/>
                      <a:ext cx="3133725" cy="3286125"/>
                    </a:xfrm>
                    <a:prstGeom prst="rect">
                      <a:avLst/>
                    </a:prstGeom>
                    <a:ln>
                      <a:noFill/>
                    </a:ln>
                    <a:extLst>
                      <a:ext uri="{53640926-AAD7-44D8-BBD7-CCE9431645EC}">
                        <a14:shadowObscured xmlns:a14="http://schemas.microsoft.com/office/drawing/2010/main"/>
                      </a:ext>
                    </a:extLst>
                  </pic:spPr>
                </pic:pic>
              </a:graphicData>
            </a:graphic>
          </wp:inline>
        </w:drawing>
      </w:r>
    </w:p>
    <w:p w:rsidR="003E791B" w:rsidRPr="003E791B" w:rsidRDefault="003E791B" w:rsidP="003E791B">
      <w:pPr>
        <w:rPr>
          <w:rFonts w:ascii="Arial" w:hAnsi="Arial" w:cs="Arial"/>
          <w:b/>
          <w:sz w:val="20"/>
          <w:szCs w:val="20"/>
        </w:rPr>
      </w:pPr>
      <w:r w:rsidRPr="003E791B">
        <w:rPr>
          <w:rFonts w:ascii="Arial" w:hAnsi="Arial" w:cs="Arial"/>
          <w:b/>
          <w:sz w:val="20"/>
          <w:szCs w:val="20"/>
        </w:rPr>
        <w:t xml:space="preserve">Supplemental Figure 1. </w:t>
      </w:r>
      <w:r w:rsidRPr="006C324B">
        <w:rPr>
          <w:rFonts w:ascii="Arial" w:hAnsi="Arial" w:cs="Arial"/>
          <w:sz w:val="20"/>
          <w:szCs w:val="20"/>
        </w:rPr>
        <w:t>Action specificity (mean approach – mean withdrawal slope) for the present sample of controls and MDD patients, contrasted with the previous (Huys et al., 2016) sample of controls and MDD patients.</w:t>
      </w:r>
      <w:r w:rsidRPr="003E791B">
        <w:rPr>
          <w:rFonts w:ascii="Arial" w:hAnsi="Arial" w:cs="Arial"/>
          <w:b/>
          <w:sz w:val="20"/>
          <w:szCs w:val="20"/>
        </w:rPr>
        <w:t xml:space="preserve"> </w:t>
      </w:r>
    </w:p>
    <w:p w:rsidR="004E4E9D" w:rsidRPr="004E4E9D" w:rsidRDefault="004E4E9D"/>
    <w:sectPr w:rsidR="004E4E9D" w:rsidRPr="004E4E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C8B"/>
    <w:rsid w:val="0004617E"/>
    <w:rsid w:val="00056BA9"/>
    <w:rsid w:val="0007601F"/>
    <w:rsid w:val="00091971"/>
    <w:rsid w:val="000E3412"/>
    <w:rsid w:val="00115676"/>
    <w:rsid w:val="001426C1"/>
    <w:rsid w:val="00145517"/>
    <w:rsid w:val="0017171F"/>
    <w:rsid w:val="00173177"/>
    <w:rsid w:val="001C5D97"/>
    <w:rsid w:val="001C6ACA"/>
    <w:rsid w:val="001D0E63"/>
    <w:rsid w:val="001E6114"/>
    <w:rsid w:val="001F7CB2"/>
    <w:rsid w:val="002B08A4"/>
    <w:rsid w:val="002D35BC"/>
    <w:rsid w:val="00324ABB"/>
    <w:rsid w:val="0032697D"/>
    <w:rsid w:val="003671FE"/>
    <w:rsid w:val="003766A3"/>
    <w:rsid w:val="003C10FB"/>
    <w:rsid w:val="003E791B"/>
    <w:rsid w:val="00425900"/>
    <w:rsid w:val="00434DB4"/>
    <w:rsid w:val="004445E8"/>
    <w:rsid w:val="00461A00"/>
    <w:rsid w:val="004B6A8F"/>
    <w:rsid w:val="004C60BC"/>
    <w:rsid w:val="004D4124"/>
    <w:rsid w:val="004E4E9D"/>
    <w:rsid w:val="00557D30"/>
    <w:rsid w:val="005B6908"/>
    <w:rsid w:val="005C756C"/>
    <w:rsid w:val="005C7A17"/>
    <w:rsid w:val="005D0FA2"/>
    <w:rsid w:val="00610A91"/>
    <w:rsid w:val="0062005F"/>
    <w:rsid w:val="006555D1"/>
    <w:rsid w:val="006C324B"/>
    <w:rsid w:val="006C5D79"/>
    <w:rsid w:val="006E4856"/>
    <w:rsid w:val="007039AF"/>
    <w:rsid w:val="00727BAA"/>
    <w:rsid w:val="0073400F"/>
    <w:rsid w:val="00763426"/>
    <w:rsid w:val="0078051F"/>
    <w:rsid w:val="007809DC"/>
    <w:rsid w:val="007A595A"/>
    <w:rsid w:val="007B13A8"/>
    <w:rsid w:val="007F119E"/>
    <w:rsid w:val="00810255"/>
    <w:rsid w:val="0082245A"/>
    <w:rsid w:val="00846B96"/>
    <w:rsid w:val="008633BB"/>
    <w:rsid w:val="00892816"/>
    <w:rsid w:val="008A1E54"/>
    <w:rsid w:val="008C3F55"/>
    <w:rsid w:val="008E6CAE"/>
    <w:rsid w:val="00900243"/>
    <w:rsid w:val="009318C6"/>
    <w:rsid w:val="00935030"/>
    <w:rsid w:val="0097456D"/>
    <w:rsid w:val="009834F3"/>
    <w:rsid w:val="0098459F"/>
    <w:rsid w:val="009A6DB2"/>
    <w:rsid w:val="009B3216"/>
    <w:rsid w:val="009C5C94"/>
    <w:rsid w:val="009D5AB0"/>
    <w:rsid w:val="00A16728"/>
    <w:rsid w:val="00A90014"/>
    <w:rsid w:val="00AA7DA8"/>
    <w:rsid w:val="00AB0A3D"/>
    <w:rsid w:val="00B335B9"/>
    <w:rsid w:val="00B35977"/>
    <w:rsid w:val="00B53324"/>
    <w:rsid w:val="00B6515F"/>
    <w:rsid w:val="00B7642A"/>
    <w:rsid w:val="00BA71F1"/>
    <w:rsid w:val="00C15C8B"/>
    <w:rsid w:val="00C15D95"/>
    <w:rsid w:val="00C36F5E"/>
    <w:rsid w:val="00CA099C"/>
    <w:rsid w:val="00CA19EA"/>
    <w:rsid w:val="00CE1500"/>
    <w:rsid w:val="00CF0422"/>
    <w:rsid w:val="00D12675"/>
    <w:rsid w:val="00D25944"/>
    <w:rsid w:val="00D77064"/>
    <w:rsid w:val="00D851B9"/>
    <w:rsid w:val="00DC2DD8"/>
    <w:rsid w:val="00DD2C2F"/>
    <w:rsid w:val="00E45270"/>
    <w:rsid w:val="00E65D09"/>
    <w:rsid w:val="00E74A65"/>
    <w:rsid w:val="00EA1E7C"/>
    <w:rsid w:val="00ED146D"/>
    <w:rsid w:val="00EE41B4"/>
    <w:rsid w:val="00EF1AC5"/>
    <w:rsid w:val="00EF531A"/>
    <w:rsid w:val="00EF72DD"/>
    <w:rsid w:val="00EF7576"/>
    <w:rsid w:val="00EF7F28"/>
    <w:rsid w:val="00F44095"/>
    <w:rsid w:val="00F5396D"/>
    <w:rsid w:val="00F92CF9"/>
    <w:rsid w:val="00FB68FA"/>
    <w:rsid w:val="00FE38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0BE895-91E9-4CD7-8A45-790E8570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C7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3321</TotalTime>
  <Pages>2</Pages>
  <Words>451</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Nord</dc:creator>
  <cp:keywords/>
  <dc:description/>
  <cp:lastModifiedBy>Camilla Nord</cp:lastModifiedBy>
  <cp:revision>12</cp:revision>
  <dcterms:created xsi:type="dcterms:W3CDTF">2016-07-27T11:48:00Z</dcterms:created>
  <dcterms:modified xsi:type="dcterms:W3CDTF">2018-07-20T12:16:00Z</dcterms:modified>
</cp:coreProperties>
</file>