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B2" w:rsidRPr="00782A4A" w:rsidRDefault="00A23BB2" w:rsidP="00782A4A">
      <w:pPr>
        <w:spacing w:line="480" w:lineRule="auto"/>
        <w:jc w:val="both"/>
        <w:rPr>
          <w:b/>
          <w:bCs/>
          <w:lang w:val="en-GB"/>
        </w:rPr>
      </w:pPr>
      <w:r w:rsidRPr="00782A4A">
        <w:rPr>
          <w:b/>
          <w:bCs/>
          <w:lang w:val="en-GB"/>
        </w:rPr>
        <w:t xml:space="preserve">Supplementary </w:t>
      </w:r>
      <w:r w:rsidR="008F22AE">
        <w:rPr>
          <w:b/>
          <w:bCs/>
          <w:lang w:val="en-GB"/>
        </w:rPr>
        <w:t>Information:</w:t>
      </w:r>
    </w:p>
    <w:p w:rsidR="00D21B17" w:rsidRPr="002E2CB5" w:rsidRDefault="00D21B17" w:rsidP="00D21B17">
      <w:pPr>
        <w:spacing w:before="100" w:beforeAutospacing="1" w:line="480" w:lineRule="auto"/>
        <w:jc w:val="both"/>
        <w:rPr>
          <w:b/>
          <w:bCs/>
          <w:lang w:val="en-US"/>
        </w:rPr>
      </w:pPr>
      <w:r w:rsidRPr="002E2CB5">
        <w:rPr>
          <w:b/>
          <w:bCs/>
          <w:lang w:val="en-US"/>
        </w:rPr>
        <w:t>Polymorphisms in the Toll-like receptor 3 (</w:t>
      </w:r>
      <w:r w:rsidRPr="002E2CB5">
        <w:rPr>
          <w:b/>
          <w:bCs/>
          <w:i/>
          <w:iCs/>
          <w:lang w:val="en-US"/>
        </w:rPr>
        <w:t xml:space="preserve">TLR3) </w:t>
      </w:r>
      <w:proofErr w:type="gramStart"/>
      <w:r w:rsidRPr="002E2CB5">
        <w:rPr>
          <w:b/>
          <w:bCs/>
          <w:lang w:val="en-US"/>
        </w:rPr>
        <w:t>gene</w:t>
      </w:r>
      <w:proofErr w:type="gramEnd"/>
      <w:r w:rsidRPr="002E2CB5">
        <w:rPr>
          <w:b/>
          <w:bCs/>
          <w:lang w:val="en-US"/>
        </w:rPr>
        <w:t xml:space="preserve"> are assoc</w:t>
      </w:r>
      <w:r>
        <w:rPr>
          <w:b/>
          <w:bCs/>
          <w:lang w:val="en-US"/>
        </w:rPr>
        <w:t>ia</w:t>
      </w:r>
      <w:r w:rsidRPr="002E2CB5">
        <w:rPr>
          <w:b/>
          <w:bCs/>
          <w:lang w:val="en-US"/>
        </w:rPr>
        <w:t>ted with the natural course of hepatitis B virus infection in Caucasian population</w:t>
      </w:r>
    </w:p>
    <w:p w:rsidR="00D21B17" w:rsidRPr="00155EAF" w:rsidRDefault="00D21B17" w:rsidP="00D21B17">
      <w:pPr>
        <w:spacing w:before="100" w:beforeAutospacing="1" w:line="480" w:lineRule="auto"/>
        <w:jc w:val="both"/>
      </w:pPr>
      <w:r w:rsidRPr="00155EAF">
        <w:t>Janett Fischer</w:t>
      </w:r>
      <w:r w:rsidRPr="00155EAF">
        <w:rPr>
          <w:vertAlign w:val="superscript"/>
        </w:rPr>
        <w:t>1</w:t>
      </w:r>
      <w:r>
        <w:rPr>
          <w:vertAlign w:val="superscript"/>
        </w:rPr>
        <w:t>*</w:t>
      </w:r>
      <w:r w:rsidRPr="00155EAF">
        <w:t>, Eleni Koukoulioti</w:t>
      </w:r>
      <w:r w:rsidRPr="00155EAF">
        <w:rPr>
          <w:vertAlign w:val="superscript"/>
        </w:rPr>
        <w:t>1</w:t>
      </w:r>
      <w:r w:rsidRPr="00155EAF">
        <w:t>, Eckart Schott</w:t>
      </w:r>
      <w:r w:rsidRPr="00155EAF">
        <w:rPr>
          <w:vertAlign w:val="superscript"/>
        </w:rPr>
        <w:t>2</w:t>
      </w:r>
      <w:r w:rsidRPr="00155EAF">
        <w:t>, Balazs Fülöp</w:t>
      </w:r>
      <w:r w:rsidRPr="00155EAF">
        <w:rPr>
          <w:vertAlign w:val="superscript"/>
        </w:rPr>
        <w:t>3</w:t>
      </w:r>
      <w:r w:rsidRPr="00155EAF">
        <w:t>, Renate Heyne</w:t>
      </w:r>
      <w:r w:rsidRPr="00155EAF">
        <w:rPr>
          <w:vertAlign w:val="superscript"/>
        </w:rPr>
        <w:t>4</w:t>
      </w:r>
      <w:r w:rsidRPr="00155EAF">
        <w:t>, Thomas Berg</w:t>
      </w:r>
      <w:r w:rsidRPr="00155EAF">
        <w:rPr>
          <w:vertAlign w:val="superscript"/>
        </w:rPr>
        <w:t>1</w:t>
      </w:r>
      <w:r w:rsidRPr="00155EAF">
        <w:t>, Florian van Bömmel</w:t>
      </w:r>
      <w:r w:rsidRPr="00155EAF">
        <w:rPr>
          <w:vertAlign w:val="superscript"/>
        </w:rPr>
        <w:t>1</w:t>
      </w:r>
    </w:p>
    <w:p w:rsidR="00A23BB2" w:rsidRDefault="00A23BB2" w:rsidP="00782A4A">
      <w:pPr>
        <w:spacing w:line="480" w:lineRule="auto"/>
        <w:jc w:val="both"/>
        <w:rPr>
          <w:b/>
          <w:bCs/>
        </w:rPr>
      </w:pPr>
    </w:p>
    <w:p w:rsidR="008F22AE" w:rsidRPr="008F22AE" w:rsidRDefault="008F22AE" w:rsidP="008F22AE">
      <w:pPr>
        <w:pStyle w:val="KeinLeerraum"/>
        <w:spacing w:before="100" w:beforeAutospacing="1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22AE">
        <w:rPr>
          <w:rFonts w:ascii="Times New Roman" w:hAnsi="Times New Roman" w:cs="Times New Roman"/>
          <w:b/>
          <w:bCs/>
          <w:sz w:val="24"/>
          <w:szCs w:val="24"/>
        </w:rPr>
        <w:t>Correspon</w:t>
      </w:r>
      <w:r w:rsidRPr="008F22AE">
        <w:rPr>
          <w:rFonts w:ascii="Times New Roman" w:hAnsi="Times New Roman" w:cs="Times New Roman"/>
          <w:b/>
          <w:bCs/>
          <w:sz w:val="24"/>
          <w:szCs w:val="24"/>
          <w:lang w:val="en-US"/>
        </w:rPr>
        <w:t>den</w:t>
      </w:r>
      <w:r w:rsidRPr="008F22AE">
        <w:rPr>
          <w:rFonts w:ascii="Times New Roman" w:hAnsi="Times New Roman" w:cs="Times New Roman"/>
          <w:b/>
          <w:bCs/>
          <w:sz w:val="24"/>
          <w:szCs w:val="24"/>
        </w:rPr>
        <w:t xml:space="preserve">ce to: </w:t>
      </w:r>
      <w:r w:rsidRPr="008F22AE">
        <w:rPr>
          <w:rFonts w:ascii="Times New Roman" w:hAnsi="Times New Roman" w:cs="Times New Roman"/>
          <w:sz w:val="24"/>
          <w:szCs w:val="24"/>
          <w:lang w:val="en-US"/>
        </w:rPr>
        <w:t>Janett Fischer</w:t>
      </w:r>
      <w:r w:rsidRPr="008F22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F22AE">
        <w:rPr>
          <w:rFonts w:ascii="Times New Roman" w:hAnsi="Times New Roman" w:cs="Times New Roman"/>
          <w:sz w:val="24"/>
          <w:szCs w:val="24"/>
          <w:lang w:val="en-US"/>
        </w:rPr>
        <w:t>Department of Gastroenterology and Rheumatology, Section of Hepatology</w:t>
      </w:r>
      <w:r w:rsidRPr="008F22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F22AE">
        <w:rPr>
          <w:rFonts w:ascii="Times New Roman" w:hAnsi="Times New Roman" w:cs="Times New Roman"/>
          <w:sz w:val="24"/>
          <w:szCs w:val="24"/>
          <w:lang w:val="en-US"/>
        </w:rPr>
        <w:t>Liebigstr</w:t>
      </w:r>
      <w:proofErr w:type="spellEnd"/>
      <w:r w:rsidRPr="008F22AE">
        <w:rPr>
          <w:rFonts w:ascii="Times New Roman" w:hAnsi="Times New Roman" w:cs="Times New Roman"/>
          <w:sz w:val="24"/>
          <w:szCs w:val="24"/>
          <w:lang w:val="en-US"/>
        </w:rPr>
        <w:t>. 21, 04103 Leipzig, Germany</w:t>
      </w:r>
      <w:r w:rsidRPr="008F22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F22AE">
        <w:rPr>
          <w:rFonts w:ascii="Times New Roman" w:hAnsi="Times New Roman" w:cs="Times New Roman"/>
          <w:sz w:val="24"/>
          <w:szCs w:val="24"/>
          <w:lang w:val="en-GB"/>
        </w:rPr>
        <w:t>janett.fischer@medizin.uni-leipzig.de</w:t>
      </w:r>
    </w:p>
    <w:p w:rsidR="00C3252A" w:rsidRPr="008F22AE" w:rsidRDefault="00C3252A" w:rsidP="00782A4A">
      <w:pPr>
        <w:spacing w:line="480" w:lineRule="auto"/>
        <w:jc w:val="both"/>
        <w:rPr>
          <w:b/>
          <w:bCs/>
          <w:lang w:val="en-US"/>
        </w:rPr>
      </w:pPr>
    </w:p>
    <w:p w:rsidR="008F22AE" w:rsidRDefault="008F22AE" w:rsidP="00782A4A">
      <w:pPr>
        <w:spacing w:line="480" w:lineRule="auto"/>
        <w:jc w:val="both"/>
        <w:rPr>
          <w:b/>
          <w:bCs/>
          <w:u w:val="single"/>
          <w:lang w:val="en-GB"/>
        </w:rPr>
      </w:pPr>
    </w:p>
    <w:p w:rsidR="008F22AE" w:rsidRDefault="008F22AE" w:rsidP="00782A4A">
      <w:pPr>
        <w:spacing w:line="480" w:lineRule="auto"/>
        <w:jc w:val="both"/>
        <w:rPr>
          <w:b/>
          <w:bCs/>
          <w:u w:val="single"/>
          <w:lang w:val="en-GB"/>
        </w:rPr>
      </w:pPr>
      <w:bookmarkStart w:id="0" w:name="_GoBack"/>
      <w:bookmarkEnd w:id="0"/>
    </w:p>
    <w:p w:rsidR="00A23BB2" w:rsidRPr="00782A4A" w:rsidRDefault="00A23BB2" w:rsidP="00782A4A">
      <w:pPr>
        <w:spacing w:line="480" w:lineRule="auto"/>
        <w:jc w:val="both"/>
        <w:rPr>
          <w:b/>
          <w:bCs/>
          <w:u w:val="single"/>
          <w:lang w:val="en-GB"/>
        </w:rPr>
      </w:pPr>
      <w:r w:rsidRPr="00782A4A">
        <w:rPr>
          <w:b/>
          <w:bCs/>
          <w:u w:val="single"/>
          <w:lang w:val="en-GB"/>
        </w:rPr>
        <w:t>Polymerase chain reaction conditions</w:t>
      </w:r>
    </w:p>
    <w:p w:rsidR="00A23BB2" w:rsidRPr="00782A4A" w:rsidRDefault="00A23BB2" w:rsidP="00782A4A">
      <w:pPr>
        <w:spacing w:line="480" w:lineRule="auto"/>
        <w:jc w:val="both"/>
        <w:rPr>
          <w:lang w:val="en-GB"/>
        </w:rPr>
      </w:pPr>
      <w:r w:rsidRPr="00782A4A">
        <w:rPr>
          <w:lang w:val="en-GB"/>
        </w:rPr>
        <w:t xml:space="preserve">Polymerase chain reaction (PCR) amplification and melting curve analysis was carried out in a total volume of 10 µl containing 5.0 µl Light Cycler 480 Probes Master with 6.4 </w:t>
      </w:r>
      <w:proofErr w:type="spellStart"/>
      <w:r w:rsidRPr="00782A4A">
        <w:rPr>
          <w:lang w:val="en-GB"/>
        </w:rPr>
        <w:t>mM</w:t>
      </w:r>
      <w:proofErr w:type="spellEnd"/>
      <w:r w:rsidRPr="00782A4A">
        <w:rPr>
          <w:lang w:val="en-GB"/>
        </w:rPr>
        <w:t xml:space="preserve"> MgCl</w:t>
      </w:r>
      <w:r w:rsidRPr="00782A4A">
        <w:rPr>
          <w:vertAlign w:val="subscript"/>
          <w:lang w:val="en-GB"/>
        </w:rPr>
        <w:t>2</w:t>
      </w:r>
      <w:r w:rsidRPr="00782A4A">
        <w:rPr>
          <w:lang w:val="en-GB"/>
        </w:rPr>
        <w:t>, 3.6 µl PCR-grade H</w:t>
      </w:r>
      <w:r w:rsidRPr="00782A4A">
        <w:rPr>
          <w:vertAlign w:val="subscript"/>
          <w:lang w:val="en-GB"/>
        </w:rPr>
        <w:t>2</w:t>
      </w:r>
      <w:r w:rsidRPr="00782A4A">
        <w:rPr>
          <w:lang w:val="en-GB"/>
        </w:rPr>
        <w:t xml:space="preserve">O, 0.5 </w:t>
      </w:r>
      <w:proofErr w:type="spellStart"/>
      <w:r w:rsidRPr="00782A4A">
        <w:rPr>
          <w:lang w:val="en-GB"/>
        </w:rPr>
        <w:t>mM</w:t>
      </w:r>
      <w:proofErr w:type="spellEnd"/>
      <w:r w:rsidRPr="00782A4A">
        <w:rPr>
          <w:lang w:val="en-GB"/>
        </w:rPr>
        <w:t xml:space="preserve"> each primer, 0.1 </w:t>
      </w:r>
      <w:proofErr w:type="spellStart"/>
      <w:r w:rsidRPr="00782A4A">
        <w:rPr>
          <w:lang w:val="en-GB"/>
        </w:rPr>
        <w:t>mM</w:t>
      </w:r>
      <w:proofErr w:type="spellEnd"/>
      <w:r w:rsidRPr="00782A4A">
        <w:rPr>
          <w:lang w:val="en-GB"/>
        </w:rPr>
        <w:t xml:space="preserve"> sensor probe and 0.1 </w:t>
      </w:r>
      <w:proofErr w:type="spellStart"/>
      <w:r w:rsidRPr="00782A4A">
        <w:rPr>
          <w:lang w:val="en-GB"/>
        </w:rPr>
        <w:t>mM</w:t>
      </w:r>
      <w:proofErr w:type="spellEnd"/>
      <w:r w:rsidRPr="00782A4A">
        <w:rPr>
          <w:lang w:val="en-GB"/>
        </w:rPr>
        <w:t xml:space="preserve"> anchor probe. PCR conditions were: initial denaturation at 95°C for 12 min; followed by 45 cycles of denaturation at 95°C for 20s; annealing at 60°C for 40s and extension at 72°C for 1.5 min. Melting curves were detected after denaturation at 95°</w:t>
      </w:r>
      <w:r>
        <w:rPr>
          <w:lang w:val="en-GB"/>
        </w:rPr>
        <w:t>C</w:t>
      </w:r>
      <w:r w:rsidRPr="00782A4A">
        <w:rPr>
          <w:lang w:val="en-GB"/>
        </w:rPr>
        <w:t xml:space="preserve"> for 5s; holding the sample at 40°C for 20s, and then heating the sample to 80°C with a ramp rate of 0.14°C/s and continuous fluorescence acquisition. Sequencing </w:t>
      </w:r>
      <w:r w:rsidRPr="00782A4A">
        <w:rPr>
          <w:lang w:val="en-US"/>
        </w:rPr>
        <w:t xml:space="preserve">was </w:t>
      </w:r>
      <w:r w:rsidRPr="00782A4A">
        <w:rPr>
          <w:lang w:val="en-GB"/>
        </w:rPr>
        <w:t xml:space="preserve">used </w:t>
      </w:r>
      <w:r>
        <w:rPr>
          <w:lang w:val="en-GB"/>
        </w:rPr>
        <w:t xml:space="preserve">to </w:t>
      </w:r>
      <w:r w:rsidRPr="00782A4A">
        <w:rPr>
          <w:lang w:val="en-GB"/>
        </w:rPr>
        <w:t>confirm results from the melt curve analysis, which have failed clear genotyping.</w:t>
      </w:r>
    </w:p>
    <w:p w:rsidR="00A23BB2" w:rsidRPr="00782A4A" w:rsidRDefault="00A23BB2" w:rsidP="00533343">
      <w:pPr>
        <w:spacing w:line="480" w:lineRule="auto"/>
        <w:rPr>
          <w:lang w:val="en-GB"/>
        </w:rPr>
      </w:pPr>
    </w:p>
    <w:p w:rsidR="00C3252A" w:rsidRDefault="00C3252A">
      <w:pPr>
        <w:rPr>
          <w:b/>
          <w:bCs/>
          <w:sz w:val="20"/>
          <w:szCs w:val="20"/>
          <w:lang w:val="en-US"/>
        </w:rPr>
      </w:pPr>
      <w:r>
        <w:rPr>
          <w:lang w:val="en-US"/>
        </w:rPr>
        <w:br w:type="page"/>
      </w:r>
    </w:p>
    <w:p w:rsidR="00A23BB2" w:rsidRPr="00782A4A" w:rsidRDefault="00A23BB2" w:rsidP="00782A4A">
      <w:pPr>
        <w:pStyle w:val="Beschriftung"/>
        <w:spacing w:line="480" w:lineRule="auto"/>
        <w:rPr>
          <w:b w:val="0"/>
          <w:bCs w:val="0"/>
          <w:lang w:val="en-US"/>
        </w:rPr>
      </w:pPr>
      <w:r w:rsidRPr="00782A4A">
        <w:rPr>
          <w:lang w:val="en-US"/>
        </w:rPr>
        <w:lastRenderedPageBreak/>
        <w:t xml:space="preserve">Table 1: </w:t>
      </w:r>
      <w:r w:rsidRPr="00782A4A">
        <w:rPr>
          <w:b w:val="0"/>
          <w:bCs w:val="0"/>
          <w:lang w:val="en-GB"/>
        </w:rPr>
        <w:t>Sequences of primer and probes for melting curve analysis and sequencing.</w:t>
      </w:r>
    </w:p>
    <w:tbl>
      <w:tblPr>
        <w:tblW w:w="9661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1829"/>
        <w:gridCol w:w="6336"/>
      </w:tblGrid>
      <w:tr w:rsidR="00A23BB2" w:rsidRPr="00782A4A">
        <w:tc>
          <w:tcPr>
            <w:tcW w:w="149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3BB2" w:rsidRPr="002F3E44" w:rsidRDefault="00A23BB2" w:rsidP="002F3E44">
            <w:pPr>
              <w:pStyle w:val="Beschriftung"/>
              <w:keepNext/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2F3E44">
              <w:rPr>
                <w:sz w:val="22"/>
                <w:szCs w:val="22"/>
                <w:lang w:val="en-US"/>
              </w:rPr>
              <w:t>TLR3 SNPs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B2" w:rsidRPr="002F3E44" w:rsidRDefault="00A23BB2" w:rsidP="002F3E44">
            <w:pPr>
              <w:pStyle w:val="Beschriftung"/>
              <w:keepNext/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2F3E44">
              <w:rPr>
                <w:sz w:val="22"/>
                <w:szCs w:val="22"/>
                <w:lang w:val="en-US"/>
              </w:rPr>
              <w:t>Primer/probes</w:t>
            </w:r>
          </w:p>
        </w:tc>
        <w:tc>
          <w:tcPr>
            <w:tcW w:w="6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A23BB2" w:rsidRPr="002F3E44" w:rsidRDefault="00A23BB2" w:rsidP="002F3E44">
            <w:pPr>
              <w:pStyle w:val="Beschriftung"/>
              <w:keepNext/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2F3E44">
              <w:rPr>
                <w:sz w:val="22"/>
                <w:szCs w:val="22"/>
                <w:lang w:val="en-US"/>
              </w:rPr>
              <w:t>Sequence (5’-3’)</w:t>
            </w:r>
          </w:p>
        </w:tc>
      </w:tr>
      <w:tr w:rsidR="00A23BB2" w:rsidRPr="00D21B17">
        <w:tc>
          <w:tcPr>
            <w:tcW w:w="1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B2" w:rsidRPr="002F3E44" w:rsidRDefault="00A23BB2" w:rsidP="002F3E44">
            <w:pPr>
              <w:pStyle w:val="Beschriftung"/>
              <w:keepNext/>
              <w:spacing w:line="480" w:lineRule="auto"/>
              <w:rPr>
                <w:sz w:val="22"/>
                <w:szCs w:val="22"/>
                <w:lang w:val="en-US"/>
              </w:rPr>
            </w:pPr>
            <w:r w:rsidRPr="002F3E44">
              <w:rPr>
                <w:sz w:val="22"/>
                <w:szCs w:val="22"/>
                <w:lang w:val="en-US"/>
              </w:rPr>
              <w:t>rs3775291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B2" w:rsidRPr="002F3E44" w:rsidRDefault="00A23BB2" w:rsidP="002F3E44">
            <w:pPr>
              <w:pStyle w:val="Beschriftung"/>
              <w:keepNext/>
              <w:spacing w:line="480" w:lineRule="auto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F3E44">
              <w:rPr>
                <w:b w:val="0"/>
                <w:bCs w:val="0"/>
                <w:sz w:val="22"/>
                <w:szCs w:val="22"/>
                <w:lang w:val="en-GB"/>
              </w:rPr>
              <w:t>sense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antisense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sensor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anchor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GCAAAGGAGTTCCTAGTCAGC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GGAAGATAATGATATTCCAGGCAT</w:t>
            </w:r>
          </w:p>
          <w:p w:rsidR="00A23BB2" w:rsidRPr="002F3E44" w:rsidRDefault="00A23BB2" w:rsidP="002F3E44">
            <w:pPr>
              <w:tabs>
                <w:tab w:val="left" w:pos="1440"/>
              </w:tabs>
              <w:spacing w:line="480" w:lineRule="auto"/>
              <w:rPr>
                <w:b/>
                <w:bCs/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TCTTGGTTAGGTTGA</w:t>
            </w:r>
            <w:r w:rsidRPr="002F3E44">
              <w:rPr>
                <w:b/>
                <w:bCs/>
                <w:sz w:val="22"/>
                <w:szCs w:val="22"/>
                <w:lang w:val="en-GB"/>
              </w:rPr>
              <w:t>A</w:t>
            </w:r>
            <w:r w:rsidRPr="002F3E44">
              <w:rPr>
                <w:sz w:val="22"/>
                <w:szCs w:val="22"/>
                <w:lang w:val="en-GB"/>
              </w:rPr>
              <w:t>TATGTGTAAG-FL</w:t>
            </w:r>
          </w:p>
          <w:p w:rsidR="00A23BB2" w:rsidRPr="002F3E44" w:rsidRDefault="00A23BB2" w:rsidP="002F3E44">
            <w:pPr>
              <w:tabs>
                <w:tab w:val="left" w:pos="1440"/>
              </w:tabs>
              <w:spacing w:line="480" w:lineRule="auto"/>
              <w:rPr>
                <w:b/>
                <w:bCs/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LC610-GAGAATGAGCAAGTGATACAAATGTTTCAT-Ph</w:t>
            </w:r>
          </w:p>
        </w:tc>
      </w:tr>
      <w:tr w:rsidR="00A23BB2" w:rsidRPr="00D21B17">
        <w:tc>
          <w:tcPr>
            <w:tcW w:w="1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B2" w:rsidRPr="002F3E44" w:rsidRDefault="00A23BB2" w:rsidP="002F3E44">
            <w:pPr>
              <w:spacing w:line="480" w:lineRule="auto"/>
              <w:rPr>
                <w:b/>
                <w:bCs/>
                <w:lang w:val="en-US"/>
              </w:rPr>
            </w:pPr>
            <w:r w:rsidRPr="002F3E44">
              <w:rPr>
                <w:b/>
                <w:bCs/>
                <w:sz w:val="22"/>
                <w:szCs w:val="22"/>
                <w:lang w:val="en-US"/>
              </w:rPr>
              <w:t>rs5743305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B2" w:rsidRPr="002F3E44" w:rsidRDefault="00A23BB2" w:rsidP="002F3E44">
            <w:pPr>
              <w:pStyle w:val="Beschriftung"/>
              <w:keepNext/>
              <w:spacing w:line="480" w:lineRule="auto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F3E44">
              <w:rPr>
                <w:b w:val="0"/>
                <w:bCs w:val="0"/>
                <w:sz w:val="22"/>
                <w:szCs w:val="22"/>
                <w:lang w:val="en-GB"/>
              </w:rPr>
              <w:t>sense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antisense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sensor</w:t>
            </w:r>
          </w:p>
          <w:p w:rsidR="00A23BB2" w:rsidRPr="002F3E44" w:rsidRDefault="00A23BB2" w:rsidP="002F3E44">
            <w:pPr>
              <w:pStyle w:val="Beschriftung"/>
              <w:keepNext/>
              <w:spacing w:line="480" w:lineRule="auto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2F3E44">
              <w:rPr>
                <w:b w:val="0"/>
                <w:bCs w:val="0"/>
                <w:sz w:val="22"/>
                <w:szCs w:val="22"/>
                <w:lang w:val="en-GB"/>
              </w:rPr>
              <w:t>anchor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GTCACGTACTCAGGACATCTG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 xml:space="preserve">CTGGACGGCTGGGACATG 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AGCTAG</w:t>
            </w:r>
            <w:r w:rsidRPr="002F3E44">
              <w:rPr>
                <w:b/>
                <w:bCs/>
                <w:sz w:val="22"/>
                <w:szCs w:val="22"/>
                <w:lang w:val="en-GB"/>
              </w:rPr>
              <w:t>T</w:t>
            </w:r>
            <w:r w:rsidRPr="002F3E44">
              <w:rPr>
                <w:sz w:val="22"/>
                <w:szCs w:val="22"/>
                <w:lang w:val="en-GB"/>
              </w:rPr>
              <w:t xml:space="preserve">CCGCTTTATAGTTAC-FL </w:t>
            </w:r>
          </w:p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22"/>
                <w:szCs w:val="22"/>
                <w:lang w:val="en-GB"/>
              </w:rPr>
              <w:t>LC610-GGGCTCAGGGCTACATGTCTGTC-ph</w:t>
            </w:r>
          </w:p>
        </w:tc>
      </w:tr>
      <w:tr w:rsidR="00A23BB2" w:rsidRPr="00D21B17">
        <w:tc>
          <w:tcPr>
            <w:tcW w:w="9661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23BB2" w:rsidRPr="002F3E44" w:rsidRDefault="00A23BB2" w:rsidP="002F3E44">
            <w:pPr>
              <w:spacing w:line="480" w:lineRule="auto"/>
              <w:rPr>
                <w:lang w:val="en-GB"/>
              </w:rPr>
            </w:pPr>
            <w:r w:rsidRPr="002F3E44">
              <w:rPr>
                <w:sz w:val="18"/>
                <w:szCs w:val="18"/>
                <w:lang w:val="en-US"/>
              </w:rPr>
              <w:t xml:space="preserve">FL= Fluorescein, LC=Light Cycler; </w:t>
            </w:r>
            <w:proofErr w:type="spellStart"/>
            <w:r w:rsidRPr="002F3E44">
              <w:rPr>
                <w:sz w:val="18"/>
                <w:szCs w:val="18"/>
                <w:lang w:val="en-US"/>
              </w:rPr>
              <w:t>Ph</w:t>
            </w:r>
            <w:proofErr w:type="spellEnd"/>
            <w:r w:rsidRPr="002F3E44">
              <w:rPr>
                <w:sz w:val="18"/>
                <w:szCs w:val="18"/>
                <w:lang w:val="en-US"/>
              </w:rPr>
              <w:t>=phosphate, SNP=single nucleotide polymorphism</w:t>
            </w:r>
          </w:p>
        </w:tc>
      </w:tr>
    </w:tbl>
    <w:p w:rsidR="00A23BB2" w:rsidRPr="00782A4A" w:rsidRDefault="00A23BB2" w:rsidP="00533343">
      <w:pPr>
        <w:rPr>
          <w:sz w:val="18"/>
          <w:szCs w:val="18"/>
          <w:lang w:val="en-US"/>
        </w:rPr>
      </w:pPr>
    </w:p>
    <w:p w:rsidR="00A23BB2" w:rsidRPr="00782A4A" w:rsidRDefault="00A23BB2">
      <w:pPr>
        <w:rPr>
          <w:lang w:val="en-US"/>
        </w:rPr>
      </w:pPr>
    </w:p>
    <w:sectPr w:rsidR="00A23BB2" w:rsidRPr="00782A4A" w:rsidSect="00E660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343"/>
    <w:rsid w:val="00234EFF"/>
    <w:rsid w:val="002F3E44"/>
    <w:rsid w:val="00523925"/>
    <w:rsid w:val="00533343"/>
    <w:rsid w:val="00545C46"/>
    <w:rsid w:val="006B7EFC"/>
    <w:rsid w:val="00782A4A"/>
    <w:rsid w:val="007A523E"/>
    <w:rsid w:val="007E1107"/>
    <w:rsid w:val="008F22AE"/>
    <w:rsid w:val="00973AC8"/>
    <w:rsid w:val="00A23BB2"/>
    <w:rsid w:val="00B45D47"/>
    <w:rsid w:val="00C30227"/>
    <w:rsid w:val="00C3252A"/>
    <w:rsid w:val="00D21B17"/>
    <w:rsid w:val="00D64150"/>
    <w:rsid w:val="00E66073"/>
    <w:rsid w:val="00FC2527"/>
    <w:rsid w:val="00FE6373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3343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99"/>
    <w:qFormat/>
    <w:rsid w:val="00533343"/>
    <w:rPr>
      <w:b/>
      <w:bCs/>
      <w:sz w:val="20"/>
      <w:szCs w:val="20"/>
    </w:rPr>
  </w:style>
  <w:style w:type="table" w:styleId="Tabellenraster">
    <w:name w:val="Table Grid"/>
    <w:basedOn w:val="NormaleTabelle"/>
    <w:uiPriority w:val="99"/>
    <w:rsid w:val="00782A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FF77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77F9"/>
    <w:rPr>
      <w:rFonts w:ascii="Tahoma" w:hAnsi="Tahoma" w:cs="Tahoma"/>
      <w:sz w:val="16"/>
      <w:szCs w:val="16"/>
      <w:lang w:eastAsia="de-DE"/>
    </w:rPr>
  </w:style>
  <w:style w:type="paragraph" w:styleId="KeinLeerraum">
    <w:name w:val="No Spacing"/>
    <w:uiPriority w:val="99"/>
    <w:qFormat/>
    <w:rsid w:val="008F22AE"/>
    <w:rPr>
      <w:rFonts w:eastAsia="Times New Roman" w:cs="Calibri"/>
      <w:lang w:val="el-GR" w:eastAsia="en-US"/>
    </w:rPr>
  </w:style>
  <w:style w:type="character" w:styleId="Hyperlink">
    <w:name w:val="Hyperlink"/>
    <w:basedOn w:val="Absatz-Standardschriftart"/>
    <w:uiPriority w:val="99"/>
    <w:rsid w:val="008F22AE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3343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99"/>
    <w:qFormat/>
    <w:rsid w:val="00533343"/>
    <w:rPr>
      <w:b/>
      <w:bCs/>
      <w:sz w:val="20"/>
      <w:szCs w:val="20"/>
    </w:rPr>
  </w:style>
  <w:style w:type="table" w:styleId="Tabellenraster">
    <w:name w:val="Table Grid"/>
    <w:basedOn w:val="NormaleTabelle"/>
    <w:uiPriority w:val="99"/>
    <w:rsid w:val="00782A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FF77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77F9"/>
    <w:rPr>
      <w:rFonts w:ascii="Tahoma" w:hAnsi="Tahoma" w:cs="Tahoma"/>
      <w:sz w:val="16"/>
      <w:szCs w:val="16"/>
      <w:lang w:eastAsia="de-DE"/>
    </w:rPr>
  </w:style>
  <w:style w:type="paragraph" w:styleId="KeinLeerraum">
    <w:name w:val="No Spacing"/>
    <w:uiPriority w:val="99"/>
    <w:qFormat/>
    <w:rsid w:val="008F22AE"/>
    <w:rPr>
      <w:rFonts w:eastAsia="Times New Roman" w:cs="Calibri"/>
      <w:lang w:val="el-GR" w:eastAsia="en-US"/>
    </w:rPr>
  </w:style>
  <w:style w:type="character" w:styleId="Hyperlink">
    <w:name w:val="Hyperlink"/>
    <w:basedOn w:val="Absatz-Standardschriftart"/>
    <w:uiPriority w:val="99"/>
    <w:rsid w:val="008F22A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Supplementary Material</vt:lpstr>
    </vt:vector>
  </TitlesOfParts>
  <Company>Universitätsklinikum Leipzig AöR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creator>Fischer, Janett</dc:creator>
  <cp:lastModifiedBy>Fischer, Janett</cp:lastModifiedBy>
  <cp:revision>5</cp:revision>
  <dcterms:created xsi:type="dcterms:W3CDTF">2018-07-23T07:11:00Z</dcterms:created>
  <dcterms:modified xsi:type="dcterms:W3CDTF">2018-07-23T07:15:00Z</dcterms:modified>
</cp:coreProperties>
</file>