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77B37" w14:textId="786F6656" w:rsidR="00CA0CFC" w:rsidRPr="00CA0CFC" w:rsidRDefault="00773DFA" w:rsidP="00CA0CFC">
      <w:pPr>
        <w:widowControl w:val="0"/>
        <w:spacing w:before="60" w:after="0" w:line="359" w:lineRule="auto"/>
        <w:ind w:left="120" w:right="117"/>
        <w:outlineLvl w:val="0"/>
        <w:rPr>
          <w:rFonts w:ascii="Arial" w:eastAsia="Arial" w:hAnsi="Arial" w:cs="Times New Roman"/>
        </w:rPr>
      </w:pPr>
      <w:bookmarkStart w:id="0" w:name="_Hlk511297778"/>
      <w:r w:rsidRPr="00205D20">
        <w:rPr>
          <w:rFonts w:ascii="Arial" w:eastAsia="Arial" w:hAnsi="Arial" w:cs="Times New Roman"/>
          <w:b/>
          <w:bCs/>
        </w:rPr>
        <w:t>In Vitro M</w:t>
      </w:r>
      <w:r w:rsidR="00CA0CFC" w:rsidRPr="00205D20">
        <w:rPr>
          <w:rFonts w:ascii="Arial" w:eastAsia="Arial" w:hAnsi="Arial" w:cs="Times New Roman"/>
          <w:b/>
          <w:bCs/>
        </w:rPr>
        <w:t>odulation of</w:t>
      </w:r>
      <w:r w:rsidR="00CA0CFC" w:rsidRPr="00205D20">
        <w:rPr>
          <w:rFonts w:ascii="Arial" w:eastAsia="Arial" w:hAnsi="Arial" w:cs="Times New Roman"/>
          <w:b/>
          <w:bCs/>
          <w:spacing w:val="-12"/>
        </w:rPr>
        <w:t xml:space="preserve"> </w:t>
      </w:r>
      <w:r w:rsidRPr="00205D20">
        <w:rPr>
          <w:rFonts w:ascii="Arial" w:eastAsia="Arial" w:hAnsi="Arial" w:cs="Times New Roman"/>
          <w:b/>
          <w:bCs/>
        </w:rPr>
        <w:t>R</w:t>
      </w:r>
      <w:r w:rsidR="00CA0CFC" w:rsidRPr="00205D20">
        <w:rPr>
          <w:rFonts w:ascii="Arial" w:eastAsia="Arial" w:hAnsi="Arial" w:cs="Times New Roman"/>
          <w:b/>
          <w:bCs/>
        </w:rPr>
        <w:t>edo</w:t>
      </w:r>
      <w:r w:rsidR="00CA0CFC" w:rsidRPr="00CA0CFC">
        <w:rPr>
          <w:rFonts w:ascii="Arial" w:eastAsia="Arial" w:hAnsi="Arial" w:cs="Times New Roman"/>
          <w:b/>
          <w:bCs/>
        </w:rPr>
        <w:t>x</w:t>
      </w:r>
      <w:r w:rsidR="00CA0CFC" w:rsidRPr="00CA0CFC">
        <w:rPr>
          <w:rFonts w:ascii="Arial" w:eastAsia="Arial" w:hAnsi="Arial" w:cs="Times New Roman"/>
          <w:b/>
          <w:bCs/>
          <w:spacing w:val="-11"/>
        </w:rPr>
        <w:t xml:space="preserve"> </w:t>
      </w:r>
      <w:r w:rsidR="00CA0CFC" w:rsidRPr="00CA0CFC">
        <w:rPr>
          <w:rFonts w:ascii="Arial" w:eastAsia="Arial" w:hAnsi="Arial" w:cs="Times New Roman"/>
          <w:b/>
          <w:bCs/>
        </w:rPr>
        <w:t>and</w:t>
      </w:r>
      <w:r w:rsidR="00CA0CFC" w:rsidRPr="00CA0CFC">
        <w:rPr>
          <w:rFonts w:ascii="Arial" w:eastAsia="Arial" w:hAnsi="Arial" w:cs="Times New Roman"/>
          <w:b/>
          <w:bCs/>
          <w:spacing w:val="-12"/>
        </w:rPr>
        <w:t xml:space="preserve"> </w:t>
      </w:r>
      <w:r>
        <w:rPr>
          <w:rFonts w:ascii="Arial" w:eastAsia="Arial" w:hAnsi="Arial" w:cs="Times New Roman"/>
          <w:b/>
          <w:bCs/>
          <w:spacing w:val="-1"/>
        </w:rPr>
        <w:t>M</w:t>
      </w:r>
      <w:r w:rsidR="00CA0CFC" w:rsidRPr="00CA0CFC">
        <w:rPr>
          <w:rFonts w:ascii="Arial" w:eastAsia="Arial" w:hAnsi="Arial" w:cs="Times New Roman"/>
          <w:b/>
          <w:bCs/>
          <w:spacing w:val="-1"/>
        </w:rPr>
        <w:t>etabolism</w:t>
      </w:r>
      <w:r w:rsidR="00CA0CFC" w:rsidRPr="00CA0CFC">
        <w:rPr>
          <w:rFonts w:ascii="Arial" w:eastAsia="Arial" w:hAnsi="Arial" w:cs="Times New Roman"/>
          <w:b/>
          <w:bCs/>
          <w:spacing w:val="-12"/>
        </w:rPr>
        <w:t xml:space="preserve"> </w:t>
      </w:r>
      <w:r>
        <w:rPr>
          <w:rFonts w:ascii="Arial" w:eastAsia="Arial" w:hAnsi="Arial" w:cs="Times New Roman"/>
          <w:b/>
          <w:bCs/>
        </w:rPr>
        <w:t>I</w:t>
      </w:r>
      <w:r w:rsidR="00CA0CFC" w:rsidRPr="00CA0CFC">
        <w:rPr>
          <w:rFonts w:ascii="Arial" w:eastAsia="Arial" w:hAnsi="Arial" w:cs="Times New Roman"/>
          <w:b/>
          <w:bCs/>
        </w:rPr>
        <w:t>nterplay</w:t>
      </w:r>
      <w:r w:rsidR="00CA0CFC" w:rsidRPr="00CA0CFC">
        <w:rPr>
          <w:rFonts w:ascii="Arial" w:eastAsia="Arial" w:hAnsi="Arial" w:cs="Times New Roman"/>
          <w:b/>
          <w:bCs/>
          <w:spacing w:val="-13"/>
        </w:rPr>
        <w:t xml:space="preserve"> </w:t>
      </w:r>
      <w:r w:rsidR="00CA0CFC" w:rsidRPr="00CA0CFC">
        <w:rPr>
          <w:rFonts w:ascii="Arial" w:eastAsia="Arial" w:hAnsi="Arial" w:cs="Times New Roman"/>
          <w:b/>
          <w:bCs/>
        </w:rPr>
        <w:t>at</w:t>
      </w:r>
      <w:r w:rsidR="00CA0CFC" w:rsidRPr="00CA0CFC">
        <w:rPr>
          <w:rFonts w:ascii="Arial" w:eastAsia="Arial" w:hAnsi="Arial" w:cs="Times New Roman"/>
          <w:b/>
          <w:bCs/>
          <w:spacing w:val="-12"/>
        </w:rPr>
        <w:t xml:space="preserve"> </w:t>
      </w:r>
      <w:r w:rsidR="00CA0CFC" w:rsidRPr="00CA0CFC">
        <w:rPr>
          <w:rFonts w:ascii="Arial" w:eastAsia="Arial" w:hAnsi="Arial" w:cs="Times New Roman"/>
          <w:b/>
          <w:bCs/>
        </w:rPr>
        <w:t>the</w:t>
      </w:r>
      <w:r w:rsidR="00CA0CFC" w:rsidRPr="00CA0CFC">
        <w:rPr>
          <w:rFonts w:ascii="Arial" w:eastAsia="Arial" w:hAnsi="Arial" w:cs="Times New Roman"/>
          <w:b/>
          <w:bCs/>
          <w:spacing w:val="41"/>
          <w:w w:val="99"/>
        </w:rPr>
        <w:t xml:space="preserve"> </w:t>
      </w:r>
      <w:r>
        <w:rPr>
          <w:rFonts w:ascii="Arial" w:eastAsia="Arial" w:hAnsi="Arial" w:cs="Times New Roman"/>
          <w:b/>
          <w:bCs/>
        </w:rPr>
        <w:t>B</w:t>
      </w:r>
      <w:r w:rsidR="00CA0CFC" w:rsidRPr="00CA0CFC">
        <w:rPr>
          <w:rFonts w:ascii="Arial" w:eastAsia="Arial" w:hAnsi="Arial" w:cs="Times New Roman"/>
          <w:b/>
          <w:bCs/>
        </w:rPr>
        <w:t>rain</w:t>
      </w:r>
      <w:r w:rsidR="00CA0CFC" w:rsidRPr="00CA0CFC">
        <w:rPr>
          <w:rFonts w:ascii="Arial" w:eastAsia="Arial" w:hAnsi="Arial" w:cs="Times New Roman"/>
          <w:b/>
          <w:bCs/>
          <w:spacing w:val="-14"/>
        </w:rPr>
        <w:t xml:space="preserve"> </w:t>
      </w:r>
      <w:r>
        <w:rPr>
          <w:rFonts w:ascii="Arial" w:eastAsia="Arial" w:hAnsi="Arial" w:cs="Times New Roman"/>
          <w:b/>
          <w:bCs/>
        </w:rPr>
        <w:t>V</w:t>
      </w:r>
      <w:r w:rsidR="00CA0CFC" w:rsidRPr="00CA0CFC">
        <w:rPr>
          <w:rFonts w:ascii="Arial" w:eastAsia="Arial" w:hAnsi="Arial" w:cs="Times New Roman"/>
          <w:b/>
          <w:bCs/>
        </w:rPr>
        <w:t>ascular</w:t>
      </w:r>
      <w:r w:rsidR="00CA0CFC" w:rsidRPr="00CA0CFC">
        <w:rPr>
          <w:rFonts w:ascii="Arial" w:eastAsia="Arial" w:hAnsi="Arial" w:cs="Times New Roman"/>
          <w:b/>
          <w:bCs/>
          <w:spacing w:val="-14"/>
        </w:rPr>
        <w:t xml:space="preserve"> </w:t>
      </w:r>
      <w:r>
        <w:rPr>
          <w:rFonts w:ascii="Arial" w:eastAsia="Arial" w:hAnsi="Arial" w:cs="Times New Roman"/>
          <w:b/>
          <w:bCs/>
        </w:rPr>
        <w:t>E</w:t>
      </w:r>
      <w:r w:rsidR="00CA0CFC" w:rsidRPr="00CA0CFC">
        <w:rPr>
          <w:rFonts w:ascii="Arial" w:eastAsia="Arial" w:hAnsi="Arial" w:cs="Times New Roman"/>
          <w:b/>
          <w:bCs/>
        </w:rPr>
        <w:t>ndothelium</w:t>
      </w:r>
      <w:r w:rsidR="00D00611">
        <w:rPr>
          <w:rFonts w:ascii="Arial" w:eastAsia="Arial" w:hAnsi="Arial" w:cs="Times New Roman"/>
          <w:b/>
          <w:bCs/>
        </w:rPr>
        <w:t xml:space="preserve">: Genomic and Proteomic Profile of </w:t>
      </w:r>
      <w:r w:rsidR="00D00611" w:rsidRPr="00D00611">
        <w:rPr>
          <w:rFonts w:ascii="Arial" w:eastAsia="Arial" w:hAnsi="Arial" w:cs="Times New Roman"/>
          <w:b/>
          <w:bCs/>
        </w:rPr>
        <w:t>Sulforaphane</w:t>
      </w:r>
      <w:r w:rsidR="00D00611">
        <w:rPr>
          <w:rFonts w:ascii="Arial" w:eastAsia="Arial" w:hAnsi="Arial" w:cs="Times New Roman"/>
          <w:b/>
          <w:bCs/>
        </w:rPr>
        <w:t xml:space="preserve"> Activity</w:t>
      </w:r>
    </w:p>
    <w:bookmarkEnd w:id="0"/>
    <w:p w14:paraId="59C7A925" w14:textId="5FF58EFF" w:rsidR="00CA0CFC" w:rsidRPr="00CA0CFC" w:rsidRDefault="00CA0CFC" w:rsidP="00CA0CFC">
      <w:pPr>
        <w:widowControl w:val="0"/>
        <w:spacing w:before="131" w:after="0" w:line="354" w:lineRule="auto"/>
        <w:ind w:left="120" w:right="117"/>
        <w:rPr>
          <w:rFonts w:ascii="Arial" w:eastAsia="Arial" w:hAnsi="Arial" w:cs="Arial"/>
          <w:sz w:val="14"/>
          <w:szCs w:val="14"/>
        </w:rPr>
      </w:pPr>
      <w:r w:rsidRPr="00CA0CFC">
        <w:rPr>
          <w:rFonts w:ascii="Arial" w:eastAsia="Arial" w:hAnsi="Arial" w:cs="Times New Roman"/>
        </w:rPr>
        <w:t>Ravi</w:t>
      </w:r>
      <w:r w:rsidRPr="00CA0CFC">
        <w:rPr>
          <w:rFonts w:ascii="Arial" w:eastAsia="Arial" w:hAnsi="Arial" w:cs="Times New Roman"/>
          <w:spacing w:val="11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K.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Sajja</w:t>
      </w:r>
      <w:r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1</w:t>
      </w:r>
      <w:r w:rsidRPr="00CA0CFC">
        <w:rPr>
          <w:rFonts w:ascii="Arial" w:eastAsia="Arial" w:hAnsi="Arial" w:cs="Times New Roman"/>
          <w:spacing w:val="-1"/>
        </w:rPr>
        <w:t>,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Pr="00CA0CFC">
        <w:rPr>
          <w:rFonts w:ascii="Arial" w:eastAsia="Arial" w:hAnsi="Arial" w:cs="Times New Roman"/>
        </w:rPr>
        <w:t>Mohammad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Pr="00CA0CFC">
        <w:rPr>
          <w:rFonts w:ascii="Arial" w:eastAsia="Arial" w:hAnsi="Arial" w:cs="Times New Roman"/>
        </w:rPr>
        <w:t>A.</w:t>
      </w:r>
      <w:r w:rsidRPr="00CA0CFC">
        <w:rPr>
          <w:rFonts w:ascii="Arial" w:eastAsia="Arial" w:hAnsi="Arial" w:cs="Times New Roman"/>
          <w:spacing w:val="13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Kaisar</w:t>
      </w:r>
      <w:r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1</w:t>
      </w:r>
      <w:r w:rsidRPr="00CA0CFC">
        <w:rPr>
          <w:rFonts w:ascii="Arial" w:eastAsia="Arial" w:hAnsi="Arial" w:cs="Times New Roman"/>
          <w:spacing w:val="-1"/>
        </w:rPr>
        <w:t>,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Pr="00CA0CFC">
        <w:rPr>
          <w:rFonts w:ascii="Arial" w:eastAsia="Arial" w:hAnsi="Arial" w:cs="Times New Roman"/>
        </w:rPr>
        <w:t>Vikrant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Vijay</w:t>
      </w:r>
      <w:r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3</w:t>
      </w:r>
      <w:r w:rsidRPr="00CA0CFC">
        <w:rPr>
          <w:rFonts w:ascii="Arial" w:eastAsia="Arial" w:hAnsi="Arial" w:cs="Times New Roman"/>
          <w:spacing w:val="-1"/>
        </w:rPr>
        <w:t>,</w:t>
      </w:r>
      <w:r w:rsidRPr="00CA0CFC">
        <w:rPr>
          <w:rFonts w:ascii="Arial" w:eastAsia="Arial" w:hAnsi="Arial" w:cs="Times New Roman"/>
          <w:spacing w:val="13"/>
        </w:rPr>
        <w:t xml:space="preserve"> </w:t>
      </w:r>
      <w:r w:rsidRPr="00CA0CFC">
        <w:rPr>
          <w:rFonts w:ascii="Arial" w:eastAsia="Arial" w:hAnsi="Arial" w:cs="Times New Roman"/>
        </w:rPr>
        <w:t>Varsha</w:t>
      </w:r>
      <w:r w:rsidRPr="00CA0CFC">
        <w:rPr>
          <w:rFonts w:ascii="Arial" w:eastAsia="Arial" w:hAnsi="Arial" w:cs="Times New Roman"/>
          <w:spacing w:val="11"/>
        </w:rPr>
        <w:t xml:space="preserve"> </w:t>
      </w:r>
      <w:r w:rsidRPr="00CA0CFC">
        <w:rPr>
          <w:rFonts w:ascii="Arial" w:eastAsia="Arial" w:hAnsi="Arial" w:cs="Times New Roman"/>
        </w:rPr>
        <w:t>G.</w:t>
      </w:r>
      <w:r w:rsidRPr="00CA0CFC">
        <w:rPr>
          <w:rFonts w:ascii="Arial" w:eastAsia="Arial" w:hAnsi="Arial" w:cs="Times New Roman"/>
          <w:spacing w:val="13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Desai</w:t>
      </w:r>
      <w:r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3</w:t>
      </w:r>
      <w:r w:rsidRPr="00CA0CFC">
        <w:rPr>
          <w:rFonts w:ascii="Arial" w:eastAsia="Arial" w:hAnsi="Arial" w:cs="Times New Roman"/>
          <w:spacing w:val="-1"/>
        </w:rPr>
        <w:t>,</w:t>
      </w:r>
      <w:r w:rsidRPr="00CA0CFC">
        <w:rPr>
          <w:rFonts w:ascii="Arial" w:eastAsia="Arial" w:hAnsi="Arial" w:cs="Times New Roman"/>
          <w:spacing w:val="12"/>
        </w:rPr>
        <w:t xml:space="preserve"> </w:t>
      </w:r>
      <w:r w:rsidR="00835CF1" w:rsidRPr="00CA0CFC">
        <w:rPr>
          <w:rFonts w:ascii="Arial" w:eastAsia="Arial" w:hAnsi="Arial" w:cs="Times New Roman"/>
        </w:rPr>
        <w:t>Shikha</w:t>
      </w:r>
      <w:r w:rsidR="00835CF1" w:rsidRPr="00CA0CFC">
        <w:rPr>
          <w:rFonts w:ascii="Arial" w:eastAsia="Arial" w:hAnsi="Arial" w:cs="Times New Roman"/>
          <w:spacing w:val="12"/>
        </w:rPr>
        <w:t xml:space="preserve"> </w:t>
      </w:r>
      <w:proofErr w:type="gramStart"/>
      <w:r w:rsidR="00835CF1" w:rsidRPr="00CA0CFC">
        <w:rPr>
          <w:rFonts w:ascii="Arial" w:eastAsia="Arial" w:hAnsi="Arial" w:cs="Times New Roman"/>
          <w:spacing w:val="-1"/>
        </w:rPr>
        <w:t>Prasad</w:t>
      </w:r>
      <w:r w:rsidR="00835CF1"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2</w:t>
      </w:r>
      <w:r w:rsidR="00835CF1">
        <w:rPr>
          <w:rFonts w:ascii="Arial" w:eastAsia="Arial" w:hAnsi="Arial" w:cs="Times New Roman"/>
          <w:spacing w:val="-1"/>
          <w:position w:val="7"/>
          <w:sz w:val="14"/>
          <w:szCs w:val="14"/>
        </w:rPr>
        <w:t xml:space="preserve"> </w:t>
      </w:r>
      <w:r w:rsidR="00835CF1">
        <w:rPr>
          <w:rFonts w:ascii="Arial" w:eastAsia="Arial" w:hAnsi="Arial" w:cs="Times New Roman"/>
        </w:rPr>
        <w:t>,</w:t>
      </w:r>
      <w:proofErr w:type="gramEnd"/>
      <w:r w:rsidR="00835CF1">
        <w:rPr>
          <w:rFonts w:ascii="Arial" w:eastAsia="Arial" w:hAnsi="Arial" w:cs="Times New Roman"/>
        </w:rPr>
        <w:t xml:space="preserve"> L</w:t>
      </w:r>
      <w:r w:rsidRPr="00CA0CFC">
        <w:rPr>
          <w:rFonts w:ascii="Arial" w:eastAsia="Arial" w:hAnsi="Arial" w:cs="Times New Roman"/>
        </w:rPr>
        <w:t>uca</w:t>
      </w:r>
      <w:r w:rsidRPr="00CA0CFC">
        <w:rPr>
          <w:rFonts w:ascii="Arial" w:eastAsia="Arial" w:hAnsi="Arial" w:cs="Times New Roman"/>
          <w:spacing w:val="57"/>
          <w:w w:val="99"/>
        </w:rPr>
        <w:t xml:space="preserve"> </w:t>
      </w:r>
      <w:r w:rsidRPr="00CA0CFC">
        <w:rPr>
          <w:rFonts w:ascii="Arial" w:eastAsia="Arial" w:hAnsi="Arial" w:cs="Times New Roman"/>
          <w:spacing w:val="-1"/>
        </w:rPr>
        <w:t>Cucullo</w:t>
      </w:r>
      <w:r w:rsidRPr="00CA0CFC">
        <w:rPr>
          <w:rFonts w:ascii="Arial" w:eastAsia="Arial" w:hAnsi="Arial" w:cs="Times New Roman"/>
          <w:spacing w:val="-1"/>
          <w:position w:val="7"/>
          <w:sz w:val="14"/>
          <w:szCs w:val="14"/>
        </w:rPr>
        <w:t>1,4</w:t>
      </w:r>
      <w:r w:rsidR="00835CF1" w:rsidRPr="00835CF1">
        <w:rPr>
          <w:rFonts w:ascii="Arial" w:eastAsia="Arial" w:hAnsi="Arial" w:cs="Arial"/>
          <w:b/>
          <w:bCs/>
          <w:spacing w:val="-1"/>
          <w:position w:val="8"/>
          <w:sz w:val="20"/>
          <w:szCs w:val="14"/>
        </w:rPr>
        <w:t>*</w:t>
      </w:r>
    </w:p>
    <w:p w14:paraId="5BB0E301" w14:textId="77777777" w:rsidR="00CA0CFC" w:rsidRPr="00CA0CFC" w:rsidRDefault="00CA0CFC" w:rsidP="00CA0CFC">
      <w:pPr>
        <w:widowControl w:val="0"/>
        <w:spacing w:before="5" w:after="0" w:line="240" w:lineRule="auto"/>
        <w:rPr>
          <w:rFonts w:ascii="Arial" w:eastAsia="Arial" w:hAnsi="Arial" w:cs="Arial"/>
          <w:b/>
          <w:bCs/>
          <w:sz w:val="33"/>
          <w:szCs w:val="33"/>
        </w:rPr>
      </w:pPr>
    </w:p>
    <w:p w14:paraId="04493853" w14:textId="39EB9D90" w:rsidR="00B00C08" w:rsidRDefault="00D276C5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Supplementary Material</w:t>
      </w:r>
    </w:p>
    <w:p w14:paraId="1476C24D" w14:textId="77777777" w:rsidR="000B7C43" w:rsidRPr="00B00C08" w:rsidRDefault="000B7C43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</w:p>
    <w:p w14:paraId="6597D70A" w14:textId="2746274C" w:rsidR="00D658AE" w:rsidRDefault="002A63C7" w:rsidP="00D658AE">
      <w:pPr>
        <w:spacing w:after="0" w:line="48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drawing>
          <wp:inline distT="0" distB="0" distL="0" distR="0" wp14:anchorId="495E5F88" wp14:editId="6BA99DBD">
            <wp:extent cx="2136748" cy="4819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1" cy="488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2F20" w14:textId="7731ED19" w:rsidR="00B00C08" w:rsidRDefault="0054147C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  <w:r w:rsidRPr="00B00C08">
        <w:rPr>
          <w:rFonts w:ascii="Arial" w:eastAsia="Calibri" w:hAnsi="Arial" w:cs="Arial"/>
          <w:b/>
        </w:rPr>
        <w:t xml:space="preserve">Supplementary Figure </w:t>
      </w:r>
      <w:r w:rsidR="001D0937">
        <w:rPr>
          <w:rFonts w:ascii="Arial" w:eastAsia="Calibri" w:hAnsi="Arial" w:cs="Arial"/>
          <w:b/>
        </w:rPr>
        <w:t>6:</w:t>
      </w:r>
      <w:r w:rsidRPr="00B00C08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SFN</w:t>
      </w:r>
      <w:r w:rsidRPr="00B00C08">
        <w:rPr>
          <w:rFonts w:ascii="Arial" w:eastAsia="Calibri" w:hAnsi="Arial" w:cs="Arial"/>
        </w:rPr>
        <w:t xml:space="preserve"> regulation of apoptotic genes (</w:t>
      </w:r>
      <w:r w:rsidRPr="00B00C08">
        <w:rPr>
          <w:rFonts w:ascii="Arial" w:eastAsia="Calibri" w:hAnsi="Arial" w:cs="Arial"/>
          <w:b/>
        </w:rPr>
        <w:t>B</w:t>
      </w:r>
      <w:r w:rsidRPr="00B00C08">
        <w:rPr>
          <w:rFonts w:ascii="Arial" w:eastAsia="Calibri" w:hAnsi="Arial" w:cs="Arial"/>
        </w:rPr>
        <w:t>).</w:t>
      </w:r>
    </w:p>
    <w:p w14:paraId="7607694C" w14:textId="155F6DFE" w:rsidR="000B7C43" w:rsidRDefault="000B7C43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</w:p>
    <w:p w14:paraId="090B539D" w14:textId="12935334" w:rsidR="000B7C43" w:rsidRDefault="000B7C43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</w:p>
    <w:p w14:paraId="38EBA8F7" w14:textId="43BDD29D" w:rsidR="000B7C43" w:rsidRDefault="000B7C43" w:rsidP="00B00C08">
      <w:pPr>
        <w:spacing w:after="0" w:line="480" w:lineRule="auto"/>
        <w:jc w:val="both"/>
        <w:rPr>
          <w:rFonts w:ascii="Arial" w:eastAsia="Calibri" w:hAnsi="Arial" w:cs="Arial"/>
          <w:b/>
        </w:rPr>
      </w:pPr>
    </w:p>
    <w:p w14:paraId="5177CF17" w14:textId="22573544" w:rsidR="00B00C08" w:rsidRPr="00B00C08" w:rsidRDefault="0054147C" w:rsidP="0054147C">
      <w:pPr>
        <w:spacing w:after="0" w:line="48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lastRenderedPageBreak/>
        <w:drawing>
          <wp:inline distT="0" distB="0" distL="0" distR="0" wp14:anchorId="50448866" wp14:editId="7EB18196">
            <wp:extent cx="4073735" cy="5232400"/>
            <wp:effectExtent l="0" t="0" r="3175" b="6350"/>
            <wp:docPr id="10" name="Picture 10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 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926" cy="524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56F75" w14:textId="117CF893" w:rsidR="0054147C" w:rsidRPr="00B00C08" w:rsidRDefault="0054147C" w:rsidP="0054147C">
      <w:pPr>
        <w:tabs>
          <w:tab w:val="left" w:pos="7803"/>
        </w:tabs>
        <w:spacing w:line="48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Supplementary </w:t>
      </w:r>
      <w:r w:rsidRPr="00B00C08">
        <w:rPr>
          <w:rFonts w:ascii="Arial" w:eastAsia="Calibri" w:hAnsi="Arial" w:cs="Arial"/>
          <w:b/>
        </w:rPr>
        <w:t xml:space="preserve">Figure </w:t>
      </w:r>
      <w:r>
        <w:rPr>
          <w:rFonts w:ascii="Arial" w:eastAsia="Calibri" w:hAnsi="Arial" w:cs="Arial"/>
          <w:b/>
        </w:rPr>
        <w:t>7</w:t>
      </w:r>
      <w:r w:rsidRPr="00B00C08">
        <w:rPr>
          <w:rFonts w:ascii="Arial" w:eastAsia="Calibri" w:hAnsi="Arial" w:cs="Arial"/>
          <w:b/>
        </w:rPr>
        <w:t>:</w:t>
      </w:r>
      <w:r w:rsidRPr="00B00C08">
        <w:rPr>
          <w:rFonts w:ascii="Arial" w:eastAsia="Calibri" w:hAnsi="Arial" w:cs="Arial"/>
        </w:rPr>
        <w:t xml:space="preserve"> </w:t>
      </w:r>
      <w:r w:rsidRPr="00B00C08">
        <w:rPr>
          <w:rFonts w:ascii="Arial" w:eastAsia="Calibri" w:hAnsi="Arial" w:cs="Arial"/>
          <w:b/>
        </w:rPr>
        <w:t>SFN impacts mitochondrial dynamics.</w:t>
      </w:r>
      <w:r w:rsidRPr="00B00C08">
        <w:rPr>
          <w:rFonts w:ascii="Arial" w:eastAsia="Calibri" w:hAnsi="Arial" w:cs="Arial"/>
        </w:rPr>
        <w:t xml:space="preserve"> </w:t>
      </w:r>
      <w:r w:rsidRPr="00B00C08">
        <w:rPr>
          <w:rFonts w:ascii="Arial" w:eastAsia="Calibri" w:hAnsi="Arial" w:cs="Arial"/>
          <w:b/>
        </w:rPr>
        <w:t xml:space="preserve">A1) </w:t>
      </w:r>
      <w:r w:rsidRPr="007C7189">
        <w:rPr>
          <w:rFonts w:ascii="Arial" w:eastAsia="Calibri" w:hAnsi="Arial" w:cs="Arial"/>
        </w:rPr>
        <w:t>Analysis of the heatmap shows how SFN differentially impact the expression levels of genes involved in mitochondrial fission, fusion and biogenesis.</w:t>
      </w:r>
      <w:r>
        <w:rPr>
          <w:rFonts w:ascii="Arial" w:eastAsia="Calibri" w:hAnsi="Arial" w:cs="Arial"/>
        </w:rPr>
        <w:t xml:space="preserve"> </w:t>
      </w:r>
      <w:r w:rsidRPr="00B00C08">
        <w:rPr>
          <w:rFonts w:ascii="Arial" w:eastAsia="Calibri" w:hAnsi="Arial" w:cs="Arial"/>
          <w:b/>
        </w:rPr>
        <w:t>A2)</w:t>
      </w:r>
      <w:r w:rsidRPr="00B00C08">
        <w:rPr>
          <w:rFonts w:ascii="Arial" w:eastAsia="Calibri" w:hAnsi="Arial" w:cs="Arial"/>
        </w:rPr>
        <w:t xml:space="preserve"> Representative </w:t>
      </w:r>
      <w:r w:rsidRPr="00125B2F">
        <w:rPr>
          <w:rFonts w:ascii="Arial" w:eastAsia="Calibri" w:hAnsi="Arial" w:cs="Arial"/>
          <w:bCs/>
        </w:rPr>
        <w:t>RT-PCR</w:t>
      </w:r>
      <w:r w:rsidRPr="00B00C08">
        <w:rPr>
          <w:rFonts w:ascii="Arial" w:eastAsia="Calibri" w:hAnsi="Arial" w:cs="Arial"/>
        </w:rPr>
        <w:t xml:space="preserve"> bar graph</w:t>
      </w:r>
      <w:r>
        <w:rPr>
          <w:rFonts w:ascii="Arial" w:eastAsia="Calibri" w:hAnsi="Arial" w:cs="Arial"/>
        </w:rPr>
        <w:t xml:space="preserve"> showing then effect of SFN treatment on</w:t>
      </w:r>
      <w:r w:rsidRPr="00B00C08">
        <w:rPr>
          <w:rFonts w:ascii="Arial" w:eastAsia="Calibri" w:hAnsi="Arial" w:cs="Arial"/>
        </w:rPr>
        <w:t xml:space="preserve"> Pgc1β expression</w:t>
      </w:r>
      <w:r w:rsidRPr="00125B2F">
        <w:rPr>
          <w:rFonts w:ascii="Arial" w:eastAsia="Calibri" w:hAnsi="Arial" w:cs="Arial"/>
          <w:bCs/>
        </w:rPr>
        <w:t>.</w:t>
      </w:r>
      <w:r w:rsidRPr="006A2489">
        <w:rPr>
          <w:rFonts w:ascii="Arial" w:eastAsia="Calibri" w:hAnsi="Arial" w:cs="Arial"/>
        </w:rPr>
        <w:t xml:space="preserve"> </w:t>
      </w:r>
      <w:r w:rsidRPr="006A2489">
        <w:rPr>
          <w:rFonts w:ascii="Arial" w:eastAsia="Calibri" w:hAnsi="Arial" w:cs="Arial"/>
          <w:b/>
        </w:rPr>
        <w:t>B)</w:t>
      </w:r>
      <w:r>
        <w:rPr>
          <w:rFonts w:ascii="Arial" w:eastAsia="Calibri" w:hAnsi="Arial" w:cs="Arial"/>
        </w:rPr>
        <w:t xml:space="preserve"> Heatmap of </w:t>
      </w:r>
      <w:r w:rsidRPr="006A2489">
        <w:rPr>
          <w:rFonts w:ascii="Arial" w:eastAsia="Calibri" w:hAnsi="Arial" w:cs="Arial"/>
        </w:rPr>
        <w:t>SFN regulation of mitochondrial transcriptional factors</w:t>
      </w:r>
      <w:r w:rsidRPr="00B00C08">
        <w:rPr>
          <w:rFonts w:ascii="Arial" w:eastAsia="Calibri" w:hAnsi="Arial" w:cs="Arial"/>
        </w:rPr>
        <w:t>. Data were obtained from two independent experiments (n=</w:t>
      </w:r>
      <w:r>
        <w:rPr>
          <w:rFonts w:ascii="Arial" w:eastAsia="Calibri" w:hAnsi="Arial" w:cs="Arial"/>
        </w:rPr>
        <w:t xml:space="preserve"> </w:t>
      </w:r>
      <w:r w:rsidRPr="00B00C08">
        <w:rPr>
          <w:rFonts w:ascii="Arial" w:eastAsia="Calibri" w:hAnsi="Arial" w:cs="Arial"/>
        </w:rPr>
        <w:t xml:space="preserve">4 biological replicates/each). </w:t>
      </w:r>
      <w:r>
        <w:rPr>
          <w:rFonts w:ascii="Arial" w:eastAsia="Calibri" w:hAnsi="Arial" w:cs="Arial"/>
        </w:rPr>
        <w:t>“</w:t>
      </w:r>
      <w:r w:rsidRPr="00B00C08">
        <w:rPr>
          <w:rFonts w:ascii="Arial" w:eastAsia="Calibri" w:hAnsi="Arial" w:cs="Arial"/>
          <w:b/>
        </w:rPr>
        <w:t>**</w:t>
      </w:r>
      <w:r w:rsidRPr="00586898">
        <w:rPr>
          <w:rFonts w:ascii="Arial" w:eastAsia="Calibri" w:hAnsi="Arial" w:cs="Arial"/>
        </w:rPr>
        <w:t>”</w:t>
      </w:r>
      <w:r w:rsidRPr="00B00C08">
        <w:rPr>
          <w:rFonts w:ascii="Arial" w:eastAsia="Calibri" w:hAnsi="Arial" w:cs="Arial"/>
        </w:rPr>
        <w:t xml:space="preserve"> p&lt;0.01 vs. control.</w:t>
      </w:r>
    </w:p>
    <w:p w14:paraId="45F01D79" w14:textId="77777777" w:rsidR="0089141D" w:rsidRDefault="0089141D" w:rsidP="00FD6920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p w14:paraId="617E8DB1" w14:textId="77777777" w:rsidR="0089141D" w:rsidRDefault="0089141D" w:rsidP="00FD6920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p w14:paraId="643E1601" w14:textId="1D2E87BF" w:rsidR="00FD6920" w:rsidRPr="00BC3200" w:rsidRDefault="00FD6920" w:rsidP="00FD6920">
      <w:pPr>
        <w:spacing w:after="0" w:line="480" w:lineRule="auto"/>
        <w:jc w:val="both"/>
        <w:rPr>
          <w:rFonts w:ascii="Arial" w:eastAsia="Calibri" w:hAnsi="Arial" w:cs="Arial"/>
          <w:bCs/>
          <w:lang w:bidi="te-IN"/>
        </w:rPr>
      </w:pPr>
      <w:bookmarkStart w:id="1" w:name="_GoBack"/>
      <w:r w:rsidRPr="00BC3200">
        <w:rPr>
          <w:rFonts w:ascii="Arial" w:eastAsia="Calibri" w:hAnsi="Arial" w:cs="Arial"/>
          <w:b/>
          <w:bCs/>
          <w:lang w:bidi="te-IN"/>
        </w:rPr>
        <w:lastRenderedPageBreak/>
        <w:t xml:space="preserve">Supplementary-Table 2: Excel List of all the </w:t>
      </w:r>
      <w:r w:rsidRPr="00BC3200">
        <w:rPr>
          <w:rFonts w:ascii="Arial" w:eastAsia="Calibri" w:hAnsi="Arial" w:cs="Arial"/>
          <w:b/>
        </w:rPr>
        <w:t xml:space="preserve">1026 genes included on </w:t>
      </w:r>
      <w:proofErr w:type="spellStart"/>
      <w:r w:rsidRPr="00BC3200">
        <w:rPr>
          <w:rFonts w:ascii="Arial" w:eastAsia="Calibri" w:hAnsi="Arial" w:cs="Arial"/>
          <w:b/>
        </w:rPr>
        <w:t>MitoChips</w:t>
      </w:r>
      <w:proofErr w:type="spellEnd"/>
      <w:r w:rsidRPr="00BC3200">
        <w:rPr>
          <w:rFonts w:ascii="Arial" w:eastAsia="Calibri" w:hAnsi="Arial" w:cs="Arial"/>
          <w:b/>
          <w:bCs/>
          <w:lang w:bidi="te-IN"/>
        </w:rPr>
        <w:t>.</w:t>
      </w:r>
      <w:r w:rsidRPr="00BC3200">
        <w:rPr>
          <w:rFonts w:ascii="Arial" w:eastAsia="Calibri" w:hAnsi="Arial" w:cs="Arial"/>
          <w:bCs/>
          <w:lang w:bidi="te-IN"/>
        </w:rPr>
        <w:t xml:space="preserve"> The </w:t>
      </w:r>
      <w:r w:rsidR="00354C7A" w:rsidRPr="00BC3200">
        <w:rPr>
          <w:rFonts w:ascii="Arial" w:eastAsia="Calibri" w:hAnsi="Arial" w:cs="Arial"/>
          <w:bCs/>
          <w:lang w:bidi="te-IN"/>
        </w:rPr>
        <w:t xml:space="preserve">attached excel </w:t>
      </w:r>
      <w:r w:rsidRPr="00BC3200">
        <w:rPr>
          <w:rFonts w:ascii="Arial" w:eastAsia="Calibri" w:hAnsi="Arial" w:cs="Arial"/>
          <w:bCs/>
          <w:lang w:bidi="te-IN"/>
        </w:rPr>
        <w:t xml:space="preserve">spreadsheet contains to separate </w:t>
      </w:r>
      <w:r w:rsidR="006106B2" w:rsidRPr="00BC3200">
        <w:rPr>
          <w:rFonts w:ascii="Arial" w:eastAsia="Calibri" w:hAnsi="Arial" w:cs="Arial"/>
          <w:bCs/>
          <w:lang w:bidi="te-IN"/>
        </w:rPr>
        <w:t>sheets</w:t>
      </w:r>
      <w:r w:rsidR="00354C7A" w:rsidRPr="00BC3200">
        <w:rPr>
          <w:rFonts w:ascii="Arial" w:eastAsia="Calibri" w:hAnsi="Arial" w:cs="Arial"/>
          <w:bCs/>
          <w:lang w:bidi="te-IN"/>
        </w:rPr>
        <w:t>:</w:t>
      </w:r>
      <w:r w:rsidRPr="00BC3200">
        <w:rPr>
          <w:rFonts w:ascii="Arial" w:eastAsia="Calibri" w:hAnsi="Arial" w:cs="Arial"/>
          <w:bCs/>
          <w:lang w:bidi="te-IN"/>
        </w:rPr>
        <w:t xml:space="preserve"> The first one </w:t>
      </w:r>
      <w:r w:rsidR="00354C7A" w:rsidRPr="00BC3200">
        <w:rPr>
          <w:rFonts w:ascii="Arial" w:eastAsia="Calibri" w:hAnsi="Arial" w:cs="Arial"/>
          <w:bCs/>
          <w:lang w:bidi="te-IN"/>
        </w:rPr>
        <w:t>“</w:t>
      </w:r>
      <w:r w:rsidR="00354C7A" w:rsidRPr="00BC3200">
        <w:rPr>
          <w:rFonts w:ascii="Arial" w:eastAsia="Calibri" w:hAnsi="Arial" w:cs="Arial"/>
          <w:b/>
          <w:bCs/>
          <w:lang w:bidi="te-IN"/>
        </w:rPr>
        <w:t>LS Means per gene per group</w:t>
      </w:r>
      <w:r w:rsidR="00354C7A" w:rsidRPr="00BC3200">
        <w:rPr>
          <w:rFonts w:ascii="Arial" w:eastAsia="Calibri" w:hAnsi="Arial" w:cs="Arial"/>
          <w:bCs/>
          <w:lang w:bidi="te-IN"/>
        </w:rPr>
        <w:t xml:space="preserve">” </w:t>
      </w:r>
      <w:r w:rsidRPr="00BC3200">
        <w:rPr>
          <w:rFonts w:ascii="Arial" w:eastAsia="Calibri" w:hAnsi="Arial" w:cs="Arial"/>
          <w:bCs/>
          <w:lang w:bidi="te-IN"/>
        </w:rPr>
        <w:t xml:space="preserve">contains the “mean” </w:t>
      </w:r>
      <w:r w:rsidR="006106B2" w:rsidRPr="00BC3200">
        <w:rPr>
          <w:rFonts w:ascii="Arial" w:eastAsia="Calibri" w:hAnsi="Arial" w:cs="Arial"/>
          <w:bCs/>
          <w:lang w:bidi="te-IN"/>
        </w:rPr>
        <w:t xml:space="preserve">gene expression </w:t>
      </w:r>
      <w:r w:rsidRPr="00BC3200">
        <w:rPr>
          <w:rFonts w:ascii="Arial" w:eastAsia="Calibri" w:hAnsi="Arial" w:cs="Arial"/>
          <w:bCs/>
          <w:lang w:bidi="te-IN"/>
        </w:rPr>
        <w:t>data for each</w:t>
      </w:r>
      <w:r w:rsidR="006106B2" w:rsidRPr="00BC3200">
        <w:rPr>
          <w:rFonts w:ascii="Arial" w:eastAsia="Calibri" w:hAnsi="Arial" w:cs="Arial"/>
          <w:bCs/>
          <w:lang w:bidi="te-IN"/>
        </w:rPr>
        <w:t xml:space="preserve"> experimental</w:t>
      </w:r>
      <w:r w:rsidRPr="00BC3200">
        <w:rPr>
          <w:rFonts w:ascii="Arial" w:eastAsia="Calibri" w:hAnsi="Arial" w:cs="Arial"/>
          <w:bCs/>
          <w:lang w:bidi="te-IN"/>
        </w:rPr>
        <w:t xml:space="preserve"> </w:t>
      </w:r>
      <w:r w:rsidR="006106B2" w:rsidRPr="00BC3200">
        <w:rPr>
          <w:rFonts w:ascii="Arial" w:eastAsia="Calibri" w:hAnsi="Arial" w:cs="Arial"/>
          <w:bCs/>
          <w:lang w:bidi="te-IN"/>
        </w:rPr>
        <w:t xml:space="preserve">group including gene name, gene description and whether is encoded in the </w:t>
      </w:r>
      <w:r w:rsidR="006B2FFB" w:rsidRPr="00BC3200">
        <w:rPr>
          <w:rFonts w:ascii="Arial" w:eastAsia="Calibri" w:hAnsi="Arial" w:cs="Arial"/>
          <w:bCs/>
          <w:lang w:bidi="te-IN"/>
        </w:rPr>
        <w:t>nucleus</w:t>
      </w:r>
      <w:r w:rsidR="006106B2" w:rsidRPr="00BC3200">
        <w:rPr>
          <w:rFonts w:ascii="Arial" w:eastAsia="Calibri" w:hAnsi="Arial" w:cs="Arial"/>
          <w:bCs/>
          <w:lang w:bidi="te-IN"/>
        </w:rPr>
        <w:t xml:space="preserve"> or the mitochondria. The second one </w:t>
      </w:r>
      <w:r w:rsidR="00354C7A" w:rsidRPr="00BC3200">
        <w:rPr>
          <w:rFonts w:ascii="Arial" w:eastAsia="Calibri" w:hAnsi="Arial" w:cs="Arial"/>
          <w:bCs/>
          <w:lang w:bidi="te-IN"/>
        </w:rPr>
        <w:t>“</w:t>
      </w:r>
      <w:r w:rsidR="00354C7A" w:rsidRPr="00BC3200">
        <w:rPr>
          <w:rFonts w:ascii="Arial" w:eastAsia="Calibri" w:hAnsi="Arial" w:cs="Arial"/>
          <w:b/>
          <w:bCs/>
          <w:lang w:bidi="te-IN"/>
        </w:rPr>
        <w:t>MitoChip data comparison</w:t>
      </w:r>
      <w:r w:rsidR="00354C7A" w:rsidRPr="00BC3200">
        <w:rPr>
          <w:rFonts w:ascii="Arial" w:eastAsia="Calibri" w:hAnsi="Arial" w:cs="Arial"/>
          <w:bCs/>
          <w:lang w:bidi="te-IN"/>
        </w:rPr>
        <w:t xml:space="preserve">” </w:t>
      </w:r>
      <w:r w:rsidR="006106B2" w:rsidRPr="00BC3200">
        <w:rPr>
          <w:rFonts w:ascii="Arial" w:eastAsia="Calibri" w:hAnsi="Arial" w:cs="Arial"/>
          <w:bCs/>
          <w:lang w:bidi="te-IN"/>
        </w:rPr>
        <w:t xml:space="preserve">contains the data relative to the experimental comparisons shown in the volcano plots. The following is the column </w:t>
      </w:r>
      <w:r w:rsidR="0089141D" w:rsidRPr="00BC3200">
        <w:rPr>
          <w:rFonts w:ascii="Arial" w:eastAsia="Calibri" w:hAnsi="Arial" w:cs="Arial"/>
          <w:bCs/>
          <w:lang w:bidi="te-IN"/>
        </w:rPr>
        <w:t>legend</w:t>
      </w:r>
      <w:r w:rsidR="00354C7A" w:rsidRPr="00BC3200">
        <w:rPr>
          <w:rFonts w:ascii="Arial" w:eastAsia="Calibri" w:hAnsi="Arial" w:cs="Arial"/>
          <w:bCs/>
          <w:lang w:bidi="te-IN"/>
        </w:rPr>
        <w:t xml:space="preserve"> for the above mention excel file.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110"/>
      </w:tblGrid>
      <w:tr w:rsidR="00BC3200" w:rsidRPr="00BC3200" w14:paraId="49AA07B8" w14:textId="77777777" w:rsidTr="00FB7FB3">
        <w:tc>
          <w:tcPr>
            <w:tcW w:w="2358" w:type="dxa"/>
            <w:vAlign w:val="center"/>
          </w:tcPr>
          <w:p w14:paraId="21DC8B68" w14:textId="2F009D2B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BC3200">
              <w:rPr>
                <w:rFonts w:ascii="Arial" w:hAnsi="Arial" w:cs="Arial"/>
                <w:b/>
              </w:rPr>
              <w:t>GENEBANKACC</w:t>
            </w:r>
          </w:p>
        </w:tc>
        <w:tc>
          <w:tcPr>
            <w:tcW w:w="7110" w:type="dxa"/>
            <w:vAlign w:val="center"/>
          </w:tcPr>
          <w:p w14:paraId="24DCE781" w14:textId="705767B3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 xml:space="preserve">Contains </w:t>
            </w:r>
            <w:proofErr w:type="spellStart"/>
            <w:r w:rsidRPr="00BC3200">
              <w:rPr>
                <w:rFonts w:ascii="Arial" w:hAnsi="Arial" w:cs="Arial"/>
              </w:rPr>
              <w:t>Genbank</w:t>
            </w:r>
            <w:proofErr w:type="spellEnd"/>
            <w:r w:rsidRPr="00BC3200">
              <w:rPr>
                <w:rFonts w:ascii="Arial" w:hAnsi="Arial" w:cs="Arial"/>
              </w:rPr>
              <w:t xml:space="preserve"> Accession or </w:t>
            </w:r>
            <w:proofErr w:type="spellStart"/>
            <w:r w:rsidRPr="00BC3200">
              <w:rPr>
                <w:rFonts w:ascii="Arial" w:hAnsi="Arial" w:cs="Arial"/>
              </w:rPr>
              <w:t>Refseq</w:t>
            </w:r>
            <w:proofErr w:type="spellEnd"/>
            <w:r w:rsidRPr="00BC3200">
              <w:rPr>
                <w:rFonts w:ascii="Arial" w:hAnsi="Arial" w:cs="Arial"/>
              </w:rPr>
              <w:t xml:space="preserve"> Gene IDs</w:t>
            </w:r>
          </w:p>
        </w:tc>
      </w:tr>
      <w:tr w:rsidR="00BC3200" w:rsidRPr="00BC3200" w14:paraId="32652B74" w14:textId="77777777" w:rsidTr="00FB7FB3">
        <w:tc>
          <w:tcPr>
            <w:tcW w:w="2358" w:type="dxa"/>
            <w:vAlign w:val="center"/>
          </w:tcPr>
          <w:p w14:paraId="1AF6FF1A" w14:textId="459A5103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BC3200">
              <w:rPr>
                <w:rFonts w:ascii="Arial" w:hAnsi="Arial" w:cs="Arial"/>
                <w:b/>
              </w:rPr>
              <w:t>GENENAME</w:t>
            </w:r>
          </w:p>
        </w:tc>
        <w:tc>
          <w:tcPr>
            <w:tcW w:w="7110" w:type="dxa"/>
            <w:vAlign w:val="center"/>
          </w:tcPr>
          <w:p w14:paraId="10A55972" w14:textId="64323E01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 xml:space="preserve">Contains </w:t>
            </w:r>
            <w:proofErr w:type="spellStart"/>
            <w:r w:rsidRPr="00BC3200">
              <w:rPr>
                <w:rFonts w:ascii="Arial" w:hAnsi="Arial" w:cs="Arial"/>
              </w:rPr>
              <w:t>Entrez</w:t>
            </w:r>
            <w:proofErr w:type="spellEnd"/>
            <w:r w:rsidRPr="00BC3200">
              <w:rPr>
                <w:rFonts w:ascii="Arial" w:hAnsi="Arial" w:cs="Arial"/>
              </w:rPr>
              <w:t xml:space="preserve"> Gene Symbols</w:t>
            </w:r>
          </w:p>
        </w:tc>
      </w:tr>
      <w:tr w:rsidR="00BC3200" w:rsidRPr="00BC3200" w14:paraId="7961A5C0" w14:textId="77777777" w:rsidTr="00FB7FB3">
        <w:tc>
          <w:tcPr>
            <w:tcW w:w="2358" w:type="dxa"/>
            <w:vAlign w:val="center"/>
          </w:tcPr>
          <w:p w14:paraId="6E40CE17" w14:textId="4C22CA7D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BC3200">
              <w:rPr>
                <w:rFonts w:ascii="Arial" w:hAnsi="Arial" w:cs="Arial"/>
                <w:b/>
              </w:rPr>
              <w:t>GEN_DESCR_MFR</w:t>
            </w:r>
          </w:p>
        </w:tc>
        <w:tc>
          <w:tcPr>
            <w:tcW w:w="7110" w:type="dxa"/>
            <w:vAlign w:val="center"/>
          </w:tcPr>
          <w:p w14:paraId="472F3719" w14:textId="76818F7E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>Contains expanded Gene Name</w:t>
            </w:r>
          </w:p>
        </w:tc>
      </w:tr>
      <w:tr w:rsidR="00BC3200" w:rsidRPr="00BC3200" w14:paraId="7D1C0F77" w14:textId="77777777" w:rsidTr="00FB7FB3">
        <w:trPr>
          <w:trHeight w:val="593"/>
        </w:trPr>
        <w:tc>
          <w:tcPr>
            <w:tcW w:w="2358" w:type="dxa"/>
            <w:vAlign w:val="center"/>
          </w:tcPr>
          <w:p w14:paraId="3220B7A1" w14:textId="6DBEF48D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proofErr w:type="spellStart"/>
            <w:r w:rsidRPr="00BC3200">
              <w:rPr>
                <w:rFonts w:ascii="Arial" w:hAnsi="Arial" w:cs="Arial"/>
                <w:b/>
              </w:rPr>
              <w:t>MitoEncoded</w:t>
            </w:r>
            <w:proofErr w:type="spellEnd"/>
          </w:p>
        </w:tc>
        <w:tc>
          <w:tcPr>
            <w:tcW w:w="7110" w:type="dxa"/>
            <w:vAlign w:val="center"/>
          </w:tcPr>
          <w:p w14:paraId="2C315F26" w14:textId="7E22D37D" w:rsidR="00FB7FB3" w:rsidRPr="00BC3200" w:rsidRDefault="00FB7FB3" w:rsidP="00FB7FB3">
            <w:pPr>
              <w:rPr>
                <w:rFonts w:ascii="Arial" w:hAnsi="Arial" w:cs="Arial"/>
              </w:rPr>
            </w:pPr>
            <w:r w:rsidRPr="00BC3200">
              <w:rPr>
                <w:rFonts w:ascii="Arial" w:hAnsi="Arial" w:cs="Arial"/>
              </w:rPr>
              <w:t>"</w:t>
            </w:r>
            <w:r w:rsidRPr="00BC3200">
              <w:rPr>
                <w:rFonts w:ascii="Arial" w:hAnsi="Arial" w:cs="Arial"/>
                <w:b/>
              </w:rPr>
              <w:t>1</w:t>
            </w:r>
            <w:r w:rsidRPr="00BC3200">
              <w:rPr>
                <w:rFonts w:ascii="Arial" w:hAnsi="Arial" w:cs="Arial"/>
              </w:rPr>
              <w:t>" represents that the gene is encoded by mitochondria and "</w:t>
            </w:r>
            <w:r w:rsidRPr="00BC3200">
              <w:rPr>
                <w:rFonts w:ascii="Arial" w:hAnsi="Arial" w:cs="Arial"/>
                <w:b/>
              </w:rPr>
              <w:t>0</w:t>
            </w:r>
            <w:r w:rsidRPr="00BC3200">
              <w:rPr>
                <w:rFonts w:ascii="Arial" w:hAnsi="Arial" w:cs="Arial"/>
              </w:rPr>
              <w:t>" represents</w:t>
            </w:r>
            <w:r w:rsidRPr="00BC320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C3200">
              <w:rPr>
                <w:rFonts w:ascii="Arial" w:hAnsi="Arial" w:cs="Arial"/>
              </w:rPr>
              <w:t xml:space="preserve">nuclear-encoded genes </w:t>
            </w:r>
          </w:p>
        </w:tc>
      </w:tr>
      <w:tr w:rsidR="00BC3200" w:rsidRPr="00BC3200" w14:paraId="2573BEED" w14:textId="77777777" w:rsidTr="00FB7FB3">
        <w:tc>
          <w:tcPr>
            <w:tcW w:w="2358" w:type="dxa"/>
            <w:vAlign w:val="center"/>
          </w:tcPr>
          <w:p w14:paraId="388A4031" w14:textId="51B8A894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BC3200">
              <w:rPr>
                <w:rFonts w:ascii="Arial" w:hAnsi="Arial" w:cs="Arial"/>
                <w:b/>
              </w:rPr>
              <w:t>LOCUSID</w:t>
            </w:r>
          </w:p>
        </w:tc>
        <w:tc>
          <w:tcPr>
            <w:tcW w:w="7110" w:type="dxa"/>
            <w:vAlign w:val="center"/>
          </w:tcPr>
          <w:p w14:paraId="2ACD6A4C" w14:textId="52130132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>Nuclear-encoded genes</w:t>
            </w:r>
          </w:p>
        </w:tc>
      </w:tr>
      <w:tr w:rsidR="00BC3200" w:rsidRPr="00BC3200" w14:paraId="17B49F6E" w14:textId="77777777" w:rsidTr="00FB7FB3">
        <w:tc>
          <w:tcPr>
            <w:tcW w:w="2358" w:type="dxa"/>
            <w:vAlign w:val="center"/>
          </w:tcPr>
          <w:p w14:paraId="6470515A" w14:textId="34280A10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proofErr w:type="spellStart"/>
            <w:r w:rsidRPr="00BC3200">
              <w:rPr>
                <w:rFonts w:ascii="Arial" w:hAnsi="Arial" w:cs="Arial"/>
                <w:b/>
              </w:rPr>
              <w:t>fold_ratio_linear</w:t>
            </w:r>
            <w:proofErr w:type="spellEnd"/>
          </w:p>
        </w:tc>
        <w:tc>
          <w:tcPr>
            <w:tcW w:w="7110" w:type="dxa"/>
            <w:vAlign w:val="center"/>
          </w:tcPr>
          <w:p w14:paraId="43EDDFEF" w14:textId="7D6053C1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 xml:space="preserve">Contains </w:t>
            </w:r>
            <w:proofErr w:type="spellStart"/>
            <w:r w:rsidRPr="00BC3200">
              <w:rPr>
                <w:rFonts w:ascii="Arial" w:hAnsi="Arial" w:cs="Arial"/>
              </w:rPr>
              <w:t>Entrez</w:t>
            </w:r>
            <w:proofErr w:type="spellEnd"/>
            <w:r w:rsidRPr="00BC3200">
              <w:rPr>
                <w:rFonts w:ascii="Arial" w:hAnsi="Arial" w:cs="Arial"/>
              </w:rPr>
              <w:t xml:space="preserve"> Gene IDs</w:t>
            </w:r>
          </w:p>
        </w:tc>
      </w:tr>
      <w:tr w:rsidR="00BC3200" w:rsidRPr="00BC3200" w14:paraId="1CDBE966" w14:textId="77777777" w:rsidTr="00FB7FB3">
        <w:tc>
          <w:tcPr>
            <w:tcW w:w="2358" w:type="dxa"/>
            <w:vAlign w:val="center"/>
          </w:tcPr>
          <w:p w14:paraId="0754FD01" w14:textId="7F16C88C" w:rsidR="00FB7FB3" w:rsidRPr="00BC3200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  <w:proofErr w:type="spellStart"/>
            <w:r w:rsidRPr="00BC3200">
              <w:rPr>
                <w:rFonts w:ascii="Arial" w:hAnsi="Arial" w:cs="Arial"/>
                <w:b/>
              </w:rPr>
              <w:t>raw_p</w:t>
            </w:r>
            <w:proofErr w:type="spellEnd"/>
          </w:p>
        </w:tc>
        <w:tc>
          <w:tcPr>
            <w:tcW w:w="7110" w:type="dxa"/>
            <w:vAlign w:val="center"/>
          </w:tcPr>
          <w:p w14:paraId="627AD21F" w14:textId="0CDB4DE1" w:rsidR="00FB7FB3" w:rsidRPr="00BC3200" w:rsidRDefault="00FB7FB3" w:rsidP="00FB7FB3">
            <w:pPr>
              <w:rPr>
                <w:rFonts w:ascii="Arial" w:eastAsia="Calibri" w:hAnsi="Arial" w:cs="Arial"/>
                <w:bCs/>
                <w:lang w:bidi="te-IN"/>
              </w:rPr>
            </w:pPr>
            <w:r w:rsidRPr="00BC3200">
              <w:rPr>
                <w:rFonts w:ascii="Arial" w:hAnsi="Arial" w:cs="Arial"/>
              </w:rPr>
              <w:t>Fold change</w:t>
            </w:r>
          </w:p>
        </w:tc>
      </w:tr>
    </w:tbl>
    <w:p w14:paraId="34B86D1F" w14:textId="77777777" w:rsidR="00FB7FB3" w:rsidRPr="00BC3200" w:rsidRDefault="00FB7FB3" w:rsidP="00FD6920">
      <w:pPr>
        <w:spacing w:after="0" w:line="480" w:lineRule="auto"/>
        <w:jc w:val="both"/>
        <w:rPr>
          <w:rFonts w:ascii="Arial" w:eastAsia="Calibri" w:hAnsi="Arial" w:cs="Arial"/>
          <w:bCs/>
          <w:lang w:bidi="te-IN"/>
        </w:rPr>
      </w:pPr>
    </w:p>
    <w:bookmarkEnd w:id="1"/>
    <w:p w14:paraId="778F8031" w14:textId="77777777" w:rsidR="00FD6920" w:rsidRPr="00B00C08" w:rsidRDefault="00FD6920" w:rsidP="00FD6920">
      <w:pPr>
        <w:spacing w:after="0" w:line="480" w:lineRule="auto"/>
        <w:jc w:val="both"/>
        <w:rPr>
          <w:rFonts w:ascii="Arial" w:eastAsia="Calibri" w:hAnsi="Arial" w:cs="Arial"/>
          <w:bCs/>
          <w:lang w:bidi="te-IN"/>
        </w:rPr>
      </w:pPr>
      <w:r w:rsidRPr="00B00C08">
        <w:rPr>
          <w:rFonts w:ascii="Arial" w:eastAsia="Calibri" w:hAnsi="Arial" w:cs="Arial"/>
          <w:b/>
          <w:bCs/>
          <w:lang w:bidi="te-IN"/>
        </w:rPr>
        <w:t xml:space="preserve">Supplementary-Table </w:t>
      </w:r>
      <w:r>
        <w:rPr>
          <w:rFonts w:ascii="Arial" w:eastAsia="Calibri" w:hAnsi="Arial" w:cs="Arial"/>
          <w:b/>
          <w:bCs/>
          <w:lang w:bidi="te-IN"/>
        </w:rPr>
        <w:t>3</w:t>
      </w:r>
      <w:r w:rsidRPr="00B00C08">
        <w:rPr>
          <w:rFonts w:ascii="Arial" w:eastAsia="Calibri" w:hAnsi="Arial" w:cs="Arial"/>
          <w:b/>
          <w:bCs/>
          <w:lang w:bidi="te-IN"/>
        </w:rPr>
        <w:t xml:space="preserve">: </w:t>
      </w:r>
      <w:r w:rsidRPr="00B00C08">
        <w:rPr>
          <w:rFonts w:ascii="Arial" w:eastAsia="Calibri" w:hAnsi="Arial" w:cs="Arial"/>
          <w:bCs/>
          <w:lang w:bidi="te-IN"/>
        </w:rPr>
        <w:t xml:space="preserve">Effects of </w:t>
      </w:r>
      <w:r>
        <w:rPr>
          <w:rFonts w:ascii="Arial" w:eastAsia="Calibri" w:hAnsi="Arial" w:cs="Arial"/>
          <w:bCs/>
          <w:lang w:bidi="te-IN"/>
        </w:rPr>
        <w:t>SFN</w:t>
      </w:r>
      <w:r w:rsidRPr="00B00C08">
        <w:rPr>
          <w:rFonts w:ascii="Arial" w:eastAsia="Calibri" w:hAnsi="Arial" w:cs="Arial"/>
          <w:bCs/>
          <w:lang w:bidi="te-IN"/>
        </w:rPr>
        <w:t xml:space="preserve"> on gene expression of mitochondrial transporter/carrier systems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1548"/>
        <w:gridCol w:w="4140"/>
        <w:gridCol w:w="1170"/>
        <w:gridCol w:w="1080"/>
        <w:gridCol w:w="1080"/>
        <w:gridCol w:w="1080"/>
      </w:tblGrid>
      <w:tr w:rsidR="00FD6920" w:rsidRPr="000B7C43" w14:paraId="5326B873" w14:textId="77777777" w:rsidTr="00B36AF9">
        <w:trPr>
          <w:trHeight w:val="113"/>
        </w:trPr>
        <w:tc>
          <w:tcPr>
            <w:tcW w:w="1548" w:type="dxa"/>
            <w:vMerge w:val="restart"/>
          </w:tcPr>
          <w:p w14:paraId="5735DE72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lang w:bidi="te-IN"/>
              </w:rPr>
              <w:t xml:space="preserve">Gene Bank Acc </w:t>
            </w:r>
          </w:p>
        </w:tc>
        <w:tc>
          <w:tcPr>
            <w:tcW w:w="4140" w:type="dxa"/>
            <w:vMerge w:val="restart"/>
          </w:tcPr>
          <w:p w14:paraId="48A3A4FD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lang w:bidi="te-IN"/>
              </w:rPr>
              <w:t>Gene</w:t>
            </w:r>
          </w:p>
        </w:tc>
        <w:tc>
          <w:tcPr>
            <w:tcW w:w="2250" w:type="dxa"/>
            <w:gridSpan w:val="2"/>
          </w:tcPr>
          <w:p w14:paraId="48FD5520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lang w:bidi="te-IN"/>
              </w:rPr>
              <w:t>SFN2/ctrl</w:t>
            </w:r>
          </w:p>
        </w:tc>
        <w:tc>
          <w:tcPr>
            <w:tcW w:w="2160" w:type="dxa"/>
            <w:gridSpan w:val="2"/>
          </w:tcPr>
          <w:p w14:paraId="39B796F3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lang w:bidi="te-IN"/>
              </w:rPr>
              <w:t>SFN5/ctrl</w:t>
            </w:r>
          </w:p>
        </w:tc>
      </w:tr>
      <w:tr w:rsidR="00FD6920" w:rsidRPr="000B7C43" w14:paraId="08AC0C92" w14:textId="77777777" w:rsidTr="00B36AF9">
        <w:trPr>
          <w:trHeight w:val="112"/>
        </w:trPr>
        <w:tc>
          <w:tcPr>
            <w:tcW w:w="1548" w:type="dxa"/>
            <w:vMerge/>
          </w:tcPr>
          <w:p w14:paraId="0F7EFB42" w14:textId="77777777" w:rsidR="00FD6920" w:rsidRPr="000B7C43" w:rsidRDefault="00FD6920" w:rsidP="00B36AF9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</w:p>
        </w:tc>
        <w:tc>
          <w:tcPr>
            <w:tcW w:w="4140" w:type="dxa"/>
            <w:vMerge/>
          </w:tcPr>
          <w:p w14:paraId="1579C089" w14:textId="77777777" w:rsidR="00FD6920" w:rsidRPr="000B7C43" w:rsidRDefault="00FD6920" w:rsidP="00B36AF9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</w:p>
        </w:tc>
        <w:tc>
          <w:tcPr>
            <w:tcW w:w="1170" w:type="dxa"/>
          </w:tcPr>
          <w:p w14:paraId="7ADC0C07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Abs FC</w:t>
            </w:r>
          </w:p>
        </w:tc>
        <w:tc>
          <w:tcPr>
            <w:tcW w:w="1080" w:type="dxa"/>
          </w:tcPr>
          <w:p w14:paraId="66C6549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proofErr w:type="spellStart"/>
            <w:r w:rsidRPr="000B7C43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Fdr_P</w:t>
            </w:r>
            <w:proofErr w:type="spellEnd"/>
          </w:p>
        </w:tc>
        <w:tc>
          <w:tcPr>
            <w:tcW w:w="1080" w:type="dxa"/>
          </w:tcPr>
          <w:p w14:paraId="61A7FBFF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r w:rsidRPr="000B7C43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Abs FC</w:t>
            </w:r>
          </w:p>
        </w:tc>
        <w:tc>
          <w:tcPr>
            <w:tcW w:w="1080" w:type="dxa"/>
          </w:tcPr>
          <w:p w14:paraId="047B48FF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proofErr w:type="spellStart"/>
            <w:r w:rsidRPr="000B7C43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Fdr_P</w:t>
            </w:r>
            <w:proofErr w:type="spellEnd"/>
          </w:p>
        </w:tc>
      </w:tr>
      <w:tr w:rsidR="00FD6920" w:rsidRPr="000B7C43" w14:paraId="2A9CA07A" w14:textId="77777777" w:rsidTr="00B36AF9">
        <w:tc>
          <w:tcPr>
            <w:tcW w:w="1548" w:type="dxa"/>
          </w:tcPr>
          <w:p w14:paraId="4B6AFDC7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NM_053196</w:t>
            </w:r>
          </w:p>
        </w:tc>
        <w:tc>
          <w:tcPr>
            <w:tcW w:w="4140" w:type="dxa"/>
            <w:vAlign w:val="bottom"/>
          </w:tcPr>
          <w:p w14:paraId="629692BC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proofErr w:type="spellStart"/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Sideroflexin</w:t>
            </w:r>
            <w:proofErr w:type="spellEnd"/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 xml:space="preserve"> 2 (sfxn2)</w:t>
            </w:r>
          </w:p>
        </w:tc>
        <w:tc>
          <w:tcPr>
            <w:tcW w:w="1170" w:type="dxa"/>
            <w:vAlign w:val="center"/>
          </w:tcPr>
          <w:p w14:paraId="45880F29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-1.61</w:t>
            </w:r>
          </w:p>
        </w:tc>
        <w:tc>
          <w:tcPr>
            <w:tcW w:w="1080" w:type="dxa"/>
            <w:vAlign w:val="center"/>
          </w:tcPr>
          <w:p w14:paraId="0FBA8212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&lt;0.001</w:t>
            </w:r>
          </w:p>
        </w:tc>
        <w:tc>
          <w:tcPr>
            <w:tcW w:w="1080" w:type="dxa"/>
            <w:vAlign w:val="center"/>
          </w:tcPr>
          <w:p w14:paraId="011CAEC8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-2.08</w:t>
            </w:r>
          </w:p>
        </w:tc>
        <w:tc>
          <w:tcPr>
            <w:tcW w:w="1080" w:type="dxa"/>
            <w:vAlign w:val="center"/>
          </w:tcPr>
          <w:p w14:paraId="4469D1A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&lt;0.0001</w:t>
            </w:r>
          </w:p>
        </w:tc>
      </w:tr>
      <w:tr w:rsidR="00FD6920" w:rsidRPr="000B7C43" w14:paraId="26D207EB" w14:textId="77777777" w:rsidTr="00B36AF9">
        <w:trPr>
          <w:trHeight w:val="278"/>
        </w:trPr>
        <w:tc>
          <w:tcPr>
            <w:tcW w:w="1548" w:type="dxa"/>
          </w:tcPr>
          <w:p w14:paraId="55C53F16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NM_007472</w:t>
            </w:r>
          </w:p>
        </w:tc>
        <w:tc>
          <w:tcPr>
            <w:tcW w:w="4140" w:type="dxa"/>
            <w:vAlign w:val="bottom"/>
          </w:tcPr>
          <w:p w14:paraId="0B1215DF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Aquaporin 1 (Aqp1)</w:t>
            </w:r>
          </w:p>
        </w:tc>
        <w:tc>
          <w:tcPr>
            <w:tcW w:w="1170" w:type="dxa"/>
            <w:vAlign w:val="center"/>
          </w:tcPr>
          <w:p w14:paraId="4FDDCE8C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1.56</w:t>
            </w:r>
          </w:p>
        </w:tc>
        <w:tc>
          <w:tcPr>
            <w:tcW w:w="1080" w:type="dxa"/>
            <w:vAlign w:val="center"/>
          </w:tcPr>
          <w:p w14:paraId="0B49B617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0.002</w:t>
            </w:r>
          </w:p>
        </w:tc>
        <w:tc>
          <w:tcPr>
            <w:tcW w:w="1080" w:type="dxa"/>
            <w:vAlign w:val="center"/>
          </w:tcPr>
          <w:p w14:paraId="25DB530B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1.63</w:t>
            </w:r>
          </w:p>
        </w:tc>
        <w:tc>
          <w:tcPr>
            <w:tcW w:w="1080" w:type="dxa"/>
            <w:vAlign w:val="center"/>
          </w:tcPr>
          <w:p w14:paraId="6A0D99CC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&lt;0.0001</w:t>
            </w:r>
          </w:p>
        </w:tc>
      </w:tr>
      <w:tr w:rsidR="00FD6920" w:rsidRPr="000B7C43" w14:paraId="00A71031" w14:textId="77777777" w:rsidTr="00B36AF9">
        <w:tc>
          <w:tcPr>
            <w:tcW w:w="1548" w:type="dxa"/>
          </w:tcPr>
          <w:p w14:paraId="62868FEC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NM_019687</w:t>
            </w:r>
          </w:p>
        </w:tc>
        <w:tc>
          <w:tcPr>
            <w:tcW w:w="4140" w:type="dxa"/>
            <w:vAlign w:val="bottom"/>
          </w:tcPr>
          <w:p w14:paraId="5F4C2A7F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22 (organic cation transporter), member 4 (Slc22a4)</w:t>
            </w:r>
          </w:p>
        </w:tc>
        <w:tc>
          <w:tcPr>
            <w:tcW w:w="1170" w:type="dxa"/>
            <w:vAlign w:val="center"/>
          </w:tcPr>
          <w:p w14:paraId="08073B35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-1.43</w:t>
            </w:r>
          </w:p>
        </w:tc>
        <w:tc>
          <w:tcPr>
            <w:tcW w:w="1080" w:type="dxa"/>
            <w:vAlign w:val="center"/>
          </w:tcPr>
          <w:p w14:paraId="18771767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0.009</w:t>
            </w:r>
          </w:p>
        </w:tc>
        <w:tc>
          <w:tcPr>
            <w:tcW w:w="1080" w:type="dxa"/>
            <w:vAlign w:val="center"/>
          </w:tcPr>
          <w:p w14:paraId="2BC99845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-1.39</w:t>
            </w:r>
          </w:p>
        </w:tc>
        <w:tc>
          <w:tcPr>
            <w:tcW w:w="1080" w:type="dxa"/>
            <w:vAlign w:val="center"/>
          </w:tcPr>
          <w:p w14:paraId="6FE35E57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0.007</w:t>
            </w:r>
          </w:p>
        </w:tc>
      </w:tr>
      <w:tr w:rsidR="00FD6920" w:rsidRPr="000B7C43" w14:paraId="083CF83D" w14:textId="77777777" w:rsidTr="00B36AF9">
        <w:tc>
          <w:tcPr>
            <w:tcW w:w="1548" w:type="dxa"/>
          </w:tcPr>
          <w:p w14:paraId="2424E086" w14:textId="77777777" w:rsidR="00FD6920" w:rsidRPr="000B7C43" w:rsidRDefault="00FD6920" w:rsidP="00B36AF9">
            <w:pPr>
              <w:jc w:val="center"/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NM_153150</w:t>
            </w:r>
          </w:p>
        </w:tc>
        <w:tc>
          <w:tcPr>
            <w:tcW w:w="4140" w:type="dxa"/>
            <w:vAlign w:val="bottom"/>
          </w:tcPr>
          <w:p w14:paraId="35C63B6A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25, member 1 (Slc25a1)</w:t>
            </w:r>
          </w:p>
        </w:tc>
        <w:tc>
          <w:tcPr>
            <w:tcW w:w="1170" w:type="dxa"/>
            <w:vAlign w:val="center"/>
          </w:tcPr>
          <w:p w14:paraId="10E22279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1.19</w:t>
            </w:r>
          </w:p>
        </w:tc>
        <w:tc>
          <w:tcPr>
            <w:tcW w:w="1080" w:type="dxa"/>
            <w:vAlign w:val="center"/>
          </w:tcPr>
          <w:p w14:paraId="4E51265E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0.07</w:t>
            </w:r>
          </w:p>
        </w:tc>
        <w:tc>
          <w:tcPr>
            <w:tcW w:w="1080" w:type="dxa"/>
            <w:vAlign w:val="center"/>
          </w:tcPr>
          <w:p w14:paraId="1A39B6A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1.24</w:t>
            </w:r>
          </w:p>
        </w:tc>
        <w:tc>
          <w:tcPr>
            <w:tcW w:w="1080" w:type="dxa"/>
            <w:vAlign w:val="center"/>
          </w:tcPr>
          <w:p w14:paraId="3320B142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0.015</w:t>
            </w:r>
          </w:p>
        </w:tc>
      </w:tr>
      <w:tr w:rsidR="00FD6920" w:rsidRPr="000B7C43" w14:paraId="07990AA0" w14:textId="77777777" w:rsidTr="00B36AF9">
        <w:tc>
          <w:tcPr>
            <w:tcW w:w="1548" w:type="dxa"/>
          </w:tcPr>
          <w:p w14:paraId="260BE5AC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NM_013770</w:t>
            </w:r>
          </w:p>
        </w:tc>
        <w:tc>
          <w:tcPr>
            <w:tcW w:w="4140" w:type="dxa"/>
            <w:vAlign w:val="bottom"/>
          </w:tcPr>
          <w:p w14:paraId="3176C317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25 (mitochondrial carrier; dicarboxylate transporter), member 10 (Slc25a10)</w:t>
            </w:r>
          </w:p>
        </w:tc>
        <w:tc>
          <w:tcPr>
            <w:tcW w:w="1170" w:type="dxa"/>
            <w:vAlign w:val="center"/>
          </w:tcPr>
          <w:p w14:paraId="3427076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-1.1</w:t>
            </w:r>
          </w:p>
        </w:tc>
        <w:tc>
          <w:tcPr>
            <w:tcW w:w="1080" w:type="dxa"/>
            <w:vAlign w:val="center"/>
          </w:tcPr>
          <w:p w14:paraId="585396D1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0.08</w:t>
            </w:r>
          </w:p>
        </w:tc>
        <w:tc>
          <w:tcPr>
            <w:tcW w:w="1080" w:type="dxa"/>
            <w:vAlign w:val="center"/>
          </w:tcPr>
          <w:p w14:paraId="19CDA3B3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-1.26</w:t>
            </w:r>
          </w:p>
        </w:tc>
        <w:tc>
          <w:tcPr>
            <w:tcW w:w="1080" w:type="dxa"/>
            <w:vAlign w:val="center"/>
          </w:tcPr>
          <w:p w14:paraId="010DC05B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0.048</w:t>
            </w:r>
          </w:p>
        </w:tc>
      </w:tr>
      <w:tr w:rsidR="00FD6920" w:rsidRPr="000B7C43" w14:paraId="792E2D1C" w14:textId="77777777" w:rsidTr="00B36AF9">
        <w:tc>
          <w:tcPr>
            <w:tcW w:w="1548" w:type="dxa"/>
          </w:tcPr>
          <w:p w14:paraId="15394C02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NM_175194</w:t>
            </w:r>
          </w:p>
        </w:tc>
        <w:tc>
          <w:tcPr>
            <w:tcW w:w="4140" w:type="dxa"/>
            <w:vAlign w:val="bottom"/>
          </w:tcPr>
          <w:p w14:paraId="5225AA53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25 (mitochondrial carrier; Graves’ disease autoantigen), member 16 (Slc25a16)</w:t>
            </w:r>
          </w:p>
        </w:tc>
        <w:tc>
          <w:tcPr>
            <w:tcW w:w="1170" w:type="dxa"/>
            <w:vAlign w:val="center"/>
          </w:tcPr>
          <w:p w14:paraId="0A042030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-1.16</w:t>
            </w:r>
          </w:p>
        </w:tc>
        <w:tc>
          <w:tcPr>
            <w:tcW w:w="1080" w:type="dxa"/>
            <w:vAlign w:val="center"/>
          </w:tcPr>
          <w:p w14:paraId="5B538E21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0.06</w:t>
            </w:r>
          </w:p>
        </w:tc>
        <w:tc>
          <w:tcPr>
            <w:tcW w:w="1080" w:type="dxa"/>
            <w:vAlign w:val="center"/>
          </w:tcPr>
          <w:p w14:paraId="2F8066C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-1.25</w:t>
            </w:r>
          </w:p>
        </w:tc>
        <w:tc>
          <w:tcPr>
            <w:tcW w:w="1080" w:type="dxa"/>
            <w:vAlign w:val="center"/>
          </w:tcPr>
          <w:p w14:paraId="6BF38B26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0.005</w:t>
            </w:r>
          </w:p>
        </w:tc>
      </w:tr>
      <w:tr w:rsidR="00FD6920" w:rsidRPr="000B7C43" w14:paraId="69C68AFF" w14:textId="77777777" w:rsidTr="00B36AF9">
        <w:tc>
          <w:tcPr>
            <w:tcW w:w="1548" w:type="dxa"/>
          </w:tcPr>
          <w:p w14:paraId="7B857232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NM_030054</w:t>
            </w:r>
          </w:p>
        </w:tc>
        <w:tc>
          <w:tcPr>
            <w:tcW w:w="4140" w:type="dxa"/>
            <w:vAlign w:val="bottom"/>
          </w:tcPr>
          <w:p w14:paraId="497ADF13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25, member 37 (Slc25a37)</w:t>
            </w:r>
          </w:p>
        </w:tc>
        <w:tc>
          <w:tcPr>
            <w:tcW w:w="1170" w:type="dxa"/>
            <w:vAlign w:val="center"/>
          </w:tcPr>
          <w:p w14:paraId="09CCBFEF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1.21</w:t>
            </w:r>
          </w:p>
        </w:tc>
        <w:tc>
          <w:tcPr>
            <w:tcW w:w="1080" w:type="dxa"/>
            <w:vAlign w:val="center"/>
          </w:tcPr>
          <w:p w14:paraId="0EEBFA1C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0.03</w:t>
            </w:r>
          </w:p>
        </w:tc>
        <w:tc>
          <w:tcPr>
            <w:tcW w:w="1080" w:type="dxa"/>
            <w:vAlign w:val="center"/>
          </w:tcPr>
          <w:p w14:paraId="0DE6C630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1.43</w:t>
            </w:r>
          </w:p>
        </w:tc>
        <w:tc>
          <w:tcPr>
            <w:tcW w:w="1080" w:type="dxa"/>
            <w:vAlign w:val="center"/>
          </w:tcPr>
          <w:p w14:paraId="694DD3E3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&lt;0.001</w:t>
            </w:r>
          </w:p>
        </w:tc>
      </w:tr>
      <w:tr w:rsidR="00FD6920" w:rsidRPr="000B7C43" w14:paraId="7401B82D" w14:textId="77777777" w:rsidTr="00B36AF9">
        <w:tc>
          <w:tcPr>
            <w:tcW w:w="1548" w:type="dxa"/>
          </w:tcPr>
          <w:p w14:paraId="00CF492F" w14:textId="77777777" w:rsidR="00FD6920" w:rsidRPr="000B7C43" w:rsidRDefault="00FD6920" w:rsidP="00B36AF9">
            <w:pPr>
              <w:rPr>
                <w:rFonts w:ascii="Arial" w:eastAsia="Times New Roman" w:hAnsi="Arial" w:cs="Arial"/>
                <w:color w:val="000000"/>
                <w:lang w:bidi="te-IN"/>
              </w:rPr>
            </w:pPr>
            <w:r w:rsidRPr="000B7C43">
              <w:rPr>
                <w:rFonts w:ascii="Arial" w:eastAsia="Times New Roman" w:hAnsi="Arial" w:cs="Arial"/>
                <w:color w:val="000000"/>
                <w:lang w:bidi="te-IN"/>
              </w:rPr>
              <w:t>NM_144793</w:t>
            </w:r>
          </w:p>
        </w:tc>
        <w:tc>
          <w:tcPr>
            <w:tcW w:w="4140" w:type="dxa"/>
          </w:tcPr>
          <w:p w14:paraId="2B373CCF" w14:textId="77777777" w:rsidR="00FD6920" w:rsidRPr="000B7C43" w:rsidRDefault="00FD6920" w:rsidP="00B36AF9">
            <w:pPr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Solute carrier family 25, member 37 (Slc25a38)</w:t>
            </w:r>
          </w:p>
        </w:tc>
        <w:tc>
          <w:tcPr>
            <w:tcW w:w="1170" w:type="dxa"/>
            <w:vAlign w:val="center"/>
          </w:tcPr>
          <w:p w14:paraId="0124958A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-1.15</w:t>
            </w:r>
          </w:p>
        </w:tc>
        <w:tc>
          <w:tcPr>
            <w:tcW w:w="1080" w:type="dxa"/>
            <w:vAlign w:val="center"/>
          </w:tcPr>
          <w:p w14:paraId="738980EB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0.02</w:t>
            </w:r>
          </w:p>
        </w:tc>
        <w:tc>
          <w:tcPr>
            <w:tcW w:w="1080" w:type="dxa"/>
            <w:vAlign w:val="center"/>
          </w:tcPr>
          <w:p w14:paraId="7D23BF40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-1.2</w:t>
            </w:r>
          </w:p>
        </w:tc>
        <w:tc>
          <w:tcPr>
            <w:tcW w:w="1080" w:type="dxa"/>
            <w:vAlign w:val="center"/>
          </w:tcPr>
          <w:p w14:paraId="5F6D0265" w14:textId="77777777" w:rsidR="00FD6920" w:rsidRPr="000B7C43" w:rsidRDefault="00FD6920" w:rsidP="00B36AF9">
            <w:pPr>
              <w:jc w:val="center"/>
              <w:rPr>
                <w:rFonts w:ascii="Arial" w:eastAsia="Calibri" w:hAnsi="Arial" w:cs="Arial"/>
                <w:color w:val="000000"/>
                <w:lang w:bidi="te-IN"/>
              </w:rPr>
            </w:pPr>
            <w:r w:rsidRPr="000B7C43">
              <w:rPr>
                <w:rFonts w:ascii="Arial" w:eastAsia="Calibri" w:hAnsi="Arial" w:cs="Arial"/>
                <w:color w:val="000000"/>
                <w:lang w:bidi="te-IN"/>
              </w:rPr>
              <w:t>0.004</w:t>
            </w:r>
          </w:p>
        </w:tc>
      </w:tr>
    </w:tbl>
    <w:p w14:paraId="20EC9D8F" w14:textId="77777777" w:rsidR="00FD6920" w:rsidRDefault="00FD6920" w:rsidP="00D658AE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p w14:paraId="36301137" w14:textId="494E4FD7" w:rsidR="00FD6920" w:rsidRDefault="00FD6920" w:rsidP="00D658AE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p w14:paraId="5C59B5BC" w14:textId="789DC3D6" w:rsidR="0089141D" w:rsidRDefault="0089141D" w:rsidP="00D658AE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p w14:paraId="576EE113" w14:textId="53BD8B50" w:rsidR="0089141D" w:rsidRDefault="0089141D" w:rsidP="00D658AE">
      <w:pPr>
        <w:spacing w:after="0" w:line="480" w:lineRule="auto"/>
        <w:jc w:val="both"/>
        <w:rPr>
          <w:rFonts w:ascii="Arial" w:eastAsia="Calibri" w:hAnsi="Arial" w:cs="Arial"/>
          <w:b/>
          <w:bCs/>
          <w:lang w:bidi="te-IN"/>
        </w:rPr>
      </w:pPr>
    </w:p>
    <w:tbl>
      <w:tblPr>
        <w:tblStyle w:val="TableGrid"/>
        <w:tblpPr w:leftFromText="180" w:rightFromText="180" w:vertAnchor="page" w:horzAnchor="margin" w:tblpY="2371"/>
        <w:tblW w:w="10098" w:type="dxa"/>
        <w:tblLayout w:type="fixed"/>
        <w:tblLook w:val="04A0" w:firstRow="1" w:lastRow="0" w:firstColumn="1" w:lastColumn="0" w:noHBand="0" w:noVBand="1"/>
      </w:tblPr>
      <w:tblGrid>
        <w:gridCol w:w="1728"/>
        <w:gridCol w:w="3960"/>
        <w:gridCol w:w="1170"/>
        <w:gridCol w:w="1080"/>
        <w:gridCol w:w="1080"/>
        <w:gridCol w:w="1080"/>
      </w:tblGrid>
      <w:tr w:rsidR="00FB7FB3" w:rsidRPr="00D658AE" w14:paraId="4189344B" w14:textId="77777777" w:rsidTr="00FB7FB3">
        <w:trPr>
          <w:trHeight w:val="113"/>
        </w:trPr>
        <w:tc>
          <w:tcPr>
            <w:tcW w:w="1728" w:type="dxa"/>
            <w:vMerge w:val="restart"/>
          </w:tcPr>
          <w:p w14:paraId="3480E24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 xml:space="preserve">Gene Bank </w:t>
            </w:r>
            <w:proofErr w:type="spellStart"/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>Acc</w:t>
            </w:r>
            <w:proofErr w:type="spellEnd"/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 xml:space="preserve"> </w:t>
            </w:r>
          </w:p>
        </w:tc>
        <w:tc>
          <w:tcPr>
            <w:tcW w:w="3960" w:type="dxa"/>
            <w:vMerge w:val="restart"/>
          </w:tcPr>
          <w:p w14:paraId="4F75F72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>Gene</w:t>
            </w:r>
          </w:p>
        </w:tc>
        <w:tc>
          <w:tcPr>
            <w:tcW w:w="2250" w:type="dxa"/>
            <w:gridSpan w:val="2"/>
          </w:tcPr>
          <w:p w14:paraId="7B97EEA1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>SFN2/ctrl</w:t>
            </w:r>
          </w:p>
        </w:tc>
        <w:tc>
          <w:tcPr>
            <w:tcW w:w="2160" w:type="dxa"/>
            <w:gridSpan w:val="2"/>
          </w:tcPr>
          <w:p w14:paraId="0EAA97AB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lang w:bidi="te-IN"/>
              </w:rPr>
              <w:t>SFN5/ctrl</w:t>
            </w:r>
          </w:p>
        </w:tc>
      </w:tr>
      <w:tr w:rsidR="00FB7FB3" w:rsidRPr="00D658AE" w14:paraId="25B98D1D" w14:textId="77777777" w:rsidTr="00FB7FB3">
        <w:trPr>
          <w:trHeight w:val="112"/>
        </w:trPr>
        <w:tc>
          <w:tcPr>
            <w:tcW w:w="1728" w:type="dxa"/>
            <w:vMerge/>
          </w:tcPr>
          <w:p w14:paraId="47A7EB6D" w14:textId="77777777" w:rsidR="00FB7FB3" w:rsidRPr="00D658AE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</w:p>
        </w:tc>
        <w:tc>
          <w:tcPr>
            <w:tcW w:w="3960" w:type="dxa"/>
            <w:vMerge/>
          </w:tcPr>
          <w:p w14:paraId="0FFF87B2" w14:textId="77777777" w:rsidR="00FB7FB3" w:rsidRPr="00D658AE" w:rsidRDefault="00FB7FB3" w:rsidP="00FB7FB3">
            <w:pPr>
              <w:rPr>
                <w:rFonts w:ascii="Arial" w:eastAsia="Calibri" w:hAnsi="Arial" w:cs="Arial"/>
                <w:b/>
                <w:bCs/>
                <w:lang w:bidi="te-IN"/>
              </w:rPr>
            </w:pPr>
          </w:p>
        </w:tc>
        <w:tc>
          <w:tcPr>
            <w:tcW w:w="1170" w:type="dxa"/>
          </w:tcPr>
          <w:p w14:paraId="59057BFF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Abs FC</w:t>
            </w:r>
          </w:p>
        </w:tc>
        <w:tc>
          <w:tcPr>
            <w:tcW w:w="1080" w:type="dxa"/>
          </w:tcPr>
          <w:p w14:paraId="4272D8A7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proofErr w:type="spellStart"/>
            <w:r w:rsidRPr="00D658AE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Fdr_P</w:t>
            </w:r>
            <w:proofErr w:type="spellEnd"/>
          </w:p>
        </w:tc>
        <w:tc>
          <w:tcPr>
            <w:tcW w:w="1080" w:type="dxa"/>
          </w:tcPr>
          <w:p w14:paraId="4AEE518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r w:rsidRPr="00D658AE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Abs FC</w:t>
            </w:r>
          </w:p>
        </w:tc>
        <w:tc>
          <w:tcPr>
            <w:tcW w:w="1080" w:type="dxa"/>
          </w:tcPr>
          <w:p w14:paraId="33BAF0ED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</w:pPr>
            <w:proofErr w:type="spellStart"/>
            <w:r w:rsidRPr="00D658AE">
              <w:rPr>
                <w:rFonts w:ascii="Arial" w:eastAsia="Calibri" w:hAnsi="Arial" w:cs="Arial"/>
                <w:b/>
                <w:bCs/>
                <w:color w:val="002060"/>
                <w:lang w:bidi="te-IN"/>
              </w:rPr>
              <w:t>Fdr_P</w:t>
            </w:r>
            <w:proofErr w:type="spellEnd"/>
          </w:p>
        </w:tc>
      </w:tr>
      <w:tr w:rsidR="00FB7FB3" w:rsidRPr="00D658AE" w14:paraId="63498AF1" w14:textId="77777777" w:rsidTr="00FB7FB3">
        <w:tc>
          <w:tcPr>
            <w:tcW w:w="1728" w:type="dxa"/>
            <w:vAlign w:val="center"/>
          </w:tcPr>
          <w:p w14:paraId="5A676348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NM_133670</w:t>
            </w:r>
          </w:p>
        </w:tc>
        <w:tc>
          <w:tcPr>
            <w:tcW w:w="3960" w:type="dxa"/>
            <w:vAlign w:val="center"/>
          </w:tcPr>
          <w:p w14:paraId="4B58A183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Sulfotransferase family 1a, phenol-preferring, member 1 (Sult1a1)</w:t>
            </w:r>
          </w:p>
        </w:tc>
        <w:tc>
          <w:tcPr>
            <w:tcW w:w="1170" w:type="dxa"/>
            <w:vAlign w:val="center"/>
          </w:tcPr>
          <w:p w14:paraId="22390F0F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-1.005</w:t>
            </w:r>
          </w:p>
        </w:tc>
        <w:tc>
          <w:tcPr>
            <w:tcW w:w="1080" w:type="dxa"/>
            <w:vAlign w:val="center"/>
          </w:tcPr>
          <w:p w14:paraId="02037E95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0.97</w:t>
            </w:r>
          </w:p>
        </w:tc>
        <w:tc>
          <w:tcPr>
            <w:tcW w:w="1080" w:type="dxa"/>
            <w:vAlign w:val="center"/>
          </w:tcPr>
          <w:p w14:paraId="5B1BBC38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-1.326</w:t>
            </w:r>
          </w:p>
        </w:tc>
        <w:tc>
          <w:tcPr>
            <w:tcW w:w="1080" w:type="dxa"/>
            <w:vAlign w:val="center"/>
          </w:tcPr>
          <w:p w14:paraId="5210A2FC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0.029</w:t>
            </w:r>
          </w:p>
        </w:tc>
      </w:tr>
      <w:tr w:rsidR="00FB7FB3" w:rsidRPr="00D658AE" w14:paraId="419622A9" w14:textId="77777777" w:rsidTr="00FB7FB3">
        <w:tc>
          <w:tcPr>
            <w:tcW w:w="1728" w:type="dxa"/>
            <w:vAlign w:val="center"/>
          </w:tcPr>
          <w:p w14:paraId="176420E3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NM_016771</w:t>
            </w:r>
          </w:p>
        </w:tc>
        <w:tc>
          <w:tcPr>
            <w:tcW w:w="3960" w:type="dxa"/>
            <w:vAlign w:val="center"/>
          </w:tcPr>
          <w:p w14:paraId="774E5610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Sulfotransferase family 1d, member 1 (Sult1d1)</w:t>
            </w:r>
          </w:p>
        </w:tc>
        <w:tc>
          <w:tcPr>
            <w:tcW w:w="1170" w:type="dxa"/>
            <w:vAlign w:val="center"/>
          </w:tcPr>
          <w:p w14:paraId="1348AD75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1.24</w:t>
            </w:r>
          </w:p>
        </w:tc>
        <w:tc>
          <w:tcPr>
            <w:tcW w:w="1080" w:type="dxa"/>
            <w:vAlign w:val="center"/>
          </w:tcPr>
          <w:p w14:paraId="66332EE7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0.0357</w:t>
            </w:r>
          </w:p>
        </w:tc>
        <w:tc>
          <w:tcPr>
            <w:tcW w:w="1080" w:type="dxa"/>
            <w:vAlign w:val="center"/>
          </w:tcPr>
          <w:p w14:paraId="549B461C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1.49</w:t>
            </w:r>
          </w:p>
        </w:tc>
        <w:tc>
          <w:tcPr>
            <w:tcW w:w="1080" w:type="dxa"/>
            <w:vAlign w:val="center"/>
          </w:tcPr>
          <w:p w14:paraId="63DD731E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0.046</w:t>
            </w:r>
          </w:p>
        </w:tc>
      </w:tr>
      <w:tr w:rsidR="00FB7FB3" w:rsidRPr="00D658AE" w14:paraId="21EF72EA" w14:textId="77777777" w:rsidTr="00FB7FB3">
        <w:tc>
          <w:tcPr>
            <w:tcW w:w="1728" w:type="dxa"/>
            <w:vAlign w:val="center"/>
          </w:tcPr>
          <w:p w14:paraId="37BC824A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NM_139297</w:t>
            </w:r>
          </w:p>
        </w:tc>
        <w:tc>
          <w:tcPr>
            <w:tcW w:w="3960" w:type="dxa"/>
            <w:vAlign w:val="center"/>
          </w:tcPr>
          <w:p w14:paraId="55DF2301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 xml:space="preserve">UDP-glucose </w:t>
            </w:r>
            <w:proofErr w:type="spellStart"/>
            <w:r w:rsidRPr="00D658AE">
              <w:rPr>
                <w:rFonts w:ascii="Arial" w:eastAsia="Calibri" w:hAnsi="Arial" w:cs="Arial"/>
                <w:lang w:bidi="te-IN"/>
              </w:rPr>
              <w:t>pyrophosphorylase</w:t>
            </w:r>
            <w:proofErr w:type="spellEnd"/>
            <w:r w:rsidRPr="00D658AE">
              <w:rPr>
                <w:rFonts w:ascii="Arial" w:eastAsia="Calibri" w:hAnsi="Arial" w:cs="Arial"/>
                <w:lang w:bidi="te-IN"/>
              </w:rPr>
              <w:t xml:space="preserve"> 2 (Ugp2)</w:t>
            </w:r>
          </w:p>
        </w:tc>
        <w:tc>
          <w:tcPr>
            <w:tcW w:w="1170" w:type="dxa"/>
            <w:vAlign w:val="center"/>
          </w:tcPr>
          <w:p w14:paraId="6C4EBA32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1.19</w:t>
            </w:r>
          </w:p>
        </w:tc>
        <w:tc>
          <w:tcPr>
            <w:tcW w:w="1080" w:type="dxa"/>
            <w:vAlign w:val="center"/>
          </w:tcPr>
          <w:p w14:paraId="234A1264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0.001</w:t>
            </w:r>
          </w:p>
        </w:tc>
        <w:tc>
          <w:tcPr>
            <w:tcW w:w="1080" w:type="dxa"/>
            <w:vAlign w:val="center"/>
          </w:tcPr>
          <w:p w14:paraId="6BB05453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1.2</w:t>
            </w:r>
          </w:p>
        </w:tc>
        <w:tc>
          <w:tcPr>
            <w:tcW w:w="1080" w:type="dxa"/>
            <w:vAlign w:val="center"/>
          </w:tcPr>
          <w:p w14:paraId="669FF7B9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0.0006</w:t>
            </w:r>
          </w:p>
        </w:tc>
      </w:tr>
      <w:tr w:rsidR="00FB7FB3" w:rsidRPr="00D658AE" w14:paraId="366875ED" w14:textId="77777777" w:rsidTr="00FB7FB3">
        <w:tc>
          <w:tcPr>
            <w:tcW w:w="1728" w:type="dxa"/>
            <w:vAlign w:val="center"/>
          </w:tcPr>
          <w:p w14:paraId="7A183466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NM_201641</w:t>
            </w:r>
            <w:r w:rsidRPr="00D658AE">
              <w:rPr>
                <w:rFonts w:ascii="Arial" w:eastAsia="Calibri" w:hAnsi="Arial" w:cs="Arial"/>
                <w:lang w:bidi="te-IN"/>
              </w:rPr>
              <w:tab/>
            </w:r>
          </w:p>
        </w:tc>
        <w:tc>
          <w:tcPr>
            <w:tcW w:w="3960" w:type="dxa"/>
            <w:vAlign w:val="center"/>
          </w:tcPr>
          <w:p w14:paraId="0D9F3281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UDP glycosyltransferase 1 family, polypeptide a10 (Ugt1a10)</w:t>
            </w:r>
          </w:p>
        </w:tc>
        <w:tc>
          <w:tcPr>
            <w:tcW w:w="1170" w:type="dxa"/>
            <w:vAlign w:val="center"/>
          </w:tcPr>
          <w:p w14:paraId="2F6145AC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1.13</w:t>
            </w:r>
          </w:p>
        </w:tc>
        <w:tc>
          <w:tcPr>
            <w:tcW w:w="1080" w:type="dxa"/>
            <w:vAlign w:val="center"/>
          </w:tcPr>
          <w:p w14:paraId="41BAA3E9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0.073</w:t>
            </w:r>
          </w:p>
        </w:tc>
        <w:tc>
          <w:tcPr>
            <w:tcW w:w="1080" w:type="dxa"/>
            <w:vAlign w:val="center"/>
          </w:tcPr>
          <w:p w14:paraId="302F05F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1.73</w:t>
            </w:r>
          </w:p>
        </w:tc>
        <w:tc>
          <w:tcPr>
            <w:tcW w:w="1080" w:type="dxa"/>
            <w:vAlign w:val="center"/>
          </w:tcPr>
          <w:p w14:paraId="1705039E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0.028</w:t>
            </w:r>
          </w:p>
        </w:tc>
      </w:tr>
      <w:tr w:rsidR="00FB7FB3" w:rsidRPr="00D658AE" w14:paraId="2C2EFCAC" w14:textId="77777777" w:rsidTr="00FB7FB3">
        <w:tc>
          <w:tcPr>
            <w:tcW w:w="1728" w:type="dxa"/>
            <w:vAlign w:val="center"/>
          </w:tcPr>
          <w:p w14:paraId="6080E168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NM_201643</w:t>
            </w:r>
            <w:r w:rsidRPr="00D658AE">
              <w:rPr>
                <w:rFonts w:ascii="Arial" w:eastAsia="Calibri" w:hAnsi="Arial" w:cs="Arial"/>
                <w:lang w:bidi="te-IN"/>
              </w:rPr>
              <w:tab/>
            </w:r>
          </w:p>
        </w:tc>
        <w:tc>
          <w:tcPr>
            <w:tcW w:w="3960" w:type="dxa"/>
            <w:vAlign w:val="center"/>
          </w:tcPr>
          <w:p w14:paraId="4B544A97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UDP glucuronosyltransferase 1 family, polypeptide a5 (Ugt1a5)</w:t>
            </w:r>
          </w:p>
        </w:tc>
        <w:tc>
          <w:tcPr>
            <w:tcW w:w="1170" w:type="dxa"/>
            <w:vAlign w:val="center"/>
          </w:tcPr>
          <w:p w14:paraId="7BBE6DB3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1.29</w:t>
            </w:r>
          </w:p>
        </w:tc>
        <w:tc>
          <w:tcPr>
            <w:tcW w:w="1080" w:type="dxa"/>
            <w:vAlign w:val="center"/>
          </w:tcPr>
          <w:p w14:paraId="53836CF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0.0163</w:t>
            </w:r>
          </w:p>
        </w:tc>
        <w:tc>
          <w:tcPr>
            <w:tcW w:w="1080" w:type="dxa"/>
            <w:vAlign w:val="center"/>
          </w:tcPr>
          <w:p w14:paraId="73F8A3E2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1.545</w:t>
            </w:r>
          </w:p>
        </w:tc>
        <w:tc>
          <w:tcPr>
            <w:tcW w:w="1080" w:type="dxa"/>
            <w:vAlign w:val="center"/>
          </w:tcPr>
          <w:p w14:paraId="24B418FA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0.012</w:t>
            </w:r>
          </w:p>
        </w:tc>
      </w:tr>
      <w:tr w:rsidR="00FB7FB3" w:rsidRPr="00D658AE" w14:paraId="67726076" w14:textId="77777777" w:rsidTr="00FB7FB3">
        <w:tc>
          <w:tcPr>
            <w:tcW w:w="1728" w:type="dxa"/>
            <w:vAlign w:val="center"/>
          </w:tcPr>
          <w:p w14:paraId="21A021C3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NM_201410</w:t>
            </w:r>
            <w:r w:rsidRPr="00D658AE">
              <w:rPr>
                <w:rFonts w:ascii="Arial" w:eastAsia="Calibri" w:hAnsi="Arial" w:cs="Arial"/>
                <w:lang w:bidi="te-IN"/>
              </w:rPr>
              <w:tab/>
            </w:r>
          </w:p>
        </w:tc>
        <w:tc>
          <w:tcPr>
            <w:tcW w:w="3960" w:type="dxa"/>
            <w:vAlign w:val="center"/>
          </w:tcPr>
          <w:p w14:paraId="173BF010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UDP glucuronosyltransferase 1 family, polypeptide a6b (Ugt1a6b)</w:t>
            </w:r>
          </w:p>
        </w:tc>
        <w:tc>
          <w:tcPr>
            <w:tcW w:w="1170" w:type="dxa"/>
            <w:vAlign w:val="center"/>
          </w:tcPr>
          <w:p w14:paraId="71754E75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1.81</w:t>
            </w:r>
          </w:p>
        </w:tc>
        <w:tc>
          <w:tcPr>
            <w:tcW w:w="1080" w:type="dxa"/>
            <w:vAlign w:val="center"/>
          </w:tcPr>
          <w:p w14:paraId="3C4FC4A2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&lt;0.0001</w:t>
            </w:r>
          </w:p>
        </w:tc>
        <w:tc>
          <w:tcPr>
            <w:tcW w:w="1080" w:type="dxa"/>
            <w:vAlign w:val="center"/>
          </w:tcPr>
          <w:p w14:paraId="5B374481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2.26</w:t>
            </w:r>
          </w:p>
        </w:tc>
        <w:tc>
          <w:tcPr>
            <w:tcW w:w="1080" w:type="dxa"/>
            <w:vAlign w:val="center"/>
          </w:tcPr>
          <w:p w14:paraId="724BF7E7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&lt;0.0001</w:t>
            </w:r>
          </w:p>
        </w:tc>
      </w:tr>
      <w:tr w:rsidR="00FB7FB3" w:rsidRPr="00D658AE" w14:paraId="5D670091" w14:textId="77777777" w:rsidTr="00FB7FB3">
        <w:tc>
          <w:tcPr>
            <w:tcW w:w="1728" w:type="dxa"/>
            <w:vAlign w:val="center"/>
          </w:tcPr>
          <w:p w14:paraId="29EB7F56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NM_201642</w:t>
            </w:r>
          </w:p>
        </w:tc>
        <w:tc>
          <w:tcPr>
            <w:tcW w:w="3960" w:type="dxa"/>
            <w:vAlign w:val="center"/>
          </w:tcPr>
          <w:p w14:paraId="4A80D25E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UDP glucuronosyltransferase 1 family, polypeptide a7c (Ugt1a7c)</w:t>
            </w:r>
          </w:p>
        </w:tc>
        <w:tc>
          <w:tcPr>
            <w:tcW w:w="1170" w:type="dxa"/>
            <w:vAlign w:val="center"/>
          </w:tcPr>
          <w:p w14:paraId="4B134EF8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1.51</w:t>
            </w:r>
          </w:p>
        </w:tc>
        <w:tc>
          <w:tcPr>
            <w:tcW w:w="1080" w:type="dxa"/>
            <w:vAlign w:val="center"/>
          </w:tcPr>
          <w:p w14:paraId="3EC94C5F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0.096</w:t>
            </w:r>
          </w:p>
        </w:tc>
        <w:tc>
          <w:tcPr>
            <w:tcW w:w="1080" w:type="dxa"/>
            <w:vAlign w:val="center"/>
          </w:tcPr>
          <w:p w14:paraId="4B83AEE7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1.66</w:t>
            </w:r>
          </w:p>
        </w:tc>
        <w:tc>
          <w:tcPr>
            <w:tcW w:w="1080" w:type="dxa"/>
            <w:vAlign w:val="center"/>
          </w:tcPr>
          <w:p w14:paraId="15D9BE52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0.026</w:t>
            </w:r>
          </w:p>
        </w:tc>
      </w:tr>
      <w:tr w:rsidR="00FB7FB3" w:rsidRPr="00D658AE" w14:paraId="45311CC1" w14:textId="77777777" w:rsidTr="00FB7FB3">
        <w:tc>
          <w:tcPr>
            <w:tcW w:w="1728" w:type="dxa"/>
            <w:vAlign w:val="center"/>
          </w:tcPr>
          <w:p w14:paraId="538D9E08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NM_201644</w:t>
            </w:r>
            <w:r w:rsidRPr="00D658AE">
              <w:rPr>
                <w:rFonts w:ascii="Arial" w:eastAsia="Calibri" w:hAnsi="Arial" w:cs="Arial"/>
                <w:lang w:bidi="te-IN"/>
              </w:rPr>
              <w:tab/>
            </w:r>
          </w:p>
        </w:tc>
        <w:tc>
          <w:tcPr>
            <w:tcW w:w="3960" w:type="dxa"/>
            <w:vAlign w:val="center"/>
          </w:tcPr>
          <w:p w14:paraId="7AF46D33" w14:textId="77777777" w:rsidR="00FB7FB3" w:rsidRPr="00D658AE" w:rsidRDefault="00FB7FB3" w:rsidP="00FB7FB3">
            <w:pPr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UDP glucuronosyltransferase 1 family, polypeptide a9</w:t>
            </w:r>
          </w:p>
        </w:tc>
        <w:tc>
          <w:tcPr>
            <w:tcW w:w="1170" w:type="dxa"/>
            <w:vAlign w:val="center"/>
          </w:tcPr>
          <w:p w14:paraId="0E0E24A2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1.31</w:t>
            </w:r>
          </w:p>
        </w:tc>
        <w:tc>
          <w:tcPr>
            <w:tcW w:w="1080" w:type="dxa"/>
            <w:vAlign w:val="center"/>
          </w:tcPr>
          <w:p w14:paraId="4FA00BEE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0.0366</w:t>
            </w:r>
          </w:p>
        </w:tc>
        <w:tc>
          <w:tcPr>
            <w:tcW w:w="1080" w:type="dxa"/>
            <w:vAlign w:val="center"/>
          </w:tcPr>
          <w:p w14:paraId="49F68253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1.82</w:t>
            </w:r>
          </w:p>
        </w:tc>
        <w:tc>
          <w:tcPr>
            <w:tcW w:w="1080" w:type="dxa"/>
            <w:vAlign w:val="center"/>
          </w:tcPr>
          <w:p w14:paraId="10F29454" w14:textId="77777777" w:rsidR="00FB7FB3" w:rsidRPr="00D658AE" w:rsidRDefault="00FB7FB3" w:rsidP="00FB7FB3">
            <w:pPr>
              <w:jc w:val="center"/>
              <w:rPr>
                <w:rFonts w:ascii="Arial" w:eastAsia="Calibri" w:hAnsi="Arial" w:cs="Arial"/>
                <w:lang w:bidi="te-IN"/>
              </w:rPr>
            </w:pPr>
            <w:r w:rsidRPr="00D658AE">
              <w:rPr>
                <w:rFonts w:ascii="Arial" w:eastAsia="Calibri" w:hAnsi="Arial" w:cs="Arial"/>
                <w:lang w:bidi="te-IN"/>
              </w:rPr>
              <w:t>0.023</w:t>
            </w:r>
          </w:p>
        </w:tc>
      </w:tr>
    </w:tbl>
    <w:p w14:paraId="4CBD918D" w14:textId="483F7ABE" w:rsidR="002A0A59" w:rsidRPr="000B73AC" w:rsidRDefault="00D276C5" w:rsidP="00D276C5">
      <w:pPr>
        <w:spacing w:after="0" w:line="480" w:lineRule="auto"/>
        <w:rPr>
          <w:rFonts w:ascii="Arial" w:hAnsi="Arial" w:cs="Arial"/>
          <w:b/>
        </w:rPr>
      </w:pPr>
      <w:r w:rsidRPr="00B00C08">
        <w:rPr>
          <w:rFonts w:ascii="Arial" w:eastAsia="Calibri" w:hAnsi="Arial" w:cs="Arial"/>
          <w:b/>
          <w:bCs/>
          <w:lang w:bidi="te-IN"/>
        </w:rPr>
        <w:t xml:space="preserve"> Supplementary-Table </w:t>
      </w:r>
      <w:r w:rsidR="00FD6920">
        <w:rPr>
          <w:rFonts w:ascii="Arial" w:eastAsia="Calibri" w:hAnsi="Arial" w:cs="Arial"/>
          <w:b/>
          <w:bCs/>
          <w:lang w:bidi="te-IN"/>
        </w:rPr>
        <w:t>4</w:t>
      </w:r>
      <w:r w:rsidRPr="00B00C08">
        <w:rPr>
          <w:rFonts w:ascii="Arial" w:eastAsia="Calibri" w:hAnsi="Arial" w:cs="Arial"/>
          <w:b/>
          <w:bCs/>
          <w:lang w:bidi="te-IN"/>
        </w:rPr>
        <w:t xml:space="preserve">: </w:t>
      </w:r>
      <w:bookmarkStart w:id="2" w:name="_Hlk520046194"/>
      <w:r w:rsidRPr="001F4869">
        <w:rPr>
          <w:rFonts w:ascii="Arial" w:eastAsia="Calibri" w:hAnsi="Arial" w:cs="Arial"/>
          <w:bCs/>
          <w:lang w:bidi="te-IN"/>
        </w:rPr>
        <w:t>Other SFN-modulated phase 2 enzymes</w:t>
      </w:r>
      <w:bookmarkEnd w:id="2"/>
    </w:p>
    <w:sectPr w:rsidR="002A0A59" w:rsidRPr="000B73AC" w:rsidSect="00CE2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871"/>
    <w:multiLevelType w:val="hybridMultilevel"/>
    <w:tmpl w:val="0ECAA0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C0B95"/>
    <w:multiLevelType w:val="hybridMultilevel"/>
    <w:tmpl w:val="79DE9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878E3"/>
    <w:multiLevelType w:val="hybridMultilevel"/>
    <w:tmpl w:val="821CC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2NTI3NzM1NLY0tTBQ0lEKTi0uzszPAykwrAUASGdvo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atr09v2z0zw5ewfz6x5p5kt2axs09wdpte&quot;&gt;Nrf2-Mitomics&lt;record-ids&gt;&lt;item&gt;10&lt;/item&gt;&lt;item&gt;15&lt;/item&gt;&lt;item&gt;18&lt;/item&gt;&lt;item&gt;19&lt;/item&gt;&lt;item&gt;23&lt;/item&gt;&lt;item&gt;26&lt;/item&gt;&lt;item&gt;30&lt;/item&gt;&lt;item&gt;34&lt;/item&gt;&lt;item&gt;40&lt;/item&gt;&lt;item&gt;41&lt;/item&gt;&lt;item&gt;44&lt;/item&gt;&lt;item&gt;76&lt;/item&gt;&lt;item&gt;83&lt;/item&gt;&lt;item&gt;87&lt;/item&gt;&lt;item&gt;88&lt;/item&gt;&lt;item&gt;95&lt;/item&gt;&lt;item&gt;96&lt;/item&gt;&lt;item&gt;99&lt;/item&gt;&lt;item&gt;100&lt;/item&gt;&lt;item&gt;120&lt;/item&gt;&lt;item&gt;131&lt;/item&gt;&lt;item&gt;132&lt;/item&gt;&lt;item&gt;133&lt;/item&gt;&lt;item&gt;134&lt;/item&gt;&lt;item&gt;143&lt;/item&gt;&lt;item&gt;144&lt;/item&gt;&lt;item&gt;146&lt;/item&gt;&lt;item&gt;153&lt;/item&gt;&lt;item&gt;159&lt;/item&gt;&lt;item&gt;161&lt;/item&gt;&lt;item&gt;170&lt;/item&gt;&lt;item&gt;171&lt;/item&gt;&lt;item&gt;172&lt;/item&gt;&lt;item&gt;173&lt;/item&gt;&lt;item&gt;175&lt;/item&gt;&lt;item&gt;176&lt;/item&gt;&lt;item&gt;180&lt;/item&gt;&lt;item&gt;181&lt;/item&gt;&lt;item&gt;187&lt;/item&gt;&lt;item&gt;189&lt;/item&gt;&lt;item&gt;192&lt;/item&gt;&lt;item&gt;193&lt;/item&gt;&lt;item&gt;194&lt;/item&gt;&lt;item&gt;197&lt;/item&gt;&lt;item&gt;204&lt;/item&gt;&lt;item&gt;205&lt;/item&gt;&lt;item&gt;210&lt;/item&gt;&lt;item&gt;214&lt;/item&gt;&lt;item&gt;218&lt;/item&gt;&lt;item&gt;219&lt;/item&gt;&lt;item&gt;220&lt;/item&gt;&lt;item&gt;224&lt;/item&gt;&lt;item&gt;228&lt;/item&gt;&lt;item&gt;232&lt;/item&gt;&lt;item&gt;234&lt;/item&gt;&lt;item&gt;235&lt;/item&gt;&lt;item&gt;236&lt;/item&gt;&lt;item&gt;237&lt;/item&gt;&lt;/record-ids&gt;&lt;/item&gt;&lt;/Libraries&gt;"/>
  </w:docVars>
  <w:rsids>
    <w:rsidRoot w:val="004F134E"/>
    <w:rsid w:val="00014334"/>
    <w:rsid w:val="00016B23"/>
    <w:rsid w:val="000548DF"/>
    <w:rsid w:val="0008381E"/>
    <w:rsid w:val="000941AE"/>
    <w:rsid w:val="00094E46"/>
    <w:rsid w:val="00097730"/>
    <w:rsid w:val="000A6D64"/>
    <w:rsid w:val="000B16F9"/>
    <w:rsid w:val="000B32FD"/>
    <w:rsid w:val="000B6DCF"/>
    <w:rsid w:val="000B73AC"/>
    <w:rsid w:val="000B7C43"/>
    <w:rsid w:val="000C2226"/>
    <w:rsid w:val="000C4151"/>
    <w:rsid w:val="000D412A"/>
    <w:rsid w:val="000D41FE"/>
    <w:rsid w:val="000D4E35"/>
    <w:rsid w:val="000F2F14"/>
    <w:rsid w:val="000F4A6B"/>
    <w:rsid w:val="00100224"/>
    <w:rsid w:val="00100833"/>
    <w:rsid w:val="00101F8A"/>
    <w:rsid w:val="00103139"/>
    <w:rsid w:val="0011070E"/>
    <w:rsid w:val="00122074"/>
    <w:rsid w:val="00124622"/>
    <w:rsid w:val="00125B2F"/>
    <w:rsid w:val="00125D36"/>
    <w:rsid w:val="00133A0F"/>
    <w:rsid w:val="00156024"/>
    <w:rsid w:val="00173A5D"/>
    <w:rsid w:val="00185532"/>
    <w:rsid w:val="00185E6C"/>
    <w:rsid w:val="001926BE"/>
    <w:rsid w:val="001A3FF8"/>
    <w:rsid w:val="001B1393"/>
    <w:rsid w:val="001C1CCB"/>
    <w:rsid w:val="001C1E13"/>
    <w:rsid w:val="001D0937"/>
    <w:rsid w:val="001D0AE4"/>
    <w:rsid w:val="001D20D5"/>
    <w:rsid w:val="001D7CD5"/>
    <w:rsid w:val="001E6AEF"/>
    <w:rsid w:val="001F3180"/>
    <w:rsid w:val="001F4869"/>
    <w:rsid w:val="00205D20"/>
    <w:rsid w:val="0021313E"/>
    <w:rsid w:val="00215CB8"/>
    <w:rsid w:val="00216BF9"/>
    <w:rsid w:val="00217072"/>
    <w:rsid w:val="00224E08"/>
    <w:rsid w:val="0022557E"/>
    <w:rsid w:val="00227C25"/>
    <w:rsid w:val="00227EEF"/>
    <w:rsid w:val="00232B08"/>
    <w:rsid w:val="00240548"/>
    <w:rsid w:val="00244392"/>
    <w:rsid w:val="002477EC"/>
    <w:rsid w:val="00254A28"/>
    <w:rsid w:val="00255AB3"/>
    <w:rsid w:val="00255CD4"/>
    <w:rsid w:val="002747D8"/>
    <w:rsid w:val="0028084F"/>
    <w:rsid w:val="00280C5E"/>
    <w:rsid w:val="002820AC"/>
    <w:rsid w:val="002858FA"/>
    <w:rsid w:val="00287388"/>
    <w:rsid w:val="002912DD"/>
    <w:rsid w:val="00293B05"/>
    <w:rsid w:val="00293BEF"/>
    <w:rsid w:val="00297832"/>
    <w:rsid w:val="002A0A59"/>
    <w:rsid w:val="002A63C7"/>
    <w:rsid w:val="002B3E16"/>
    <w:rsid w:val="002D0A00"/>
    <w:rsid w:val="002E0563"/>
    <w:rsid w:val="002E5FB8"/>
    <w:rsid w:val="002F7DC3"/>
    <w:rsid w:val="00315799"/>
    <w:rsid w:val="00316B10"/>
    <w:rsid w:val="0033068C"/>
    <w:rsid w:val="00331113"/>
    <w:rsid w:val="00344FA5"/>
    <w:rsid w:val="00350897"/>
    <w:rsid w:val="00354C7A"/>
    <w:rsid w:val="0036087D"/>
    <w:rsid w:val="00363B40"/>
    <w:rsid w:val="0037677F"/>
    <w:rsid w:val="00382DE0"/>
    <w:rsid w:val="00384CA3"/>
    <w:rsid w:val="00395C3C"/>
    <w:rsid w:val="003974A8"/>
    <w:rsid w:val="003A5FC2"/>
    <w:rsid w:val="003B04C9"/>
    <w:rsid w:val="003B0B10"/>
    <w:rsid w:val="003B237F"/>
    <w:rsid w:val="003B3C16"/>
    <w:rsid w:val="003B638A"/>
    <w:rsid w:val="003B680C"/>
    <w:rsid w:val="003C03F5"/>
    <w:rsid w:val="003C3501"/>
    <w:rsid w:val="003C7192"/>
    <w:rsid w:val="003E4E8F"/>
    <w:rsid w:val="003F1478"/>
    <w:rsid w:val="00403EAB"/>
    <w:rsid w:val="004057A1"/>
    <w:rsid w:val="004065B1"/>
    <w:rsid w:val="00407DFB"/>
    <w:rsid w:val="00417C6C"/>
    <w:rsid w:val="004214BC"/>
    <w:rsid w:val="00423182"/>
    <w:rsid w:val="0042328D"/>
    <w:rsid w:val="00427349"/>
    <w:rsid w:val="004322EE"/>
    <w:rsid w:val="00442AF7"/>
    <w:rsid w:val="00444242"/>
    <w:rsid w:val="0045184E"/>
    <w:rsid w:val="00453C38"/>
    <w:rsid w:val="00461AE3"/>
    <w:rsid w:val="00471FD5"/>
    <w:rsid w:val="00472CB3"/>
    <w:rsid w:val="00474ED9"/>
    <w:rsid w:val="00482510"/>
    <w:rsid w:val="00483900"/>
    <w:rsid w:val="00487E67"/>
    <w:rsid w:val="004961DB"/>
    <w:rsid w:val="004A203F"/>
    <w:rsid w:val="004B14AD"/>
    <w:rsid w:val="004B1997"/>
    <w:rsid w:val="004B6F3A"/>
    <w:rsid w:val="004D10C2"/>
    <w:rsid w:val="004D5E33"/>
    <w:rsid w:val="004E2DB5"/>
    <w:rsid w:val="004F12CC"/>
    <w:rsid w:val="004F134E"/>
    <w:rsid w:val="004F5A20"/>
    <w:rsid w:val="004F6A59"/>
    <w:rsid w:val="004F785D"/>
    <w:rsid w:val="004F7882"/>
    <w:rsid w:val="005012F4"/>
    <w:rsid w:val="00504FA9"/>
    <w:rsid w:val="00520F5F"/>
    <w:rsid w:val="00521302"/>
    <w:rsid w:val="005217A4"/>
    <w:rsid w:val="00524558"/>
    <w:rsid w:val="005267B8"/>
    <w:rsid w:val="005300A2"/>
    <w:rsid w:val="0053175B"/>
    <w:rsid w:val="00532348"/>
    <w:rsid w:val="0054147C"/>
    <w:rsid w:val="005533C3"/>
    <w:rsid w:val="0056533E"/>
    <w:rsid w:val="005854C0"/>
    <w:rsid w:val="00585A4D"/>
    <w:rsid w:val="00586898"/>
    <w:rsid w:val="00590B8C"/>
    <w:rsid w:val="00594675"/>
    <w:rsid w:val="00595C63"/>
    <w:rsid w:val="005976F5"/>
    <w:rsid w:val="00597B47"/>
    <w:rsid w:val="005A25EA"/>
    <w:rsid w:val="005A7401"/>
    <w:rsid w:val="005D0E56"/>
    <w:rsid w:val="005D2748"/>
    <w:rsid w:val="005D4778"/>
    <w:rsid w:val="005D7031"/>
    <w:rsid w:val="005E01FB"/>
    <w:rsid w:val="005E7780"/>
    <w:rsid w:val="005F60A9"/>
    <w:rsid w:val="00603F2F"/>
    <w:rsid w:val="00606CC3"/>
    <w:rsid w:val="006071C8"/>
    <w:rsid w:val="006106B2"/>
    <w:rsid w:val="00611BE1"/>
    <w:rsid w:val="00615CCE"/>
    <w:rsid w:val="006203CE"/>
    <w:rsid w:val="00624C68"/>
    <w:rsid w:val="006328B8"/>
    <w:rsid w:val="006348EE"/>
    <w:rsid w:val="0063522B"/>
    <w:rsid w:val="00637E28"/>
    <w:rsid w:val="0064377A"/>
    <w:rsid w:val="00650F3E"/>
    <w:rsid w:val="00657842"/>
    <w:rsid w:val="006628EC"/>
    <w:rsid w:val="00664489"/>
    <w:rsid w:val="006828ED"/>
    <w:rsid w:val="00682AC5"/>
    <w:rsid w:val="00692509"/>
    <w:rsid w:val="0069497A"/>
    <w:rsid w:val="0069636A"/>
    <w:rsid w:val="006A200B"/>
    <w:rsid w:val="006A2489"/>
    <w:rsid w:val="006A2A11"/>
    <w:rsid w:val="006A4B34"/>
    <w:rsid w:val="006B2FFB"/>
    <w:rsid w:val="006B4708"/>
    <w:rsid w:val="006B6BB4"/>
    <w:rsid w:val="006C3051"/>
    <w:rsid w:val="006D1289"/>
    <w:rsid w:val="006D136E"/>
    <w:rsid w:val="006D3A59"/>
    <w:rsid w:val="006D6BB8"/>
    <w:rsid w:val="006F7895"/>
    <w:rsid w:val="007103CF"/>
    <w:rsid w:val="00721ABA"/>
    <w:rsid w:val="00722A07"/>
    <w:rsid w:val="00726BC2"/>
    <w:rsid w:val="007333CB"/>
    <w:rsid w:val="00735F62"/>
    <w:rsid w:val="00743C5E"/>
    <w:rsid w:val="007511E0"/>
    <w:rsid w:val="0075156C"/>
    <w:rsid w:val="0075717E"/>
    <w:rsid w:val="007601D0"/>
    <w:rsid w:val="007676C2"/>
    <w:rsid w:val="00767D5C"/>
    <w:rsid w:val="00770204"/>
    <w:rsid w:val="00773DFA"/>
    <w:rsid w:val="00775944"/>
    <w:rsid w:val="007841FD"/>
    <w:rsid w:val="00795073"/>
    <w:rsid w:val="00796514"/>
    <w:rsid w:val="007B2F45"/>
    <w:rsid w:val="007C1066"/>
    <w:rsid w:val="007C2782"/>
    <w:rsid w:val="007C3240"/>
    <w:rsid w:val="007C501C"/>
    <w:rsid w:val="007C7189"/>
    <w:rsid w:val="007E1CB2"/>
    <w:rsid w:val="007E66A7"/>
    <w:rsid w:val="007F31E1"/>
    <w:rsid w:val="008040DE"/>
    <w:rsid w:val="00810C81"/>
    <w:rsid w:val="00810E70"/>
    <w:rsid w:val="00811E26"/>
    <w:rsid w:val="00815FFD"/>
    <w:rsid w:val="008175EA"/>
    <w:rsid w:val="00832316"/>
    <w:rsid w:val="00835CF1"/>
    <w:rsid w:val="00836231"/>
    <w:rsid w:val="00841877"/>
    <w:rsid w:val="008448C7"/>
    <w:rsid w:val="00845C35"/>
    <w:rsid w:val="00846E10"/>
    <w:rsid w:val="0086765A"/>
    <w:rsid w:val="0088702A"/>
    <w:rsid w:val="008871BE"/>
    <w:rsid w:val="0089141D"/>
    <w:rsid w:val="008945D0"/>
    <w:rsid w:val="008A2105"/>
    <w:rsid w:val="008A6552"/>
    <w:rsid w:val="008B0156"/>
    <w:rsid w:val="008D1E0E"/>
    <w:rsid w:val="008F3295"/>
    <w:rsid w:val="008F7064"/>
    <w:rsid w:val="00901710"/>
    <w:rsid w:val="0090236E"/>
    <w:rsid w:val="00911E36"/>
    <w:rsid w:val="00914DC0"/>
    <w:rsid w:val="0092039F"/>
    <w:rsid w:val="0094136E"/>
    <w:rsid w:val="009506E8"/>
    <w:rsid w:val="009511A1"/>
    <w:rsid w:val="009519A1"/>
    <w:rsid w:val="00963C6A"/>
    <w:rsid w:val="009759C9"/>
    <w:rsid w:val="009764D8"/>
    <w:rsid w:val="0098329F"/>
    <w:rsid w:val="009875A8"/>
    <w:rsid w:val="00990E23"/>
    <w:rsid w:val="00997243"/>
    <w:rsid w:val="009A2C50"/>
    <w:rsid w:val="009B180F"/>
    <w:rsid w:val="009C5734"/>
    <w:rsid w:val="009D4984"/>
    <w:rsid w:val="009D55DE"/>
    <w:rsid w:val="009F08D5"/>
    <w:rsid w:val="009F09CC"/>
    <w:rsid w:val="009F0B23"/>
    <w:rsid w:val="009F53B4"/>
    <w:rsid w:val="009F71BC"/>
    <w:rsid w:val="00A14A39"/>
    <w:rsid w:val="00A22617"/>
    <w:rsid w:val="00A2679D"/>
    <w:rsid w:val="00A35A8E"/>
    <w:rsid w:val="00A35D80"/>
    <w:rsid w:val="00A43DA4"/>
    <w:rsid w:val="00A5722C"/>
    <w:rsid w:val="00A67DEC"/>
    <w:rsid w:val="00A71E24"/>
    <w:rsid w:val="00A74A60"/>
    <w:rsid w:val="00A80FA4"/>
    <w:rsid w:val="00A973A5"/>
    <w:rsid w:val="00A97DAE"/>
    <w:rsid w:val="00AA4ADF"/>
    <w:rsid w:val="00AA7702"/>
    <w:rsid w:val="00AB7FF9"/>
    <w:rsid w:val="00AC1A39"/>
    <w:rsid w:val="00AC209B"/>
    <w:rsid w:val="00AC589A"/>
    <w:rsid w:val="00AD690A"/>
    <w:rsid w:val="00AE099B"/>
    <w:rsid w:val="00AE2952"/>
    <w:rsid w:val="00AE51B3"/>
    <w:rsid w:val="00AE5AFF"/>
    <w:rsid w:val="00B00C08"/>
    <w:rsid w:val="00B0393F"/>
    <w:rsid w:val="00B052F7"/>
    <w:rsid w:val="00B101FC"/>
    <w:rsid w:val="00B116EC"/>
    <w:rsid w:val="00B358D1"/>
    <w:rsid w:val="00B40235"/>
    <w:rsid w:val="00B63D20"/>
    <w:rsid w:val="00B655C9"/>
    <w:rsid w:val="00B67BE3"/>
    <w:rsid w:val="00B74049"/>
    <w:rsid w:val="00B7657E"/>
    <w:rsid w:val="00B7779F"/>
    <w:rsid w:val="00B823AC"/>
    <w:rsid w:val="00B8515D"/>
    <w:rsid w:val="00BA04A3"/>
    <w:rsid w:val="00BA3F73"/>
    <w:rsid w:val="00BB6CA8"/>
    <w:rsid w:val="00BC3200"/>
    <w:rsid w:val="00BD1733"/>
    <w:rsid w:val="00BD1913"/>
    <w:rsid w:val="00BD22B0"/>
    <w:rsid w:val="00BD6D12"/>
    <w:rsid w:val="00BE08C5"/>
    <w:rsid w:val="00BE54A2"/>
    <w:rsid w:val="00BE5C99"/>
    <w:rsid w:val="00BE5E9E"/>
    <w:rsid w:val="00BE6AD1"/>
    <w:rsid w:val="00BF128B"/>
    <w:rsid w:val="00BF27C9"/>
    <w:rsid w:val="00C0027D"/>
    <w:rsid w:val="00C018DE"/>
    <w:rsid w:val="00C10E4C"/>
    <w:rsid w:val="00C142D5"/>
    <w:rsid w:val="00C2477A"/>
    <w:rsid w:val="00C335E9"/>
    <w:rsid w:val="00C40147"/>
    <w:rsid w:val="00C45EE9"/>
    <w:rsid w:val="00C55F7D"/>
    <w:rsid w:val="00C57D81"/>
    <w:rsid w:val="00C63BDA"/>
    <w:rsid w:val="00C646FB"/>
    <w:rsid w:val="00C77335"/>
    <w:rsid w:val="00C83378"/>
    <w:rsid w:val="00C8606E"/>
    <w:rsid w:val="00C96B1B"/>
    <w:rsid w:val="00CA0CFC"/>
    <w:rsid w:val="00CA7EDB"/>
    <w:rsid w:val="00CB7E3C"/>
    <w:rsid w:val="00CC1514"/>
    <w:rsid w:val="00CC376C"/>
    <w:rsid w:val="00CD0154"/>
    <w:rsid w:val="00CD1EDA"/>
    <w:rsid w:val="00CD5C2D"/>
    <w:rsid w:val="00CE282B"/>
    <w:rsid w:val="00CF5E97"/>
    <w:rsid w:val="00D00611"/>
    <w:rsid w:val="00D03E9F"/>
    <w:rsid w:val="00D232F3"/>
    <w:rsid w:val="00D276C5"/>
    <w:rsid w:val="00D32C39"/>
    <w:rsid w:val="00D427D7"/>
    <w:rsid w:val="00D543C3"/>
    <w:rsid w:val="00D6094F"/>
    <w:rsid w:val="00D64733"/>
    <w:rsid w:val="00D658AE"/>
    <w:rsid w:val="00D65CBE"/>
    <w:rsid w:val="00D75292"/>
    <w:rsid w:val="00D82D7E"/>
    <w:rsid w:val="00D923E1"/>
    <w:rsid w:val="00DA152A"/>
    <w:rsid w:val="00DA1A62"/>
    <w:rsid w:val="00DA2E75"/>
    <w:rsid w:val="00DA2F45"/>
    <w:rsid w:val="00DC06F2"/>
    <w:rsid w:val="00DC6F15"/>
    <w:rsid w:val="00DD0559"/>
    <w:rsid w:val="00DD3FDA"/>
    <w:rsid w:val="00DD6916"/>
    <w:rsid w:val="00DE0168"/>
    <w:rsid w:val="00DE3DDC"/>
    <w:rsid w:val="00DF50D9"/>
    <w:rsid w:val="00E0527F"/>
    <w:rsid w:val="00E06BBD"/>
    <w:rsid w:val="00E0780F"/>
    <w:rsid w:val="00E12D7D"/>
    <w:rsid w:val="00E15609"/>
    <w:rsid w:val="00E1611B"/>
    <w:rsid w:val="00E25195"/>
    <w:rsid w:val="00E2562A"/>
    <w:rsid w:val="00E27A38"/>
    <w:rsid w:val="00E30A42"/>
    <w:rsid w:val="00E408FF"/>
    <w:rsid w:val="00E4506D"/>
    <w:rsid w:val="00E46B52"/>
    <w:rsid w:val="00E61992"/>
    <w:rsid w:val="00E619B4"/>
    <w:rsid w:val="00E75ED4"/>
    <w:rsid w:val="00E7628A"/>
    <w:rsid w:val="00E77EB9"/>
    <w:rsid w:val="00E81D46"/>
    <w:rsid w:val="00E9306D"/>
    <w:rsid w:val="00E97527"/>
    <w:rsid w:val="00EB389A"/>
    <w:rsid w:val="00EC2F05"/>
    <w:rsid w:val="00ED64D1"/>
    <w:rsid w:val="00EE04C4"/>
    <w:rsid w:val="00EE4E85"/>
    <w:rsid w:val="00EF5404"/>
    <w:rsid w:val="00F00647"/>
    <w:rsid w:val="00F007E3"/>
    <w:rsid w:val="00F014BA"/>
    <w:rsid w:val="00F05FEA"/>
    <w:rsid w:val="00F123CB"/>
    <w:rsid w:val="00F17EE4"/>
    <w:rsid w:val="00F246B9"/>
    <w:rsid w:val="00F26566"/>
    <w:rsid w:val="00F51A90"/>
    <w:rsid w:val="00F56C06"/>
    <w:rsid w:val="00F66630"/>
    <w:rsid w:val="00F84478"/>
    <w:rsid w:val="00F86F83"/>
    <w:rsid w:val="00F93A09"/>
    <w:rsid w:val="00FA2F2F"/>
    <w:rsid w:val="00FB0E16"/>
    <w:rsid w:val="00FB7FB3"/>
    <w:rsid w:val="00FC21C5"/>
    <w:rsid w:val="00FC68B7"/>
    <w:rsid w:val="00FD22D9"/>
    <w:rsid w:val="00FD6920"/>
    <w:rsid w:val="00FE674E"/>
    <w:rsid w:val="00FF03F5"/>
    <w:rsid w:val="00FF2099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1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7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D1"/>
    <w:pPr>
      <w:ind w:left="720"/>
      <w:contextualSpacing/>
    </w:pPr>
  </w:style>
  <w:style w:type="table" w:styleId="TableGrid">
    <w:name w:val="Table Grid"/>
    <w:basedOn w:val="TableNormal"/>
    <w:uiPriority w:val="59"/>
    <w:rsid w:val="002A0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0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E16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B052F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0780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780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0780F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0780F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472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C03F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60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5784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7D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LightShading-Accent1">
    <w:name w:val="Light Shading Accent 1"/>
    <w:basedOn w:val="TableNormal"/>
    <w:uiPriority w:val="60"/>
    <w:rsid w:val="00FB7F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7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8D1"/>
    <w:pPr>
      <w:ind w:left="720"/>
      <w:contextualSpacing/>
    </w:pPr>
  </w:style>
  <w:style w:type="table" w:styleId="TableGrid">
    <w:name w:val="Table Grid"/>
    <w:basedOn w:val="TableNormal"/>
    <w:uiPriority w:val="59"/>
    <w:rsid w:val="002A0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0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E16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B052F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0780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780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0780F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0780F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472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C03F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60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5784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7D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LightShading-Accent1">
    <w:name w:val="Light Shading Accent 1"/>
    <w:basedOn w:val="TableNormal"/>
    <w:uiPriority w:val="60"/>
    <w:rsid w:val="00FB7F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FF91-0FE2-4FA6-B0BB-189AB4D0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</dc:creator>
  <cp:lastModifiedBy>lcucullo</cp:lastModifiedBy>
  <cp:revision>3</cp:revision>
  <cp:lastPrinted>2018-07-23T17:20:00Z</cp:lastPrinted>
  <dcterms:created xsi:type="dcterms:W3CDTF">2018-07-26T16:18:00Z</dcterms:created>
  <dcterms:modified xsi:type="dcterms:W3CDTF">2018-07-26T16:19:00Z</dcterms:modified>
</cp:coreProperties>
</file>