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8032B" w14:textId="77777777" w:rsidR="004050C7" w:rsidRDefault="004050C7" w:rsidP="004050C7">
      <w:pPr>
        <w:pStyle w:val="Heading1"/>
      </w:pPr>
      <w:r>
        <w:t>Targeted enrichment outperforms other enrichment techniques and enables more multi-species</w:t>
      </w:r>
      <w:r w:rsidRPr="00B97AA2">
        <w:t xml:space="preserve"> </w:t>
      </w:r>
      <w:r>
        <w:t>RNA-Seq</w:t>
      </w:r>
      <w:r w:rsidRPr="00B97AA2">
        <w:t xml:space="preserve"> </w:t>
      </w:r>
      <w:r>
        <w:t>a</w:t>
      </w:r>
      <w:r w:rsidRPr="00B97AA2">
        <w:t>nalyses</w:t>
      </w:r>
    </w:p>
    <w:p w14:paraId="691E92DD" w14:textId="77777777" w:rsidR="004050C7" w:rsidRDefault="004050C7" w:rsidP="004050C7">
      <w:r>
        <w:t>Matthew Chung</w:t>
      </w:r>
      <w:r w:rsidRPr="008B5989">
        <w:rPr>
          <w:vertAlign w:val="superscript"/>
        </w:rPr>
        <w:t>1</w:t>
      </w:r>
      <w:r>
        <w:rPr>
          <w:vertAlign w:val="superscript"/>
        </w:rPr>
        <w:t>,</w:t>
      </w:r>
      <w:r w:rsidRPr="008B5989">
        <w:rPr>
          <w:vertAlign w:val="superscript"/>
        </w:rPr>
        <w:t>2</w:t>
      </w:r>
      <w:r>
        <w:t xml:space="preserve">, </w:t>
      </w:r>
      <w:r w:rsidRPr="002E25EB">
        <w:t>Laura Teigen</w:t>
      </w:r>
      <w:r w:rsidRPr="008B5989">
        <w:rPr>
          <w:vertAlign w:val="superscript"/>
        </w:rPr>
        <w:t>3</w:t>
      </w:r>
      <w:r>
        <w:t xml:space="preserve">, </w:t>
      </w:r>
      <w:r w:rsidRPr="007F2E1F">
        <w:t>Hong Liu</w:t>
      </w:r>
      <w:r w:rsidRPr="008B5989">
        <w:rPr>
          <w:vertAlign w:val="superscript"/>
        </w:rPr>
        <w:t>4</w:t>
      </w:r>
      <w:r>
        <w:t>,</w:t>
      </w:r>
      <w:r w:rsidRPr="007F2E1F">
        <w:t xml:space="preserve"> </w:t>
      </w:r>
      <w:r>
        <w:t>Silvia Libro</w:t>
      </w:r>
      <w:r>
        <w:rPr>
          <w:vertAlign w:val="superscript"/>
        </w:rPr>
        <w:t>5</w:t>
      </w:r>
      <w:r>
        <w:t>, Amol Shetty</w:t>
      </w:r>
      <w:r w:rsidRPr="008B5989">
        <w:rPr>
          <w:vertAlign w:val="superscript"/>
        </w:rPr>
        <w:t>1</w:t>
      </w:r>
      <w:r>
        <w:t>, Nikhil Kumar</w:t>
      </w:r>
      <w:r w:rsidRPr="008B5989">
        <w:rPr>
          <w:vertAlign w:val="superscript"/>
        </w:rPr>
        <w:t>1</w:t>
      </w:r>
      <w:r>
        <w:t>, Xuechu Zhao</w:t>
      </w:r>
      <w:r w:rsidRPr="000A4717">
        <w:rPr>
          <w:vertAlign w:val="superscript"/>
        </w:rPr>
        <w:t>1</w:t>
      </w:r>
      <w:r>
        <w:t>, Robin E. Bromley</w:t>
      </w:r>
      <w:r w:rsidRPr="008B5989">
        <w:rPr>
          <w:vertAlign w:val="superscript"/>
        </w:rPr>
        <w:t>1</w:t>
      </w:r>
      <w:r>
        <w:t>, Luke J. Tallon</w:t>
      </w:r>
      <w:r w:rsidRPr="008B5989">
        <w:rPr>
          <w:vertAlign w:val="superscript"/>
        </w:rPr>
        <w:t>1</w:t>
      </w:r>
      <w:r>
        <w:t>, Lisa Sadzewicz</w:t>
      </w:r>
      <w:r w:rsidRPr="008B5989">
        <w:rPr>
          <w:vertAlign w:val="superscript"/>
        </w:rPr>
        <w:t>1</w:t>
      </w:r>
      <w:r>
        <w:t>, Claire M. Fraser</w:t>
      </w:r>
      <w:r w:rsidRPr="008B5989">
        <w:rPr>
          <w:vertAlign w:val="superscript"/>
        </w:rPr>
        <w:t>1,</w:t>
      </w:r>
      <w:r>
        <w:rPr>
          <w:vertAlign w:val="superscript"/>
        </w:rPr>
        <w:t>6</w:t>
      </w:r>
      <w:r>
        <w:t>, David A. Rasko</w:t>
      </w:r>
      <w:r w:rsidRPr="008B5989">
        <w:rPr>
          <w:vertAlign w:val="superscript"/>
        </w:rPr>
        <w:t>1</w:t>
      </w:r>
      <w:r>
        <w:rPr>
          <w:vertAlign w:val="superscript"/>
        </w:rPr>
        <w:t>,</w:t>
      </w:r>
      <w:r w:rsidRPr="008B5989">
        <w:rPr>
          <w:vertAlign w:val="superscript"/>
        </w:rPr>
        <w:t xml:space="preserve"> 2</w:t>
      </w:r>
      <w:r>
        <w:t>, Scott G. Filler</w:t>
      </w:r>
      <w:r>
        <w:rPr>
          <w:vertAlign w:val="superscript"/>
        </w:rPr>
        <w:t>4,7</w:t>
      </w:r>
      <w:r>
        <w:t>, Jeremy M. Foster</w:t>
      </w:r>
      <w:r>
        <w:rPr>
          <w:vertAlign w:val="superscript"/>
        </w:rPr>
        <w:t>5</w:t>
      </w:r>
      <w:r>
        <w:t>, Michelle L. Michalski</w:t>
      </w:r>
      <w:r w:rsidRPr="008B5989">
        <w:rPr>
          <w:vertAlign w:val="superscript"/>
        </w:rPr>
        <w:t>3</w:t>
      </w:r>
      <w:r>
        <w:t>, Vincent M. Bruno</w:t>
      </w:r>
      <w:r w:rsidRPr="008B5989">
        <w:rPr>
          <w:vertAlign w:val="superscript"/>
        </w:rPr>
        <w:t xml:space="preserve"> 1</w:t>
      </w:r>
      <w:r>
        <w:rPr>
          <w:vertAlign w:val="superscript"/>
        </w:rPr>
        <w:t>,</w:t>
      </w:r>
      <w:r w:rsidRPr="008B5989">
        <w:rPr>
          <w:vertAlign w:val="superscript"/>
        </w:rPr>
        <w:t xml:space="preserve"> 2</w:t>
      </w:r>
      <w:r>
        <w:t>, Julie C. Dunning Hotopp</w:t>
      </w:r>
      <w:r w:rsidRPr="008B5989">
        <w:rPr>
          <w:vertAlign w:val="superscript"/>
        </w:rPr>
        <w:t>1</w:t>
      </w:r>
      <w:r>
        <w:rPr>
          <w:vertAlign w:val="superscript"/>
        </w:rPr>
        <w:t>,</w:t>
      </w:r>
      <w:r w:rsidRPr="008B5989">
        <w:rPr>
          <w:vertAlign w:val="superscript"/>
        </w:rPr>
        <w:t>2</w:t>
      </w:r>
      <w:r>
        <w:rPr>
          <w:vertAlign w:val="superscript"/>
        </w:rPr>
        <w:t>,8</w:t>
      </w:r>
    </w:p>
    <w:p w14:paraId="54F50712" w14:textId="77777777" w:rsidR="004050C7" w:rsidRDefault="004050C7">
      <w:pPr>
        <w:rPr>
          <w:b/>
          <w:noProof/>
          <w:sz w:val="32"/>
        </w:rPr>
      </w:pPr>
      <w:r>
        <w:br w:type="page"/>
      </w:r>
    </w:p>
    <w:p w14:paraId="571D0EC3" w14:textId="6E656660" w:rsidR="00F33837" w:rsidRDefault="00F33837" w:rsidP="00F33837">
      <w:pPr>
        <w:pStyle w:val="Heading1"/>
      </w:pPr>
      <w:r w:rsidRPr="00F33837">
        <w:lastRenderedPageBreak/>
        <w:t>Supplementary Files</w:t>
      </w:r>
    </w:p>
    <w:p w14:paraId="4A133652" w14:textId="31E3FF65" w:rsidR="004C7D0A" w:rsidRDefault="004C7D0A" w:rsidP="004C7D0A">
      <w:r w:rsidRPr="00F33837">
        <w:drawing>
          <wp:anchor distT="0" distB="0" distL="114300" distR="114300" simplePos="0" relativeHeight="251659264" behindDoc="0" locked="0" layoutInCell="1" allowOverlap="1" wp14:anchorId="6C1411FD" wp14:editId="12C998DD">
            <wp:simplePos x="0" y="0"/>
            <wp:positionH relativeFrom="margin">
              <wp:align>left</wp:align>
            </wp:positionH>
            <wp:positionV relativeFrom="paragraph">
              <wp:posOffset>340995</wp:posOffset>
            </wp:positionV>
            <wp:extent cx="4632960" cy="463296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BD93F" w14:textId="62675991" w:rsidR="004C7D0A" w:rsidRPr="004C7D0A" w:rsidRDefault="004C7D0A" w:rsidP="004C7D0A"/>
    <w:p w14:paraId="02ABF39D" w14:textId="77777777" w:rsidR="00F33837" w:rsidRPr="00F33837" w:rsidRDefault="00F33837" w:rsidP="00F33837">
      <w:pPr>
        <w:pStyle w:val="Heading2"/>
      </w:pPr>
      <w:bookmarkStart w:id="0" w:name="_GoBack"/>
      <w:bookmarkEnd w:id="0"/>
      <w:r w:rsidRPr="00F33837">
        <w:t>Supplementary Figure 1. G+C content of Brugia malayi AgSS probes</w:t>
      </w:r>
    </w:p>
    <w:p w14:paraId="19AD712E" w14:textId="77777777" w:rsidR="00F33837" w:rsidRDefault="00F33837">
      <w:r>
        <w:t xml:space="preserve">For each gene in the </w:t>
      </w:r>
      <w:r>
        <w:rPr>
          <w:i/>
        </w:rPr>
        <w:t xml:space="preserve">B. malayi </w:t>
      </w:r>
      <w:r>
        <w:t xml:space="preserve">genome, the average G+C content for its set of probes was determined and plotted on a histogram. The average G+C content of the </w:t>
      </w:r>
      <w:r>
        <w:rPr>
          <w:i/>
        </w:rPr>
        <w:t xml:space="preserve">B. malayi </w:t>
      </w:r>
      <w:r>
        <w:t>probe sets is 38.6%, with a range of 19.2-66.2%.</w:t>
      </w:r>
      <w:r>
        <w:br w:type="page"/>
      </w:r>
    </w:p>
    <w:p w14:paraId="2DDBAC75" w14:textId="77777777" w:rsidR="00F33837" w:rsidRDefault="00F33837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06930" cy="6408420"/>
            <wp:effectExtent l="0" t="0" r="7620" b="0"/>
            <wp:wrapTopAndBottom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640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3DE91" w14:textId="77777777" w:rsidR="00F33837" w:rsidRDefault="00F33837" w:rsidP="00F33837">
      <w:pPr>
        <w:pStyle w:val="Heading2"/>
      </w:pPr>
      <w:r>
        <w:t xml:space="preserve">Supplementary Figure 2. The impact of G+C content on capturing </w:t>
      </w:r>
      <w:r>
        <w:rPr>
          <w:i/>
        </w:rPr>
        <w:t xml:space="preserve">Brugia malayi </w:t>
      </w:r>
      <w:r>
        <w:t>genes</w:t>
      </w:r>
    </w:p>
    <w:p w14:paraId="7B2E4740" w14:textId="77777777" w:rsidR="00F33837" w:rsidRDefault="00F33837" w:rsidP="00F33837">
      <w:r>
        <w:t xml:space="preserve">At increments of 1% G+C, probe sets for each gene were binned to a specific G+C content. Points colored in red, between 26-55% G+C content, indicate </w:t>
      </w:r>
      <w:r>
        <w:rPr>
          <w:rFonts w:cstheme="minorHAnsi"/>
        </w:rPr>
        <w:t>≥10 genes have probe sets at that specific G+C content. Error bars indicate standard error of the mean for each G+C content. For any G+C content, the average ratio of the log</w:t>
      </w:r>
      <w:r w:rsidRPr="00447876">
        <w:rPr>
          <w:rFonts w:cstheme="minorHAnsi"/>
          <w:vertAlign w:val="subscript"/>
        </w:rPr>
        <w:t>2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AgSS</w:t>
      </w:r>
      <w:proofErr w:type="spellEnd"/>
      <w:r>
        <w:rPr>
          <w:rFonts w:cstheme="minorHAnsi"/>
        </w:rPr>
        <w:t xml:space="preserve"> TPM to the poly(A)-selected TPM for each protein-coding is calculated. Because </w:t>
      </w:r>
      <w:r>
        <w:t>26-55% G+C content,</w:t>
      </w:r>
      <w:r>
        <w:rPr>
          <w:rFonts w:cstheme="minorHAnsi"/>
        </w:rPr>
        <w:t xml:space="preserve"> the capture ability of a probe set is independent of its G+C content, as seen by the linear relationship between these points.</w:t>
      </w:r>
      <w:r>
        <w:br w:type="page"/>
      </w:r>
    </w:p>
    <w:p w14:paraId="397055A4" w14:textId="77777777" w:rsidR="00F33837" w:rsidRPr="0094700B" w:rsidRDefault="00F33837" w:rsidP="00F33837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076700"/>
            <wp:effectExtent l="0" t="0" r="0" b="0"/>
            <wp:wrapTopAndBottom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243EE" w14:textId="77777777" w:rsidR="00F33837" w:rsidRDefault="00F33837" w:rsidP="00F33837">
      <w:pPr>
        <w:pStyle w:val="Heading2"/>
      </w:pPr>
      <w:r>
        <w:t>Supplementary Figure 3. Genes identified only in</w:t>
      </w:r>
      <w:r w:rsidRPr="008B5D0F">
        <w:t xml:space="preserve"> </w:t>
      </w:r>
      <w:r>
        <w:t>either the poly(A)-enriched AgSS</w:t>
      </w:r>
      <w:r w:rsidRPr="008B5D0F">
        <w:t xml:space="preserve"> </w:t>
      </w:r>
      <w:r>
        <w:t xml:space="preserve">or </w:t>
      </w:r>
      <w:r w:rsidRPr="008B5D0F">
        <w:t xml:space="preserve">poly(A)-enrichment </w:t>
      </w:r>
      <w:r>
        <w:t>l</w:t>
      </w:r>
      <w:r w:rsidRPr="008B5D0F">
        <w:t>ibraries f</w:t>
      </w:r>
      <w:r>
        <w:t>rom</w:t>
      </w:r>
      <w:r w:rsidRPr="008B5D0F">
        <w:t xml:space="preserve"> </w:t>
      </w:r>
      <w:r w:rsidRPr="00955004">
        <w:rPr>
          <w:i/>
        </w:rPr>
        <w:t>B. malayi</w:t>
      </w:r>
      <w:r w:rsidRPr="008B5D0F">
        <w:t xml:space="preserve"> samples</w:t>
      </w:r>
    </w:p>
    <w:p w14:paraId="7744C2A5" w14:textId="77777777" w:rsidR="00F33837" w:rsidRDefault="00F33837" w:rsidP="00F33837">
      <w:r>
        <w:t xml:space="preserve">For six </w:t>
      </w:r>
      <w:r>
        <w:rPr>
          <w:i/>
        </w:rPr>
        <w:t>B. malayi</w:t>
      </w:r>
      <w:r>
        <w:t xml:space="preserve"> transcriptome comparisons, Venn diagrams were generated to display the number of genes able to be extracted using the poly(A)-enriched </w:t>
      </w:r>
      <w:proofErr w:type="spellStart"/>
      <w:r>
        <w:t>AgSS</w:t>
      </w:r>
      <w:proofErr w:type="spellEnd"/>
      <w:r>
        <w:t xml:space="preserve"> (orange), the poly(A)-enrichment (green), or both (blue). The numbers in parentheses indicate the proportion of total protein-coding genes identified in each gene subset.</w:t>
      </w:r>
      <w:r>
        <w:br w:type="page"/>
      </w:r>
    </w:p>
    <w:p w14:paraId="23EC3532" w14:textId="77777777" w:rsidR="00F33837" w:rsidRPr="00DF109C" w:rsidRDefault="00F33837" w:rsidP="00F33837">
      <w:r>
        <w:rPr>
          <w:noProof/>
        </w:rPr>
        <w:drawing>
          <wp:inline distT="0" distB="0" distL="0" distR="0" wp14:anchorId="1EB71981" wp14:editId="475DDDA3">
            <wp:extent cx="5943600" cy="3611880"/>
            <wp:effectExtent l="0" t="0" r="0" b="762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17F61" w14:textId="77777777" w:rsidR="00F33837" w:rsidRDefault="00F33837" w:rsidP="00F33837">
      <w:pPr>
        <w:pStyle w:val="Heading2"/>
      </w:pPr>
      <w:r>
        <w:t>Supplementary Figure 4. Genes identified only in</w:t>
      </w:r>
      <w:r w:rsidRPr="008B5D0F">
        <w:t xml:space="preserve"> </w:t>
      </w:r>
      <w:r>
        <w:t>either the poly(A)-enriched AgSS</w:t>
      </w:r>
      <w:r w:rsidRPr="008B5D0F">
        <w:t xml:space="preserve"> </w:t>
      </w:r>
      <w:r>
        <w:t xml:space="preserve">or </w:t>
      </w:r>
      <w:r w:rsidRPr="008B5D0F">
        <w:t xml:space="preserve">poly(A)-enrichment </w:t>
      </w:r>
      <w:r>
        <w:t>l</w:t>
      </w:r>
      <w:r w:rsidRPr="008B5D0F">
        <w:t>ibraries f</w:t>
      </w:r>
      <w:r>
        <w:t>rom</w:t>
      </w:r>
      <w:r w:rsidRPr="008B5D0F">
        <w:t xml:space="preserve"> </w:t>
      </w:r>
      <w:r>
        <w:rPr>
          <w:i/>
        </w:rPr>
        <w:t>A. fumigatus</w:t>
      </w:r>
      <w:r w:rsidRPr="008B5D0F">
        <w:t xml:space="preserve"> samples</w:t>
      </w:r>
    </w:p>
    <w:p w14:paraId="15407944" w14:textId="77777777" w:rsidR="00D43B8D" w:rsidRDefault="00F33837">
      <w:r>
        <w:t xml:space="preserve">For 11 </w:t>
      </w:r>
      <w:r>
        <w:rPr>
          <w:i/>
        </w:rPr>
        <w:t xml:space="preserve">A. fumigatus </w:t>
      </w:r>
      <w:r>
        <w:t xml:space="preserve">transcriptome comparisons, Venn diagrams were generated to display the number of genes able to be extracted using the poly(A)-enriched </w:t>
      </w:r>
      <w:proofErr w:type="spellStart"/>
      <w:r>
        <w:t>AgSS</w:t>
      </w:r>
      <w:proofErr w:type="spellEnd"/>
      <w:r>
        <w:t xml:space="preserve"> (orange), the poly(A)-enrichment (green), </w:t>
      </w:r>
      <w:r w:rsidR="004050C7">
        <w:t>or both (blue). The numbers in parentheses indicate the proportion of total protein-coding genes identified in each gene subset.</w:t>
      </w:r>
      <w:r w:rsidR="00D43B8D">
        <w:br w:type="page"/>
      </w:r>
    </w:p>
    <w:p w14:paraId="6578F50D" w14:textId="77777777" w:rsidR="00872F87" w:rsidRDefault="004050C7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144780</wp:posOffset>
            </wp:positionV>
            <wp:extent cx="5325110" cy="6156960"/>
            <wp:effectExtent l="0" t="0" r="8890" b="0"/>
            <wp:wrapTopAndBottom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110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DDB45" w14:textId="77777777" w:rsidR="00D43B8D" w:rsidRDefault="00D43B8D" w:rsidP="00D43B8D">
      <w:pPr>
        <w:pStyle w:val="Heading2"/>
      </w:pPr>
      <w:r>
        <w:t>Supplementary Figure 5. Genes identified only in</w:t>
      </w:r>
      <w:r w:rsidRPr="008B5D0F">
        <w:t xml:space="preserve"> </w:t>
      </w:r>
      <w:r>
        <w:t>either the total RNA AgSS</w:t>
      </w:r>
      <w:r w:rsidRPr="008B5D0F">
        <w:t xml:space="preserve"> </w:t>
      </w:r>
      <w:r>
        <w:t xml:space="preserve">or </w:t>
      </w:r>
      <w:r w:rsidRPr="008B5D0F">
        <w:t xml:space="preserve">rRNA-, poly(A)-depletion </w:t>
      </w:r>
      <w:r>
        <w:t>libraries</w:t>
      </w:r>
      <w:r w:rsidRPr="008B5D0F">
        <w:t xml:space="preserve"> f</w:t>
      </w:r>
      <w:r>
        <w:t>rom</w:t>
      </w:r>
      <w:r w:rsidRPr="008B5D0F">
        <w:t xml:space="preserve"> </w:t>
      </w:r>
      <w:r>
        <w:rPr>
          <w:i/>
        </w:rPr>
        <w:t>w</w:t>
      </w:r>
      <w:r>
        <w:t>Bm</w:t>
      </w:r>
      <w:r w:rsidRPr="008B5D0F">
        <w:t xml:space="preserve"> samples</w:t>
      </w:r>
    </w:p>
    <w:p w14:paraId="67B1E751" w14:textId="77777777" w:rsidR="00D43B8D" w:rsidRDefault="00D43B8D" w:rsidP="00D43B8D">
      <w:r>
        <w:t xml:space="preserve">For nine </w:t>
      </w:r>
      <w:r>
        <w:rPr>
          <w:i/>
        </w:rPr>
        <w:t>w</w:t>
      </w:r>
      <w:r>
        <w:t>Bm</w:t>
      </w:r>
      <w:r>
        <w:rPr>
          <w:i/>
        </w:rPr>
        <w:t xml:space="preserve"> </w:t>
      </w:r>
      <w:r>
        <w:t xml:space="preserve">transcriptome comparisons, Venn diagrams were generated to display the number of genes able to be extracted using the total RNA, </w:t>
      </w:r>
      <w:proofErr w:type="spellStart"/>
      <w:r>
        <w:t>AgSS</w:t>
      </w:r>
      <w:proofErr w:type="spellEnd"/>
      <w:r>
        <w:t xml:space="preserve"> (purple), the rRNA, poly(A)-depletion (yellow), or both (blue). The numbers in parentheses indicate the proportion of total protein-coding genes identified in each gene subset.</w:t>
      </w:r>
      <w:r>
        <w:br w:type="page"/>
      </w:r>
    </w:p>
    <w:p w14:paraId="2F03F501" w14:textId="77777777" w:rsidR="00D43B8D" w:rsidRDefault="00D43B8D" w:rsidP="00D43B8D">
      <w:r>
        <w:rPr>
          <w:noProof/>
        </w:rPr>
        <w:drawing>
          <wp:inline distT="0" distB="0" distL="0" distR="0" wp14:anchorId="621EBD98" wp14:editId="6CF42040">
            <wp:extent cx="5943600" cy="1406525"/>
            <wp:effectExtent l="0" t="0" r="0" b="317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AF464" w14:textId="77777777" w:rsidR="00D43B8D" w:rsidRDefault="00D43B8D"/>
    <w:p w14:paraId="7BDE6FAD" w14:textId="77777777" w:rsidR="00D43B8D" w:rsidRDefault="00D43B8D" w:rsidP="00D43B8D">
      <w:pPr>
        <w:pStyle w:val="Heading2"/>
      </w:pPr>
      <w:r>
        <w:t>Supplementary Figure 6. Genes identified only in</w:t>
      </w:r>
      <w:r w:rsidRPr="008B5D0F">
        <w:t xml:space="preserve"> </w:t>
      </w:r>
      <w:r>
        <w:t>either the total RNA AgSS</w:t>
      </w:r>
      <w:r w:rsidRPr="008B5D0F">
        <w:t xml:space="preserve"> </w:t>
      </w:r>
      <w:r>
        <w:t xml:space="preserve">or </w:t>
      </w:r>
      <w:r w:rsidRPr="008B5D0F">
        <w:t>poly(A)-</w:t>
      </w:r>
      <w:r>
        <w:t>enriched AgSS</w:t>
      </w:r>
      <w:r w:rsidRPr="008B5D0F">
        <w:t xml:space="preserve"> </w:t>
      </w:r>
      <w:r>
        <w:t>libraries</w:t>
      </w:r>
      <w:r w:rsidRPr="008B5D0F">
        <w:t xml:space="preserve"> f</w:t>
      </w:r>
      <w:r>
        <w:t>rom</w:t>
      </w:r>
      <w:r w:rsidRPr="008B5D0F">
        <w:t xml:space="preserve"> </w:t>
      </w:r>
      <w:r>
        <w:rPr>
          <w:i/>
        </w:rPr>
        <w:t>B. malayi</w:t>
      </w:r>
      <w:r w:rsidRPr="008B5D0F">
        <w:t xml:space="preserve"> samples</w:t>
      </w:r>
    </w:p>
    <w:p w14:paraId="1F6F2767" w14:textId="77777777" w:rsidR="00D43B8D" w:rsidRDefault="00D43B8D" w:rsidP="00D43B8D">
      <w:r>
        <w:t xml:space="preserve">For two </w:t>
      </w:r>
      <w:r>
        <w:rPr>
          <w:i/>
        </w:rPr>
        <w:t xml:space="preserve">B. malayi </w:t>
      </w:r>
      <w:r>
        <w:t xml:space="preserve">transcriptome comparisons, Venn diagrams were generated to display the number of genes able to be extracted using the poly(A)-enriched, </w:t>
      </w:r>
      <w:proofErr w:type="spellStart"/>
      <w:r>
        <w:t>AgSS</w:t>
      </w:r>
      <w:proofErr w:type="spellEnd"/>
      <w:r>
        <w:t xml:space="preserve"> (orange), the total RNA </w:t>
      </w:r>
      <w:proofErr w:type="spellStart"/>
      <w:r>
        <w:t>AgSS</w:t>
      </w:r>
      <w:proofErr w:type="spellEnd"/>
      <w:r>
        <w:t xml:space="preserve"> (yellow), or both (blue). The numbers in parentheses indicate the proportion of total protein-coding genes identified in each gene subset.</w:t>
      </w:r>
      <w:r>
        <w:br w:type="page"/>
      </w:r>
    </w:p>
    <w:p w14:paraId="06474F19" w14:textId="77777777" w:rsidR="00D43B8D" w:rsidRPr="00D2625F" w:rsidRDefault="00D43B8D" w:rsidP="00D43B8D">
      <w:r>
        <w:rPr>
          <w:noProof/>
        </w:rPr>
        <w:drawing>
          <wp:inline distT="0" distB="0" distL="0" distR="0" wp14:anchorId="1618DD58" wp14:editId="0A2918DB">
            <wp:extent cx="4693920" cy="4688404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4262" cy="468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19CA" w14:textId="77777777" w:rsidR="00D43B8D" w:rsidRDefault="00D43B8D" w:rsidP="00D43B8D">
      <w:pPr>
        <w:pStyle w:val="Heading2"/>
        <w:rPr>
          <w:i/>
        </w:rPr>
      </w:pPr>
      <w:r>
        <w:t xml:space="preserve">Supplementary Figure 7. </w:t>
      </w:r>
      <w:r w:rsidRPr="001E4FDE">
        <w:t xml:space="preserve">Comparison of </w:t>
      </w:r>
      <w:r>
        <w:t>the poly(A)-enrichment to the</w:t>
      </w:r>
      <w:r w:rsidRPr="001E4FDE">
        <w:t xml:space="preserve"> </w:t>
      </w:r>
      <w:r>
        <w:t xml:space="preserve">total RNA </w:t>
      </w:r>
      <w:r>
        <w:rPr>
          <w:i/>
        </w:rPr>
        <w:t xml:space="preserve">A. fumigatus </w:t>
      </w:r>
      <w:r>
        <w:t>AgSS</w:t>
      </w:r>
      <w:r w:rsidRPr="001E4FDE">
        <w:t xml:space="preserve"> </w:t>
      </w:r>
      <w:r>
        <w:t>library preparations of the transcriptomes of 2 dpi immunocompromised mouse</w:t>
      </w:r>
    </w:p>
    <w:p w14:paraId="639464EC" w14:textId="77777777" w:rsidR="00D43B8D" w:rsidRDefault="00D43B8D" w:rsidP="00D43B8D">
      <w:r>
        <w:t>Using the sample taken at 2 dpi of an immunocompromised mouse, the log</w:t>
      </w:r>
      <w:r w:rsidRPr="00501E4D">
        <w:rPr>
          <w:vertAlign w:val="subscript"/>
        </w:rPr>
        <w:t xml:space="preserve">2 </w:t>
      </w:r>
      <w:r>
        <w:t xml:space="preserve">TPM values for mouse protein-coding genes in the poly(A)-enriched, </w:t>
      </w:r>
      <w:r>
        <w:rPr>
          <w:i/>
        </w:rPr>
        <w:t xml:space="preserve">A. fumigatus </w:t>
      </w:r>
      <w:proofErr w:type="spellStart"/>
      <w:r>
        <w:t>AgSS</w:t>
      </w:r>
      <w:proofErr w:type="spellEnd"/>
      <w:r>
        <w:t xml:space="preserve"> were plotted against the log</w:t>
      </w:r>
      <w:r w:rsidRPr="00501E4D">
        <w:rPr>
          <w:vertAlign w:val="subscript"/>
        </w:rPr>
        <w:t>2</w:t>
      </w:r>
      <w:r>
        <w:t xml:space="preserve"> TPM values for mouse protein-coding genes in the poly(A)-enrichment only. Genes with similar expression in both enrichments lie close to the identity line (x=y; red). Mouse genes whose expression values are more elevated in the poly(A)-enriched </w:t>
      </w:r>
      <w:r>
        <w:rPr>
          <w:i/>
        </w:rPr>
        <w:t xml:space="preserve">A. fumigatus </w:t>
      </w:r>
      <w:proofErr w:type="spellStart"/>
      <w:r>
        <w:t>AgSS</w:t>
      </w:r>
      <w:proofErr w:type="spellEnd"/>
      <w:r>
        <w:t xml:space="preserve"> sample compared to the poly(A)-enrichment sample lie below the identity line while genes more elevated in the poly(A)-enrichment compared to the poly(A)-enriched </w:t>
      </w:r>
      <w:r>
        <w:rPr>
          <w:i/>
        </w:rPr>
        <w:t xml:space="preserve">A. fumigatus </w:t>
      </w:r>
      <w:proofErr w:type="spellStart"/>
      <w:r>
        <w:t>AgSS</w:t>
      </w:r>
      <w:proofErr w:type="spellEnd"/>
      <w:r>
        <w:t xml:space="preserve"> </w:t>
      </w:r>
      <w:r w:rsidRPr="00C35583">
        <w:t>lie above the identity</w:t>
      </w:r>
      <w:r>
        <w:t xml:space="preserve"> line.</w:t>
      </w:r>
    </w:p>
    <w:p w14:paraId="4EF0AC64" w14:textId="77777777" w:rsidR="00D43B8D" w:rsidRDefault="00D43B8D" w:rsidP="00D43B8D">
      <w:r>
        <w:br w:type="page"/>
      </w:r>
    </w:p>
    <w:p w14:paraId="02125F6F" w14:textId="0B28C16C" w:rsidR="00D43B8D" w:rsidRPr="008B5D0F" w:rsidRDefault="00DF4E08" w:rsidP="00D43B8D">
      <w:pPr>
        <w:pStyle w:val="Heading2"/>
      </w:pPr>
      <w:r>
        <w:t>Supplementary Dataset</w:t>
      </w:r>
      <w:r w:rsidR="00D43B8D" w:rsidRPr="008B5D0F">
        <w:t xml:space="preserve"> 1: </w:t>
      </w:r>
      <w:r w:rsidR="00D43B8D">
        <w:t>RNA-Seq s</w:t>
      </w:r>
      <w:r w:rsidR="00D43B8D" w:rsidRPr="008B5D0F">
        <w:t xml:space="preserve">tatistics for </w:t>
      </w:r>
      <w:r w:rsidR="00D43B8D">
        <w:t>poly(A)-enriched AgSS</w:t>
      </w:r>
      <w:r w:rsidR="00D43B8D" w:rsidRPr="008B5D0F">
        <w:t xml:space="preserve"> and poly(A)-enrichment </w:t>
      </w:r>
      <w:r w:rsidR="00D43B8D">
        <w:t>l</w:t>
      </w:r>
      <w:r w:rsidR="00D43B8D" w:rsidRPr="008B5D0F">
        <w:t>ibraries f</w:t>
      </w:r>
      <w:r w:rsidR="00D43B8D">
        <w:t>rom</w:t>
      </w:r>
      <w:r w:rsidR="00D43B8D" w:rsidRPr="008B5D0F">
        <w:t xml:space="preserve"> </w:t>
      </w:r>
      <w:r w:rsidR="00D43B8D" w:rsidRPr="00955004">
        <w:rPr>
          <w:i/>
        </w:rPr>
        <w:t>B. malayi</w:t>
      </w:r>
      <w:r w:rsidR="00D43B8D" w:rsidRPr="008B5D0F">
        <w:t xml:space="preserve"> samples collected following infection of the mosquito vector</w:t>
      </w:r>
    </w:p>
    <w:p w14:paraId="15E3D668" w14:textId="146A14EA" w:rsidR="00D43B8D" w:rsidRPr="008B5D0F" w:rsidRDefault="00DF4E08" w:rsidP="00D43B8D">
      <w:pPr>
        <w:pStyle w:val="Heading2"/>
      </w:pPr>
      <w:r>
        <w:t>Supplementary Dataset</w:t>
      </w:r>
      <w:r w:rsidR="00D43B8D" w:rsidRPr="008B5D0F">
        <w:t xml:space="preserve"> 2: </w:t>
      </w:r>
      <w:r w:rsidR="00D43B8D">
        <w:t>RNA-Seq s</w:t>
      </w:r>
      <w:r w:rsidR="00D43B8D" w:rsidRPr="008B5D0F">
        <w:t>tatistics</w:t>
      </w:r>
      <w:r w:rsidR="00D43B8D">
        <w:t xml:space="preserve"> for</w:t>
      </w:r>
      <w:r w:rsidR="00D43B8D" w:rsidRPr="008B5D0F">
        <w:t xml:space="preserve"> </w:t>
      </w:r>
      <w:r w:rsidR="00D43B8D">
        <w:t>AgSS</w:t>
      </w:r>
      <w:r w:rsidR="00D43B8D" w:rsidRPr="008B5D0F">
        <w:t xml:space="preserve"> and poly(A)-enrichment </w:t>
      </w:r>
      <w:r w:rsidR="00D43B8D">
        <w:t>l</w:t>
      </w:r>
      <w:r w:rsidR="00D43B8D" w:rsidRPr="008B5D0F">
        <w:t>ibraries</w:t>
      </w:r>
      <w:r w:rsidR="00D43B8D">
        <w:t xml:space="preserve"> from </w:t>
      </w:r>
      <w:r w:rsidR="00D43B8D" w:rsidRPr="00955004">
        <w:rPr>
          <w:i/>
        </w:rPr>
        <w:t>A. fumigatus</w:t>
      </w:r>
    </w:p>
    <w:p w14:paraId="60A50649" w14:textId="5A932132" w:rsidR="00D43B8D" w:rsidRPr="008B5D0F" w:rsidRDefault="00DF4E08" w:rsidP="00D43B8D">
      <w:pPr>
        <w:pStyle w:val="Heading2"/>
      </w:pPr>
      <w:r>
        <w:t>Supplementary Dataset</w:t>
      </w:r>
      <w:r w:rsidR="00D43B8D" w:rsidRPr="008B5D0F">
        <w:t xml:space="preserve"> 3: </w:t>
      </w:r>
      <w:r w:rsidR="00D43B8D">
        <w:t>RNA-Seq s</w:t>
      </w:r>
      <w:r w:rsidR="00D43B8D" w:rsidRPr="008B5D0F">
        <w:t>tatistics</w:t>
      </w:r>
      <w:r w:rsidR="00D43B8D">
        <w:t xml:space="preserve"> for</w:t>
      </w:r>
      <w:r w:rsidR="00D43B8D" w:rsidRPr="008B5D0F">
        <w:t xml:space="preserve"> </w:t>
      </w:r>
      <w:r w:rsidR="00D43B8D">
        <w:t>AgSS</w:t>
      </w:r>
      <w:r w:rsidR="00D43B8D" w:rsidRPr="008B5D0F">
        <w:t xml:space="preserve"> and rRNA-, poly(A)-depletion </w:t>
      </w:r>
      <w:r w:rsidR="00D43B8D">
        <w:t xml:space="preserve">libraries from </w:t>
      </w:r>
      <w:r w:rsidR="00D43B8D" w:rsidRPr="00955004">
        <w:rPr>
          <w:i/>
        </w:rPr>
        <w:t>w</w:t>
      </w:r>
      <w:r w:rsidR="00D43B8D">
        <w:t>Bm</w:t>
      </w:r>
    </w:p>
    <w:p w14:paraId="35EEF955" w14:textId="53658D65" w:rsidR="00D43B8D" w:rsidRDefault="00DF4E08" w:rsidP="00D43B8D">
      <w:pPr>
        <w:pStyle w:val="Heading2"/>
      </w:pPr>
      <w:r>
        <w:t>Supplementary Dataset</w:t>
      </w:r>
      <w:r w:rsidR="00D43B8D">
        <w:t xml:space="preserve"> 4: RNA-Seq s</w:t>
      </w:r>
      <w:r w:rsidR="00D43B8D" w:rsidRPr="00880D28">
        <w:t xml:space="preserve">tatistics for </w:t>
      </w:r>
      <w:r w:rsidR="00D43B8D">
        <w:rPr>
          <w:i/>
        </w:rPr>
        <w:t xml:space="preserve">B. malayi </w:t>
      </w:r>
      <w:r w:rsidR="00D43B8D">
        <w:t>transcriptome data using AgSS with total RNA or poly(A)-enriched RNA</w:t>
      </w:r>
    </w:p>
    <w:sectPr w:rsidR="00D43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837"/>
    <w:rsid w:val="002E3246"/>
    <w:rsid w:val="004050C7"/>
    <w:rsid w:val="004C7D0A"/>
    <w:rsid w:val="00D43B8D"/>
    <w:rsid w:val="00DF4E08"/>
    <w:rsid w:val="00EB3FDA"/>
    <w:rsid w:val="00F3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47B43"/>
  <w15:chartTrackingRefBased/>
  <w15:docId w15:val="{4F562287-6FB7-4920-9EB9-C515D041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837"/>
    <w:pPr>
      <w:outlineLvl w:val="0"/>
    </w:pPr>
    <w:rPr>
      <w:b/>
      <w:noProof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33837"/>
    <w:pPr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8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837"/>
    <w:rPr>
      <w:b/>
      <w:noProof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8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33837"/>
    <w:rPr>
      <w:b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9F889-CB29-498F-BF71-92CCA033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Chung</dc:creator>
  <cp:keywords/>
  <dc:description/>
  <cp:lastModifiedBy>Dunning Hotopp, Julie</cp:lastModifiedBy>
  <cp:revision>3</cp:revision>
  <dcterms:created xsi:type="dcterms:W3CDTF">2018-07-25T20:59:00Z</dcterms:created>
  <dcterms:modified xsi:type="dcterms:W3CDTF">2018-07-25T21:23:00Z</dcterms:modified>
</cp:coreProperties>
</file>