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22C" w:rsidRPr="0049022C" w:rsidRDefault="0049022C" w:rsidP="0049022C">
      <w:pPr>
        <w:spacing w:after="0" w:line="259" w:lineRule="auto"/>
        <w:jc w:val="both"/>
        <w:rPr>
          <w:rFonts w:asciiTheme="minorHAnsi" w:hAnsiTheme="minorHAnsi"/>
        </w:rPr>
      </w:pPr>
      <w:r w:rsidRPr="0049022C">
        <w:rPr>
          <w:rFonts w:asciiTheme="minorHAnsi" w:hAnsiTheme="minorHAnsi"/>
          <w:b/>
          <w:sz w:val="40"/>
        </w:rPr>
        <w:t xml:space="preserve">Routine use of HbA1c amongst inpatients hospitalised with decompensated heart failure and the association of dysglycaemia with outcomes </w:t>
      </w:r>
    </w:p>
    <w:p w:rsidR="0049022C" w:rsidRPr="0049022C" w:rsidRDefault="0049022C" w:rsidP="0049022C">
      <w:pPr>
        <w:pStyle w:val="Heading1"/>
        <w:spacing w:after="288"/>
        <w:ind w:left="16"/>
        <w:jc w:val="both"/>
        <w:rPr>
          <w:rFonts w:asciiTheme="minorHAnsi" w:hAnsiTheme="minorHAnsi"/>
          <w:vertAlign w:val="superscript"/>
        </w:rPr>
      </w:pPr>
      <w:r w:rsidRPr="0049022C">
        <w:rPr>
          <w:rFonts w:asciiTheme="minorHAnsi" w:hAnsiTheme="minorHAnsi"/>
        </w:rPr>
        <w:t>Khoo K</w:t>
      </w:r>
      <w:r w:rsidRPr="0049022C">
        <w:rPr>
          <w:rFonts w:asciiTheme="minorHAnsi" w:hAnsiTheme="minorHAnsi"/>
          <w:vertAlign w:val="superscript"/>
        </w:rPr>
        <w:t>1</w:t>
      </w:r>
      <w:r w:rsidRPr="0049022C">
        <w:rPr>
          <w:rFonts w:asciiTheme="minorHAnsi" w:hAnsiTheme="minorHAnsi"/>
        </w:rPr>
        <w:t>, Lew J</w:t>
      </w:r>
      <w:r w:rsidRPr="0049022C">
        <w:rPr>
          <w:rFonts w:asciiTheme="minorHAnsi" w:hAnsiTheme="minorHAnsi"/>
          <w:vertAlign w:val="superscript"/>
        </w:rPr>
        <w:t>1,2</w:t>
      </w:r>
      <w:r w:rsidRPr="0049022C">
        <w:rPr>
          <w:rFonts w:asciiTheme="minorHAnsi" w:hAnsiTheme="minorHAnsi"/>
        </w:rPr>
        <w:t>, Neef P</w:t>
      </w:r>
      <w:r w:rsidRPr="0049022C">
        <w:rPr>
          <w:rFonts w:asciiTheme="minorHAnsi" w:hAnsiTheme="minorHAnsi"/>
          <w:vertAlign w:val="superscript"/>
        </w:rPr>
        <w:t>3</w:t>
      </w:r>
      <w:r w:rsidRPr="0049022C">
        <w:rPr>
          <w:rFonts w:asciiTheme="minorHAnsi" w:hAnsiTheme="minorHAnsi"/>
        </w:rPr>
        <w:t>, Kearney L</w:t>
      </w:r>
      <w:r w:rsidRPr="0049022C">
        <w:rPr>
          <w:rFonts w:asciiTheme="minorHAnsi" w:hAnsiTheme="minorHAnsi"/>
          <w:vertAlign w:val="superscript"/>
        </w:rPr>
        <w:t>4</w:t>
      </w:r>
      <w:r w:rsidRPr="0049022C">
        <w:rPr>
          <w:rFonts w:asciiTheme="minorHAnsi" w:hAnsiTheme="minorHAnsi"/>
        </w:rPr>
        <w:t>, Churilov L</w:t>
      </w:r>
      <w:r w:rsidRPr="0049022C">
        <w:rPr>
          <w:rFonts w:asciiTheme="minorHAnsi" w:hAnsiTheme="minorHAnsi"/>
          <w:vertAlign w:val="superscript"/>
        </w:rPr>
        <w:t>5</w:t>
      </w:r>
      <w:r w:rsidRPr="0049022C">
        <w:rPr>
          <w:rFonts w:asciiTheme="minorHAnsi" w:hAnsiTheme="minorHAnsi"/>
        </w:rPr>
        <w:t>, Robbins R</w:t>
      </w:r>
      <w:r w:rsidRPr="0049022C">
        <w:rPr>
          <w:rFonts w:asciiTheme="minorHAnsi" w:hAnsiTheme="minorHAnsi"/>
          <w:vertAlign w:val="superscript"/>
        </w:rPr>
        <w:t>6</w:t>
      </w:r>
      <w:r w:rsidRPr="0049022C">
        <w:rPr>
          <w:rFonts w:asciiTheme="minorHAnsi" w:hAnsiTheme="minorHAnsi"/>
        </w:rPr>
        <w:t>, Tan A</w:t>
      </w:r>
      <w:r w:rsidRPr="0049022C">
        <w:rPr>
          <w:rFonts w:asciiTheme="minorHAnsi" w:hAnsiTheme="minorHAnsi"/>
          <w:vertAlign w:val="superscript"/>
        </w:rPr>
        <w:t>1</w:t>
      </w:r>
      <w:r w:rsidRPr="0049022C">
        <w:rPr>
          <w:rFonts w:asciiTheme="minorHAnsi" w:hAnsiTheme="minorHAnsi"/>
        </w:rPr>
        <w:t>, Hachem M</w:t>
      </w:r>
      <w:r w:rsidRPr="0049022C">
        <w:rPr>
          <w:rFonts w:asciiTheme="minorHAnsi" w:hAnsiTheme="minorHAnsi"/>
          <w:vertAlign w:val="superscript"/>
        </w:rPr>
        <w:t>2</w:t>
      </w:r>
      <w:r w:rsidRPr="0049022C">
        <w:rPr>
          <w:rFonts w:asciiTheme="minorHAnsi" w:hAnsiTheme="minorHAnsi"/>
        </w:rPr>
        <w:t>, Owen-Jones L</w:t>
      </w:r>
      <w:r w:rsidRPr="0049022C">
        <w:rPr>
          <w:rFonts w:asciiTheme="minorHAnsi" w:hAnsiTheme="minorHAnsi"/>
          <w:vertAlign w:val="superscript"/>
        </w:rPr>
        <w:t>7</w:t>
      </w:r>
      <w:r w:rsidRPr="0049022C">
        <w:rPr>
          <w:rFonts w:asciiTheme="minorHAnsi" w:hAnsiTheme="minorHAnsi"/>
        </w:rPr>
        <w:t>, Lam Q</w:t>
      </w:r>
      <w:r w:rsidRPr="0049022C">
        <w:rPr>
          <w:rFonts w:asciiTheme="minorHAnsi" w:hAnsiTheme="minorHAnsi"/>
          <w:vertAlign w:val="superscript"/>
        </w:rPr>
        <w:t>8</w:t>
      </w:r>
      <w:r w:rsidRPr="0049022C">
        <w:rPr>
          <w:rFonts w:asciiTheme="minorHAnsi" w:hAnsiTheme="minorHAnsi"/>
        </w:rPr>
        <w:t>, Hart G</w:t>
      </w:r>
      <w:r w:rsidRPr="0049022C">
        <w:rPr>
          <w:rFonts w:asciiTheme="minorHAnsi" w:hAnsiTheme="minorHAnsi"/>
          <w:vertAlign w:val="superscript"/>
        </w:rPr>
        <w:t>9</w:t>
      </w:r>
      <w:r w:rsidRPr="0049022C">
        <w:rPr>
          <w:rFonts w:asciiTheme="minorHAnsi" w:hAnsiTheme="minorHAnsi"/>
        </w:rPr>
        <w:t>, Wilson A</w:t>
      </w:r>
      <w:r w:rsidRPr="0049022C">
        <w:rPr>
          <w:rFonts w:asciiTheme="minorHAnsi" w:hAnsiTheme="minorHAnsi"/>
          <w:vertAlign w:val="superscript"/>
        </w:rPr>
        <w:t>2,10</w:t>
      </w:r>
      <w:r w:rsidRPr="0049022C">
        <w:rPr>
          <w:rFonts w:asciiTheme="minorHAnsi" w:hAnsiTheme="minorHAnsi"/>
        </w:rPr>
        <w:t>, Sumithran P</w:t>
      </w:r>
      <w:r w:rsidRPr="0049022C">
        <w:rPr>
          <w:rFonts w:asciiTheme="minorHAnsi" w:hAnsiTheme="minorHAnsi"/>
          <w:vertAlign w:val="superscript"/>
        </w:rPr>
        <w:t>1,2</w:t>
      </w:r>
      <w:r w:rsidRPr="0049022C">
        <w:rPr>
          <w:rFonts w:asciiTheme="minorHAnsi" w:hAnsiTheme="minorHAnsi"/>
        </w:rPr>
        <w:t>, Johnson D</w:t>
      </w:r>
      <w:r w:rsidRPr="0049022C">
        <w:rPr>
          <w:rFonts w:asciiTheme="minorHAnsi" w:hAnsiTheme="minorHAnsi"/>
          <w:vertAlign w:val="superscript"/>
        </w:rPr>
        <w:t>3</w:t>
      </w:r>
      <w:r w:rsidRPr="0049022C">
        <w:rPr>
          <w:rFonts w:asciiTheme="minorHAnsi" w:hAnsiTheme="minorHAnsi"/>
        </w:rPr>
        <w:t>, Srivastava PM</w:t>
      </w:r>
      <w:r w:rsidRPr="0049022C">
        <w:rPr>
          <w:rFonts w:asciiTheme="minorHAnsi" w:hAnsiTheme="minorHAnsi"/>
          <w:vertAlign w:val="superscript"/>
        </w:rPr>
        <w:t>2,4</w:t>
      </w:r>
      <w:r w:rsidRPr="0049022C">
        <w:rPr>
          <w:rFonts w:asciiTheme="minorHAnsi" w:hAnsiTheme="minorHAnsi"/>
        </w:rPr>
        <w:t>, Farouque O</w:t>
      </w:r>
      <w:r w:rsidRPr="0049022C">
        <w:rPr>
          <w:rFonts w:asciiTheme="minorHAnsi" w:hAnsiTheme="minorHAnsi"/>
          <w:vertAlign w:val="superscript"/>
        </w:rPr>
        <w:t>2,4</w:t>
      </w:r>
      <w:r w:rsidRPr="0049022C">
        <w:rPr>
          <w:rFonts w:asciiTheme="minorHAnsi" w:hAnsiTheme="minorHAnsi"/>
        </w:rPr>
        <w:t>, Burrell LM</w:t>
      </w:r>
      <w:r w:rsidRPr="0049022C">
        <w:rPr>
          <w:rFonts w:asciiTheme="minorHAnsi" w:hAnsiTheme="minorHAnsi"/>
          <w:vertAlign w:val="superscript"/>
        </w:rPr>
        <w:t>2,3,4</w:t>
      </w:r>
      <w:r w:rsidRPr="0049022C">
        <w:rPr>
          <w:rFonts w:asciiTheme="minorHAnsi" w:hAnsiTheme="minorHAnsi"/>
        </w:rPr>
        <w:t>, Zajac JD</w:t>
      </w:r>
      <w:r w:rsidRPr="0049022C">
        <w:rPr>
          <w:rFonts w:asciiTheme="minorHAnsi" w:hAnsiTheme="minorHAnsi"/>
          <w:vertAlign w:val="superscript"/>
        </w:rPr>
        <w:t>1,2</w:t>
      </w:r>
      <w:r w:rsidRPr="0049022C">
        <w:rPr>
          <w:rFonts w:asciiTheme="minorHAnsi" w:hAnsiTheme="minorHAnsi"/>
        </w:rPr>
        <w:t>, Ekinci EI</w:t>
      </w:r>
      <w:r w:rsidRPr="0049022C">
        <w:rPr>
          <w:rFonts w:asciiTheme="minorHAnsi" w:hAnsiTheme="minorHAnsi"/>
          <w:vertAlign w:val="superscript"/>
        </w:rPr>
        <w:t>1,2</w:t>
      </w:r>
      <w:r w:rsidRPr="0049022C">
        <w:rPr>
          <w:rFonts w:asciiTheme="minorHAnsi" w:hAnsiTheme="minorHAnsi"/>
          <w:b w:val="0"/>
          <w:vertAlign w:val="superscript"/>
        </w:rPr>
        <w:t>,*</w:t>
      </w:r>
    </w:p>
    <w:p w:rsidR="0049022C" w:rsidRPr="0049022C" w:rsidRDefault="0049022C" w:rsidP="0049022C">
      <w:pPr>
        <w:spacing w:after="3" w:line="265" w:lineRule="auto"/>
        <w:ind w:left="16"/>
        <w:jc w:val="both"/>
        <w:rPr>
          <w:rFonts w:asciiTheme="minorHAnsi" w:hAnsiTheme="minorHAnsi"/>
        </w:rPr>
      </w:pPr>
      <w:r w:rsidRPr="0049022C">
        <w:rPr>
          <w:rFonts w:asciiTheme="minorHAnsi" w:hAnsiTheme="minorHAnsi"/>
          <w:vertAlign w:val="superscript"/>
        </w:rPr>
        <w:t>1</w:t>
      </w:r>
      <w:r w:rsidRPr="0049022C">
        <w:rPr>
          <w:rFonts w:asciiTheme="minorHAnsi" w:hAnsiTheme="minorHAnsi"/>
        </w:rPr>
        <w:t xml:space="preserve"> Department of Endocrinology, Austin Health, Heidelberg, 3084, Victoria, Australia</w:t>
      </w:r>
    </w:p>
    <w:p w:rsidR="0049022C" w:rsidRPr="0049022C" w:rsidRDefault="0049022C" w:rsidP="0049022C">
      <w:pPr>
        <w:spacing w:after="3" w:line="265" w:lineRule="auto"/>
        <w:ind w:left="16"/>
        <w:jc w:val="both"/>
        <w:rPr>
          <w:rFonts w:asciiTheme="minorHAnsi" w:hAnsiTheme="minorHAnsi"/>
        </w:rPr>
      </w:pPr>
      <w:r w:rsidRPr="0049022C">
        <w:rPr>
          <w:rFonts w:asciiTheme="minorHAnsi" w:hAnsiTheme="minorHAnsi"/>
          <w:vertAlign w:val="superscript"/>
        </w:rPr>
        <w:t>2</w:t>
      </w:r>
      <w:r w:rsidRPr="0049022C">
        <w:rPr>
          <w:rFonts w:asciiTheme="minorHAnsi" w:hAnsiTheme="minorHAnsi"/>
        </w:rPr>
        <w:t xml:space="preserve"> Department of Medicine, Austin Health, The University of Melbourne, Heidelberg, 3084 Victoria, Australia</w:t>
      </w:r>
    </w:p>
    <w:p w:rsidR="0049022C" w:rsidRPr="0049022C" w:rsidRDefault="0049022C" w:rsidP="0049022C">
      <w:pPr>
        <w:spacing w:after="3" w:line="265" w:lineRule="auto"/>
        <w:ind w:left="16"/>
        <w:jc w:val="both"/>
        <w:rPr>
          <w:rFonts w:asciiTheme="minorHAnsi" w:hAnsiTheme="minorHAnsi"/>
        </w:rPr>
      </w:pPr>
      <w:r w:rsidRPr="0049022C">
        <w:rPr>
          <w:rFonts w:asciiTheme="minorHAnsi" w:hAnsiTheme="minorHAnsi"/>
          <w:vertAlign w:val="superscript"/>
        </w:rPr>
        <w:t>3</w:t>
      </w:r>
      <w:r w:rsidRPr="0049022C">
        <w:rPr>
          <w:rFonts w:asciiTheme="minorHAnsi" w:hAnsiTheme="minorHAnsi"/>
        </w:rPr>
        <w:t xml:space="preserve"> Department of General Medicine, Austin Health, Heidelberg, 3084, Victoria, Australia</w:t>
      </w:r>
    </w:p>
    <w:p w:rsidR="0049022C" w:rsidRPr="0049022C" w:rsidRDefault="0049022C" w:rsidP="0049022C">
      <w:pPr>
        <w:spacing w:after="3" w:line="265" w:lineRule="auto"/>
        <w:ind w:left="16"/>
        <w:jc w:val="both"/>
        <w:rPr>
          <w:rFonts w:asciiTheme="minorHAnsi" w:hAnsiTheme="minorHAnsi"/>
        </w:rPr>
      </w:pPr>
      <w:r w:rsidRPr="0049022C">
        <w:rPr>
          <w:rFonts w:asciiTheme="minorHAnsi" w:hAnsiTheme="minorHAnsi"/>
          <w:vertAlign w:val="superscript"/>
        </w:rPr>
        <w:t>4</w:t>
      </w:r>
      <w:r w:rsidRPr="0049022C">
        <w:rPr>
          <w:rFonts w:asciiTheme="minorHAnsi" w:hAnsiTheme="minorHAnsi"/>
        </w:rPr>
        <w:t xml:space="preserve"> Department of Cardiology, Austin Health, Heidelberg, 3084, Victoria, Australia</w:t>
      </w:r>
    </w:p>
    <w:p w:rsidR="0049022C" w:rsidRPr="0049022C" w:rsidRDefault="0049022C" w:rsidP="0049022C">
      <w:pPr>
        <w:spacing w:after="3" w:line="265" w:lineRule="auto"/>
        <w:ind w:left="16"/>
        <w:jc w:val="both"/>
        <w:rPr>
          <w:rFonts w:asciiTheme="minorHAnsi" w:hAnsiTheme="minorHAnsi"/>
        </w:rPr>
      </w:pPr>
      <w:r w:rsidRPr="0049022C">
        <w:rPr>
          <w:rFonts w:asciiTheme="minorHAnsi" w:hAnsiTheme="minorHAnsi"/>
          <w:vertAlign w:val="superscript"/>
        </w:rPr>
        <w:t>5</w:t>
      </w:r>
      <w:r w:rsidRPr="0049022C">
        <w:rPr>
          <w:rFonts w:asciiTheme="minorHAnsi" w:hAnsiTheme="minorHAnsi"/>
        </w:rPr>
        <w:t xml:space="preserve"> The Florey Institute of Neuroscience and Mental Health, Heidelberg, 3084, Victoria, Australia</w:t>
      </w:r>
    </w:p>
    <w:p w:rsidR="0049022C" w:rsidRPr="0049022C" w:rsidRDefault="0049022C" w:rsidP="0049022C">
      <w:pPr>
        <w:spacing w:after="3" w:line="265" w:lineRule="auto"/>
        <w:ind w:left="16"/>
        <w:jc w:val="both"/>
        <w:rPr>
          <w:rFonts w:asciiTheme="minorHAnsi" w:hAnsiTheme="minorHAnsi"/>
        </w:rPr>
      </w:pPr>
      <w:r w:rsidRPr="0049022C">
        <w:rPr>
          <w:rFonts w:asciiTheme="minorHAnsi" w:hAnsiTheme="minorHAnsi"/>
          <w:vertAlign w:val="superscript"/>
        </w:rPr>
        <w:t>6</w:t>
      </w:r>
      <w:r w:rsidRPr="0049022C">
        <w:rPr>
          <w:rFonts w:asciiTheme="minorHAnsi" w:hAnsiTheme="minorHAnsi"/>
        </w:rPr>
        <w:t xml:space="preserve"> Department of Strategy, Quality &amp; Service Redesign, Austin Health, Heidelberg, 3084, Victoria, Australia</w:t>
      </w:r>
    </w:p>
    <w:p w:rsidR="0049022C" w:rsidRPr="0049022C" w:rsidRDefault="0049022C" w:rsidP="0049022C">
      <w:pPr>
        <w:spacing w:after="3" w:line="265" w:lineRule="auto"/>
        <w:ind w:left="16"/>
        <w:jc w:val="both"/>
        <w:rPr>
          <w:rFonts w:asciiTheme="minorHAnsi" w:hAnsiTheme="minorHAnsi"/>
        </w:rPr>
      </w:pPr>
      <w:r w:rsidRPr="0049022C">
        <w:rPr>
          <w:rFonts w:asciiTheme="minorHAnsi" w:hAnsiTheme="minorHAnsi"/>
          <w:vertAlign w:val="superscript"/>
        </w:rPr>
        <w:t>7</w:t>
      </w:r>
      <w:r w:rsidRPr="0049022C">
        <w:rPr>
          <w:rFonts w:asciiTheme="minorHAnsi" w:hAnsiTheme="minorHAnsi"/>
        </w:rPr>
        <w:t xml:space="preserve"> Austin Centre for Applied Clinical Informatics, Austin Health, Heidelberg, 3084, Victoria, Australia</w:t>
      </w:r>
    </w:p>
    <w:p w:rsidR="0049022C" w:rsidRPr="0049022C" w:rsidRDefault="0049022C" w:rsidP="0049022C">
      <w:pPr>
        <w:spacing w:after="3" w:line="265" w:lineRule="auto"/>
        <w:ind w:left="16"/>
        <w:jc w:val="both"/>
        <w:rPr>
          <w:rFonts w:asciiTheme="minorHAnsi" w:hAnsiTheme="minorHAnsi"/>
        </w:rPr>
      </w:pPr>
      <w:r w:rsidRPr="0049022C">
        <w:rPr>
          <w:rFonts w:asciiTheme="minorHAnsi" w:hAnsiTheme="minorHAnsi"/>
          <w:vertAlign w:val="superscript"/>
        </w:rPr>
        <w:t>8</w:t>
      </w:r>
      <w:r w:rsidRPr="0049022C">
        <w:rPr>
          <w:rFonts w:asciiTheme="minorHAnsi" w:hAnsiTheme="minorHAnsi"/>
        </w:rPr>
        <w:t xml:space="preserve"> Department of Pathology, Austin Health, Heidelberg, 3084, Victoria, Australia</w:t>
      </w:r>
    </w:p>
    <w:p w:rsidR="0049022C" w:rsidRPr="0049022C" w:rsidRDefault="0049022C" w:rsidP="0049022C">
      <w:pPr>
        <w:spacing w:after="3" w:line="265" w:lineRule="auto"/>
        <w:ind w:left="16"/>
        <w:jc w:val="both"/>
        <w:rPr>
          <w:rFonts w:asciiTheme="minorHAnsi" w:hAnsiTheme="minorHAnsi"/>
        </w:rPr>
      </w:pPr>
      <w:r w:rsidRPr="0049022C">
        <w:rPr>
          <w:rFonts w:asciiTheme="minorHAnsi" w:hAnsiTheme="minorHAnsi"/>
          <w:vertAlign w:val="superscript"/>
        </w:rPr>
        <w:t>9</w:t>
      </w:r>
      <w:r w:rsidRPr="0049022C">
        <w:rPr>
          <w:rFonts w:asciiTheme="minorHAnsi" w:hAnsiTheme="minorHAnsi"/>
        </w:rPr>
        <w:t xml:space="preserve"> Department of Intensive Care, Austin Health, Heidelberg, 3084, Victoria, Australia</w:t>
      </w:r>
    </w:p>
    <w:p w:rsidR="0049022C" w:rsidRPr="0049022C" w:rsidRDefault="0049022C" w:rsidP="0049022C">
      <w:pPr>
        <w:spacing w:after="3" w:line="265" w:lineRule="auto"/>
        <w:ind w:left="16"/>
        <w:jc w:val="both"/>
        <w:rPr>
          <w:rFonts w:asciiTheme="minorHAnsi" w:hAnsiTheme="minorHAnsi"/>
        </w:rPr>
      </w:pPr>
      <w:r w:rsidRPr="0049022C">
        <w:rPr>
          <w:rFonts w:asciiTheme="minorHAnsi" w:hAnsiTheme="minorHAnsi"/>
          <w:vertAlign w:val="superscript"/>
        </w:rPr>
        <w:t>10</w:t>
      </w:r>
      <w:r w:rsidRPr="0049022C">
        <w:rPr>
          <w:rFonts w:asciiTheme="minorHAnsi" w:hAnsiTheme="minorHAnsi"/>
        </w:rPr>
        <w:t xml:space="preserve"> St Vincent’s Hospital Melbourne, Fitzroy, 3065, Victoria, Australia</w:t>
      </w:r>
    </w:p>
    <w:p w:rsidR="0049022C" w:rsidRPr="0049022C" w:rsidRDefault="0049022C" w:rsidP="0049022C">
      <w:pPr>
        <w:spacing w:after="3" w:line="265" w:lineRule="auto"/>
        <w:jc w:val="both"/>
        <w:rPr>
          <w:rFonts w:asciiTheme="minorHAnsi" w:hAnsiTheme="minorHAnsi"/>
        </w:rPr>
      </w:pPr>
      <w:r w:rsidRPr="0049022C">
        <w:rPr>
          <w:rFonts w:asciiTheme="minorHAnsi" w:hAnsiTheme="minorHAnsi"/>
        </w:rPr>
        <w:t xml:space="preserve">*elif.ekinci@unimelb.edu.au  </w:t>
      </w:r>
    </w:p>
    <w:p w:rsidR="0049022C" w:rsidRPr="0049022C" w:rsidRDefault="0049022C" w:rsidP="0049022C">
      <w:pPr>
        <w:spacing w:after="160" w:line="259" w:lineRule="auto"/>
        <w:ind w:left="0" w:firstLine="0"/>
        <w:rPr>
          <w:rFonts w:asciiTheme="minorHAnsi" w:hAnsiTheme="minorHAnsi" w:cs="Arial"/>
          <w:b/>
          <w:szCs w:val="20"/>
          <w:lang w:val="en-US"/>
        </w:rPr>
      </w:pPr>
      <w:r w:rsidRPr="0049022C">
        <w:rPr>
          <w:rFonts w:asciiTheme="minorHAnsi" w:hAnsiTheme="minorHAnsi" w:cs="Arial"/>
          <w:b/>
          <w:szCs w:val="20"/>
          <w:lang w:val="en-US"/>
        </w:rPr>
        <w:br w:type="page"/>
      </w:r>
    </w:p>
    <w:p w:rsidR="0049022C" w:rsidRPr="0049022C" w:rsidRDefault="0049022C" w:rsidP="0049022C">
      <w:pPr>
        <w:suppressLineNumbers/>
        <w:spacing w:line="240" w:lineRule="auto"/>
        <w:ind w:left="0" w:firstLine="0"/>
        <w:jc w:val="both"/>
        <w:rPr>
          <w:rFonts w:asciiTheme="minorHAnsi" w:hAnsiTheme="minorHAnsi" w:cs="Arial"/>
          <w:szCs w:val="20"/>
          <w:lang w:val="en-US"/>
        </w:rPr>
      </w:pPr>
      <w:r w:rsidRPr="0049022C">
        <w:rPr>
          <w:rFonts w:asciiTheme="minorHAnsi" w:hAnsiTheme="minorHAnsi" w:cs="Arial"/>
          <w:b/>
          <w:szCs w:val="20"/>
          <w:lang w:val="en-US"/>
        </w:rPr>
        <w:lastRenderedPageBreak/>
        <w:t>Supplementary data</w:t>
      </w:r>
    </w:p>
    <w:p w:rsidR="0049022C" w:rsidRPr="0049022C" w:rsidRDefault="0049022C" w:rsidP="0049022C">
      <w:pPr>
        <w:suppressLineNumbers/>
        <w:spacing w:line="240" w:lineRule="auto"/>
        <w:jc w:val="both"/>
        <w:rPr>
          <w:rFonts w:asciiTheme="minorHAnsi" w:hAnsiTheme="minorHAnsi" w:cs="Arial"/>
          <w:b/>
          <w:szCs w:val="20"/>
          <w:lang w:val="en-US"/>
        </w:rPr>
      </w:pPr>
      <w:r w:rsidRPr="0049022C">
        <w:rPr>
          <w:rFonts w:asciiTheme="minorHAnsi" w:hAnsiTheme="minorHAnsi" w:cs="Arial"/>
          <w:b/>
          <w:szCs w:val="20"/>
          <w:lang w:val="en-US"/>
        </w:rPr>
        <w:t>Table S1: Patient outcomes – Heart failure admissions without HbA1c</w:t>
      </w:r>
    </w:p>
    <w:tbl>
      <w:tblPr>
        <w:tblStyle w:val="TableGrid"/>
        <w:tblW w:w="6203" w:type="dxa"/>
        <w:tblLook w:val="04A0" w:firstRow="1" w:lastRow="0" w:firstColumn="1" w:lastColumn="0" w:noHBand="0" w:noVBand="1"/>
      </w:tblPr>
      <w:tblGrid>
        <w:gridCol w:w="2250"/>
        <w:gridCol w:w="1402"/>
        <w:gridCol w:w="1559"/>
        <w:gridCol w:w="992"/>
      </w:tblGrid>
      <w:tr w:rsidR="0049022C" w:rsidRPr="0049022C" w:rsidTr="002D1EF8">
        <w:tc>
          <w:tcPr>
            <w:tcW w:w="2250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 xml:space="preserve">Outcome 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N (episodes)</w:t>
            </w:r>
          </w:p>
        </w:tc>
        <w:tc>
          <w:tcPr>
            <w:tcW w:w="1559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No diabetes</w:t>
            </w:r>
          </w:p>
        </w:tc>
        <w:tc>
          <w:tcPr>
            <w:tcW w:w="992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p value</w:t>
            </w:r>
            <w:r w:rsidRPr="0049022C">
              <w:rPr>
                <w:rFonts w:asciiTheme="minorHAnsi" w:hAnsiTheme="minorHAnsi" w:cs="Arial"/>
                <w:b/>
                <w:i/>
                <w:szCs w:val="20"/>
                <w:vertAlign w:val="superscript"/>
                <w:lang w:val="en-US"/>
              </w:rPr>
              <w:t>¶</w:t>
            </w:r>
          </w:p>
        </w:tc>
      </w:tr>
      <w:tr w:rsidR="0049022C" w:rsidRPr="0049022C" w:rsidTr="002D1EF8">
        <w:tc>
          <w:tcPr>
            <w:tcW w:w="2250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szCs w:val="20"/>
                <w:lang w:val="en-GB"/>
              </w:rPr>
              <w:t>Length of stay (days, excluding HITH)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szCs w:val="20"/>
              </w:rPr>
              <w:t>270</w:t>
            </w:r>
          </w:p>
        </w:tc>
        <w:tc>
          <w:tcPr>
            <w:tcW w:w="1559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szCs w:val="20"/>
              </w:rPr>
              <w:t>4 (2, 7)</w:t>
            </w:r>
          </w:p>
        </w:tc>
        <w:tc>
          <w:tcPr>
            <w:tcW w:w="992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szCs w:val="20"/>
                <w:lang w:val="en-GB"/>
              </w:rPr>
              <w:t>0.003</w:t>
            </w:r>
          </w:p>
        </w:tc>
      </w:tr>
      <w:tr w:rsidR="0049022C" w:rsidRPr="0049022C" w:rsidTr="002D1EF8">
        <w:tc>
          <w:tcPr>
            <w:tcW w:w="2250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szCs w:val="20"/>
                <w:lang w:val="en-GB"/>
              </w:rPr>
              <w:t>ICU admission (%)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szCs w:val="20"/>
              </w:rPr>
              <w:t>270</w:t>
            </w:r>
          </w:p>
        </w:tc>
        <w:tc>
          <w:tcPr>
            <w:tcW w:w="1559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szCs w:val="20"/>
              </w:rPr>
              <w:t>13 (4.8%)</w:t>
            </w:r>
          </w:p>
        </w:tc>
        <w:tc>
          <w:tcPr>
            <w:tcW w:w="992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szCs w:val="20"/>
                <w:lang w:val="en-GB"/>
              </w:rPr>
              <w:t>0.49</w:t>
            </w:r>
          </w:p>
        </w:tc>
      </w:tr>
      <w:tr w:rsidR="0049022C" w:rsidRPr="0049022C" w:rsidTr="002D1EF8">
        <w:tc>
          <w:tcPr>
            <w:tcW w:w="2250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szCs w:val="20"/>
                <w:lang w:val="en-GB"/>
              </w:rPr>
              <w:t>Mechanical ventilation (%)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szCs w:val="20"/>
              </w:rPr>
              <w:t>270</w:t>
            </w:r>
          </w:p>
        </w:tc>
        <w:tc>
          <w:tcPr>
            <w:tcW w:w="1559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szCs w:val="20"/>
              </w:rPr>
              <w:t>2 (0.7%)</w:t>
            </w:r>
          </w:p>
        </w:tc>
        <w:tc>
          <w:tcPr>
            <w:tcW w:w="992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szCs w:val="20"/>
                <w:lang w:val="en-GB"/>
              </w:rPr>
              <w:t>0.68</w:t>
            </w:r>
          </w:p>
        </w:tc>
      </w:tr>
      <w:tr w:rsidR="0049022C" w:rsidRPr="0049022C" w:rsidTr="002D1EF8">
        <w:tc>
          <w:tcPr>
            <w:tcW w:w="2250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szCs w:val="20"/>
                <w:lang w:val="en-GB"/>
              </w:rPr>
              <w:t>28-day readmission (%)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szCs w:val="20"/>
              </w:rPr>
              <w:t>270</w:t>
            </w:r>
          </w:p>
        </w:tc>
        <w:tc>
          <w:tcPr>
            <w:tcW w:w="1559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szCs w:val="20"/>
              </w:rPr>
              <w:t>56 (20.7%)</w:t>
            </w:r>
          </w:p>
        </w:tc>
        <w:tc>
          <w:tcPr>
            <w:tcW w:w="992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szCs w:val="20"/>
                <w:lang w:val="en-GB"/>
              </w:rPr>
              <w:t>0.07</w:t>
            </w:r>
          </w:p>
        </w:tc>
      </w:tr>
      <w:tr w:rsidR="0049022C" w:rsidRPr="0049022C" w:rsidTr="002D1EF8">
        <w:tc>
          <w:tcPr>
            <w:tcW w:w="2250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szCs w:val="20"/>
              </w:rPr>
              <w:t>6-month mortality (%)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szCs w:val="20"/>
              </w:rPr>
              <w:t>270</w:t>
            </w:r>
          </w:p>
        </w:tc>
        <w:tc>
          <w:tcPr>
            <w:tcW w:w="1559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szCs w:val="20"/>
              </w:rPr>
              <w:t>55 (20.4%)</w:t>
            </w:r>
          </w:p>
        </w:tc>
        <w:tc>
          <w:tcPr>
            <w:tcW w:w="992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szCs w:val="20"/>
                <w:lang w:val="en-GB"/>
              </w:rPr>
              <w:t>0.93</w:t>
            </w:r>
          </w:p>
        </w:tc>
      </w:tr>
    </w:tbl>
    <w:p w:rsidR="0049022C" w:rsidRPr="0049022C" w:rsidRDefault="0049022C" w:rsidP="0049022C">
      <w:pPr>
        <w:suppressLineNumbers/>
        <w:spacing w:line="240" w:lineRule="auto"/>
        <w:jc w:val="both"/>
        <w:rPr>
          <w:rFonts w:asciiTheme="minorHAnsi" w:hAnsiTheme="minorHAnsi" w:cs="Arial"/>
          <w:szCs w:val="20"/>
          <w:lang w:val="en-US"/>
        </w:rPr>
      </w:pPr>
      <w:r w:rsidRPr="0049022C">
        <w:rPr>
          <w:rFonts w:asciiTheme="minorHAnsi" w:hAnsiTheme="minorHAnsi" w:cs="Arial"/>
          <w:i/>
          <w:szCs w:val="20"/>
          <w:vertAlign w:val="superscript"/>
          <w:lang w:val="en-US"/>
        </w:rPr>
        <w:t xml:space="preserve">¶ </w:t>
      </w:r>
      <w:r w:rsidRPr="0049022C">
        <w:rPr>
          <w:rFonts w:asciiTheme="minorHAnsi" w:hAnsiTheme="minorHAnsi" w:cs="Arial"/>
          <w:i/>
          <w:szCs w:val="20"/>
          <w:lang w:val="en-US"/>
        </w:rPr>
        <w:t>p-value compared to group with an HbA1c within the pre-specified time frame. P-values were determined by Fisher’s exact test for categorical variables and Wilcoxon rank-sum test for continuous variables.</w:t>
      </w:r>
    </w:p>
    <w:p w:rsidR="0049022C" w:rsidRPr="0049022C" w:rsidRDefault="0049022C" w:rsidP="0049022C">
      <w:pPr>
        <w:spacing w:after="160" w:line="259" w:lineRule="auto"/>
        <w:ind w:left="0" w:firstLine="0"/>
        <w:rPr>
          <w:rFonts w:asciiTheme="minorHAnsi" w:hAnsiTheme="minorHAnsi" w:cs="Arial"/>
          <w:b/>
          <w:szCs w:val="20"/>
        </w:rPr>
      </w:pPr>
      <w:r w:rsidRPr="0049022C">
        <w:rPr>
          <w:rFonts w:asciiTheme="minorHAnsi" w:hAnsiTheme="minorHAnsi" w:cs="Arial"/>
          <w:b/>
          <w:szCs w:val="20"/>
        </w:rPr>
        <w:br w:type="page"/>
      </w:r>
    </w:p>
    <w:p w:rsidR="0049022C" w:rsidRPr="0049022C" w:rsidRDefault="0049022C" w:rsidP="0049022C">
      <w:pPr>
        <w:suppressLineNumbers/>
        <w:spacing w:line="240" w:lineRule="auto"/>
        <w:jc w:val="both"/>
        <w:rPr>
          <w:rFonts w:asciiTheme="minorHAnsi" w:hAnsiTheme="minorHAnsi" w:cs="Arial"/>
          <w:b/>
          <w:szCs w:val="20"/>
        </w:rPr>
      </w:pPr>
      <w:r w:rsidRPr="0049022C">
        <w:rPr>
          <w:rFonts w:asciiTheme="minorHAnsi" w:hAnsiTheme="minorHAnsi" w:cs="Arial"/>
          <w:b/>
          <w:szCs w:val="20"/>
        </w:rPr>
        <w:lastRenderedPageBreak/>
        <w:t>Table S2: Admission and discharge diabetes medications in the diabetes group</w:t>
      </w:r>
    </w:p>
    <w:tbl>
      <w:tblPr>
        <w:tblStyle w:val="TableGrid"/>
        <w:tblW w:w="5558" w:type="dxa"/>
        <w:tblLook w:val="04A0" w:firstRow="1" w:lastRow="0" w:firstColumn="1" w:lastColumn="0" w:noHBand="0" w:noVBand="1"/>
      </w:tblPr>
      <w:tblGrid>
        <w:gridCol w:w="2754"/>
        <w:gridCol w:w="1402"/>
        <w:gridCol w:w="1402"/>
      </w:tblGrid>
      <w:tr w:rsidR="0049022C" w:rsidRPr="0049022C" w:rsidTr="002D1EF8">
        <w:tc>
          <w:tcPr>
            <w:tcW w:w="2754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Medication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Admission</w:t>
            </w:r>
          </w:p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(n = 581)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Discharge</w:t>
            </w:r>
          </w:p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(n = 581)</w:t>
            </w:r>
          </w:p>
        </w:tc>
      </w:tr>
      <w:tr w:rsidR="0049022C" w:rsidRPr="0049022C" w:rsidTr="002D1EF8">
        <w:tc>
          <w:tcPr>
            <w:tcW w:w="2754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Metformin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190 (16%)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156 (13%)</w:t>
            </w:r>
          </w:p>
        </w:tc>
      </w:tr>
      <w:tr w:rsidR="0049022C" w:rsidRPr="0049022C" w:rsidTr="002D1EF8">
        <w:tc>
          <w:tcPr>
            <w:tcW w:w="2754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Sulphonylurea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190 (16%)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180 (15%)</w:t>
            </w:r>
          </w:p>
        </w:tc>
      </w:tr>
      <w:tr w:rsidR="0049022C" w:rsidRPr="0049022C" w:rsidTr="002D1EF8">
        <w:tc>
          <w:tcPr>
            <w:tcW w:w="2754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Saxagliptin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3 (0.3%)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3 (0.3%)</w:t>
            </w:r>
          </w:p>
        </w:tc>
      </w:tr>
      <w:tr w:rsidR="0049022C" w:rsidRPr="0049022C" w:rsidTr="002D1EF8">
        <w:tc>
          <w:tcPr>
            <w:tcW w:w="2754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Sitagliptin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18 (2%)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14 (1%)</w:t>
            </w:r>
          </w:p>
        </w:tc>
      </w:tr>
      <w:tr w:rsidR="0049022C" w:rsidRPr="0049022C" w:rsidTr="002D1EF8">
        <w:tc>
          <w:tcPr>
            <w:tcW w:w="2754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Linagliptin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16 (1%)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15 (1%)</w:t>
            </w:r>
          </w:p>
        </w:tc>
      </w:tr>
      <w:tr w:rsidR="0049022C" w:rsidRPr="0049022C" w:rsidTr="002D1EF8">
        <w:tc>
          <w:tcPr>
            <w:tcW w:w="2754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Vildagliptin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7 (0.6%)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7 (0.6%)</w:t>
            </w:r>
          </w:p>
        </w:tc>
      </w:tr>
      <w:tr w:rsidR="0049022C" w:rsidRPr="0049022C" w:rsidTr="002D1EF8">
        <w:tc>
          <w:tcPr>
            <w:tcW w:w="2754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Alogliptin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0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0</w:t>
            </w:r>
          </w:p>
        </w:tc>
      </w:tr>
      <w:tr w:rsidR="0049022C" w:rsidRPr="0049022C" w:rsidTr="002D1EF8">
        <w:tc>
          <w:tcPr>
            <w:tcW w:w="2754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Any DPP-4 inhibitor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44 (4%)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39 (3%)</w:t>
            </w:r>
          </w:p>
        </w:tc>
      </w:tr>
      <w:tr w:rsidR="0049022C" w:rsidRPr="0049022C" w:rsidTr="002D1EF8">
        <w:tc>
          <w:tcPr>
            <w:tcW w:w="2754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Dapagliflozin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 (0.08%)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 (0.1%)</w:t>
            </w:r>
          </w:p>
        </w:tc>
      </w:tr>
      <w:tr w:rsidR="0049022C" w:rsidRPr="0049022C" w:rsidTr="002D1EF8">
        <w:tc>
          <w:tcPr>
            <w:tcW w:w="2754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Empagliflozin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0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0</w:t>
            </w:r>
          </w:p>
        </w:tc>
      </w:tr>
      <w:tr w:rsidR="0049022C" w:rsidRPr="0049022C" w:rsidTr="002D1EF8">
        <w:tc>
          <w:tcPr>
            <w:tcW w:w="2754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Thiazolidinedione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6 (0.5%)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 (0.1%)</w:t>
            </w:r>
          </w:p>
        </w:tc>
      </w:tr>
      <w:tr w:rsidR="0049022C" w:rsidRPr="0049022C" w:rsidTr="002D1EF8">
        <w:tc>
          <w:tcPr>
            <w:tcW w:w="2754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Alpha-glucosidase inhibitor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6 (0.5%)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5 (0.4%)</w:t>
            </w:r>
          </w:p>
        </w:tc>
      </w:tr>
      <w:tr w:rsidR="0049022C" w:rsidRPr="0049022C" w:rsidTr="002D1EF8">
        <w:tc>
          <w:tcPr>
            <w:tcW w:w="2754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Any OHA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310 (26%)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287 (24%)</w:t>
            </w:r>
          </w:p>
        </w:tc>
        <w:bookmarkStart w:id="0" w:name="_GoBack"/>
        <w:bookmarkEnd w:id="0"/>
      </w:tr>
      <w:tr w:rsidR="0049022C" w:rsidRPr="0049022C" w:rsidTr="002D1EF8">
        <w:tc>
          <w:tcPr>
            <w:tcW w:w="2754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GLP-1 agonist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 (0.08%)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 (0.1%)</w:t>
            </w:r>
          </w:p>
        </w:tc>
      </w:tr>
      <w:tr w:rsidR="0049022C" w:rsidRPr="0049022C" w:rsidTr="002D1EF8">
        <w:tc>
          <w:tcPr>
            <w:tcW w:w="2754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Insulin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217 (18%)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207 (17%)</w:t>
            </w:r>
          </w:p>
        </w:tc>
      </w:tr>
      <w:tr w:rsidR="0049022C" w:rsidRPr="0049022C" w:rsidTr="002D1EF8">
        <w:tc>
          <w:tcPr>
            <w:tcW w:w="2754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Diet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32 (3%)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28 (2%)</w:t>
            </w:r>
          </w:p>
        </w:tc>
      </w:tr>
    </w:tbl>
    <w:p w:rsidR="0049022C" w:rsidRPr="0049022C" w:rsidRDefault="0049022C" w:rsidP="0049022C">
      <w:pPr>
        <w:suppressLineNumbers/>
        <w:spacing w:line="240" w:lineRule="auto"/>
        <w:jc w:val="both"/>
        <w:rPr>
          <w:rFonts w:asciiTheme="minorHAnsi" w:hAnsiTheme="minorHAnsi" w:cs="Arial"/>
          <w:b/>
          <w:szCs w:val="20"/>
        </w:rPr>
      </w:pPr>
    </w:p>
    <w:p w:rsidR="0049022C" w:rsidRPr="0049022C" w:rsidRDefault="0049022C" w:rsidP="0049022C">
      <w:pPr>
        <w:spacing w:after="160" w:line="259" w:lineRule="auto"/>
        <w:ind w:left="0" w:firstLine="0"/>
        <w:rPr>
          <w:rFonts w:asciiTheme="minorHAnsi" w:hAnsiTheme="minorHAnsi" w:cs="Arial"/>
          <w:b/>
          <w:szCs w:val="20"/>
        </w:rPr>
      </w:pPr>
      <w:r w:rsidRPr="0049022C">
        <w:rPr>
          <w:rFonts w:asciiTheme="minorHAnsi" w:hAnsiTheme="minorHAnsi" w:cs="Arial"/>
          <w:b/>
          <w:szCs w:val="20"/>
        </w:rPr>
        <w:br w:type="page"/>
      </w:r>
    </w:p>
    <w:p w:rsidR="0049022C" w:rsidRPr="0049022C" w:rsidRDefault="0049022C" w:rsidP="0049022C">
      <w:pPr>
        <w:suppressLineNumbers/>
        <w:spacing w:line="240" w:lineRule="auto"/>
        <w:jc w:val="both"/>
        <w:rPr>
          <w:rFonts w:asciiTheme="minorHAnsi" w:hAnsiTheme="minorHAnsi" w:cs="Arial"/>
          <w:b/>
          <w:szCs w:val="20"/>
        </w:rPr>
      </w:pPr>
      <w:r w:rsidRPr="0049022C">
        <w:rPr>
          <w:rFonts w:asciiTheme="minorHAnsi" w:hAnsiTheme="minorHAnsi" w:cs="Arial"/>
          <w:b/>
          <w:szCs w:val="20"/>
        </w:rPr>
        <w:lastRenderedPageBreak/>
        <w:t>Table S3: Discharge cardiac medications by diabetes status</w:t>
      </w:r>
    </w:p>
    <w:tbl>
      <w:tblPr>
        <w:tblStyle w:val="TableGrid"/>
        <w:tblW w:w="9605" w:type="dxa"/>
        <w:tblLook w:val="04A0" w:firstRow="1" w:lastRow="0" w:firstColumn="1" w:lastColumn="0" w:noHBand="0" w:noVBand="1"/>
      </w:tblPr>
      <w:tblGrid>
        <w:gridCol w:w="2250"/>
        <w:gridCol w:w="1402"/>
        <w:gridCol w:w="1701"/>
        <w:gridCol w:w="1701"/>
        <w:gridCol w:w="1559"/>
        <w:gridCol w:w="992"/>
      </w:tblGrid>
      <w:tr w:rsidR="0049022C" w:rsidRPr="0049022C" w:rsidTr="002D1EF8">
        <w:tc>
          <w:tcPr>
            <w:tcW w:w="2250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Medication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All episodes</w:t>
            </w:r>
          </w:p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(n = 1191)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Diabetes</w:t>
            </w:r>
          </w:p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(n = 581)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Pre-diabetes</w:t>
            </w:r>
          </w:p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(n = 408)</w:t>
            </w:r>
          </w:p>
        </w:tc>
        <w:tc>
          <w:tcPr>
            <w:tcW w:w="1559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No diabetes</w:t>
            </w:r>
          </w:p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(n = 202)</w:t>
            </w:r>
          </w:p>
        </w:tc>
        <w:tc>
          <w:tcPr>
            <w:tcW w:w="992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p value</w:t>
            </w:r>
            <w:r w:rsidRPr="0049022C">
              <w:rPr>
                <w:rFonts w:asciiTheme="minorHAnsi" w:hAnsiTheme="minorHAnsi" w:cs="Arial"/>
                <w:b/>
                <w:i/>
                <w:szCs w:val="20"/>
                <w:vertAlign w:val="superscript"/>
                <w:lang w:val="en-US"/>
              </w:rPr>
              <w:t>¶</w:t>
            </w:r>
          </w:p>
        </w:tc>
      </w:tr>
      <w:tr w:rsidR="0049022C" w:rsidRPr="0049022C" w:rsidTr="002D1EF8">
        <w:tc>
          <w:tcPr>
            <w:tcW w:w="2250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Beta blocker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829 (70%)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420 (72%)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280 (69%)</w:t>
            </w:r>
          </w:p>
        </w:tc>
        <w:tc>
          <w:tcPr>
            <w:tcW w:w="1559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129 (64%)</w:t>
            </w:r>
          </w:p>
        </w:tc>
        <w:tc>
          <w:tcPr>
            <w:tcW w:w="99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0.070</w:t>
            </w:r>
          </w:p>
        </w:tc>
      </w:tr>
      <w:tr w:rsidR="0049022C" w:rsidRPr="0049022C" w:rsidTr="002D1EF8">
        <w:tc>
          <w:tcPr>
            <w:tcW w:w="2250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ACEI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444 (37%)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207 (36%)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163 (40%)</w:t>
            </w:r>
          </w:p>
        </w:tc>
        <w:tc>
          <w:tcPr>
            <w:tcW w:w="1559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74 (37%)</w:t>
            </w:r>
          </w:p>
        </w:tc>
        <w:tc>
          <w:tcPr>
            <w:tcW w:w="99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0.377</w:t>
            </w:r>
          </w:p>
        </w:tc>
      </w:tr>
      <w:tr w:rsidR="0049022C" w:rsidRPr="0049022C" w:rsidTr="002D1EF8">
        <w:tc>
          <w:tcPr>
            <w:tcW w:w="2250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ARB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209 (18%)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112 (19%)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60 (15%)</w:t>
            </w:r>
          </w:p>
        </w:tc>
        <w:tc>
          <w:tcPr>
            <w:tcW w:w="1559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37 (18%)</w:t>
            </w:r>
          </w:p>
        </w:tc>
        <w:tc>
          <w:tcPr>
            <w:tcW w:w="99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0.167</w:t>
            </w:r>
          </w:p>
        </w:tc>
      </w:tr>
      <w:tr w:rsidR="0049022C" w:rsidRPr="0049022C" w:rsidTr="002D1EF8">
        <w:tc>
          <w:tcPr>
            <w:tcW w:w="2250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ACEI or ARB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650 (55%)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317 (55%)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223 (55%)</w:t>
            </w:r>
          </w:p>
        </w:tc>
        <w:tc>
          <w:tcPr>
            <w:tcW w:w="1559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110 (54%)</w:t>
            </w:r>
          </w:p>
        </w:tc>
        <w:tc>
          <w:tcPr>
            <w:tcW w:w="99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1.000</w:t>
            </w:r>
          </w:p>
        </w:tc>
      </w:tr>
      <w:tr w:rsidR="0049022C" w:rsidRPr="0049022C" w:rsidTr="002D1EF8">
        <w:tc>
          <w:tcPr>
            <w:tcW w:w="2250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</w:rPr>
              <w:t>Frusemide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1007 (85%)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502 (86%)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345 (85%)</w:t>
            </w:r>
          </w:p>
        </w:tc>
        <w:tc>
          <w:tcPr>
            <w:tcW w:w="1559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160 (79%)</w:t>
            </w:r>
          </w:p>
        </w:tc>
        <w:tc>
          <w:tcPr>
            <w:tcW w:w="99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0.057</w:t>
            </w:r>
          </w:p>
        </w:tc>
      </w:tr>
      <w:tr w:rsidR="0049022C" w:rsidRPr="0049022C" w:rsidTr="002D1EF8">
        <w:tc>
          <w:tcPr>
            <w:tcW w:w="2250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Aldosterone antagonist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341 (29%)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174 (30%)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121 (30%)</w:t>
            </w:r>
          </w:p>
        </w:tc>
        <w:tc>
          <w:tcPr>
            <w:tcW w:w="1559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46 (23%)</w:t>
            </w:r>
          </w:p>
        </w:tc>
        <w:tc>
          <w:tcPr>
            <w:tcW w:w="99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0.125</w:t>
            </w:r>
          </w:p>
        </w:tc>
      </w:tr>
      <w:tr w:rsidR="0049022C" w:rsidRPr="0049022C" w:rsidTr="002D1EF8">
        <w:tc>
          <w:tcPr>
            <w:tcW w:w="2250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Other diuretic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146 (12%)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95 (16%)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42 (10%)</w:t>
            </w:r>
          </w:p>
        </w:tc>
        <w:tc>
          <w:tcPr>
            <w:tcW w:w="1559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9 (4%)</w:t>
            </w:r>
          </w:p>
        </w:tc>
        <w:tc>
          <w:tcPr>
            <w:tcW w:w="99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&lt;0.001</w:t>
            </w:r>
          </w:p>
        </w:tc>
      </w:tr>
      <w:tr w:rsidR="0049022C" w:rsidRPr="0049022C" w:rsidTr="002D1EF8">
        <w:tc>
          <w:tcPr>
            <w:tcW w:w="2250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Non-DHP CCB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25 (2%)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14 (2%)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7 (2%)</w:t>
            </w:r>
          </w:p>
        </w:tc>
        <w:tc>
          <w:tcPr>
            <w:tcW w:w="1559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4 (2%)</w:t>
            </w:r>
          </w:p>
        </w:tc>
        <w:tc>
          <w:tcPr>
            <w:tcW w:w="99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0.739</w:t>
            </w:r>
          </w:p>
        </w:tc>
      </w:tr>
      <w:tr w:rsidR="0049022C" w:rsidRPr="0049022C" w:rsidTr="002D1EF8">
        <w:tc>
          <w:tcPr>
            <w:tcW w:w="2250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DHP CCB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191 (16%)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118 (20%)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44 (11%)</w:t>
            </w:r>
          </w:p>
        </w:tc>
        <w:tc>
          <w:tcPr>
            <w:tcW w:w="1559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29 (14%)</w:t>
            </w:r>
          </w:p>
        </w:tc>
        <w:tc>
          <w:tcPr>
            <w:tcW w:w="99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&lt;0.001</w:t>
            </w:r>
          </w:p>
        </w:tc>
      </w:tr>
      <w:tr w:rsidR="0049022C" w:rsidRPr="0049022C" w:rsidTr="002D1EF8">
        <w:tc>
          <w:tcPr>
            <w:tcW w:w="2250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Statin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673 (57%)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388 (67%)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206 (50%)</w:t>
            </w:r>
          </w:p>
        </w:tc>
        <w:tc>
          <w:tcPr>
            <w:tcW w:w="1559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79 (39%)</w:t>
            </w:r>
          </w:p>
        </w:tc>
        <w:tc>
          <w:tcPr>
            <w:tcW w:w="99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&lt;0.001</w:t>
            </w:r>
          </w:p>
        </w:tc>
      </w:tr>
      <w:tr w:rsidR="0049022C" w:rsidRPr="0049022C" w:rsidTr="002D1EF8">
        <w:tc>
          <w:tcPr>
            <w:tcW w:w="2250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Digoxin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131 (11%)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67 (6%)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49 (12%)</w:t>
            </w:r>
          </w:p>
        </w:tc>
        <w:tc>
          <w:tcPr>
            <w:tcW w:w="1559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15 (7%)</w:t>
            </w:r>
          </w:p>
        </w:tc>
        <w:tc>
          <w:tcPr>
            <w:tcW w:w="99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0.191</w:t>
            </w:r>
          </w:p>
        </w:tc>
      </w:tr>
      <w:tr w:rsidR="0049022C" w:rsidRPr="0049022C" w:rsidTr="002D1EF8">
        <w:tc>
          <w:tcPr>
            <w:tcW w:w="2250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Ivabradine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6 (0.5%)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3 (0.5%)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2 (0.5%)</w:t>
            </w:r>
          </w:p>
        </w:tc>
        <w:tc>
          <w:tcPr>
            <w:tcW w:w="1559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 (0.5%)</w:t>
            </w:r>
          </w:p>
        </w:tc>
        <w:tc>
          <w:tcPr>
            <w:tcW w:w="99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</w:t>
            </w:r>
          </w:p>
        </w:tc>
      </w:tr>
      <w:tr w:rsidR="0049022C" w:rsidRPr="0049022C" w:rsidTr="002D1EF8">
        <w:tc>
          <w:tcPr>
            <w:tcW w:w="2250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Hydralazine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3 (0.3%)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 (0.2%)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 (0.2%)</w:t>
            </w:r>
          </w:p>
        </w:tc>
        <w:tc>
          <w:tcPr>
            <w:tcW w:w="1559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 (0.5%)</w:t>
            </w:r>
          </w:p>
        </w:tc>
        <w:tc>
          <w:tcPr>
            <w:tcW w:w="99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0.583</w:t>
            </w:r>
          </w:p>
        </w:tc>
      </w:tr>
      <w:tr w:rsidR="0049022C" w:rsidRPr="0049022C" w:rsidTr="002D1EF8">
        <w:tc>
          <w:tcPr>
            <w:tcW w:w="2250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Amiodarone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108 (9%)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50 (9%)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36 (9%)</w:t>
            </w:r>
          </w:p>
        </w:tc>
        <w:tc>
          <w:tcPr>
            <w:tcW w:w="1559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22 (11%)</w:t>
            </w:r>
          </w:p>
        </w:tc>
        <w:tc>
          <w:tcPr>
            <w:tcW w:w="99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0.602</w:t>
            </w:r>
          </w:p>
        </w:tc>
      </w:tr>
      <w:tr w:rsidR="0049022C" w:rsidRPr="0049022C" w:rsidTr="002D1EF8">
        <w:tc>
          <w:tcPr>
            <w:tcW w:w="2250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Nitrate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276 (23%)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152 (26%)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75 (18%)</w:t>
            </w:r>
          </w:p>
        </w:tc>
        <w:tc>
          <w:tcPr>
            <w:tcW w:w="1559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49 (24%)</w:t>
            </w:r>
          </w:p>
        </w:tc>
        <w:tc>
          <w:tcPr>
            <w:tcW w:w="99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0.014</w:t>
            </w:r>
          </w:p>
        </w:tc>
      </w:tr>
      <w:tr w:rsidR="0049022C" w:rsidRPr="0049022C" w:rsidTr="002D1EF8">
        <w:tc>
          <w:tcPr>
            <w:tcW w:w="2250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Anticoagulant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411 (35%)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207 (36%)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152 (37%)</w:t>
            </w:r>
          </w:p>
        </w:tc>
        <w:tc>
          <w:tcPr>
            <w:tcW w:w="1559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52 (26%)</w:t>
            </w:r>
          </w:p>
        </w:tc>
        <w:tc>
          <w:tcPr>
            <w:tcW w:w="99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0.013</w:t>
            </w:r>
          </w:p>
        </w:tc>
      </w:tr>
      <w:tr w:rsidR="0049022C" w:rsidRPr="0049022C" w:rsidTr="002D1EF8">
        <w:tc>
          <w:tcPr>
            <w:tcW w:w="2250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Antiplatelet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644 (54%)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335 (58%)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195 (48%)</w:t>
            </w:r>
          </w:p>
        </w:tc>
        <w:tc>
          <w:tcPr>
            <w:tcW w:w="1559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114 (56%)</w:t>
            </w:r>
          </w:p>
        </w:tc>
        <w:tc>
          <w:tcPr>
            <w:tcW w:w="99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0.007</w:t>
            </w:r>
          </w:p>
        </w:tc>
      </w:tr>
      <w:tr w:rsidR="0049022C" w:rsidRPr="0049022C" w:rsidTr="002D1EF8">
        <w:tc>
          <w:tcPr>
            <w:tcW w:w="2250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Allopurinol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171 (14%)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97 (17%)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55 (13%)</w:t>
            </w:r>
          </w:p>
        </w:tc>
        <w:tc>
          <w:tcPr>
            <w:tcW w:w="1559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19 (9%)</w:t>
            </w:r>
          </w:p>
        </w:tc>
        <w:tc>
          <w:tcPr>
            <w:tcW w:w="99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0.030</w:t>
            </w:r>
          </w:p>
        </w:tc>
      </w:tr>
      <w:tr w:rsidR="0049022C" w:rsidRPr="0049022C" w:rsidTr="002D1EF8">
        <w:tc>
          <w:tcPr>
            <w:tcW w:w="2250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NSAID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7 (0.6%)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2 (0.3%)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3 (0.7%)</w:t>
            </w:r>
          </w:p>
        </w:tc>
        <w:tc>
          <w:tcPr>
            <w:tcW w:w="1559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2 (1%)</w:t>
            </w:r>
          </w:p>
        </w:tc>
        <w:tc>
          <w:tcPr>
            <w:tcW w:w="99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0.355</w:t>
            </w:r>
          </w:p>
        </w:tc>
      </w:tr>
      <w:tr w:rsidR="0049022C" w:rsidRPr="0049022C" w:rsidTr="002D1EF8">
        <w:tc>
          <w:tcPr>
            <w:tcW w:w="2250" w:type="dxa"/>
          </w:tcPr>
          <w:p w:rsidR="0049022C" w:rsidRPr="0049022C" w:rsidRDefault="0049022C" w:rsidP="002D1EF8">
            <w:pPr>
              <w:spacing w:after="160"/>
              <w:jc w:val="both"/>
              <w:rPr>
                <w:rFonts w:asciiTheme="minorHAnsi" w:hAnsiTheme="minorHAnsi" w:cs="Arial"/>
                <w:b/>
                <w:szCs w:val="20"/>
                <w:lang w:val="en-GB"/>
              </w:rPr>
            </w:pPr>
            <w:r w:rsidRPr="0049022C">
              <w:rPr>
                <w:rFonts w:asciiTheme="minorHAnsi" w:hAnsiTheme="minorHAnsi" w:cs="Arial"/>
                <w:b/>
                <w:szCs w:val="20"/>
                <w:lang w:val="en-GB"/>
              </w:rPr>
              <w:t>Antidepressant</w:t>
            </w:r>
          </w:p>
        </w:tc>
        <w:tc>
          <w:tcPr>
            <w:tcW w:w="140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254 (21%)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124 (21%)</w:t>
            </w:r>
          </w:p>
        </w:tc>
        <w:tc>
          <w:tcPr>
            <w:tcW w:w="1701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83 (20%)</w:t>
            </w:r>
          </w:p>
        </w:tc>
        <w:tc>
          <w:tcPr>
            <w:tcW w:w="1559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47 (23%)</w:t>
            </w:r>
          </w:p>
        </w:tc>
        <w:tc>
          <w:tcPr>
            <w:tcW w:w="992" w:type="dxa"/>
          </w:tcPr>
          <w:p w:rsidR="0049022C" w:rsidRPr="0049022C" w:rsidRDefault="0049022C" w:rsidP="002D1EF8">
            <w:pPr>
              <w:jc w:val="both"/>
              <w:rPr>
                <w:rFonts w:asciiTheme="minorHAnsi" w:hAnsiTheme="minorHAnsi" w:cs="Arial"/>
                <w:szCs w:val="20"/>
                <w:lang w:val="en-GB"/>
              </w:rPr>
            </w:pPr>
            <w:r w:rsidRPr="0049022C">
              <w:rPr>
                <w:rStyle w:val="Hyperlink"/>
                <w:rFonts w:asciiTheme="minorHAnsi" w:hAnsiTheme="minorHAnsi" w:cs="Arial"/>
                <w:color w:val="auto"/>
                <w:szCs w:val="20"/>
                <w:u w:val="none"/>
              </w:rPr>
              <w:t>0.702</w:t>
            </w:r>
          </w:p>
        </w:tc>
      </w:tr>
    </w:tbl>
    <w:p w:rsidR="0049022C" w:rsidRPr="0049022C" w:rsidRDefault="0049022C" w:rsidP="0049022C">
      <w:pPr>
        <w:suppressLineNumbers/>
        <w:spacing w:line="240" w:lineRule="auto"/>
        <w:jc w:val="both"/>
        <w:rPr>
          <w:rFonts w:asciiTheme="minorHAnsi" w:hAnsiTheme="minorHAnsi" w:cs="Arial"/>
          <w:szCs w:val="20"/>
          <w:lang w:val="en-US"/>
        </w:rPr>
      </w:pPr>
    </w:p>
    <w:p w:rsidR="0049022C" w:rsidRPr="0049022C" w:rsidRDefault="0049022C" w:rsidP="0049022C">
      <w:pPr>
        <w:spacing w:after="0" w:line="259" w:lineRule="auto"/>
        <w:ind w:left="0" w:right="35" w:firstLine="0"/>
        <w:jc w:val="both"/>
        <w:rPr>
          <w:rFonts w:asciiTheme="minorHAnsi" w:hAnsiTheme="minorHAnsi"/>
        </w:rPr>
      </w:pPr>
    </w:p>
    <w:p w:rsidR="00C33109" w:rsidRPr="0049022C" w:rsidRDefault="00C33109"/>
    <w:sectPr w:rsidR="00C33109" w:rsidRPr="0049022C">
      <w:footerReference w:type="default" r:id="rId4"/>
      <w:pgSz w:w="12240" w:h="15840"/>
      <w:pgMar w:top="1283" w:right="1099" w:bottom="639" w:left="111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4809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B1710" w:rsidRDefault="0049022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B1710" w:rsidRDefault="0049022C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22C"/>
    <w:rsid w:val="0049022C"/>
    <w:rsid w:val="00C3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DE7233-DF16-4504-8C86-DE39AE80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22C"/>
    <w:pPr>
      <w:spacing w:after="271" w:line="248" w:lineRule="auto"/>
      <w:ind w:left="31" w:hanging="10"/>
    </w:pPr>
    <w:rPr>
      <w:rFonts w:ascii="Calibri" w:eastAsia="Calibri" w:hAnsi="Calibri" w:cs="Calibri"/>
      <w:color w:val="000000"/>
      <w:sz w:val="20"/>
      <w:lang w:eastAsia="en-AU"/>
    </w:rPr>
  </w:style>
  <w:style w:type="paragraph" w:styleId="Heading1">
    <w:name w:val="heading 1"/>
    <w:next w:val="Normal"/>
    <w:link w:val="Heading1Char"/>
    <w:uiPriority w:val="9"/>
    <w:unhideWhenUsed/>
    <w:qFormat/>
    <w:rsid w:val="0049022C"/>
    <w:pPr>
      <w:keepNext/>
      <w:keepLines/>
      <w:spacing w:after="24"/>
      <w:ind w:left="22" w:hanging="10"/>
      <w:outlineLvl w:val="0"/>
    </w:pPr>
    <w:rPr>
      <w:rFonts w:ascii="Calibri" w:eastAsia="Calibri" w:hAnsi="Calibri" w:cs="Calibri"/>
      <w:b/>
      <w:color w:val="000000"/>
      <w:sz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22C"/>
    <w:rPr>
      <w:rFonts w:ascii="Calibri" w:eastAsia="Calibri" w:hAnsi="Calibri" w:cs="Calibri"/>
      <w:b/>
      <w:color w:val="000000"/>
      <w:sz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49022C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49022C"/>
    <w:pPr>
      <w:spacing w:after="0" w:line="240" w:lineRule="auto"/>
    </w:pPr>
    <w:rPr>
      <w:rFonts w:eastAsiaTheme="minorEastAsia"/>
      <w:sz w:val="24"/>
      <w:szCs w:val="24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902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22C"/>
    <w:rPr>
      <w:rFonts w:ascii="Calibri" w:eastAsia="Calibri" w:hAnsi="Calibri" w:cs="Calibri"/>
      <w:color w:val="000000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 Hachem</dc:creator>
  <cp:keywords/>
  <dc:description/>
  <cp:lastModifiedBy>Mariam Hachem</cp:lastModifiedBy>
  <cp:revision>1</cp:revision>
  <dcterms:created xsi:type="dcterms:W3CDTF">2018-07-23T00:29:00Z</dcterms:created>
  <dcterms:modified xsi:type="dcterms:W3CDTF">2018-07-23T00:29:00Z</dcterms:modified>
</cp:coreProperties>
</file>