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D1F" w:rsidRDefault="00AE7D1F" w:rsidP="00AE7D1F">
      <w:pPr>
        <w:spacing w:line="480" w:lineRule="auto"/>
        <w:jc w:val="center"/>
        <w:rPr>
          <w:rFonts w:cs="Arial"/>
          <w:b/>
        </w:rPr>
      </w:pPr>
      <w:r>
        <w:rPr>
          <w:rFonts w:cs="Arial"/>
          <w:b/>
        </w:rPr>
        <w:t xml:space="preserve">Risk of Incident Cardiovascular Disease and Cardiovascular Risk Factors </w:t>
      </w:r>
      <w:r w:rsidRPr="00B552FB">
        <w:rPr>
          <w:rFonts w:cs="Arial"/>
          <w:b/>
        </w:rPr>
        <w:t xml:space="preserve">in </w:t>
      </w:r>
      <w:r>
        <w:rPr>
          <w:rFonts w:cs="Arial"/>
          <w:b/>
        </w:rPr>
        <w:t>First and Second-Generation Indians:</w:t>
      </w:r>
      <w:r w:rsidRPr="00B552FB">
        <w:rPr>
          <w:rFonts w:cs="Arial"/>
          <w:b/>
        </w:rPr>
        <w:t xml:space="preserve"> </w:t>
      </w:r>
      <w:r>
        <w:rPr>
          <w:rFonts w:cs="Arial"/>
          <w:b/>
        </w:rPr>
        <w:t>The Singapore Indian Eye Study</w:t>
      </w:r>
    </w:p>
    <w:p w:rsidR="00AE7D1F" w:rsidRDefault="00AE7D1F" w:rsidP="00AE7D1F">
      <w:pPr>
        <w:spacing w:line="480" w:lineRule="auto"/>
        <w:jc w:val="center"/>
        <w:rPr>
          <w:rFonts w:cs="Arial"/>
          <w:b/>
        </w:rPr>
      </w:pPr>
    </w:p>
    <w:p w:rsidR="00AE7D1F" w:rsidRPr="00762AE4" w:rsidRDefault="00AE7D1F" w:rsidP="00AE7D1F">
      <w:pPr>
        <w:spacing w:line="360" w:lineRule="auto"/>
        <w:jc w:val="center"/>
        <w:outlineLvl w:val="0"/>
        <w:rPr>
          <w:rFonts w:cs="Arial"/>
          <w:b/>
        </w:rPr>
      </w:pPr>
      <w:r w:rsidRPr="00762AE4">
        <w:rPr>
          <w:rFonts w:cs="Arial"/>
          <w:b/>
        </w:rPr>
        <w:t xml:space="preserve">Running Head: </w:t>
      </w:r>
      <w:r>
        <w:rPr>
          <w:rFonts w:cs="Arial"/>
        </w:rPr>
        <w:t>Generational influence on Incident CVD and risk factors</w:t>
      </w:r>
    </w:p>
    <w:p w:rsidR="00AE7D1F" w:rsidRDefault="00AE7D1F" w:rsidP="00AE7D1F">
      <w:pPr>
        <w:spacing w:line="360" w:lineRule="auto"/>
        <w:jc w:val="both"/>
        <w:rPr>
          <w:rFonts w:cs="Arial"/>
        </w:rPr>
      </w:pPr>
    </w:p>
    <w:p w:rsidR="00AE7D1F" w:rsidRDefault="00AE7D1F" w:rsidP="00AE7D1F">
      <w:pPr>
        <w:spacing w:line="360" w:lineRule="auto"/>
        <w:jc w:val="both"/>
        <w:rPr>
          <w:rFonts w:cs="Arial"/>
          <w:vertAlign w:val="superscript"/>
        </w:rPr>
      </w:pPr>
      <w:r>
        <w:rPr>
          <w:rFonts w:cs="Arial"/>
        </w:rPr>
        <w:t>Preeti Gupta, PhD</w:t>
      </w:r>
      <w:r w:rsidRPr="00762AE4">
        <w:rPr>
          <w:rFonts w:cs="Arial"/>
          <w:vertAlign w:val="superscript"/>
        </w:rPr>
        <w:t>1</w:t>
      </w:r>
      <w:r w:rsidRPr="00762AE4">
        <w:rPr>
          <w:rFonts w:cs="Arial"/>
        </w:rPr>
        <w:t>,</w:t>
      </w:r>
      <w:r>
        <w:rPr>
          <w:rFonts w:cs="Arial"/>
        </w:rPr>
        <w:t xml:space="preserve"> Alfred Tau Liang Gan, MSc</w:t>
      </w:r>
      <w:r>
        <w:rPr>
          <w:rFonts w:cs="Arial"/>
          <w:vertAlign w:val="superscript"/>
        </w:rPr>
        <w:t>1</w:t>
      </w:r>
      <w:r w:rsidRPr="00762AE4">
        <w:rPr>
          <w:rFonts w:cs="Arial"/>
        </w:rPr>
        <w:t>,</w:t>
      </w:r>
      <w:r>
        <w:rPr>
          <w:rFonts w:cs="Arial"/>
        </w:rPr>
        <w:t xml:space="preserve"> Ryan Eyn Kidd </w:t>
      </w:r>
      <w:r w:rsidRPr="00762AE4">
        <w:rPr>
          <w:rFonts w:cs="Arial"/>
        </w:rPr>
        <w:t xml:space="preserve">Man, </w:t>
      </w:r>
      <w:r>
        <w:rPr>
          <w:rFonts w:cs="Arial"/>
        </w:rPr>
        <w:t>PhD</w:t>
      </w:r>
      <w:r w:rsidRPr="00762AE4">
        <w:rPr>
          <w:rFonts w:cs="Arial"/>
          <w:vertAlign w:val="superscript"/>
        </w:rPr>
        <w:t>1</w:t>
      </w:r>
      <w:r w:rsidRPr="00762AE4">
        <w:rPr>
          <w:rFonts w:cs="Arial"/>
        </w:rPr>
        <w:t xml:space="preserve">, </w:t>
      </w:r>
      <w:r>
        <w:rPr>
          <w:rFonts w:cs="Arial"/>
        </w:rPr>
        <w:t>Eva K. Fenwick, PhD</w:t>
      </w:r>
      <w:r w:rsidRPr="00762AE4">
        <w:rPr>
          <w:rFonts w:cs="Arial"/>
          <w:vertAlign w:val="superscript"/>
        </w:rPr>
        <w:t>1,2</w:t>
      </w:r>
      <w:r w:rsidRPr="00762AE4">
        <w:rPr>
          <w:rFonts w:cs="Arial"/>
        </w:rPr>
        <w:t xml:space="preserve">, </w:t>
      </w:r>
      <w:r>
        <w:rPr>
          <w:rFonts w:cs="Arial"/>
        </w:rPr>
        <w:t>Yih-Chung Tham, PhD</w:t>
      </w:r>
      <w:r w:rsidRPr="00762AE4">
        <w:rPr>
          <w:rFonts w:cs="Arial"/>
          <w:vertAlign w:val="superscript"/>
        </w:rPr>
        <w:t>1</w:t>
      </w:r>
      <w:r w:rsidRPr="00762AE4">
        <w:rPr>
          <w:rFonts w:cs="Arial"/>
        </w:rPr>
        <w:t>,</w:t>
      </w:r>
      <w:r>
        <w:rPr>
          <w:rFonts w:cs="Arial"/>
        </w:rPr>
        <w:t xml:space="preserve"> Charumathi Sabanayagam, MD, PhD</w:t>
      </w:r>
      <w:r>
        <w:rPr>
          <w:rFonts w:cs="Arial"/>
          <w:vertAlign w:val="superscript"/>
        </w:rPr>
        <w:t>1,2</w:t>
      </w:r>
      <w:r w:rsidRPr="00762AE4">
        <w:rPr>
          <w:rFonts w:cs="Arial"/>
        </w:rPr>
        <w:t xml:space="preserve">, </w:t>
      </w:r>
      <w:r>
        <w:rPr>
          <w:rFonts w:cs="Arial"/>
        </w:rPr>
        <w:t xml:space="preserve">Tien Yin </w:t>
      </w:r>
      <w:r w:rsidRPr="00762AE4">
        <w:rPr>
          <w:rFonts w:cs="Arial"/>
        </w:rPr>
        <w:t xml:space="preserve">Wong, </w:t>
      </w:r>
      <w:r>
        <w:rPr>
          <w:rFonts w:cs="Arial"/>
        </w:rPr>
        <w:t>MD, PhD</w:t>
      </w:r>
      <w:r w:rsidRPr="00762AE4">
        <w:rPr>
          <w:rFonts w:cs="Arial"/>
          <w:vertAlign w:val="superscript"/>
        </w:rPr>
        <w:t>1,2</w:t>
      </w:r>
      <w:r>
        <w:rPr>
          <w:rFonts w:cs="Arial"/>
          <w:vertAlign w:val="superscript"/>
        </w:rPr>
        <w:t>,3,4</w:t>
      </w:r>
      <w:r>
        <w:rPr>
          <w:rFonts w:cs="Arial"/>
        </w:rPr>
        <w:t>,</w:t>
      </w:r>
      <w:r w:rsidRPr="00762AE4">
        <w:rPr>
          <w:rFonts w:cs="Arial"/>
        </w:rPr>
        <w:t xml:space="preserve"> </w:t>
      </w:r>
      <w:r>
        <w:rPr>
          <w:rFonts w:cs="Arial"/>
        </w:rPr>
        <w:t>Ching-Yu Cheng MD, PhD</w:t>
      </w:r>
      <w:r w:rsidRPr="00B552FB">
        <w:rPr>
          <w:rFonts w:cs="Arial"/>
          <w:vertAlign w:val="superscript"/>
        </w:rPr>
        <w:t>1,2,</w:t>
      </w:r>
      <w:r>
        <w:rPr>
          <w:rFonts w:cs="Arial"/>
          <w:vertAlign w:val="superscript"/>
        </w:rPr>
        <w:t>3,</w:t>
      </w:r>
      <w:r w:rsidRPr="00B552FB">
        <w:rPr>
          <w:rFonts w:cs="Arial"/>
          <w:vertAlign w:val="superscript"/>
        </w:rPr>
        <w:t>4</w:t>
      </w:r>
      <w:r w:rsidRPr="00762AE4">
        <w:rPr>
          <w:rFonts w:cs="Arial"/>
        </w:rPr>
        <w:t xml:space="preserve">, </w:t>
      </w:r>
      <w:r>
        <w:rPr>
          <w:rFonts w:cs="Arial"/>
        </w:rPr>
        <w:t>Ecosse L. Lamoureux*, PhD</w:t>
      </w:r>
      <w:r w:rsidRPr="00762AE4">
        <w:rPr>
          <w:rFonts w:cs="Arial"/>
          <w:vertAlign w:val="superscript"/>
        </w:rPr>
        <w:t>1,2</w:t>
      </w:r>
      <w:r>
        <w:rPr>
          <w:rFonts w:cs="Arial"/>
          <w:vertAlign w:val="superscript"/>
        </w:rPr>
        <w:t>,4</w:t>
      </w:r>
    </w:p>
    <w:p w:rsidR="00AE7D1F" w:rsidRPr="00762AE4" w:rsidRDefault="00AE7D1F" w:rsidP="00AE7D1F">
      <w:pPr>
        <w:spacing w:line="360" w:lineRule="auto"/>
        <w:jc w:val="both"/>
        <w:rPr>
          <w:rFonts w:cs="Arial"/>
          <w:b/>
        </w:rPr>
      </w:pPr>
    </w:p>
    <w:p w:rsidR="00AE7D1F" w:rsidRPr="00762AE4" w:rsidRDefault="00AE7D1F" w:rsidP="00AE7D1F">
      <w:pPr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762AE4">
        <w:rPr>
          <w:rFonts w:cs="Arial"/>
        </w:rPr>
        <w:t xml:space="preserve">Singapore Eye Research Institute, Singapore </w:t>
      </w:r>
    </w:p>
    <w:p w:rsidR="00AE7D1F" w:rsidRPr="00762AE4" w:rsidRDefault="00AE7D1F" w:rsidP="00AE7D1F">
      <w:pPr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762AE4">
        <w:rPr>
          <w:rFonts w:cs="Arial"/>
        </w:rPr>
        <w:t>Duke-NUS Medical School, Singapore</w:t>
      </w:r>
    </w:p>
    <w:p w:rsidR="00AE7D1F" w:rsidRDefault="00AE7D1F" w:rsidP="00AE7D1F">
      <w:pPr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762AE4">
        <w:rPr>
          <w:rFonts w:cs="Arial"/>
        </w:rPr>
        <w:t>Singapore National Eye Centre, Singapore</w:t>
      </w:r>
    </w:p>
    <w:p w:rsidR="00AE7D1F" w:rsidRPr="00762AE4" w:rsidRDefault="00AE7D1F" w:rsidP="00AE7D1F">
      <w:pPr>
        <w:numPr>
          <w:ilvl w:val="0"/>
          <w:numId w:val="1"/>
        </w:numPr>
        <w:spacing w:line="360" w:lineRule="auto"/>
        <w:jc w:val="both"/>
        <w:rPr>
          <w:rFonts w:cs="Arial"/>
        </w:rPr>
      </w:pPr>
      <w:r>
        <w:rPr>
          <w:rFonts w:cs="Arial"/>
        </w:rPr>
        <w:t>National University of Singapore, Dept. of Ophthalmology, Singapore</w:t>
      </w:r>
    </w:p>
    <w:p w:rsidR="00AE7D1F" w:rsidRPr="00762AE4" w:rsidRDefault="00AE7D1F" w:rsidP="00AE7D1F">
      <w:pPr>
        <w:spacing w:line="360" w:lineRule="auto"/>
        <w:jc w:val="both"/>
        <w:rPr>
          <w:rFonts w:cs="Arial"/>
          <w:b/>
        </w:rPr>
      </w:pPr>
    </w:p>
    <w:p w:rsidR="00AE7D1F" w:rsidRPr="00762AE4" w:rsidRDefault="00AE7D1F" w:rsidP="00AE7D1F">
      <w:pPr>
        <w:spacing w:line="360" w:lineRule="auto"/>
        <w:jc w:val="both"/>
        <w:outlineLvl w:val="0"/>
        <w:rPr>
          <w:rFonts w:cs="Arial"/>
          <w:b/>
        </w:rPr>
      </w:pPr>
      <w:r w:rsidRPr="00762AE4">
        <w:rPr>
          <w:rFonts w:cs="Arial"/>
          <w:b/>
        </w:rPr>
        <w:t xml:space="preserve">Corresponding author: </w:t>
      </w:r>
    </w:p>
    <w:p w:rsidR="00AE7D1F" w:rsidRDefault="00AE7D1F" w:rsidP="00AE7D1F">
      <w:pPr>
        <w:spacing w:line="360" w:lineRule="auto"/>
        <w:jc w:val="both"/>
        <w:rPr>
          <w:rFonts w:cs="Arial"/>
          <w:color w:val="000000"/>
        </w:rPr>
      </w:pPr>
      <w:r w:rsidRPr="00B552FB">
        <w:rPr>
          <w:rFonts w:cs="Arial"/>
        </w:rPr>
        <w:t>Professor Ecosse L. Lamoureux,</w:t>
      </w:r>
      <w:r w:rsidRPr="00B552FB">
        <w:rPr>
          <w:rFonts w:cs="Arial"/>
          <w:color w:val="000000"/>
        </w:rPr>
        <w:t xml:space="preserve"> </w:t>
      </w:r>
    </w:p>
    <w:p w:rsidR="00AE7D1F" w:rsidRPr="00B552FB" w:rsidRDefault="00AE7D1F" w:rsidP="00AE7D1F">
      <w:pPr>
        <w:spacing w:line="360" w:lineRule="auto"/>
        <w:jc w:val="both"/>
        <w:rPr>
          <w:rFonts w:cs="Arial"/>
          <w:color w:val="000000"/>
        </w:rPr>
      </w:pPr>
      <w:r w:rsidRPr="00B552FB">
        <w:rPr>
          <w:rFonts w:cs="Arial"/>
          <w:color w:val="000000"/>
        </w:rPr>
        <w:t>Singapore Eye Research Institute (SERI)</w:t>
      </w:r>
    </w:p>
    <w:p w:rsidR="00AE7D1F" w:rsidRPr="00B552FB" w:rsidRDefault="00AE7D1F" w:rsidP="00AE7D1F">
      <w:pPr>
        <w:jc w:val="both"/>
        <w:rPr>
          <w:rFonts w:cs="Arial"/>
        </w:rPr>
      </w:pPr>
      <w:r w:rsidRPr="00B552FB">
        <w:rPr>
          <w:rFonts w:cs="Arial"/>
        </w:rPr>
        <w:t xml:space="preserve">DID: (+65) 6576 7382  </w:t>
      </w:r>
    </w:p>
    <w:p w:rsidR="00AE7D1F" w:rsidRDefault="00AE7D1F" w:rsidP="00AE7D1F">
      <w:pPr>
        <w:jc w:val="both"/>
        <w:rPr>
          <w:rFonts w:cs="Arial"/>
          <w:b/>
        </w:rPr>
      </w:pPr>
    </w:p>
    <w:p w:rsidR="00AE7D1F" w:rsidRPr="00B552FB" w:rsidRDefault="00AE7D1F" w:rsidP="00AE7D1F">
      <w:pPr>
        <w:jc w:val="both"/>
        <w:rPr>
          <w:rFonts w:cs="Arial"/>
          <w:b/>
        </w:rPr>
      </w:pPr>
      <w:r w:rsidRPr="00B552FB">
        <w:rPr>
          <w:rFonts w:cs="Arial"/>
          <w:b/>
        </w:rPr>
        <w:t xml:space="preserve">Email: </w:t>
      </w:r>
      <w:r w:rsidRPr="00B552FB">
        <w:rPr>
          <w:rFonts w:cs="Arial"/>
        </w:rPr>
        <w:t>ecosse.lamoureux@seri.com.sg</w:t>
      </w:r>
      <w:r w:rsidRPr="00B552FB">
        <w:rPr>
          <w:rFonts w:cs="Arial"/>
          <w:b/>
        </w:rPr>
        <w:t xml:space="preserve"> </w:t>
      </w:r>
      <w:bookmarkStart w:id="0" w:name="_GoBack"/>
      <w:bookmarkEnd w:id="0"/>
    </w:p>
    <w:p w:rsidR="00AE7D1F" w:rsidRDefault="00AE7D1F">
      <w:pPr>
        <w:spacing w:after="160" w:line="259" w:lineRule="auto"/>
      </w:pPr>
      <w:r>
        <w:br w:type="page"/>
      </w:r>
    </w:p>
    <w:tbl>
      <w:tblPr>
        <w:tblStyle w:val="TableGrid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6"/>
        <w:gridCol w:w="3270"/>
        <w:gridCol w:w="1238"/>
      </w:tblGrid>
      <w:tr w:rsidR="00AE7D1F" w:rsidRPr="00F936B9" w:rsidTr="00C92B06">
        <w:tc>
          <w:tcPr>
            <w:tcW w:w="7334" w:type="dxa"/>
            <w:gridSpan w:val="3"/>
            <w:tcBorders>
              <w:bottom w:val="single" w:sz="4" w:space="0" w:color="auto"/>
            </w:tcBorders>
          </w:tcPr>
          <w:p w:rsidR="00AE7D1F" w:rsidRPr="00F936B9" w:rsidRDefault="00AE7D1F" w:rsidP="00C92B06">
            <w:pPr>
              <w:rPr>
                <w:rFonts w:cs="Arial"/>
              </w:rPr>
            </w:pPr>
            <w:r w:rsidRPr="00F936B9">
              <w:rPr>
                <w:rFonts w:eastAsia="Times New Roman" w:cs="Arial"/>
                <w:b/>
                <w:bCs/>
                <w:color w:val="000000"/>
                <w:lang w:eastAsia="en-SG"/>
              </w:rPr>
              <w:lastRenderedPageBreak/>
              <w:t xml:space="preserve">Supplementary Table </w:t>
            </w:r>
            <w:r>
              <w:rPr>
                <w:rFonts w:eastAsia="Times New Roman" w:cs="Arial"/>
                <w:b/>
                <w:bCs/>
                <w:color w:val="000000"/>
                <w:lang w:eastAsia="en-SG"/>
              </w:rPr>
              <w:t>S</w:t>
            </w:r>
            <w:r w:rsidRPr="00F936B9">
              <w:rPr>
                <w:rFonts w:eastAsia="Times New Roman" w:cs="Arial"/>
                <w:b/>
                <w:bCs/>
                <w:color w:val="000000"/>
                <w:lang w:eastAsia="en-SG"/>
              </w:rPr>
              <w:t>1.</w:t>
            </w:r>
            <w:r w:rsidRPr="00F936B9">
              <w:rPr>
                <w:rFonts w:eastAsia="Times New Roman" w:cs="Arial"/>
                <w:color w:val="000000"/>
                <w:lang w:eastAsia="en-SG"/>
              </w:rPr>
              <w:t xml:space="preserve"> </w:t>
            </w:r>
            <w:r w:rsidRPr="00F936B9">
              <w:rPr>
                <w:rFonts w:cs="Arial"/>
                <w:color w:val="000000"/>
                <w:lang w:eastAsia="en-SG"/>
              </w:rPr>
              <w:t>Association between years lived in Singapore and incidence of CVD and related conditions</w:t>
            </w:r>
          </w:p>
        </w:tc>
      </w:tr>
      <w:tr w:rsidR="00AE7D1F" w:rsidRPr="00F936B9" w:rsidTr="00C92B06">
        <w:tc>
          <w:tcPr>
            <w:tcW w:w="2826" w:type="dxa"/>
            <w:tcBorders>
              <w:top w:val="single" w:sz="4" w:space="0" w:color="auto"/>
              <w:bottom w:val="single" w:sz="4" w:space="0" w:color="auto"/>
            </w:tcBorders>
          </w:tcPr>
          <w:p w:rsidR="00AE7D1F" w:rsidRPr="00F936B9" w:rsidRDefault="00AE7D1F" w:rsidP="00C92B06">
            <w:pPr>
              <w:rPr>
                <w:rFonts w:cs="Arial"/>
                <w:b/>
              </w:rPr>
            </w:pPr>
            <w:r w:rsidRPr="00F936B9">
              <w:rPr>
                <w:rFonts w:cs="Arial"/>
                <w:b/>
              </w:rPr>
              <w:t>Conditions</w:t>
            </w:r>
          </w:p>
        </w:tc>
        <w:tc>
          <w:tcPr>
            <w:tcW w:w="3270" w:type="dxa"/>
            <w:tcBorders>
              <w:top w:val="single" w:sz="4" w:space="0" w:color="auto"/>
              <w:bottom w:val="single" w:sz="4" w:space="0" w:color="auto"/>
            </w:tcBorders>
          </w:tcPr>
          <w:p w:rsidR="00AE7D1F" w:rsidRPr="00F936B9" w:rsidRDefault="00AE7D1F" w:rsidP="00C92B06">
            <w:pPr>
              <w:jc w:val="center"/>
              <w:rPr>
                <w:rFonts w:cs="Arial"/>
                <w:b/>
              </w:rPr>
            </w:pPr>
            <w:r w:rsidRPr="00F936B9">
              <w:rPr>
                <w:rFonts w:eastAsia="Times New Roman" w:cs="Arial"/>
                <w:b/>
                <w:color w:val="000000"/>
                <w:lang w:eastAsia="en-SG"/>
              </w:rPr>
              <w:t>Relative risk (per 10 years lived)* (95% CI)</w:t>
            </w: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:rsidR="00AE7D1F" w:rsidRPr="00F936B9" w:rsidRDefault="00AE7D1F" w:rsidP="00C92B06">
            <w:pPr>
              <w:rPr>
                <w:rFonts w:cs="Arial"/>
                <w:b/>
              </w:rPr>
            </w:pPr>
            <w:r w:rsidRPr="00F936B9">
              <w:rPr>
                <w:rFonts w:cs="Arial"/>
                <w:b/>
              </w:rPr>
              <w:t>P value</w:t>
            </w:r>
          </w:p>
        </w:tc>
      </w:tr>
      <w:tr w:rsidR="00AE7D1F" w:rsidRPr="00F936B9" w:rsidTr="00C92B06">
        <w:tc>
          <w:tcPr>
            <w:tcW w:w="2826" w:type="dxa"/>
            <w:tcBorders>
              <w:top w:val="single" w:sz="4" w:space="0" w:color="auto"/>
            </w:tcBorders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Myocardial infarction</w:t>
            </w:r>
          </w:p>
        </w:tc>
        <w:tc>
          <w:tcPr>
            <w:tcW w:w="3270" w:type="dxa"/>
            <w:tcBorders>
              <w:top w:val="single" w:sz="4" w:space="0" w:color="auto"/>
            </w:tcBorders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1.39 (1.00 to 1.93)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b/>
                <w:bCs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b/>
                <w:bCs/>
                <w:color w:val="000000"/>
                <w:lang w:eastAsia="en-SG"/>
              </w:rPr>
              <w:t>0.050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Stroke</w:t>
            </w:r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1.00 (0.72 to 1.38)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0.979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Angina</w:t>
            </w:r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1.12 (0.74 to 1.68)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0.591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CVD</w:t>
            </w:r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1.25 (1.00 to 1.57)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bCs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bCs/>
                <w:color w:val="000000"/>
                <w:lang w:eastAsia="en-SG"/>
              </w:rPr>
              <w:t>0.054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Diabetes</w:t>
            </w:r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0.99 (0.88 to 1.11)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0.828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Hypertension</w:t>
            </w:r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1.06 (0.98 to 1.15)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0.152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proofErr w:type="spellStart"/>
            <w:r w:rsidRPr="00F936B9">
              <w:rPr>
                <w:rFonts w:eastAsia="Times New Roman" w:cs="Arial"/>
                <w:color w:val="000000"/>
                <w:lang w:eastAsia="en-SG"/>
              </w:rPr>
              <w:t>Hyperlipidaemia</w:t>
            </w:r>
            <w:proofErr w:type="spellEnd"/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1.12 (1.05 to 1.20)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b/>
                <w:bCs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b/>
                <w:bCs/>
                <w:color w:val="000000"/>
                <w:lang w:eastAsia="en-SG"/>
              </w:rPr>
              <w:t>0.001</w:t>
            </w:r>
          </w:p>
        </w:tc>
      </w:tr>
      <w:tr w:rsidR="00AE7D1F" w:rsidRPr="00F936B9" w:rsidTr="00C92B06">
        <w:tc>
          <w:tcPr>
            <w:tcW w:w="2826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>
              <w:rPr>
                <w:rFonts w:eastAsia="Times New Roman" w:cs="Arial"/>
                <w:color w:val="000000"/>
                <w:lang w:eastAsia="en-SG"/>
              </w:rPr>
              <w:t>CKD</w:t>
            </w:r>
          </w:p>
        </w:tc>
        <w:tc>
          <w:tcPr>
            <w:tcW w:w="3270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1.26 (1.07 to 1.48)</w:t>
            </w:r>
          </w:p>
        </w:tc>
        <w:tc>
          <w:tcPr>
            <w:tcW w:w="1238" w:type="dxa"/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b/>
                <w:bCs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b/>
                <w:bCs/>
                <w:color w:val="000000"/>
                <w:lang w:eastAsia="en-SG"/>
              </w:rPr>
              <w:t>0.005</w:t>
            </w:r>
          </w:p>
        </w:tc>
      </w:tr>
      <w:tr w:rsidR="00AE7D1F" w:rsidRPr="00F936B9" w:rsidTr="00C92B06">
        <w:tc>
          <w:tcPr>
            <w:tcW w:w="2826" w:type="dxa"/>
            <w:tcBorders>
              <w:bottom w:val="single" w:sz="4" w:space="0" w:color="auto"/>
            </w:tcBorders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Obesity</w:t>
            </w:r>
          </w:p>
        </w:tc>
        <w:tc>
          <w:tcPr>
            <w:tcW w:w="3270" w:type="dxa"/>
            <w:tcBorders>
              <w:bottom w:val="single" w:sz="4" w:space="0" w:color="auto"/>
            </w:tcBorders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1.04 (0.89 to 1.22)</w:t>
            </w:r>
          </w:p>
        </w:tc>
        <w:tc>
          <w:tcPr>
            <w:tcW w:w="1238" w:type="dxa"/>
            <w:tcBorders>
              <w:bottom w:val="single" w:sz="4" w:space="0" w:color="auto"/>
            </w:tcBorders>
            <w:vAlign w:val="bottom"/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0.589</w:t>
            </w:r>
          </w:p>
        </w:tc>
      </w:tr>
      <w:tr w:rsidR="00AE7D1F" w:rsidRPr="00F936B9" w:rsidTr="00C92B06">
        <w:tc>
          <w:tcPr>
            <w:tcW w:w="7334" w:type="dxa"/>
            <w:gridSpan w:val="3"/>
            <w:tcBorders>
              <w:top w:val="single" w:sz="4" w:space="0" w:color="auto"/>
            </w:tcBorders>
          </w:tcPr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>
              <w:rPr>
                <w:rFonts w:eastAsia="Times New Roman" w:cs="Arial"/>
                <w:color w:val="000000"/>
                <w:lang w:eastAsia="en-SG"/>
              </w:rPr>
              <w:t>*</w:t>
            </w:r>
            <w:r w:rsidRPr="00F936B9">
              <w:rPr>
                <w:rFonts w:eastAsia="Times New Roman" w:cs="Arial"/>
                <w:color w:val="000000"/>
                <w:lang w:eastAsia="en-SG"/>
              </w:rPr>
              <w:t xml:space="preserve">Adjusted for age, gender, obesity, low </w:t>
            </w:r>
            <w:r>
              <w:rPr>
                <w:rFonts w:eastAsia="Times New Roman" w:cs="Arial"/>
                <w:color w:val="000000"/>
                <w:lang w:eastAsia="en-SG"/>
              </w:rPr>
              <w:t>SES</w:t>
            </w:r>
            <w:r w:rsidRPr="00F936B9">
              <w:rPr>
                <w:rFonts w:eastAsia="Times New Roman" w:cs="Arial"/>
                <w:color w:val="000000"/>
                <w:lang w:eastAsia="en-SG"/>
              </w:rPr>
              <w:t xml:space="preserve"> </w:t>
            </w:r>
            <w:r w:rsidRPr="00F936B9">
              <w:rPr>
                <w:rFonts w:cs="Arial"/>
              </w:rPr>
              <w:t>(primary or lower education, and individual monthly income &lt; SGD2000)</w:t>
            </w:r>
            <w:r w:rsidRPr="00F936B9">
              <w:rPr>
                <w:rFonts w:eastAsia="Times New Roman" w:cs="Arial"/>
                <w:color w:val="000000"/>
                <w:lang w:eastAsia="en-SG"/>
              </w:rPr>
              <w:t>, smoking, alcohol use, anti-diabetic, anti-hypertensive, and anti-cholesterol medications use, and mutually for the other CVD related conditions at baseline</w:t>
            </w:r>
          </w:p>
          <w:p w:rsidR="00AE7D1F" w:rsidRPr="00F936B9" w:rsidRDefault="00AE7D1F" w:rsidP="00C92B06">
            <w:pPr>
              <w:rPr>
                <w:rFonts w:eastAsia="Times New Roman" w:cs="Arial"/>
                <w:color w:val="000000"/>
                <w:lang w:eastAsia="en-SG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Bolded values indicate statistically significant results</w:t>
            </w:r>
          </w:p>
          <w:p w:rsidR="00AE7D1F" w:rsidRPr="00F936B9" w:rsidRDefault="00AE7D1F" w:rsidP="00C92B06">
            <w:pPr>
              <w:rPr>
                <w:rFonts w:cs="Arial"/>
                <w:color w:val="000000"/>
              </w:rPr>
            </w:pPr>
            <w:r w:rsidRPr="00F936B9">
              <w:rPr>
                <w:rFonts w:eastAsia="Times New Roman" w:cs="Arial"/>
                <w:color w:val="000000"/>
                <w:lang w:eastAsia="en-SG"/>
              </w:rPr>
              <w:t>CVD = cardio vascular disease; CKD = chronic kidney disease; SES = socioeconomic status</w:t>
            </w:r>
          </w:p>
          <w:p w:rsidR="00AE7D1F" w:rsidRPr="00F936B9" w:rsidRDefault="00AE7D1F" w:rsidP="00C92B06">
            <w:pPr>
              <w:rPr>
                <w:rFonts w:cs="Arial"/>
              </w:rPr>
            </w:pPr>
          </w:p>
        </w:tc>
      </w:tr>
    </w:tbl>
    <w:p w:rsidR="00AE7D1F" w:rsidRDefault="00AE7D1F" w:rsidP="00AE7D1F"/>
    <w:p w:rsidR="00D227A0" w:rsidRDefault="00D227A0"/>
    <w:sectPr w:rsidR="00D22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7777D"/>
    <w:multiLevelType w:val="hybridMultilevel"/>
    <w:tmpl w:val="0CC2B3CC"/>
    <w:lvl w:ilvl="0" w:tplc="4C4C571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D1F"/>
    <w:rsid w:val="00AE7D1F"/>
    <w:rsid w:val="00D2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7A174F-16A0-4B25-99F1-FEF18991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D1F"/>
    <w:pPr>
      <w:spacing w:after="0" w:line="240" w:lineRule="auto"/>
    </w:pPr>
    <w:rPr>
      <w:rFonts w:ascii="Arial" w:hAnsi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7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Eye Research Institute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Preeti Gupta</dc:creator>
  <cp:keywords/>
  <dc:description/>
  <cp:lastModifiedBy>Preeti Gupta</cp:lastModifiedBy>
  <cp:revision>1</cp:revision>
  <dcterms:created xsi:type="dcterms:W3CDTF">2018-08-05T02:08:00Z</dcterms:created>
  <dcterms:modified xsi:type="dcterms:W3CDTF">2018-08-05T02:10:00Z</dcterms:modified>
</cp:coreProperties>
</file>