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F3" w:rsidRPr="00F53586" w:rsidRDefault="00B568F3" w:rsidP="00B568F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OLE_LINK2"/>
      <w:proofErr w:type="gramStart"/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Prevalence of </w:t>
      </w:r>
      <w:r w:rsidRPr="00F5358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Strongyloides stercoralis</w:t>
      </w:r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infection and </w:t>
      </w:r>
      <w:bookmarkStart w:id="1" w:name="_GoBack"/>
      <w:proofErr w:type="spellStart"/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hyper</w:t>
      </w:r>
      <w:bookmarkEnd w:id="1"/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infection</w:t>
      </w:r>
      <w:proofErr w:type="spellEnd"/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syndrome among renal allograft recipients in Central Europe</w:t>
      </w:r>
      <w:bookmarkEnd w:id="0"/>
      <w:r w:rsidRPr="00F535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</w:p>
    <w:p w:rsidR="00B568F3" w:rsidRPr="00F53586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Wolfgang Winnicki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1¶*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, Michael Eder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1¶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, Peter Mazal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2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, Florian J. Mayer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3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, Gürkan Sengölge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1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>, Ludwig Wagner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de-AT"/>
        </w:rPr>
        <w:t>1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  <w:t xml:space="preserve"> </w:t>
      </w: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AT"/>
        </w:rPr>
      </w:pP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</w:rPr>
        <w:t>Department of Internal Medicine III; Division of Nephrology and Dialysis, Medical University of Vienna, Vienna, Austria</w:t>
      </w: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</w:rPr>
        <w:t>Department of Clinical Pathology, Medical University of Vienna, Vienna, Austria</w:t>
      </w: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</w:rPr>
        <w:t>Department of Laboratory Medicine, Medical University of Vienna, Vienna, Austria</w:t>
      </w: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B568F3" w:rsidRPr="005D105A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10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* 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</w:t>
      </w:r>
    </w:p>
    <w:p w:rsidR="00B568F3" w:rsidRPr="00A33CCB" w:rsidRDefault="00B568F3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3C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r w:rsidR="005D2557" w:rsidRPr="00A33CCB">
        <w:rPr>
          <w:rFonts w:ascii="Times New Roman" w:hAnsi="Times New Roman" w:cs="Times New Roman"/>
          <w:color w:val="000000" w:themeColor="text1"/>
          <w:sz w:val="24"/>
          <w:szCs w:val="24"/>
        </w:rPr>
        <w:t>wolfgang.winnicki@meduniwien.ac.at</w:t>
      </w:r>
    </w:p>
    <w:p w:rsidR="005D2557" w:rsidRPr="00A33CCB" w:rsidRDefault="005D2557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2557" w:rsidRPr="00A33CCB" w:rsidRDefault="005D2557" w:rsidP="00B568F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2557" w:rsidRPr="00BF0CAA" w:rsidRDefault="005D2557" w:rsidP="005D255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0CA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¶</w:t>
      </w:r>
      <w:r w:rsidRPr="00BF0CAA">
        <w:rPr>
          <w:rFonts w:ascii="Times New Roman" w:hAnsi="Times New Roman" w:cs="Times New Roman"/>
          <w:color w:val="000000" w:themeColor="text1"/>
          <w:sz w:val="24"/>
          <w:szCs w:val="24"/>
        </w:rPr>
        <w:t>These authors contributed equally to this work.</w:t>
      </w:r>
    </w:p>
    <w:p w:rsidR="005D2557" w:rsidRPr="005D2557" w:rsidRDefault="00B568F3">
      <w:r w:rsidRPr="005D2557">
        <w:br w:type="page"/>
      </w:r>
    </w:p>
    <w:p w:rsidR="00B568F3" w:rsidRPr="005D105A" w:rsidRDefault="00B568F3" w:rsidP="00B568F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0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 w:rsidR="001B20D8">
        <w:rPr>
          <w:rFonts w:ascii="Times New Roman" w:hAnsi="Times New Roman" w:cs="Times New Roman"/>
          <w:b/>
          <w:sz w:val="24"/>
          <w:szCs w:val="24"/>
        </w:rPr>
        <w:t>1</w:t>
      </w:r>
      <w:r w:rsidRPr="005D105A">
        <w:rPr>
          <w:rFonts w:ascii="Times New Roman" w:hAnsi="Times New Roman" w:cs="Times New Roman"/>
          <w:b/>
          <w:sz w:val="24"/>
          <w:szCs w:val="24"/>
        </w:rPr>
        <w:t>:</w:t>
      </w:r>
    </w:p>
    <w:p w:rsidR="005D105A" w:rsidRPr="00BF0CAA" w:rsidRDefault="005D105A" w:rsidP="005D105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D1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Time course of relative </w:t>
      </w:r>
      <w:r w:rsidRPr="005D105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S. stercoralis</w:t>
      </w:r>
      <w:r w:rsidRPr="005D1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IgG signal.</w:t>
      </w:r>
      <w:proofErr w:type="gramEnd"/>
      <w:r w:rsidRPr="005D105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D10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Strongyloides stercoralis</w:t>
      </w:r>
      <w:r w:rsidRPr="005D10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IgG signals were analyzed at month one and twelve after transplantation (n=50). A decrease of the IgG signal was detected over time (month one: 0.37±0.2, month twelve: 0.31±0.13; p=0.003).</w:t>
      </w:r>
    </w:p>
    <w:p w:rsidR="00B568F3" w:rsidRDefault="0030507B" w:rsidP="00B568F3">
      <w:pPr>
        <w:pStyle w:val="Textkrper-Zeileneinzug"/>
        <w:tabs>
          <w:tab w:val="left" w:pos="1440"/>
        </w:tabs>
        <w:spacing w:after="0" w:line="480" w:lineRule="auto"/>
        <w:ind w:left="0"/>
        <w:jc w:val="both"/>
        <w:rPr>
          <w:rFonts w:ascii="Times New Roman" w:hAnsi="Times New Roman" w:cs="Times New Roman"/>
          <w:bCs/>
          <w:color w:val="000000"/>
          <w:szCs w:val="22"/>
          <w:lang w:val="en-GB"/>
        </w:rPr>
      </w:pPr>
      <w:r>
        <w:rPr>
          <w:rFonts w:ascii="Times New Roman" w:hAnsi="Times New Roman" w:cs="Times New Roman"/>
          <w:bCs/>
          <w:noProof/>
          <w:color w:val="000000"/>
          <w:szCs w:val="22"/>
        </w:rPr>
        <w:drawing>
          <wp:inline distT="0" distB="0" distL="0" distR="0">
            <wp:extent cx="3776472" cy="264871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472" cy="264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CB" w:rsidRDefault="00A33CCB">
      <w:pPr>
        <w:rPr>
          <w:rFonts w:ascii="Times New Roman" w:hAnsi="Times New Roman" w:cs="Times New Roman"/>
          <w:bCs/>
          <w:color w:val="000000"/>
          <w:lang w:val="en-GB"/>
        </w:rPr>
      </w:pPr>
      <w:r>
        <w:rPr>
          <w:rFonts w:ascii="Times New Roman" w:hAnsi="Times New Roman" w:cs="Times New Roman"/>
          <w:bCs/>
          <w:color w:val="000000"/>
          <w:lang w:val="en-GB"/>
        </w:rPr>
        <w:br w:type="page"/>
      </w:r>
    </w:p>
    <w:p w:rsidR="00A33CCB" w:rsidRDefault="00A33CCB" w:rsidP="00A33CCB">
      <w:pPr>
        <w:spacing w:after="0"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Figure 2:</w:t>
      </w:r>
    </w:p>
    <w:p w:rsidR="00A33CCB" w:rsidRPr="00B568F3" w:rsidRDefault="00A33CCB" w:rsidP="00A33CCB">
      <w:pPr>
        <w:spacing w:after="0" w:line="480" w:lineRule="auto"/>
        <w:jc w:val="both"/>
        <w:rPr>
          <w:rFonts w:ascii="Times New Roman" w:hAnsi="Times New Roman"/>
          <w:bCs/>
          <w:color w:val="000000"/>
        </w:rPr>
      </w:pPr>
      <w:r w:rsidRPr="00B568F3">
        <w:rPr>
          <w:rFonts w:ascii="Times New Roman" w:hAnsi="Times New Roman" w:cs="Times New Roman"/>
          <w:b/>
          <w:bCs/>
          <w:i/>
          <w:color w:val="000000"/>
          <w:lang w:val="en-GB"/>
        </w:rPr>
        <w:t>Strongyloides stercoralis</w:t>
      </w:r>
      <w:r w:rsidRPr="00B568F3">
        <w:rPr>
          <w:rFonts w:ascii="Times New Roman" w:hAnsi="Times New Roman" w:cs="Times New Roman"/>
          <w:b/>
          <w:bCs/>
          <w:color w:val="000000"/>
          <w:lang w:val="en-GB"/>
        </w:rPr>
        <w:t xml:space="preserve"> larva in pleural effusion stained by immunofluorescence and visualized by confocal microscopy</w:t>
      </w:r>
      <w:r w:rsidRPr="00B568F3">
        <w:rPr>
          <w:rFonts w:ascii="Times New Roman" w:hAnsi="Times New Roman" w:cs="Times New Roman"/>
          <w:bCs/>
          <w:color w:val="000000"/>
          <w:lang w:val="en-GB"/>
        </w:rPr>
        <w:t>. A</w:t>
      </w:r>
      <w:r>
        <w:rPr>
          <w:rFonts w:ascii="Times New Roman" w:hAnsi="Times New Roman" w:cs="Times New Roman"/>
          <w:bCs/>
          <w:color w:val="000000"/>
          <w:lang w:val="en-GB"/>
        </w:rPr>
        <w:t>n</w:t>
      </w:r>
      <w:r>
        <w:rPr>
          <w:rFonts w:ascii="Times New Roman" w:hAnsi="Times New Roman"/>
          <w:bCs/>
          <w:i/>
          <w:color w:val="000000"/>
          <w:lang w:val="en-GB"/>
        </w:rPr>
        <w:t xml:space="preserve"> S.</w:t>
      </w:r>
      <w:r w:rsidRPr="00B568F3">
        <w:rPr>
          <w:rFonts w:ascii="Times New Roman" w:hAnsi="Times New Roman"/>
          <w:bCs/>
          <w:i/>
          <w:color w:val="000000"/>
          <w:lang w:val="en-GB"/>
        </w:rPr>
        <w:t xml:space="preserve"> stercoralis</w:t>
      </w:r>
      <w:r w:rsidRPr="00B568F3">
        <w:rPr>
          <w:rFonts w:ascii="Times New Roman" w:hAnsi="Times New Roman"/>
          <w:bCs/>
          <w:color w:val="000000"/>
          <w:lang w:val="en-GB"/>
        </w:rPr>
        <w:t xml:space="preserve"> larva in pleural effusion stained by </w:t>
      </w:r>
      <w:r w:rsidRPr="00B568F3">
        <w:rPr>
          <w:rFonts w:ascii="Times New Roman" w:hAnsi="Times New Roman"/>
          <w:bCs/>
          <w:i/>
          <w:color w:val="000000"/>
          <w:lang w:val="en-GB"/>
        </w:rPr>
        <w:t>S. stercoralis</w:t>
      </w:r>
      <w:r w:rsidRPr="00B568F3">
        <w:rPr>
          <w:rFonts w:ascii="Times New Roman" w:hAnsi="Times New Roman"/>
          <w:bCs/>
          <w:color w:val="000000"/>
          <w:lang w:val="en-GB"/>
        </w:rPr>
        <w:t xml:space="preserve"> positive human serum (green) and DNA/nuclei visualization by DAPI (blue).</w:t>
      </w:r>
    </w:p>
    <w:p w:rsidR="00A33CCB" w:rsidRPr="00B568F3" w:rsidRDefault="00A33CCB" w:rsidP="00A33CCB">
      <w:pPr>
        <w:pStyle w:val="Textkrper-Zeileneinzug"/>
        <w:tabs>
          <w:tab w:val="left" w:pos="1440"/>
        </w:tabs>
        <w:spacing w:after="0" w:line="480" w:lineRule="auto"/>
        <w:ind w:left="0"/>
        <w:jc w:val="both"/>
        <w:rPr>
          <w:rFonts w:ascii="Times New Roman" w:hAnsi="Times New Roman" w:cs="Times New Roman"/>
          <w:bCs/>
          <w:color w:val="000000"/>
          <w:szCs w:val="22"/>
          <w:lang w:val="en-GB"/>
        </w:rPr>
      </w:pPr>
      <w:r w:rsidRPr="00B568F3">
        <w:rPr>
          <w:rFonts w:ascii="Times New Roman" w:hAnsi="Times New Roman"/>
          <w:bCs/>
          <w:noProof/>
          <w:color w:val="000000"/>
          <w:szCs w:val="22"/>
        </w:rPr>
        <w:drawing>
          <wp:inline distT="0" distB="0" distL="0" distR="0" wp14:anchorId="64F147F9" wp14:editId="17630795">
            <wp:extent cx="2248623" cy="2924175"/>
            <wp:effectExtent l="0" t="0" r="0" b="0"/>
            <wp:docPr id="2" name="Grafik 2" descr="effusion supp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fusion suppl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423" cy="293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CCB" w:rsidRDefault="00A33CCB" w:rsidP="00A33CCB">
      <w:pPr>
        <w:pStyle w:val="Textkrper-Zeileneinzug"/>
        <w:tabs>
          <w:tab w:val="left" w:pos="1440"/>
        </w:tabs>
        <w:spacing w:after="0" w:line="480" w:lineRule="auto"/>
        <w:ind w:left="0"/>
        <w:jc w:val="both"/>
        <w:rPr>
          <w:rFonts w:ascii="Times New Roman" w:hAnsi="Times New Roman" w:cs="Times New Roman"/>
          <w:bCs/>
          <w:color w:val="000000"/>
          <w:szCs w:val="22"/>
          <w:lang w:val="en-GB"/>
        </w:rPr>
      </w:pP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>Pleura</w:t>
      </w:r>
      <w:r>
        <w:rPr>
          <w:rFonts w:ascii="Times New Roman" w:hAnsi="Times New Roman" w:cs="Times New Roman"/>
          <w:bCs/>
          <w:color w:val="000000"/>
          <w:szCs w:val="22"/>
          <w:lang w:val="en-GB"/>
        </w:rPr>
        <w:t>l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effusion cytology was prepared using a cytospin preparation from pleural effusion sediment. In brief, 6 m</w:t>
      </w:r>
      <w:r>
        <w:rPr>
          <w:rFonts w:ascii="Times New Roman" w:hAnsi="Times New Roman" w:cs="Times New Roman"/>
          <w:bCs/>
          <w:color w:val="000000"/>
          <w:szCs w:val="22"/>
          <w:lang w:val="en-GB"/>
        </w:rPr>
        <w:t>L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of pleural effusion was centrifuged at 1500 RPM and the pellet was resuspended in culture medium. One hundred µ</w:t>
      </w:r>
      <w:r>
        <w:rPr>
          <w:rFonts w:ascii="Times New Roman" w:hAnsi="Times New Roman" w:cs="Times New Roman"/>
          <w:bCs/>
          <w:color w:val="000000"/>
          <w:szCs w:val="22"/>
          <w:lang w:val="en-GB"/>
        </w:rPr>
        <w:t>L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of the resultant cell suspension was placed into the funnel of a Shandon Cytocentrifuge (Shandon Southern Instruments, Inc., Sewickley, PA, USA). The cytoslide was air-dried for 2 hours and fixed in acetone for 5 minutes. </w:t>
      </w:r>
      <w:r w:rsidRPr="00B568F3">
        <w:rPr>
          <w:rFonts w:ascii="Times New Roman" w:hAnsi="Times New Roman" w:cs="Times New Roman"/>
          <w:bCs/>
          <w:i/>
          <w:color w:val="000000"/>
          <w:szCs w:val="22"/>
          <w:lang w:val="en-GB"/>
        </w:rPr>
        <w:t>S. stercoralis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IgG positive human serum was diluted 1:50 and the cell containing area was overlaid after wetting in PBS with the </w:t>
      </w:r>
      <w:r w:rsidRPr="00B568F3">
        <w:rPr>
          <w:rFonts w:ascii="Times New Roman" w:hAnsi="Times New Roman" w:cs="Times New Roman"/>
          <w:bCs/>
          <w:i/>
          <w:color w:val="000000"/>
          <w:szCs w:val="22"/>
          <w:lang w:val="en-GB"/>
        </w:rPr>
        <w:t>S. stercoralis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positive serum, followed by placing a hydrophobic circle around the area with a Dako pen (DAKO, Glostrup, Denmark). In parallel, an </w:t>
      </w:r>
      <w:r w:rsidRPr="00B568F3">
        <w:rPr>
          <w:rFonts w:ascii="Times New Roman" w:hAnsi="Times New Roman" w:cs="Times New Roman"/>
          <w:bCs/>
          <w:i/>
          <w:color w:val="000000"/>
          <w:szCs w:val="22"/>
          <w:lang w:val="en-GB"/>
        </w:rPr>
        <w:t>S. stercoralis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negative serum has been used as control. Following an incubation period overnight at 4 °C, slides were washed in PBS and the secondary antibody (rabbit anti-human IgG conjugated with </w:t>
      </w:r>
      <w:proofErr w:type="spellStart"/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>Alexa</w:t>
      </w:r>
      <w:proofErr w:type="spellEnd"/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 488) was incubated for 1 hour at room temperature. 5 </w:t>
      </w:r>
      <w:r>
        <w:rPr>
          <w:rFonts w:ascii="Times New Roman" w:hAnsi="Times New Roman" w:cs="Times New Roman"/>
          <w:bCs/>
          <w:color w:val="000000"/>
          <w:szCs w:val="22"/>
          <w:lang w:val="en-GB"/>
        </w:rPr>
        <w:t>m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 xml:space="preserve">inutes before washing, DAPI was added onto the slide for counterstaining DNA/nuclei. After washing in PBS, slides were mounted in Vectashield mounting medium for </w:t>
      </w:r>
      <w:r>
        <w:rPr>
          <w:rFonts w:ascii="Times New Roman" w:hAnsi="Times New Roman" w:cs="Times New Roman"/>
          <w:bCs/>
          <w:color w:val="000000"/>
          <w:szCs w:val="22"/>
          <w:lang w:val="en-GB"/>
        </w:rPr>
        <w:t>f</w:t>
      </w:r>
      <w:r w:rsidRPr="00B568F3">
        <w:rPr>
          <w:rFonts w:ascii="Times New Roman" w:hAnsi="Times New Roman" w:cs="Times New Roman"/>
          <w:bCs/>
          <w:color w:val="000000"/>
          <w:szCs w:val="22"/>
          <w:lang w:val="en-GB"/>
        </w:rPr>
        <w:t>luorescence (Vector Laboratories Inc., Burlingame, CA, USA). Images were recorded by confocal microscopy.</w:t>
      </w:r>
    </w:p>
    <w:p w:rsidR="00A33CCB" w:rsidRPr="005D105A" w:rsidRDefault="00A33CCB" w:rsidP="00A33CC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0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D105A">
        <w:rPr>
          <w:rFonts w:ascii="Times New Roman" w:hAnsi="Times New Roman" w:cs="Times New Roman"/>
          <w:b/>
          <w:sz w:val="24"/>
          <w:szCs w:val="24"/>
        </w:rPr>
        <w:t>:</w:t>
      </w:r>
    </w:p>
    <w:p w:rsidR="00A33CCB" w:rsidRPr="00BF0CAA" w:rsidRDefault="00A33CCB" w:rsidP="00A33CCB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4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Relative </w:t>
      </w:r>
      <w:r w:rsidRPr="007A433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S. stercoralis</w:t>
      </w:r>
      <w:r w:rsidRPr="007A4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IgG signal</w:t>
      </w:r>
      <w:r w:rsidRPr="007A4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43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 renal allograft recipients with non-migrant (n=155) and migrant (n=45) background.</w:t>
      </w:r>
      <w:r w:rsidRPr="007A43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 was no statistical significant difference in IgG signals between non-migrants and migrant recipients (0.36 ± 0.02 vs. 0.40 ± 0.05; p=0.79).</w:t>
      </w:r>
    </w:p>
    <w:p w:rsidR="00A33CCB" w:rsidRDefault="00A33CCB" w:rsidP="00A33CCB">
      <w:pPr>
        <w:pStyle w:val="Textkrper-Zeileneinzug"/>
        <w:tabs>
          <w:tab w:val="left" w:pos="1440"/>
        </w:tabs>
        <w:spacing w:after="0" w:line="480" w:lineRule="auto"/>
        <w:ind w:left="0"/>
        <w:jc w:val="both"/>
        <w:rPr>
          <w:rFonts w:ascii="Times New Roman" w:hAnsi="Times New Roman" w:cs="Times New Roman"/>
          <w:bCs/>
          <w:color w:val="000000"/>
          <w:szCs w:val="22"/>
          <w:lang w:val="en-GB"/>
        </w:rPr>
      </w:pPr>
      <w:r>
        <w:rPr>
          <w:rFonts w:ascii="Times New Roman" w:hAnsi="Times New Roman" w:cs="Times New Roman"/>
          <w:bCs/>
          <w:noProof/>
          <w:color w:val="000000"/>
          <w:szCs w:val="22"/>
        </w:rPr>
        <w:drawing>
          <wp:inline distT="0" distB="0" distL="0" distR="0" wp14:anchorId="1925277C" wp14:editId="416885E1">
            <wp:extent cx="3977640" cy="3029712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Fig 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CB" w:rsidRPr="00C829E4" w:rsidRDefault="00A33CCB" w:rsidP="00A33CCB">
      <w:pPr>
        <w:pStyle w:val="Textkrper-Zeileneinzug"/>
        <w:tabs>
          <w:tab w:val="left" w:pos="1440"/>
        </w:tabs>
        <w:spacing w:after="0" w:line="480" w:lineRule="auto"/>
        <w:ind w:left="0"/>
        <w:jc w:val="both"/>
        <w:rPr>
          <w:rFonts w:ascii="Times New Roman" w:hAnsi="Times New Roman" w:cs="Times New Roman"/>
          <w:bCs/>
          <w:color w:val="000000"/>
          <w:szCs w:val="22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Pr="00C829E4">
        <w:rPr>
          <w:rFonts w:ascii="Times New Roman" w:hAnsi="Times New Roman"/>
          <w:color w:val="000000"/>
          <w:sz w:val="24"/>
          <w:szCs w:val="24"/>
        </w:rPr>
        <w:t xml:space="preserve">he square with the highest signal in the migrant group represents the patient who has developed a </w:t>
      </w:r>
      <w:proofErr w:type="spellStart"/>
      <w:r w:rsidRPr="00C829E4">
        <w:rPr>
          <w:rFonts w:ascii="Times New Roman" w:hAnsi="Times New Roman"/>
          <w:color w:val="000000"/>
          <w:sz w:val="24"/>
          <w:szCs w:val="24"/>
        </w:rPr>
        <w:t>hyperinfection</w:t>
      </w:r>
      <w:proofErr w:type="spellEnd"/>
      <w:r w:rsidRPr="00C829E4">
        <w:rPr>
          <w:rFonts w:ascii="Times New Roman" w:hAnsi="Times New Roman"/>
          <w:color w:val="000000"/>
          <w:sz w:val="24"/>
          <w:szCs w:val="24"/>
        </w:rPr>
        <w:t xml:space="preserve"> syndrome.</w:t>
      </w:r>
    </w:p>
    <w:p w:rsidR="00A33CCB" w:rsidRDefault="00A33CCB" w:rsidP="00A33CCB">
      <w:pPr>
        <w:rPr>
          <w:rFonts w:ascii="Times New Roman" w:hAnsi="Times New Roman" w:cs="Times New Roman"/>
          <w:bCs/>
          <w:color w:val="000000"/>
          <w:lang w:val="en-GB"/>
        </w:rPr>
      </w:pPr>
    </w:p>
    <w:sectPr w:rsidR="00A33CC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F3"/>
    <w:rsid w:val="000C4316"/>
    <w:rsid w:val="0010382B"/>
    <w:rsid w:val="001B20D8"/>
    <w:rsid w:val="0030507B"/>
    <w:rsid w:val="005D105A"/>
    <w:rsid w:val="005D2557"/>
    <w:rsid w:val="00A33CCB"/>
    <w:rsid w:val="00AA53A9"/>
    <w:rsid w:val="00B568F3"/>
    <w:rsid w:val="00C8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68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B568F3"/>
    <w:pPr>
      <w:spacing w:after="120"/>
      <w:ind w:left="283"/>
    </w:pPr>
    <w:rPr>
      <w:rFonts w:ascii="AvantGarde" w:hAnsi="AvantGarde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568F3"/>
    <w:rPr>
      <w:rFonts w:ascii="AvantGarde" w:hAnsi="AvantGarde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8F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2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68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rsid w:val="00B568F3"/>
    <w:pPr>
      <w:spacing w:after="120"/>
      <w:ind w:left="283"/>
    </w:pPr>
    <w:rPr>
      <w:rFonts w:ascii="AvantGarde" w:hAnsi="AvantGarde"/>
      <w:szCs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568F3"/>
    <w:rPr>
      <w:rFonts w:ascii="AvantGarde" w:hAnsi="AvantGarde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68F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2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Winnicki Wolfgang</dc:creator>
  <cp:lastModifiedBy>Winnicki Wolfgang</cp:lastModifiedBy>
  <cp:revision>4</cp:revision>
  <dcterms:created xsi:type="dcterms:W3CDTF">2018-06-12T15:38:00Z</dcterms:created>
  <dcterms:modified xsi:type="dcterms:W3CDTF">2018-08-19T13:08:00Z</dcterms:modified>
</cp:coreProperties>
</file>