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95A" w:rsidRPr="00DE6CD3" w:rsidRDefault="0006395A" w:rsidP="0006395A">
      <w:pPr>
        <w:rPr>
          <w:rFonts w:ascii="Arial" w:hAnsi="Arial" w:cs="Arial"/>
          <w:b/>
          <w:sz w:val="36"/>
          <w:szCs w:val="32"/>
        </w:rPr>
      </w:pPr>
      <w:proofErr w:type="spellStart"/>
      <w:r w:rsidRPr="00DE6CD3">
        <w:rPr>
          <w:rFonts w:ascii="Arial" w:hAnsi="Arial" w:cs="Arial"/>
          <w:b/>
          <w:sz w:val="36"/>
          <w:szCs w:val="32"/>
        </w:rPr>
        <w:t>Corticoefferent</w:t>
      </w:r>
      <w:proofErr w:type="spellEnd"/>
      <w:r w:rsidRPr="00DE6CD3">
        <w:rPr>
          <w:rFonts w:ascii="Arial" w:hAnsi="Arial" w:cs="Arial"/>
          <w:b/>
          <w:sz w:val="36"/>
          <w:szCs w:val="32"/>
        </w:rPr>
        <w:t xml:space="preserve"> pathology distribution in amyotrophic lateral sclerosis: </w:t>
      </w:r>
      <w:r w:rsidRPr="00DE6CD3">
        <w:rPr>
          <w:rFonts w:ascii="Arial" w:hAnsi="Arial" w:cs="Arial"/>
          <w:b/>
          <w:i/>
          <w:sz w:val="36"/>
          <w:szCs w:val="32"/>
        </w:rPr>
        <w:t>in vivo</w:t>
      </w:r>
      <w:r w:rsidRPr="00DE6CD3">
        <w:rPr>
          <w:rFonts w:ascii="Arial" w:hAnsi="Arial" w:cs="Arial"/>
          <w:b/>
          <w:sz w:val="36"/>
          <w:szCs w:val="32"/>
        </w:rPr>
        <w:t xml:space="preserve"> evidence from a meta-analysis of diffusion tensor imaging data</w:t>
      </w:r>
    </w:p>
    <w:p w:rsidR="0006395A" w:rsidRPr="00DE6CD3" w:rsidRDefault="0006395A" w:rsidP="0006395A">
      <w:pPr>
        <w:rPr>
          <w:rFonts w:ascii="Arial" w:hAnsi="Arial" w:cs="Arial"/>
          <w:b/>
        </w:rPr>
      </w:pPr>
    </w:p>
    <w:p w:rsidR="0006395A" w:rsidRPr="00DE6CD3" w:rsidRDefault="0006395A" w:rsidP="0006395A">
      <w:pPr>
        <w:rPr>
          <w:vertAlign w:val="superscript"/>
          <w:lang w:val="de-DE"/>
        </w:rPr>
      </w:pPr>
      <w:r w:rsidRPr="00DE6CD3">
        <w:rPr>
          <w:rFonts w:ascii="Arial" w:hAnsi="Arial" w:cs="Arial"/>
          <w:b/>
          <w:lang w:val="de-DE"/>
        </w:rPr>
        <w:t>Martin Gorges</w:t>
      </w:r>
      <w:r w:rsidRPr="00DE6CD3">
        <w:rPr>
          <w:rFonts w:ascii="Arial" w:hAnsi="Arial" w:cs="Arial"/>
          <w:b/>
          <w:vertAlign w:val="superscript"/>
          <w:lang w:val="de-DE"/>
        </w:rPr>
        <w:t>1</w:t>
      </w:r>
      <w:r w:rsidRPr="00DE6CD3">
        <w:rPr>
          <w:rFonts w:ascii="Arial" w:hAnsi="Arial" w:cs="Arial"/>
          <w:b/>
          <w:lang w:val="de-DE"/>
        </w:rPr>
        <w:t>, Kelly Del Tredici</w:t>
      </w:r>
      <w:r w:rsidRPr="00DE6CD3">
        <w:rPr>
          <w:rFonts w:ascii="Arial" w:hAnsi="Arial" w:cs="Arial"/>
          <w:b/>
          <w:vertAlign w:val="superscript"/>
          <w:lang w:val="de-DE"/>
        </w:rPr>
        <w:t>1,2</w:t>
      </w:r>
      <w:r w:rsidRPr="00DE6CD3">
        <w:rPr>
          <w:rFonts w:ascii="Arial" w:hAnsi="Arial" w:cs="Arial"/>
          <w:b/>
          <w:lang w:val="de-DE"/>
        </w:rPr>
        <w:t xml:space="preserve">, </w:t>
      </w:r>
      <w:r w:rsidRPr="00DE6CD3">
        <w:rPr>
          <w:rFonts w:ascii="Arial" w:hAnsi="Arial" w:cs="Arial"/>
          <w:b/>
          <w:lang w:val="it-IT"/>
        </w:rPr>
        <w:t>Jens Dreyhaupt</w:t>
      </w:r>
      <w:r w:rsidRPr="00DE6CD3">
        <w:rPr>
          <w:rFonts w:ascii="Arial" w:hAnsi="Arial" w:cs="Arial"/>
          <w:b/>
          <w:vertAlign w:val="superscript"/>
          <w:lang w:val="it-IT"/>
        </w:rPr>
        <w:t>3</w:t>
      </w:r>
      <w:r w:rsidRPr="00DE6CD3">
        <w:rPr>
          <w:rFonts w:ascii="Arial" w:hAnsi="Arial" w:cs="Arial"/>
          <w:b/>
          <w:lang w:val="it-IT"/>
        </w:rPr>
        <w:t xml:space="preserve">, </w:t>
      </w:r>
      <w:r w:rsidRPr="00DE6CD3">
        <w:rPr>
          <w:rFonts w:ascii="Arial" w:hAnsi="Arial" w:cs="Arial"/>
          <w:b/>
          <w:lang w:val="de-DE"/>
        </w:rPr>
        <w:t>Heiko Braak</w:t>
      </w:r>
      <w:r w:rsidRPr="00DE6CD3">
        <w:rPr>
          <w:rFonts w:ascii="Arial" w:hAnsi="Arial" w:cs="Arial"/>
          <w:b/>
          <w:vertAlign w:val="superscript"/>
          <w:lang w:val="de-DE"/>
        </w:rPr>
        <w:t>1,2</w:t>
      </w:r>
      <w:r w:rsidRPr="00DE6CD3">
        <w:rPr>
          <w:rFonts w:ascii="Arial" w:hAnsi="Arial" w:cs="Arial"/>
          <w:b/>
          <w:lang w:val="de-DE"/>
        </w:rPr>
        <w:t>, Albert C. Ludolph</w:t>
      </w:r>
      <w:r w:rsidRPr="00DE6CD3">
        <w:rPr>
          <w:rFonts w:ascii="Arial" w:hAnsi="Arial" w:cs="Arial"/>
          <w:b/>
          <w:vertAlign w:val="superscript"/>
          <w:lang w:val="de-DE"/>
        </w:rPr>
        <w:t>1</w:t>
      </w:r>
      <w:r w:rsidRPr="00DE6CD3">
        <w:rPr>
          <w:rFonts w:ascii="Arial" w:hAnsi="Arial" w:cs="Arial"/>
          <w:b/>
          <w:lang w:val="de-DE"/>
        </w:rPr>
        <w:t>, Hans-Peter Müller</w:t>
      </w:r>
      <w:r w:rsidRPr="00DE6CD3">
        <w:rPr>
          <w:rFonts w:ascii="Arial" w:hAnsi="Arial" w:cs="Arial"/>
          <w:b/>
          <w:vertAlign w:val="superscript"/>
          <w:lang w:val="de-DE"/>
        </w:rPr>
        <w:t>1,+</w:t>
      </w:r>
      <w:r w:rsidRPr="00DE6CD3">
        <w:rPr>
          <w:rFonts w:ascii="Arial" w:hAnsi="Arial" w:cs="Arial"/>
          <w:b/>
          <w:lang w:val="de-DE"/>
        </w:rPr>
        <w:t>, Jan Kassubek</w:t>
      </w:r>
      <w:r w:rsidRPr="00DE6CD3">
        <w:rPr>
          <w:rFonts w:ascii="Arial" w:hAnsi="Arial" w:cs="Arial"/>
          <w:b/>
          <w:vertAlign w:val="superscript"/>
          <w:lang w:val="de-DE"/>
        </w:rPr>
        <w:t>1,+,</w:t>
      </w:r>
      <w:r w:rsidRPr="00DE6CD3">
        <w:rPr>
          <w:rFonts w:ascii="Arial" w:hAnsi="Arial" w:cs="Arial"/>
          <w:b/>
          <w:lang w:val="de-DE"/>
        </w:rPr>
        <w:t>*</w:t>
      </w:r>
    </w:p>
    <w:p w:rsidR="0006395A" w:rsidRPr="00DE6CD3" w:rsidRDefault="0006395A" w:rsidP="0006395A">
      <w:pPr>
        <w:rPr>
          <w:vertAlign w:val="superscript"/>
          <w:lang w:val="de-DE"/>
        </w:rPr>
      </w:pPr>
    </w:p>
    <w:p w:rsidR="0006395A" w:rsidRPr="00DE6CD3" w:rsidRDefault="0006395A" w:rsidP="0006395A">
      <w:pPr>
        <w:outlineLvl w:val="0"/>
        <w:rPr>
          <w:lang w:val="en-US"/>
        </w:rPr>
      </w:pPr>
      <w:r w:rsidRPr="00DE6CD3">
        <w:rPr>
          <w:vertAlign w:val="superscript"/>
          <w:lang w:val="en-US"/>
        </w:rPr>
        <w:t>1</w:t>
      </w:r>
      <w:r w:rsidRPr="00DE6CD3">
        <w:rPr>
          <w:lang w:val="en-US"/>
        </w:rPr>
        <w:t>Department of Neurology, University of Ulm, Germany</w:t>
      </w:r>
    </w:p>
    <w:p w:rsidR="0006395A" w:rsidRPr="00DE6CD3" w:rsidRDefault="0006395A" w:rsidP="0006395A">
      <w:pPr>
        <w:rPr>
          <w:vertAlign w:val="superscript"/>
        </w:rPr>
      </w:pPr>
      <w:r w:rsidRPr="00DE6CD3">
        <w:rPr>
          <w:vertAlign w:val="superscript"/>
        </w:rPr>
        <w:t>2</w:t>
      </w:r>
      <w:r w:rsidRPr="00DE6CD3">
        <w:t>Clinical Neuroanatomy, Department of Neurology, University of Ulm, Ulm, Germany,</w:t>
      </w:r>
    </w:p>
    <w:p w:rsidR="0006395A" w:rsidRPr="00DE6CD3" w:rsidRDefault="0006395A" w:rsidP="0006395A">
      <w:r w:rsidRPr="00DE6CD3">
        <w:rPr>
          <w:vertAlign w:val="superscript"/>
        </w:rPr>
        <w:t>3</w:t>
      </w:r>
      <w:r w:rsidRPr="00DE6CD3">
        <w:t>Institute of Epidemiology and Medical Biometry, University of Ulm, Germany</w:t>
      </w:r>
    </w:p>
    <w:p w:rsidR="0006395A" w:rsidRPr="00DE6CD3" w:rsidRDefault="0006395A" w:rsidP="0006395A">
      <w:pPr>
        <w:rPr>
          <w:lang w:val="en-US"/>
        </w:rPr>
      </w:pPr>
    </w:p>
    <w:p w:rsidR="0006395A" w:rsidRPr="00DE6CD3" w:rsidRDefault="0006395A" w:rsidP="0006395A">
      <w:pPr>
        <w:rPr>
          <w:color w:val="000000"/>
          <w:vertAlign w:val="superscript"/>
        </w:rPr>
      </w:pPr>
      <w:r w:rsidRPr="00DE6CD3">
        <w:rPr>
          <w:lang w:val="en-US"/>
        </w:rPr>
        <w:t>*</w:t>
      </w:r>
      <w:r w:rsidRPr="00DE6CD3">
        <w:t>jan.kassubek@uni-ulm.de</w:t>
      </w:r>
    </w:p>
    <w:p w:rsidR="0006395A" w:rsidRDefault="0006395A" w:rsidP="0006395A">
      <w:pPr>
        <w:spacing w:after="115" w:line="480" w:lineRule="auto"/>
        <w:rPr>
          <w:rFonts w:cs="Arial"/>
          <w:b/>
          <w:sz w:val="24"/>
          <w:szCs w:val="24"/>
        </w:rPr>
      </w:pPr>
      <w:r w:rsidRPr="00DE6CD3">
        <w:rPr>
          <w:color w:val="000000"/>
          <w:vertAlign w:val="superscript"/>
        </w:rPr>
        <w:t>+</w:t>
      </w:r>
      <w:r w:rsidRPr="00DE6CD3">
        <w:rPr>
          <w:color w:val="000000"/>
        </w:rPr>
        <w:t>these authors shared senior authorship.</w:t>
      </w:r>
    </w:p>
    <w:p w:rsidR="0006395A" w:rsidRPr="00DE6CD3" w:rsidRDefault="0006395A" w:rsidP="0006395A">
      <w:pPr>
        <w:spacing w:after="115"/>
        <w:outlineLvl w:val="0"/>
        <w:rPr>
          <w:rFonts w:ascii="Arial" w:hAnsi="Arial" w:cs="Arial" w:hint="cs"/>
          <w:sz w:val="28"/>
          <w:szCs w:val="28"/>
        </w:rPr>
      </w:pPr>
      <w:r>
        <w:rPr>
          <w:rFonts w:ascii="Arial" w:hAnsi="Arial" w:cs="Arial" w:hint="cs"/>
          <w:noProof/>
          <w:sz w:val="28"/>
          <w:szCs w:val="28"/>
        </w:rPr>
        <w:drawing>
          <wp:inline distT="0" distB="0" distL="0" distR="0">
            <wp:extent cx="5667188" cy="57309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_Figure1_revised.tif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042" cy="574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3B3" w:rsidRDefault="0006395A" w:rsidP="00781A62">
      <w:pPr>
        <w:spacing w:after="115"/>
        <w:jc w:val="both"/>
      </w:pPr>
      <w:r w:rsidRPr="00DE6CD3">
        <w:rPr>
          <w:b/>
          <w:bCs/>
          <w:lang w:val="en-US"/>
        </w:rPr>
        <w:t xml:space="preserve">Supplementary Figure 1. </w:t>
      </w:r>
      <w:r w:rsidRPr="00DE6CD3">
        <w:rPr>
          <w:lang w:val="en-US"/>
        </w:rPr>
        <w:t>Statistically significant correlation (</w:t>
      </w:r>
      <w:r w:rsidRPr="00DE6CD3">
        <w:rPr>
          <w:rFonts w:ascii="Symbol" w:eastAsia="Symbol" w:hAnsi="Symbol" w:cs="Symbol"/>
          <w:i/>
          <w:lang w:val="en-US"/>
        </w:rPr>
        <w:t></w:t>
      </w:r>
      <w:r w:rsidRPr="00DE6CD3">
        <w:rPr>
          <w:lang w:val="en-US"/>
        </w:rPr>
        <w:t xml:space="preserve">=0.87, </w:t>
      </w:r>
      <w:r w:rsidRPr="00DE6CD3">
        <w:rPr>
          <w:i/>
          <w:lang w:val="en-US"/>
        </w:rPr>
        <w:t>p</w:t>
      </w:r>
      <w:r w:rsidRPr="00DE6CD3">
        <w:rPr>
          <w:lang w:val="en-US"/>
        </w:rPr>
        <w:t>&lt;0.0001***, Spearman Rank order correlation) between the number of ALS patients included in the 57 studies with cross-sectional data and the year of publication indicating a marked trend towards a considerably higher number of patients included in the more recent studies (upper row), whereas the number of published studies did not significantly increase (</w:t>
      </w:r>
      <w:r w:rsidRPr="00DE6CD3">
        <w:rPr>
          <w:rFonts w:ascii="Symbol" w:eastAsia="Symbol" w:hAnsi="Symbol" w:cs="Symbol"/>
          <w:i/>
          <w:lang w:val="en-US"/>
        </w:rPr>
        <w:t></w:t>
      </w:r>
      <w:r w:rsidRPr="00DE6CD3">
        <w:rPr>
          <w:lang w:val="en-US"/>
        </w:rPr>
        <w:t xml:space="preserve">=0.41, </w:t>
      </w:r>
      <w:r w:rsidRPr="00DE6CD3">
        <w:rPr>
          <w:i/>
          <w:lang w:val="en-US"/>
        </w:rPr>
        <w:t>p</w:t>
      </w:r>
      <w:r w:rsidRPr="00DE6CD3">
        <w:rPr>
          <w:lang w:val="en-US"/>
        </w:rPr>
        <w:t>=0.12, Spearman Rank order correlation) over the years of publication (lower row).</w:t>
      </w:r>
      <w:bookmarkStart w:id="0" w:name="_GoBack"/>
      <w:bookmarkEnd w:id="0"/>
    </w:p>
    <w:sectPr w:rsidR="000C03B3" w:rsidSect="00C6447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5A"/>
    <w:rsid w:val="0006395A"/>
    <w:rsid w:val="00781A62"/>
    <w:rsid w:val="00A7254C"/>
    <w:rsid w:val="00C640BB"/>
    <w:rsid w:val="00C6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B381"/>
  <w14:defaultImageDpi w14:val="32767"/>
  <w15:chartTrackingRefBased/>
  <w15:docId w15:val="{6041AAC5-2458-3E44-8AD5-A9BE38C3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6395A"/>
    <w:pPr>
      <w:suppressAutoHyphens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Gorges</dc:creator>
  <cp:keywords/>
  <dc:description/>
  <cp:lastModifiedBy>Martin Gorges</cp:lastModifiedBy>
  <cp:revision>2</cp:revision>
  <dcterms:created xsi:type="dcterms:W3CDTF">2018-08-06T16:56:00Z</dcterms:created>
  <dcterms:modified xsi:type="dcterms:W3CDTF">2018-08-06T17:19:00Z</dcterms:modified>
</cp:coreProperties>
</file>