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85" w:rsidRPr="00150E97" w:rsidRDefault="00B6620F" w:rsidP="00B6620F">
      <w:pPr>
        <w:pStyle w:val="Title2"/>
        <w:jc w:val="center"/>
        <w:outlineLvl w:val="0"/>
        <w:rPr>
          <w:color w:val="0070C0"/>
          <w:sz w:val="40"/>
          <w:szCs w:val="32"/>
        </w:rPr>
      </w:pPr>
      <w:r w:rsidRPr="00150E97">
        <w:rPr>
          <w:color w:val="0070C0"/>
          <w:sz w:val="40"/>
          <w:szCs w:val="32"/>
        </w:rPr>
        <w:t>Supplementary</w:t>
      </w:r>
      <w:r w:rsidR="00780A85" w:rsidRPr="00150E97">
        <w:rPr>
          <w:color w:val="0070C0"/>
          <w:sz w:val="40"/>
          <w:szCs w:val="32"/>
        </w:rPr>
        <w:t xml:space="preserve"> Information</w:t>
      </w:r>
    </w:p>
    <w:p w:rsidR="00B6620F" w:rsidRDefault="00B6620F" w:rsidP="00780A85">
      <w:pPr>
        <w:pStyle w:val="Title2"/>
        <w:outlineLvl w:val="0"/>
        <w:rPr>
          <w:b w:val="0"/>
          <w:color w:val="000000"/>
          <w:sz w:val="32"/>
          <w:szCs w:val="32"/>
        </w:rPr>
      </w:pPr>
    </w:p>
    <w:p w:rsidR="00B6620F" w:rsidRDefault="00B6620F" w:rsidP="00B6620F">
      <w:pPr>
        <w:pStyle w:val="Tableofcontents"/>
        <w:jc w:val="center"/>
        <w:outlineLvl w:val="0"/>
        <w:rPr>
          <w:sz w:val="28"/>
        </w:rPr>
      </w:pPr>
    </w:p>
    <w:p w:rsidR="00B6620F" w:rsidRPr="00B6620F" w:rsidRDefault="00B6620F" w:rsidP="00B6620F">
      <w:pPr>
        <w:pStyle w:val="Tableofcontents"/>
        <w:jc w:val="center"/>
        <w:outlineLvl w:val="0"/>
        <w:rPr>
          <w:sz w:val="32"/>
        </w:rPr>
      </w:pPr>
      <w:r w:rsidRPr="00B6620F">
        <w:rPr>
          <w:sz w:val="32"/>
        </w:rPr>
        <w:t>Dynamic volume magnetic domain wall imaging</w:t>
      </w:r>
    </w:p>
    <w:p w:rsidR="00B6620F" w:rsidRPr="00B6620F" w:rsidRDefault="00B6620F" w:rsidP="00B6620F">
      <w:pPr>
        <w:pStyle w:val="Tableofcontents"/>
        <w:jc w:val="center"/>
        <w:rPr>
          <w:sz w:val="32"/>
        </w:rPr>
      </w:pPr>
      <w:proofErr w:type="gramStart"/>
      <w:r w:rsidRPr="00B6620F">
        <w:rPr>
          <w:sz w:val="32"/>
        </w:rPr>
        <w:t>in</w:t>
      </w:r>
      <w:proofErr w:type="gramEnd"/>
      <w:r w:rsidRPr="00B6620F">
        <w:rPr>
          <w:sz w:val="32"/>
        </w:rPr>
        <w:t xml:space="preserve"> grain oriented electrical steel at power frequencies</w:t>
      </w:r>
    </w:p>
    <w:p w:rsidR="00B6620F" w:rsidRPr="00B6620F" w:rsidRDefault="00B6620F" w:rsidP="00B6620F">
      <w:pPr>
        <w:pStyle w:val="Tableofcontents"/>
        <w:jc w:val="center"/>
        <w:rPr>
          <w:sz w:val="32"/>
        </w:rPr>
      </w:pPr>
      <w:proofErr w:type="gramStart"/>
      <w:r w:rsidRPr="00B6620F">
        <w:rPr>
          <w:sz w:val="32"/>
        </w:rPr>
        <w:t>with</w:t>
      </w:r>
      <w:proofErr w:type="gramEnd"/>
      <w:r w:rsidRPr="00B6620F">
        <w:rPr>
          <w:sz w:val="32"/>
        </w:rPr>
        <w:t xml:space="preserve"> accumulative high-frame rate neutron dark-field imaging</w:t>
      </w:r>
    </w:p>
    <w:p w:rsidR="00B6620F" w:rsidRDefault="00B6620F" w:rsidP="00780A85">
      <w:pPr>
        <w:pStyle w:val="Title2"/>
        <w:outlineLvl w:val="0"/>
        <w:rPr>
          <w:b w:val="0"/>
          <w:color w:val="000000"/>
          <w:sz w:val="32"/>
          <w:szCs w:val="32"/>
        </w:rPr>
      </w:pPr>
    </w:p>
    <w:p w:rsidR="00780A85" w:rsidRDefault="00780A85" w:rsidP="00780A85">
      <w:pPr>
        <w:pStyle w:val="Title2"/>
        <w:rPr>
          <w:b w:val="0"/>
          <w:color w:val="000000"/>
          <w:sz w:val="32"/>
          <w:szCs w:val="32"/>
        </w:rPr>
      </w:pPr>
    </w:p>
    <w:p w:rsidR="00B6620F" w:rsidRPr="00CD7E51" w:rsidRDefault="00B6620F" w:rsidP="00B6620F">
      <w:pPr>
        <w:pStyle w:val="AuthorsFull"/>
        <w:jc w:val="both"/>
        <w:rPr>
          <w:lang w:val="en-GB"/>
        </w:rPr>
      </w:pPr>
      <w:r>
        <w:rPr>
          <w:lang w:val="en-GB"/>
        </w:rPr>
        <w:t>Ralph P. Harti</w:t>
      </w:r>
      <w:r w:rsidRPr="00367A06">
        <w:rPr>
          <w:vertAlign w:val="superscript"/>
          <w:lang w:val="en-GB"/>
        </w:rPr>
        <w:t>1</w:t>
      </w:r>
      <w:r w:rsidRPr="00CD7E51">
        <w:rPr>
          <w:lang w:val="en-GB"/>
        </w:rPr>
        <w:t>, Markus Strobl</w:t>
      </w:r>
      <w:r w:rsidRPr="00367A06">
        <w:rPr>
          <w:vertAlign w:val="superscript"/>
          <w:lang w:val="en-GB"/>
        </w:rPr>
        <w:t>1</w:t>
      </w:r>
      <w:r w:rsidRPr="00CD7E51">
        <w:rPr>
          <w:lang w:val="en-GB"/>
        </w:rPr>
        <w:t>, Rudolf Schäfer</w:t>
      </w:r>
      <w:r w:rsidRPr="00367A06">
        <w:rPr>
          <w:vertAlign w:val="superscript"/>
          <w:lang w:val="en-GB"/>
        </w:rPr>
        <w:t>2</w:t>
      </w:r>
      <w:r w:rsidRPr="00CD7E51">
        <w:rPr>
          <w:lang w:val="en-GB"/>
        </w:rPr>
        <w:t>, Nikolay Kardjilov</w:t>
      </w:r>
      <w:r w:rsidRPr="00367A06">
        <w:rPr>
          <w:vertAlign w:val="superscript"/>
          <w:lang w:val="en-GB"/>
        </w:rPr>
        <w:t>3</w:t>
      </w:r>
      <w:r w:rsidRPr="00CD7E51">
        <w:rPr>
          <w:lang w:val="en-GB"/>
        </w:rPr>
        <w:t>, Anton S. Tremsin</w:t>
      </w:r>
      <w:r w:rsidRPr="00367A06">
        <w:rPr>
          <w:vertAlign w:val="superscript"/>
          <w:lang w:val="en-GB"/>
        </w:rPr>
        <w:t>4</w:t>
      </w:r>
      <w:r w:rsidRPr="00CD7E51">
        <w:rPr>
          <w:lang w:val="en-GB"/>
        </w:rPr>
        <w:t>, and Christian Grünzweig</w:t>
      </w:r>
      <w:r w:rsidRPr="00367A06">
        <w:rPr>
          <w:vertAlign w:val="superscript"/>
          <w:lang w:val="en-GB"/>
        </w:rPr>
        <w:t>1</w:t>
      </w:r>
      <w:r>
        <w:rPr>
          <w:lang w:val="en-GB"/>
        </w:rPr>
        <w:t>*</w:t>
      </w:r>
    </w:p>
    <w:p w:rsidR="00B6620F" w:rsidRDefault="00B6620F" w:rsidP="00B6620F">
      <w:pPr>
        <w:jc w:val="both"/>
        <w:outlineLvl w:val="0"/>
        <w:rPr>
          <w:rFonts w:eastAsia="MS Gothic"/>
          <w:lang w:val="en-US"/>
        </w:rPr>
      </w:pPr>
    </w:p>
    <w:p w:rsidR="00B6620F" w:rsidRPr="00367A06" w:rsidRDefault="00B6620F" w:rsidP="00B6620F">
      <w:pPr>
        <w:pStyle w:val="Listenabsatz"/>
        <w:numPr>
          <w:ilvl w:val="0"/>
          <w:numId w:val="1"/>
        </w:numPr>
        <w:jc w:val="both"/>
        <w:outlineLvl w:val="0"/>
        <w:rPr>
          <w:rFonts w:eastAsia="MS Gothic"/>
          <w:sz w:val="22"/>
          <w:lang w:val="en-US"/>
        </w:rPr>
      </w:pPr>
      <w:r w:rsidRPr="00367A06">
        <w:rPr>
          <w:rFonts w:eastAsia="MS Gothic"/>
          <w:sz w:val="22"/>
          <w:lang w:val="en-US"/>
        </w:rPr>
        <w:t xml:space="preserve">Paul </w:t>
      </w:r>
      <w:proofErr w:type="spellStart"/>
      <w:r w:rsidRPr="00367A06">
        <w:rPr>
          <w:rFonts w:eastAsia="MS Gothic"/>
          <w:sz w:val="22"/>
          <w:lang w:val="en-US"/>
        </w:rPr>
        <w:t>Scherrer</w:t>
      </w:r>
      <w:proofErr w:type="spellEnd"/>
      <w:r w:rsidRPr="00367A06">
        <w:rPr>
          <w:rFonts w:eastAsia="MS Gothic"/>
          <w:sz w:val="22"/>
          <w:lang w:val="en-US"/>
        </w:rPr>
        <w:t xml:space="preserve"> Institute, Laboratory for Neutron Scattering and Imaging, </w:t>
      </w:r>
      <w:proofErr w:type="spellStart"/>
      <w:r w:rsidRPr="00367A06">
        <w:rPr>
          <w:rFonts w:eastAsia="MS Gothic"/>
          <w:sz w:val="22"/>
          <w:lang w:val="en-US"/>
        </w:rPr>
        <w:t>Villigen</w:t>
      </w:r>
      <w:proofErr w:type="spellEnd"/>
      <w:r w:rsidRPr="00367A06">
        <w:rPr>
          <w:rFonts w:eastAsia="MS Gothic"/>
          <w:sz w:val="22"/>
          <w:lang w:val="en-US"/>
        </w:rPr>
        <w:t>, Switzerland</w:t>
      </w:r>
    </w:p>
    <w:p w:rsidR="00B6620F" w:rsidRPr="00D64916" w:rsidRDefault="00B6620F" w:rsidP="00B6620F">
      <w:pPr>
        <w:pStyle w:val="Listenabsatz"/>
        <w:numPr>
          <w:ilvl w:val="0"/>
          <w:numId w:val="1"/>
        </w:numPr>
        <w:jc w:val="both"/>
        <w:outlineLvl w:val="0"/>
        <w:rPr>
          <w:rFonts w:eastAsia="MS Gothic"/>
          <w:sz w:val="22"/>
          <w:lang w:val="de-CH"/>
        </w:rPr>
      </w:pPr>
      <w:r w:rsidRPr="00D64916">
        <w:rPr>
          <w:sz w:val="22"/>
          <w:lang w:val="de-CH"/>
        </w:rPr>
        <w:t>Leibniz-Institut für Festkörper- und Werkstoffforschung, Dresden, Germany</w:t>
      </w:r>
    </w:p>
    <w:p w:rsidR="00B6620F" w:rsidRPr="00D64916" w:rsidRDefault="00B6620F" w:rsidP="00B6620F">
      <w:pPr>
        <w:pStyle w:val="Listenabsatz"/>
        <w:numPr>
          <w:ilvl w:val="0"/>
          <w:numId w:val="1"/>
        </w:numPr>
        <w:jc w:val="both"/>
        <w:outlineLvl w:val="0"/>
        <w:rPr>
          <w:rFonts w:eastAsia="MS Gothic"/>
          <w:sz w:val="22"/>
          <w:lang w:val="de-CH"/>
        </w:rPr>
      </w:pPr>
      <w:r w:rsidRPr="00D64916">
        <w:rPr>
          <w:rFonts w:eastAsia="MS Gothic"/>
          <w:sz w:val="22"/>
          <w:lang w:val="de-CH"/>
        </w:rPr>
        <w:t>Helmholtz-Zentrum Berlin, Institute Applied Materials, Berlin, Germany</w:t>
      </w:r>
    </w:p>
    <w:p w:rsidR="00B6620F" w:rsidRDefault="00B6620F" w:rsidP="00B6620F">
      <w:pPr>
        <w:pStyle w:val="Listenabsatz"/>
        <w:numPr>
          <w:ilvl w:val="0"/>
          <w:numId w:val="1"/>
        </w:numPr>
        <w:jc w:val="both"/>
        <w:outlineLvl w:val="0"/>
        <w:rPr>
          <w:rFonts w:eastAsia="MS Gothic"/>
          <w:sz w:val="22"/>
          <w:lang w:val="en-US"/>
        </w:rPr>
      </w:pPr>
      <w:r w:rsidRPr="00367A06">
        <w:rPr>
          <w:rFonts w:eastAsia="MS Gothic"/>
          <w:sz w:val="22"/>
          <w:lang w:val="en-US"/>
        </w:rPr>
        <w:t>University of California at Berkeley</w:t>
      </w:r>
      <w:r>
        <w:rPr>
          <w:rFonts w:eastAsia="MS Gothic"/>
          <w:sz w:val="22"/>
          <w:lang w:val="en-US"/>
        </w:rPr>
        <w:t xml:space="preserve">, </w:t>
      </w:r>
      <w:r w:rsidRPr="00367A06">
        <w:rPr>
          <w:rFonts w:eastAsia="MS Gothic"/>
          <w:sz w:val="22"/>
          <w:lang w:val="en-US"/>
        </w:rPr>
        <w:t>Space Sciences Laboratory</w:t>
      </w:r>
      <w:r>
        <w:rPr>
          <w:rFonts w:eastAsia="MS Gothic"/>
          <w:sz w:val="22"/>
          <w:lang w:val="en-US"/>
        </w:rPr>
        <w:t>, Berkeley, United States</w:t>
      </w:r>
    </w:p>
    <w:p w:rsidR="00B6620F" w:rsidRPr="00367A06" w:rsidRDefault="00B6620F" w:rsidP="00B6620F">
      <w:pPr>
        <w:pStyle w:val="Listenabsatz"/>
        <w:jc w:val="both"/>
        <w:outlineLvl w:val="0"/>
        <w:rPr>
          <w:rFonts w:eastAsia="MS Gothic"/>
          <w:sz w:val="22"/>
          <w:lang w:val="en-US"/>
        </w:rPr>
      </w:pPr>
    </w:p>
    <w:p w:rsidR="00B6620F" w:rsidRDefault="00B6620F" w:rsidP="00B6620F">
      <w:pPr>
        <w:jc w:val="both"/>
        <w:outlineLvl w:val="0"/>
        <w:rPr>
          <w:rFonts w:eastAsia="MS Gothic"/>
          <w:b/>
          <w:lang w:val="en-US"/>
        </w:rPr>
      </w:pPr>
      <w:r>
        <w:rPr>
          <w:rFonts w:eastAsia="MS Gothic"/>
          <w:b/>
          <w:lang w:val="en-US"/>
        </w:rPr>
        <w:t xml:space="preserve">*corresponding author: christian.gruenzweig@psi.ch </w:t>
      </w: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B6620F" w:rsidRDefault="00B6620F" w:rsidP="00780A85">
      <w:pPr>
        <w:spacing w:line="480" w:lineRule="auto"/>
        <w:outlineLvl w:val="0"/>
        <w:rPr>
          <w:b/>
          <w:lang w:val="en-US"/>
        </w:rPr>
      </w:pPr>
    </w:p>
    <w:p w:rsidR="00780A85" w:rsidRPr="0065180B" w:rsidRDefault="00780A85" w:rsidP="00780A85">
      <w:pPr>
        <w:spacing w:line="480" w:lineRule="auto"/>
        <w:outlineLvl w:val="0"/>
        <w:rPr>
          <w:b/>
          <w:lang w:val="en-US"/>
        </w:rPr>
      </w:pPr>
      <w:r>
        <w:rPr>
          <w:b/>
          <w:lang w:val="en-US"/>
        </w:rPr>
        <w:lastRenderedPageBreak/>
        <w:t xml:space="preserve">Supplementary Material S1: </w:t>
      </w:r>
      <w:r w:rsidRPr="0065180B">
        <w:rPr>
          <w:b/>
          <w:lang w:val="en-US"/>
        </w:rPr>
        <w:t>Sample</w:t>
      </w:r>
    </w:p>
    <w:p w:rsidR="00780A85" w:rsidRPr="005E3B1C" w:rsidRDefault="00780A85" w:rsidP="00780A85">
      <w:pPr>
        <w:spacing w:line="480" w:lineRule="auto"/>
        <w:rPr>
          <w:lang w:val="en-US"/>
        </w:rPr>
      </w:pPr>
      <w:bookmarkStart w:id="0" w:name="_GoBack"/>
      <w:r w:rsidRPr="00A73BE0">
        <w:rPr>
          <w:lang w:val="en-US"/>
        </w:rPr>
        <w:t xml:space="preserve">The </w:t>
      </w:r>
      <w:r>
        <w:rPr>
          <w:lang w:val="en-US"/>
        </w:rPr>
        <w:t xml:space="preserve">GOES </w:t>
      </w:r>
      <w:r w:rsidRPr="00A73BE0">
        <w:rPr>
          <w:lang w:val="en-US"/>
        </w:rPr>
        <w:t>samp</w:t>
      </w:r>
      <w:r>
        <w:rPr>
          <w:lang w:val="en-US"/>
        </w:rPr>
        <w:t>le studied in this communication is in accordance with the standard grade EN 10107: M 100-30p (</w:t>
      </w:r>
      <w:proofErr w:type="spellStart"/>
      <w:r>
        <w:rPr>
          <w:lang w:val="en-US"/>
        </w:rPr>
        <w:t>Thyssen</w:t>
      </w:r>
      <w:proofErr w:type="spellEnd"/>
      <w:r>
        <w:rPr>
          <w:lang w:val="en-US"/>
        </w:rPr>
        <w:t xml:space="preserve"> Krupp </w:t>
      </w:r>
      <w:proofErr w:type="spellStart"/>
      <w:r>
        <w:rPr>
          <w:lang w:val="en-US"/>
        </w:rPr>
        <w:t>powerCore</w:t>
      </w:r>
      <w:proofErr w:type="spellEnd"/>
      <w:r>
        <w:rPr>
          <w:lang w:val="en-US"/>
        </w:rPr>
        <w:t xml:space="preserve"> H, Grade: H 100-30, Core losses at 1.7 and 50 Hz: 1.00 W=kg), and has a width of 30 mm, a length of 300 </w:t>
      </w:r>
      <w:r w:rsidR="00D64916">
        <w:rPr>
          <w:lang w:val="en-US"/>
        </w:rPr>
        <w:t>m</w:t>
      </w:r>
      <w:r>
        <w:rPr>
          <w:lang w:val="en-US"/>
        </w:rPr>
        <w:t xml:space="preserve">m and a thickness of 270 </w:t>
      </w:r>
      <w:r>
        <w:rPr>
          <w:lang w:val="en-US"/>
        </w:rPr>
        <w:sym w:font="Symbol" w:char="F06D"/>
      </w:r>
      <w:r w:rsidRPr="00A73BE0">
        <w:rPr>
          <w:lang w:val="en-US"/>
        </w:rPr>
        <w:t>m</w:t>
      </w:r>
      <w:r>
        <w:rPr>
          <w:lang w:val="en-US"/>
        </w:rPr>
        <w:t>.</w:t>
      </w:r>
      <w:bookmarkEnd w:id="0"/>
      <w:r>
        <w:rPr>
          <w:lang w:val="en-US"/>
        </w:rPr>
        <w:t xml:space="preserve"> </w:t>
      </w:r>
      <w:r w:rsidRPr="00A73BE0">
        <w:rPr>
          <w:lang w:val="en-US"/>
        </w:rPr>
        <w:t xml:space="preserve">It is covered </w:t>
      </w:r>
      <w:r>
        <w:rPr>
          <w:lang w:val="en-US"/>
        </w:rPr>
        <w:t xml:space="preserve">with an isolation layer consisting of </w:t>
      </w:r>
      <w:proofErr w:type="spellStart"/>
      <w:r>
        <w:rPr>
          <w:lang w:val="en-US"/>
        </w:rPr>
        <w:t>forsterite</w:t>
      </w:r>
      <w:proofErr w:type="spellEnd"/>
      <w:r>
        <w:rPr>
          <w:lang w:val="en-US"/>
        </w:rPr>
        <w:t xml:space="preserve"> (Mg</w:t>
      </w:r>
      <w:r w:rsidRPr="002C18A5">
        <w:rPr>
          <w:vertAlign w:val="subscript"/>
          <w:lang w:val="en-US"/>
        </w:rPr>
        <w:t>2</w:t>
      </w:r>
      <w:r>
        <w:rPr>
          <w:lang w:val="en-US"/>
        </w:rPr>
        <w:t>SiO</w:t>
      </w:r>
      <w:r w:rsidRPr="002C18A5">
        <w:rPr>
          <w:vertAlign w:val="subscript"/>
          <w:lang w:val="en-US"/>
        </w:rPr>
        <w:t>4</w:t>
      </w:r>
      <w:r w:rsidRPr="002C18A5">
        <w:rPr>
          <w:lang w:val="en-US"/>
        </w:rPr>
        <w:t>)</w:t>
      </w:r>
      <w:r>
        <w:rPr>
          <w:lang w:val="en-US"/>
        </w:rPr>
        <w:t xml:space="preserve"> and phosphate. The samples were cut into Epstein strips and annealed at 800 </w:t>
      </w:r>
      <w:r w:rsidRPr="002C18A5">
        <w:rPr>
          <w:lang w:val="en-US"/>
        </w:rPr>
        <w:t>°C</w:t>
      </w:r>
      <w:r>
        <w:rPr>
          <w:lang w:val="en-US"/>
        </w:rPr>
        <w:t xml:space="preserve"> for 2 hours in nitrogen atmosphere to undergo stress-relief annealing. </w:t>
      </w:r>
      <w:r w:rsidRPr="00A73BE0">
        <w:rPr>
          <w:lang w:val="en-US"/>
        </w:rPr>
        <w:t xml:space="preserve">As the coating barely attenuates neutrons </w:t>
      </w:r>
      <w:proofErr w:type="spellStart"/>
      <w:r w:rsidRPr="00A73BE0">
        <w:rPr>
          <w:lang w:val="en-US"/>
        </w:rPr>
        <w:t>nGI</w:t>
      </w:r>
      <w:proofErr w:type="spellEnd"/>
      <w:r w:rsidRPr="00A73BE0">
        <w:rPr>
          <w:lang w:val="en-US"/>
        </w:rPr>
        <w:t xml:space="preserve"> is ideally suited for the study of s</w:t>
      </w:r>
      <w:r>
        <w:rPr>
          <w:lang w:val="en-US"/>
        </w:rPr>
        <w:t>amples with intact coating.</w:t>
      </w: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780A85" w:rsidRDefault="00780A85" w:rsidP="00780A85">
      <w:pPr>
        <w:rPr>
          <w:b/>
        </w:rPr>
      </w:pPr>
    </w:p>
    <w:p w:rsidR="00B6620F" w:rsidRDefault="00B6620F" w:rsidP="00780A85">
      <w:pPr>
        <w:rPr>
          <w:b/>
        </w:rPr>
      </w:pPr>
    </w:p>
    <w:p w:rsidR="00B6620F" w:rsidRDefault="00B6620F" w:rsidP="00780A85">
      <w:pPr>
        <w:rPr>
          <w:b/>
        </w:rPr>
      </w:pPr>
    </w:p>
    <w:p w:rsidR="00B6620F" w:rsidRDefault="00B6620F" w:rsidP="00780A85">
      <w:pPr>
        <w:rPr>
          <w:b/>
        </w:rPr>
      </w:pPr>
    </w:p>
    <w:p w:rsidR="00780A85" w:rsidRDefault="00780A85" w:rsidP="00780A85">
      <w:r w:rsidRPr="006E0FB5">
        <w:rPr>
          <w:b/>
        </w:rPr>
        <w:lastRenderedPageBreak/>
        <w:t xml:space="preserve">Figure </w:t>
      </w:r>
      <w:r>
        <w:rPr>
          <w:b/>
        </w:rPr>
        <w:t>S2</w:t>
      </w:r>
      <w:r w:rsidRPr="006E0FB5">
        <w:rPr>
          <w:b/>
        </w:rPr>
        <w:t>.</w:t>
      </w:r>
      <w:r w:rsidRPr="006E0FB5">
        <w:t xml:space="preserve"> </w:t>
      </w:r>
      <w:r w:rsidRPr="00BF27EF">
        <w:t>Neutron grating interferometer setup. G0 and G2 are absorption gratings and G1 is a phase grating. The detector and sample are triggered with the same signal and a sinusoidal magnetic field is applied to the sample.</w:t>
      </w:r>
    </w:p>
    <w:p w:rsidR="00780A85" w:rsidRPr="00BF27EF" w:rsidRDefault="00780A85" w:rsidP="00780A85">
      <w:pPr>
        <w:rPr>
          <w:b/>
          <w:color w:val="FF0000"/>
        </w:rPr>
      </w:pPr>
    </w:p>
    <w:p w:rsidR="00780A85" w:rsidRDefault="00780A85" w:rsidP="00780A85">
      <w:pPr>
        <w:rPr>
          <w:lang w:val="en-US"/>
        </w:rPr>
      </w:pPr>
      <w:r>
        <w:rPr>
          <w:noProof/>
          <w:lang w:val="en-US" w:eastAsia="en-US"/>
        </w:rPr>
        <w:drawing>
          <wp:inline distT="0" distB="0" distL="0" distR="0" wp14:anchorId="76D031B3" wp14:editId="2C0FA806">
            <wp:extent cx="5749925" cy="3810000"/>
            <wp:effectExtent l="0" t="0" r="0" b="0"/>
            <wp:docPr id="2" name="Picture 2" descr="../pics/Fig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s/FigureS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9925" cy="3810000"/>
                    </a:xfrm>
                    <a:prstGeom prst="rect">
                      <a:avLst/>
                    </a:prstGeom>
                    <a:noFill/>
                    <a:ln>
                      <a:noFill/>
                    </a:ln>
                  </pic:spPr>
                </pic:pic>
              </a:graphicData>
            </a:graphic>
          </wp:inline>
        </w:drawing>
      </w:r>
    </w:p>
    <w:p w:rsidR="00780A85" w:rsidRDefault="00780A85" w:rsidP="00780A85">
      <w:pPr>
        <w:rPr>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Pr="00BF27EF" w:rsidRDefault="00780A85" w:rsidP="00780A85">
      <w:pPr>
        <w:rPr>
          <w:b/>
          <w:lang w:val="en-US"/>
        </w:rPr>
      </w:pPr>
      <w:r w:rsidRPr="00BF27EF">
        <w:rPr>
          <w:b/>
          <w:lang w:val="en-US"/>
        </w:rPr>
        <w:lastRenderedPageBreak/>
        <w:t>Figure S</w:t>
      </w:r>
      <w:r>
        <w:rPr>
          <w:b/>
          <w:lang w:val="en-US"/>
        </w:rPr>
        <w:t>3</w:t>
      </w:r>
      <w:r w:rsidRPr="00BF27EF">
        <w:rPr>
          <w:b/>
          <w:lang w:val="en-US"/>
        </w:rPr>
        <w:t xml:space="preserve">. </w:t>
      </w:r>
      <w:r>
        <w:rPr>
          <w:b/>
          <w:lang w:val="en-US"/>
        </w:rPr>
        <w:t xml:space="preserve"> </w:t>
      </w:r>
      <w:r>
        <w:rPr>
          <w:lang w:val="en-US"/>
        </w:rPr>
        <w:t>Thumbnails for the recorded videos available for download. Each of the four images represents the first frame of the recorded videos and represents the state of the sample at the highest applied field for each measurement.</w:t>
      </w:r>
    </w:p>
    <w:p w:rsidR="00780A85" w:rsidRPr="00482A2B" w:rsidRDefault="00780A85" w:rsidP="00780A85">
      <w:pPr>
        <w:spacing w:line="480" w:lineRule="auto"/>
        <w:rPr>
          <w:b/>
          <w:lang w:val="en-US"/>
        </w:rPr>
      </w:pPr>
    </w:p>
    <w:p w:rsidR="00780A85" w:rsidRDefault="00780A85" w:rsidP="00780A85">
      <w:pPr>
        <w:spacing w:line="480" w:lineRule="auto"/>
        <w:rPr>
          <w:lang w:val="en-US"/>
        </w:rPr>
      </w:pPr>
      <w:r>
        <w:rPr>
          <w:noProof/>
          <w:lang w:val="en-US" w:eastAsia="en-US"/>
        </w:rPr>
        <w:drawing>
          <wp:inline distT="0" distB="0" distL="0" distR="0" wp14:anchorId="6FADBBBA" wp14:editId="7707CEB2">
            <wp:extent cx="4787265" cy="4525645"/>
            <wp:effectExtent l="0" t="0" r="0" b="0"/>
            <wp:docPr id="3" name="Picture 3" descr="../pics/Figure_Supp_vide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s/Figure_Supp_vide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7265" cy="4525645"/>
                    </a:xfrm>
                    <a:prstGeom prst="rect">
                      <a:avLst/>
                    </a:prstGeom>
                    <a:noFill/>
                    <a:ln>
                      <a:noFill/>
                    </a:ln>
                  </pic:spPr>
                </pic:pic>
              </a:graphicData>
            </a:graphic>
          </wp:inline>
        </w:drawing>
      </w: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outlineLvl w:val="0"/>
        <w:rPr>
          <w:b/>
          <w:lang w:val="en-US"/>
        </w:rPr>
      </w:pPr>
    </w:p>
    <w:p w:rsidR="00780A85" w:rsidRDefault="00780A85" w:rsidP="00780A85">
      <w:pPr>
        <w:outlineLvl w:val="0"/>
        <w:rPr>
          <w:b/>
          <w:lang w:val="en-US"/>
        </w:rPr>
      </w:pPr>
    </w:p>
    <w:p w:rsidR="00780A85" w:rsidRDefault="00780A85" w:rsidP="00780A85">
      <w:pPr>
        <w:outlineLvl w:val="0"/>
        <w:rPr>
          <w:b/>
          <w:lang w:val="en-US"/>
        </w:rPr>
      </w:pPr>
    </w:p>
    <w:p w:rsidR="00780A85" w:rsidRDefault="00780A85" w:rsidP="00780A85">
      <w:pPr>
        <w:outlineLvl w:val="0"/>
        <w:rPr>
          <w:b/>
          <w:lang w:val="en-US"/>
        </w:rPr>
      </w:pPr>
      <w:r>
        <w:rPr>
          <w:b/>
          <w:lang w:val="en-US"/>
        </w:rPr>
        <w:lastRenderedPageBreak/>
        <w:t xml:space="preserve">Supplementary Material S4: </w:t>
      </w:r>
      <w:r w:rsidRPr="00BF27EF">
        <w:rPr>
          <w:b/>
          <w:lang w:val="en-US"/>
        </w:rPr>
        <w:t>Data reduction</w:t>
      </w:r>
    </w:p>
    <w:p w:rsidR="00780A85" w:rsidRDefault="00780A85" w:rsidP="00780A85">
      <w:pPr>
        <w:rPr>
          <w:b/>
          <w:lang w:val="en-US"/>
        </w:rPr>
      </w:pPr>
    </w:p>
    <w:p w:rsidR="00780A85" w:rsidRDefault="00780A85" w:rsidP="00780A85">
      <w:pPr>
        <w:spacing w:line="480" w:lineRule="auto"/>
        <w:rPr>
          <w:lang w:val="en-US"/>
        </w:rPr>
      </w:pPr>
      <w:r w:rsidRPr="00BF27EF">
        <w:rPr>
          <w:lang w:val="en-US"/>
        </w:rPr>
        <w:t xml:space="preserve">Figure </w:t>
      </w:r>
      <w:r>
        <w:rPr>
          <w:lang w:val="en-US"/>
        </w:rPr>
        <w:t>S5</w:t>
      </w:r>
      <w:r w:rsidRPr="00BF27EF">
        <w:rPr>
          <w:lang w:val="en-US"/>
        </w:rPr>
        <w:t xml:space="preserve"> visualizes the data recording matrix of time resolved neutron grating interferometry experiments. At every point of the applied field (H [A/m]) a full set of 17 G0 phase steps has been recorded. The applied field was recorded with 862 individual time frames for 10Hz, 684 for 25 Hz and 844 for 50 Hz. In order to increase the statistics in one image of the G0 phase step 76 individual time frames were summed. Each of the 17 steps of the stepped grating is thus composed of 76 time frames and the coverage of the full applied sinusoidal field was realized by a running average approach making the full data treatment a 3 step procedure: (</w:t>
      </w:r>
      <w:proofErr w:type="spellStart"/>
      <w:r w:rsidRPr="00BF27EF">
        <w:rPr>
          <w:lang w:val="en-US"/>
        </w:rPr>
        <w:t>i</w:t>
      </w:r>
      <w:proofErr w:type="spellEnd"/>
      <w:r w:rsidRPr="00BF27EF">
        <w:rPr>
          <w:lang w:val="en-US"/>
        </w:rPr>
        <w:t>) Time frame summation</w:t>
      </w:r>
      <w:r>
        <w:rPr>
          <w:lang w:val="en-US"/>
        </w:rPr>
        <w:t xml:space="preserve"> according to phase</w:t>
      </w:r>
      <w:r w:rsidRPr="00BF27EF">
        <w:rPr>
          <w:lang w:val="en-US"/>
        </w:rPr>
        <w:t xml:space="preserve">, (ii) Running </w:t>
      </w:r>
      <w:r>
        <w:rPr>
          <w:lang w:val="en-US"/>
        </w:rPr>
        <w:t xml:space="preserve">time </w:t>
      </w:r>
      <w:r w:rsidRPr="00BF27EF">
        <w:rPr>
          <w:lang w:val="en-US"/>
        </w:rPr>
        <w:t>average and (iii) Batch data reduction. The summation of individual time frames (</w:t>
      </w:r>
      <w:proofErr w:type="spellStart"/>
      <w:r w:rsidRPr="00BF27EF">
        <w:rPr>
          <w:lang w:val="en-US"/>
        </w:rPr>
        <w:t>i</w:t>
      </w:r>
      <w:proofErr w:type="spellEnd"/>
      <w:r w:rsidRPr="00BF27EF">
        <w:rPr>
          <w:lang w:val="en-US"/>
        </w:rPr>
        <w:t>) creates an image that is then used for the data reduction process and makes it possible to tune the statistics in the resulting DFIs. We opt for the summation of 76 images to generate one G0 phase stepping image. For the creation of the time resolved data set we use a running average approach (ii) with a step width of 14 images as a compromise between smoothness of the result and data volume. This means that for the first DFI of the time series we take the sum of time frames 0 - 75 as defined before. For the second DFI we sum images 13 to 88. This procedure is then continued to cover the whole set of up to 862 time frames. The summation and running average steps create relatively large sets of images that are then analyzed by a batch data treatment (iii) software based on recently developed in-house software</w:t>
      </w:r>
      <w:r>
        <w:rPr>
          <w:rStyle w:val="Funotenzeichen"/>
          <w:lang w:val="en-US"/>
        </w:rPr>
        <w:footnoteReference w:id="1"/>
      </w:r>
      <w:r w:rsidRPr="00BF27EF">
        <w:rPr>
          <w:lang w:val="en-US"/>
        </w:rPr>
        <w:t xml:space="preserve"> which enables the application of common </w:t>
      </w:r>
      <w:proofErr w:type="spellStart"/>
      <w:r w:rsidRPr="00BF27EF">
        <w:rPr>
          <w:lang w:val="en-US"/>
        </w:rPr>
        <w:t>nGI</w:t>
      </w:r>
      <w:proofErr w:type="spellEnd"/>
      <w:r w:rsidRPr="00BF27EF">
        <w:rPr>
          <w:lang w:val="en-US"/>
        </w:rPr>
        <w:t xml:space="preserve"> data reducti</w:t>
      </w:r>
      <w:r>
        <w:rPr>
          <w:lang w:val="en-US"/>
        </w:rPr>
        <w:t>on algorithms</w:t>
      </w:r>
      <w:r>
        <w:rPr>
          <w:rStyle w:val="Funotenzeichen"/>
          <w:lang w:val="en-US"/>
        </w:rPr>
        <w:footnoteReference w:id="2"/>
      </w:r>
      <w:r>
        <w:rPr>
          <w:lang w:val="en-US"/>
        </w:rPr>
        <w:t xml:space="preserve"> </w:t>
      </w:r>
      <w:r w:rsidRPr="00BF27EF">
        <w:rPr>
          <w:lang w:val="en-US"/>
        </w:rPr>
        <w:t xml:space="preserve">to large datasets. The flexibility of that type of data treatment allows us to tune for optimal statistics and time resolution and gives us the possibility to analyze the movement of magnetic domain walls with an effective time resolution of 8.8 </w:t>
      </w:r>
      <w:proofErr w:type="spellStart"/>
      <w:r w:rsidRPr="00BF27EF">
        <w:rPr>
          <w:lang w:val="en-US"/>
        </w:rPr>
        <w:t>ms</w:t>
      </w:r>
      <w:proofErr w:type="spellEnd"/>
      <w:r w:rsidRPr="00BF27EF">
        <w:rPr>
          <w:lang w:val="en-US"/>
        </w:rPr>
        <w:t xml:space="preserve"> </w:t>
      </w:r>
      <w:r w:rsidRPr="00BF27EF">
        <w:rPr>
          <w:lang w:val="en-US"/>
        </w:rPr>
        <w:lastRenderedPageBreak/>
        <w:t xml:space="preserve">for 10 Hz, 4.4 </w:t>
      </w:r>
      <w:proofErr w:type="spellStart"/>
      <w:r w:rsidRPr="00BF27EF">
        <w:rPr>
          <w:lang w:val="en-US"/>
        </w:rPr>
        <w:t>ms</w:t>
      </w:r>
      <w:proofErr w:type="spellEnd"/>
      <w:r w:rsidRPr="00BF27EF">
        <w:rPr>
          <w:lang w:val="en-US"/>
        </w:rPr>
        <w:t xml:space="preserve"> for 25 Hz and 1.8 </w:t>
      </w:r>
      <w:proofErr w:type="spellStart"/>
      <w:r w:rsidRPr="00BF27EF">
        <w:rPr>
          <w:lang w:val="en-US"/>
        </w:rPr>
        <w:t>ms</w:t>
      </w:r>
      <w:proofErr w:type="spellEnd"/>
      <w:r w:rsidRPr="00BF27EF">
        <w:rPr>
          <w:lang w:val="en-US"/>
        </w:rPr>
        <w:t xml:space="preserve"> for 50 Hz, as well as spatial resolution with a pixel size of 50 </w:t>
      </w:r>
      <w:r>
        <w:rPr>
          <w:lang w:val="en-US"/>
        </w:rPr>
        <w:sym w:font="Symbol" w:char="F06D"/>
      </w:r>
      <w:r w:rsidRPr="00BF27EF">
        <w:rPr>
          <w:lang w:val="en-US"/>
        </w:rPr>
        <w:t>m.</w:t>
      </w:r>
    </w:p>
    <w:p w:rsidR="00780A85" w:rsidRDefault="00780A85" w:rsidP="00780A85">
      <w:pPr>
        <w:spacing w:line="480" w:lineRule="auto"/>
        <w:rPr>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Default="00780A85" w:rsidP="00780A85">
      <w:pPr>
        <w:rPr>
          <w:b/>
          <w:lang w:val="en-US"/>
        </w:rPr>
      </w:pPr>
    </w:p>
    <w:p w:rsidR="00780A85" w:rsidRPr="00BF27EF" w:rsidRDefault="00780A85" w:rsidP="00780A85">
      <w:pPr>
        <w:rPr>
          <w:b/>
          <w:lang w:val="en-US"/>
        </w:rPr>
      </w:pPr>
      <w:r>
        <w:rPr>
          <w:b/>
          <w:lang w:val="en-US"/>
        </w:rPr>
        <w:lastRenderedPageBreak/>
        <w:t>Figure S5</w:t>
      </w:r>
      <w:r w:rsidRPr="00BF27EF">
        <w:rPr>
          <w:b/>
          <w:lang w:val="en-US"/>
        </w:rPr>
        <w:t xml:space="preserve">. </w:t>
      </w:r>
      <w:r>
        <w:rPr>
          <w:b/>
          <w:lang w:val="en-US"/>
        </w:rPr>
        <w:t xml:space="preserve"> </w:t>
      </w:r>
      <w:r w:rsidRPr="00BF27EF">
        <w:rPr>
          <w:lang w:val="en-US"/>
        </w:rPr>
        <w:t>Visualization of the data recording matrix. The red points indicate time intervals composed of 76 individual time frames of the single DFIs within an applied sinusoidal field (H[A/m]). In reality the coverage was realized by a running average procedure causing the time intervals to overlap. The black squares indicate the steps within a G0 phase step. A total of 17 steps was recorded during stepping of one full period of G0. At each time interval (red points) a full G0 phase step was recorded with again each individual projection (black square) composed of 76 time frames.</w:t>
      </w:r>
    </w:p>
    <w:p w:rsidR="00780A85" w:rsidRDefault="00780A85" w:rsidP="00780A85">
      <w:pPr>
        <w:spacing w:line="480" w:lineRule="auto"/>
        <w:rPr>
          <w:lang w:val="en-US"/>
        </w:rPr>
      </w:pPr>
      <w:r>
        <w:rPr>
          <w:noProof/>
          <w:lang w:val="en-US" w:eastAsia="en-US"/>
        </w:rPr>
        <w:drawing>
          <wp:inline distT="0" distB="0" distL="0" distR="0" wp14:anchorId="019173E3" wp14:editId="44176A43">
            <wp:extent cx="5749925" cy="3868420"/>
            <wp:effectExtent l="0" t="0" r="0" b="0"/>
            <wp:docPr id="7" name="Picture 7" descr="../pics/FigureSup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s/FigureSupp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925" cy="3868420"/>
                    </a:xfrm>
                    <a:prstGeom prst="rect">
                      <a:avLst/>
                    </a:prstGeom>
                    <a:noFill/>
                    <a:ln>
                      <a:noFill/>
                    </a:ln>
                  </pic:spPr>
                </pic:pic>
              </a:graphicData>
            </a:graphic>
          </wp:inline>
        </w:drawing>
      </w: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Pr="00BF27EF" w:rsidRDefault="00780A85" w:rsidP="00780A85">
      <w:pPr>
        <w:rPr>
          <w:b/>
          <w:lang w:val="en-US"/>
        </w:rPr>
      </w:pPr>
      <w:r>
        <w:rPr>
          <w:b/>
          <w:lang w:val="en-US"/>
        </w:rPr>
        <w:lastRenderedPageBreak/>
        <w:t>Figure S6</w:t>
      </w:r>
      <w:r w:rsidRPr="00BF27EF">
        <w:rPr>
          <w:b/>
          <w:lang w:val="en-US"/>
        </w:rPr>
        <w:t xml:space="preserve">. </w:t>
      </w:r>
      <w:r>
        <w:rPr>
          <w:b/>
          <w:lang w:val="en-US"/>
        </w:rPr>
        <w:t xml:space="preserve"> </w:t>
      </w:r>
      <w:r w:rsidRPr="00BF27EF">
        <w:rPr>
          <w:lang w:val="en-US"/>
        </w:rPr>
        <w:t xml:space="preserve">Measurement locations for the individual measurements with the respective values. Lower case letters indicate the measurement location of the domain size </w:t>
      </w:r>
      <w:r w:rsidRPr="00BF27EF">
        <w:rPr>
          <w:i/>
          <w:lang w:val="en-US"/>
        </w:rPr>
        <w:t>d</w:t>
      </w:r>
      <w:r w:rsidRPr="00BF27EF">
        <w:rPr>
          <w:lang w:val="en-US"/>
        </w:rPr>
        <w:t xml:space="preserve"> and upper case letters indicate the domains from which the angle </w:t>
      </w:r>
      <w:r>
        <w:rPr>
          <w:lang w:val="en-US"/>
        </w:rPr>
        <w:sym w:font="Symbol" w:char="F061"/>
      </w:r>
      <w:r w:rsidRPr="00BF27EF">
        <w:rPr>
          <w:lang w:val="en-US"/>
        </w:rPr>
        <w:t xml:space="preserve"> was extracted. The averages of these values are pr</w:t>
      </w:r>
      <w:r>
        <w:rPr>
          <w:lang w:val="en-US"/>
        </w:rPr>
        <w:t>esented in the table in Figure 3</w:t>
      </w:r>
      <w:r w:rsidRPr="00BF27EF">
        <w:rPr>
          <w:lang w:val="en-US"/>
        </w:rPr>
        <w:t xml:space="preserve"> in the manuscript.</w:t>
      </w:r>
    </w:p>
    <w:p w:rsidR="00780A85" w:rsidRDefault="00780A85" w:rsidP="00780A85">
      <w:pPr>
        <w:spacing w:line="480" w:lineRule="auto"/>
        <w:rPr>
          <w:lang w:val="en-US"/>
        </w:rPr>
      </w:pPr>
      <w:r>
        <w:rPr>
          <w:noProof/>
          <w:lang w:val="en-US" w:eastAsia="en-US"/>
        </w:rPr>
        <w:drawing>
          <wp:inline distT="0" distB="0" distL="0" distR="0" wp14:anchorId="515458EB" wp14:editId="2BE406BD">
            <wp:extent cx="5753100" cy="5118100"/>
            <wp:effectExtent l="0" t="0" r="12700" b="12700"/>
            <wp:docPr id="14" name="Picture 14" descr="../pics/FigureSup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s/FigureSupp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5118100"/>
                    </a:xfrm>
                    <a:prstGeom prst="rect">
                      <a:avLst/>
                    </a:prstGeom>
                    <a:noFill/>
                    <a:ln>
                      <a:noFill/>
                    </a:ln>
                  </pic:spPr>
                </pic:pic>
              </a:graphicData>
            </a:graphic>
          </wp:inline>
        </w:drawing>
      </w: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780A85" w:rsidRDefault="00780A85" w:rsidP="00780A85">
      <w:pPr>
        <w:spacing w:line="480" w:lineRule="auto"/>
        <w:rPr>
          <w:lang w:val="en-US"/>
        </w:rPr>
      </w:pPr>
    </w:p>
    <w:p w:rsidR="00DA5657" w:rsidRDefault="00D64916"/>
    <w:sectPr w:rsidR="00DA5657">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B93" w:rsidRDefault="00851B93" w:rsidP="00780A85">
      <w:r>
        <w:separator/>
      </w:r>
    </w:p>
  </w:endnote>
  <w:endnote w:type="continuationSeparator" w:id="0">
    <w:p w:rsidR="00851B93" w:rsidRDefault="00851B93" w:rsidP="00780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125" w:rsidRDefault="00851B93">
    <w:pPr>
      <w:pStyle w:val="Fuzeile"/>
      <w:jc w:val="center"/>
    </w:pPr>
    <w:r>
      <w:fldChar w:fldCharType="begin"/>
    </w:r>
    <w:r>
      <w:instrText>PAGE   \* MERGEFORMAT</w:instrText>
    </w:r>
    <w:r>
      <w:fldChar w:fldCharType="separate"/>
    </w:r>
    <w:r w:rsidR="00D64916">
      <w:rPr>
        <w:noProof/>
      </w:rPr>
      <w:t>6</w:t>
    </w:r>
    <w:r>
      <w:fldChar w:fldCharType="end"/>
    </w:r>
  </w:p>
  <w:p w:rsidR="009C1125" w:rsidRDefault="00D64916" w:rsidP="00881456">
    <w:pPr>
      <w:pStyle w:val="Fuzeil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B93" w:rsidRDefault="00851B93" w:rsidP="00780A85">
      <w:r>
        <w:separator/>
      </w:r>
    </w:p>
  </w:footnote>
  <w:footnote w:type="continuationSeparator" w:id="0">
    <w:p w:rsidR="00851B93" w:rsidRDefault="00851B93" w:rsidP="00780A85">
      <w:r>
        <w:continuationSeparator/>
      </w:r>
    </w:p>
  </w:footnote>
  <w:footnote w:id="1">
    <w:p w:rsidR="00780A85" w:rsidRPr="00BF27EF" w:rsidRDefault="00780A85" w:rsidP="00780A85">
      <w:pPr>
        <w:pStyle w:val="Funotentext"/>
      </w:pPr>
      <w:r>
        <w:rPr>
          <w:rStyle w:val="Funotenzeichen"/>
        </w:rPr>
        <w:footnoteRef/>
      </w:r>
      <w:r>
        <w:t xml:space="preserve"> </w:t>
      </w:r>
      <w:r w:rsidRPr="00BF27EF">
        <w:t xml:space="preserve">R. P. Harti and J. Valsecchi, </w:t>
      </w:r>
      <w:proofErr w:type="spellStart"/>
      <w:r w:rsidRPr="00BF27EF">
        <w:t>Tapy</w:t>
      </w:r>
      <w:proofErr w:type="spellEnd"/>
      <w:r w:rsidRPr="00BF27EF">
        <w:t xml:space="preserve"> 0.2 (2017), 10.5281/ZENODO.803047.</w:t>
      </w:r>
    </w:p>
  </w:footnote>
  <w:footnote w:id="2">
    <w:p w:rsidR="00780A85" w:rsidRPr="00BF27EF" w:rsidRDefault="00780A85" w:rsidP="00780A85">
      <w:pPr>
        <w:pStyle w:val="Funotentext"/>
      </w:pPr>
      <w:r>
        <w:rPr>
          <w:rStyle w:val="Funotenzeichen"/>
        </w:rPr>
        <w:footnoteRef/>
      </w:r>
      <w:r>
        <w:t xml:space="preserve"> </w:t>
      </w:r>
      <w:r w:rsidRPr="00BF27EF">
        <w:t xml:space="preserve">S. </w:t>
      </w:r>
      <w:proofErr w:type="spellStart"/>
      <w:r w:rsidRPr="00BF27EF">
        <w:t>Marathe</w:t>
      </w:r>
      <w:proofErr w:type="spellEnd"/>
      <w:r w:rsidRPr="00BF27EF">
        <w:t xml:space="preserve">, L. </w:t>
      </w:r>
      <w:proofErr w:type="spellStart"/>
      <w:r w:rsidRPr="00BF27EF">
        <w:t>Assoufid</w:t>
      </w:r>
      <w:proofErr w:type="spellEnd"/>
      <w:r w:rsidRPr="00BF27EF">
        <w:t xml:space="preserve">, X. Xiao, K. Ham, W. W. Johnson, and L. G. Butler, </w:t>
      </w:r>
      <w:r w:rsidRPr="00BF27EF">
        <w:rPr>
          <w:i/>
        </w:rPr>
        <w:t>The Review of scientific instruments</w:t>
      </w:r>
      <w:r w:rsidRPr="00BF27EF">
        <w:t xml:space="preserve"> </w:t>
      </w:r>
      <w:r w:rsidRPr="00BF27EF">
        <w:rPr>
          <w:b/>
        </w:rPr>
        <w:t>85</w:t>
      </w:r>
      <w:r w:rsidRPr="00BF27EF">
        <w:t>, 013704 (2014).</w:t>
      </w:r>
    </w:p>
    <w:p w:rsidR="00780A85" w:rsidRPr="00BF27EF" w:rsidRDefault="00780A85" w:rsidP="00780A85">
      <w:pPr>
        <w:pStyle w:val="Funoten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125" w:rsidRPr="009B44CC" w:rsidRDefault="00851B93" w:rsidP="009B44CC">
    <w:pPr>
      <w:pStyle w:val="Kopfzeile"/>
      <w:tabs>
        <w:tab w:val="left" w:pos="5003"/>
      </w:tabs>
      <w:jc w:val="right"/>
      <w:rPr>
        <w:lang w:val="en-US"/>
      </w:rPr>
    </w:pPr>
    <w:r>
      <w:tab/>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2E2D"/>
    <w:multiLevelType w:val="hybridMultilevel"/>
    <w:tmpl w:val="ECA03B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A85"/>
    <w:rsid w:val="00057FC8"/>
    <w:rsid w:val="00145BC7"/>
    <w:rsid w:val="00150E97"/>
    <w:rsid w:val="001E1A59"/>
    <w:rsid w:val="00497D21"/>
    <w:rsid w:val="00780A85"/>
    <w:rsid w:val="00851B93"/>
    <w:rsid w:val="008715F9"/>
    <w:rsid w:val="00B424E2"/>
    <w:rsid w:val="00B6620F"/>
    <w:rsid w:val="00D64916"/>
    <w:rsid w:val="00F11E19"/>
    <w:rsid w:val="00F55369"/>
    <w:rsid w:val="00FD2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0A85"/>
    <w:rPr>
      <w:rFonts w:ascii="Times New Roman" w:eastAsia="MS Mincho" w:hAnsi="Times New Roman" w:cs="Times New Roman"/>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semiHidden/>
    <w:rsid w:val="00780A85"/>
    <w:pPr>
      <w:keepLines/>
      <w:widowControl w:val="0"/>
      <w:jc w:val="both"/>
    </w:pPr>
    <w:rPr>
      <w:rFonts w:eastAsia="Times New Roman"/>
      <w:sz w:val="20"/>
      <w:szCs w:val="20"/>
      <w:lang w:eastAsia="ro-RO"/>
    </w:rPr>
  </w:style>
  <w:style w:type="character" w:customStyle="1" w:styleId="FunotentextZchn">
    <w:name w:val="Fußnotentext Zchn"/>
    <w:basedOn w:val="Absatz-Standardschriftart"/>
    <w:link w:val="Funotentext"/>
    <w:semiHidden/>
    <w:rsid w:val="00780A85"/>
    <w:rPr>
      <w:rFonts w:ascii="Times New Roman" w:eastAsia="Times New Roman" w:hAnsi="Times New Roman" w:cs="Times New Roman"/>
      <w:sz w:val="20"/>
      <w:szCs w:val="20"/>
      <w:lang w:eastAsia="ro-RO"/>
    </w:rPr>
  </w:style>
  <w:style w:type="paragraph" w:styleId="Kopfzeile">
    <w:name w:val="header"/>
    <w:basedOn w:val="Standard"/>
    <w:link w:val="KopfzeileZchn"/>
    <w:rsid w:val="00780A85"/>
    <w:pPr>
      <w:tabs>
        <w:tab w:val="center" w:pos="4536"/>
        <w:tab w:val="right" w:pos="9072"/>
      </w:tabs>
    </w:pPr>
    <w:rPr>
      <w:lang w:val="x-none" w:eastAsia="ja-JP"/>
    </w:rPr>
  </w:style>
  <w:style w:type="character" w:customStyle="1" w:styleId="KopfzeileZchn">
    <w:name w:val="Kopfzeile Zchn"/>
    <w:basedOn w:val="Absatz-Standardschriftart"/>
    <w:link w:val="Kopfzeile"/>
    <w:rsid w:val="00780A85"/>
    <w:rPr>
      <w:rFonts w:ascii="Times New Roman" w:eastAsia="MS Mincho" w:hAnsi="Times New Roman" w:cs="Times New Roman"/>
      <w:lang w:val="x-none" w:eastAsia="ja-JP"/>
    </w:rPr>
  </w:style>
  <w:style w:type="paragraph" w:styleId="Fuzeile">
    <w:name w:val="footer"/>
    <w:basedOn w:val="Standard"/>
    <w:link w:val="FuzeileZchn"/>
    <w:uiPriority w:val="99"/>
    <w:rsid w:val="00780A85"/>
    <w:pPr>
      <w:tabs>
        <w:tab w:val="center" w:pos="4536"/>
        <w:tab w:val="right" w:pos="9072"/>
      </w:tabs>
    </w:pPr>
    <w:rPr>
      <w:lang w:val="de-DE" w:eastAsia="ja-JP"/>
    </w:rPr>
  </w:style>
  <w:style w:type="character" w:customStyle="1" w:styleId="FuzeileZchn">
    <w:name w:val="Fußzeile Zchn"/>
    <w:basedOn w:val="Absatz-Standardschriftart"/>
    <w:link w:val="Fuzeile"/>
    <w:uiPriority w:val="99"/>
    <w:rsid w:val="00780A85"/>
    <w:rPr>
      <w:rFonts w:ascii="Times New Roman" w:eastAsia="MS Mincho" w:hAnsi="Times New Roman" w:cs="Times New Roman"/>
      <w:lang w:val="de-DE" w:eastAsia="ja-JP"/>
    </w:rPr>
  </w:style>
  <w:style w:type="paragraph" w:customStyle="1" w:styleId="Title2">
    <w:name w:val="Title2"/>
    <w:basedOn w:val="Standard"/>
    <w:rsid w:val="00780A85"/>
    <w:rPr>
      <w:b/>
      <w:lang w:val="en-US" w:eastAsia="ja-JP"/>
    </w:rPr>
  </w:style>
  <w:style w:type="character" w:styleId="Funotenzeichen">
    <w:name w:val="footnote reference"/>
    <w:basedOn w:val="Absatz-Standardschriftart"/>
    <w:uiPriority w:val="99"/>
    <w:unhideWhenUsed/>
    <w:rsid w:val="00780A85"/>
    <w:rPr>
      <w:vertAlign w:val="superscript"/>
    </w:rPr>
  </w:style>
  <w:style w:type="paragraph" w:styleId="Sprechblasentext">
    <w:name w:val="Balloon Text"/>
    <w:basedOn w:val="Standard"/>
    <w:link w:val="SprechblasentextZchn"/>
    <w:uiPriority w:val="99"/>
    <w:semiHidden/>
    <w:unhideWhenUsed/>
    <w:rsid w:val="001E1A59"/>
    <w:rPr>
      <w:sz w:val="26"/>
      <w:szCs w:val="26"/>
    </w:rPr>
  </w:style>
  <w:style w:type="character" w:customStyle="1" w:styleId="SprechblasentextZchn">
    <w:name w:val="Sprechblasentext Zchn"/>
    <w:basedOn w:val="Absatz-Standardschriftart"/>
    <w:link w:val="Sprechblasentext"/>
    <w:uiPriority w:val="99"/>
    <w:semiHidden/>
    <w:rsid w:val="001E1A59"/>
    <w:rPr>
      <w:rFonts w:ascii="Times New Roman" w:eastAsia="MS Mincho" w:hAnsi="Times New Roman" w:cs="Times New Roman"/>
      <w:sz w:val="26"/>
      <w:szCs w:val="26"/>
      <w:lang w:eastAsia="en-GB"/>
    </w:rPr>
  </w:style>
  <w:style w:type="paragraph" w:customStyle="1" w:styleId="Tableofcontents">
    <w:name w:val="Table of contents"/>
    <w:basedOn w:val="Standard"/>
    <w:autoRedefine/>
    <w:rsid w:val="00B6620F"/>
    <w:rPr>
      <w:b/>
      <w:lang w:val="en-US" w:eastAsia="ja-JP"/>
    </w:rPr>
  </w:style>
  <w:style w:type="paragraph" w:customStyle="1" w:styleId="AuthorsFull">
    <w:name w:val="Authors Full"/>
    <w:basedOn w:val="Standard"/>
    <w:rsid w:val="00B6620F"/>
    <w:rPr>
      <w:i/>
      <w:lang w:val="en-US" w:eastAsia="ja-JP"/>
    </w:rPr>
  </w:style>
  <w:style w:type="paragraph" w:styleId="Listenabsatz">
    <w:name w:val="List Paragraph"/>
    <w:basedOn w:val="Standard"/>
    <w:uiPriority w:val="34"/>
    <w:qFormat/>
    <w:rsid w:val="00B662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0A85"/>
    <w:rPr>
      <w:rFonts w:ascii="Times New Roman" w:eastAsia="MS Mincho" w:hAnsi="Times New Roman" w:cs="Times New Roman"/>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semiHidden/>
    <w:rsid w:val="00780A85"/>
    <w:pPr>
      <w:keepLines/>
      <w:widowControl w:val="0"/>
      <w:jc w:val="both"/>
    </w:pPr>
    <w:rPr>
      <w:rFonts w:eastAsia="Times New Roman"/>
      <w:sz w:val="20"/>
      <w:szCs w:val="20"/>
      <w:lang w:eastAsia="ro-RO"/>
    </w:rPr>
  </w:style>
  <w:style w:type="character" w:customStyle="1" w:styleId="FunotentextZchn">
    <w:name w:val="Fußnotentext Zchn"/>
    <w:basedOn w:val="Absatz-Standardschriftart"/>
    <w:link w:val="Funotentext"/>
    <w:semiHidden/>
    <w:rsid w:val="00780A85"/>
    <w:rPr>
      <w:rFonts w:ascii="Times New Roman" w:eastAsia="Times New Roman" w:hAnsi="Times New Roman" w:cs="Times New Roman"/>
      <w:sz w:val="20"/>
      <w:szCs w:val="20"/>
      <w:lang w:eastAsia="ro-RO"/>
    </w:rPr>
  </w:style>
  <w:style w:type="paragraph" w:styleId="Kopfzeile">
    <w:name w:val="header"/>
    <w:basedOn w:val="Standard"/>
    <w:link w:val="KopfzeileZchn"/>
    <w:rsid w:val="00780A85"/>
    <w:pPr>
      <w:tabs>
        <w:tab w:val="center" w:pos="4536"/>
        <w:tab w:val="right" w:pos="9072"/>
      </w:tabs>
    </w:pPr>
    <w:rPr>
      <w:lang w:val="x-none" w:eastAsia="ja-JP"/>
    </w:rPr>
  </w:style>
  <w:style w:type="character" w:customStyle="1" w:styleId="KopfzeileZchn">
    <w:name w:val="Kopfzeile Zchn"/>
    <w:basedOn w:val="Absatz-Standardschriftart"/>
    <w:link w:val="Kopfzeile"/>
    <w:rsid w:val="00780A85"/>
    <w:rPr>
      <w:rFonts w:ascii="Times New Roman" w:eastAsia="MS Mincho" w:hAnsi="Times New Roman" w:cs="Times New Roman"/>
      <w:lang w:val="x-none" w:eastAsia="ja-JP"/>
    </w:rPr>
  </w:style>
  <w:style w:type="paragraph" w:styleId="Fuzeile">
    <w:name w:val="footer"/>
    <w:basedOn w:val="Standard"/>
    <w:link w:val="FuzeileZchn"/>
    <w:uiPriority w:val="99"/>
    <w:rsid w:val="00780A85"/>
    <w:pPr>
      <w:tabs>
        <w:tab w:val="center" w:pos="4536"/>
        <w:tab w:val="right" w:pos="9072"/>
      </w:tabs>
    </w:pPr>
    <w:rPr>
      <w:lang w:val="de-DE" w:eastAsia="ja-JP"/>
    </w:rPr>
  </w:style>
  <w:style w:type="character" w:customStyle="1" w:styleId="FuzeileZchn">
    <w:name w:val="Fußzeile Zchn"/>
    <w:basedOn w:val="Absatz-Standardschriftart"/>
    <w:link w:val="Fuzeile"/>
    <w:uiPriority w:val="99"/>
    <w:rsid w:val="00780A85"/>
    <w:rPr>
      <w:rFonts w:ascii="Times New Roman" w:eastAsia="MS Mincho" w:hAnsi="Times New Roman" w:cs="Times New Roman"/>
      <w:lang w:val="de-DE" w:eastAsia="ja-JP"/>
    </w:rPr>
  </w:style>
  <w:style w:type="paragraph" w:customStyle="1" w:styleId="Title2">
    <w:name w:val="Title2"/>
    <w:basedOn w:val="Standard"/>
    <w:rsid w:val="00780A85"/>
    <w:rPr>
      <w:b/>
      <w:lang w:val="en-US" w:eastAsia="ja-JP"/>
    </w:rPr>
  </w:style>
  <w:style w:type="character" w:styleId="Funotenzeichen">
    <w:name w:val="footnote reference"/>
    <w:basedOn w:val="Absatz-Standardschriftart"/>
    <w:uiPriority w:val="99"/>
    <w:unhideWhenUsed/>
    <w:rsid w:val="00780A85"/>
    <w:rPr>
      <w:vertAlign w:val="superscript"/>
    </w:rPr>
  </w:style>
  <w:style w:type="paragraph" w:styleId="Sprechblasentext">
    <w:name w:val="Balloon Text"/>
    <w:basedOn w:val="Standard"/>
    <w:link w:val="SprechblasentextZchn"/>
    <w:uiPriority w:val="99"/>
    <w:semiHidden/>
    <w:unhideWhenUsed/>
    <w:rsid w:val="001E1A59"/>
    <w:rPr>
      <w:sz w:val="26"/>
      <w:szCs w:val="26"/>
    </w:rPr>
  </w:style>
  <w:style w:type="character" w:customStyle="1" w:styleId="SprechblasentextZchn">
    <w:name w:val="Sprechblasentext Zchn"/>
    <w:basedOn w:val="Absatz-Standardschriftart"/>
    <w:link w:val="Sprechblasentext"/>
    <w:uiPriority w:val="99"/>
    <w:semiHidden/>
    <w:rsid w:val="001E1A59"/>
    <w:rPr>
      <w:rFonts w:ascii="Times New Roman" w:eastAsia="MS Mincho" w:hAnsi="Times New Roman" w:cs="Times New Roman"/>
      <w:sz w:val="26"/>
      <w:szCs w:val="26"/>
      <w:lang w:eastAsia="en-GB"/>
    </w:rPr>
  </w:style>
  <w:style w:type="paragraph" w:customStyle="1" w:styleId="Tableofcontents">
    <w:name w:val="Table of contents"/>
    <w:basedOn w:val="Standard"/>
    <w:autoRedefine/>
    <w:rsid w:val="00B6620F"/>
    <w:rPr>
      <w:b/>
      <w:lang w:val="en-US" w:eastAsia="ja-JP"/>
    </w:rPr>
  </w:style>
  <w:style w:type="paragraph" w:customStyle="1" w:styleId="AuthorsFull">
    <w:name w:val="Authors Full"/>
    <w:basedOn w:val="Standard"/>
    <w:rsid w:val="00B6620F"/>
    <w:rPr>
      <w:i/>
      <w:lang w:val="en-US" w:eastAsia="ja-JP"/>
    </w:rPr>
  </w:style>
  <w:style w:type="paragraph" w:styleId="Listenabsatz">
    <w:name w:val="List Paragraph"/>
    <w:basedOn w:val="Standard"/>
    <w:uiPriority w:val="34"/>
    <w:qFormat/>
    <w:rsid w:val="00B66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740</Words>
  <Characters>4220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Paul Scherrer Institut</Company>
  <LinksUpToDate>false</LinksUpToDate>
  <CharactersWithSpaces>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 P. Harti</dc:creator>
  <cp:lastModifiedBy>Grünzweig Christian</cp:lastModifiedBy>
  <cp:revision>3</cp:revision>
  <cp:lastPrinted>2018-02-12T13:46:00Z</cp:lastPrinted>
  <dcterms:created xsi:type="dcterms:W3CDTF">2018-08-13T09:58:00Z</dcterms:created>
  <dcterms:modified xsi:type="dcterms:W3CDTF">2018-08-13T10:01:00Z</dcterms:modified>
</cp:coreProperties>
</file>