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EBE" w:rsidRPr="00E10F0C" w:rsidRDefault="00C93EBE" w:rsidP="00C93EBE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>“</w:t>
      </w:r>
      <w:proofErr w:type="spellStart"/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>FlashMap</w:t>
      </w:r>
      <w:proofErr w:type="spellEnd"/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” - A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S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>emi-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A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utomatic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T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ool for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R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apid and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A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ccurate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S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patial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A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nalysis of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M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arker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E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xpression in the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GB"/>
        </w:rPr>
        <w:t>S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>ubventricular</w:t>
      </w:r>
      <w:proofErr w:type="spellEnd"/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Z</w:t>
      </w:r>
      <w:r w:rsidRPr="00E10F0C">
        <w:rPr>
          <w:rFonts w:ascii="Times New Roman" w:hAnsi="Times New Roman" w:cs="Times New Roman"/>
          <w:b/>
          <w:sz w:val="32"/>
          <w:szCs w:val="32"/>
          <w:lang w:val="en-GB"/>
        </w:rPr>
        <w:t>one</w:t>
      </w:r>
    </w:p>
    <w:p w:rsidR="00C93EBE" w:rsidRPr="00E10F0C" w:rsidRDefault="00C93EBE" w:rsidP="00C93E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>Stefan Zweifel</w:t>
      </w:r>
      <w:r w:rsidRPr="00E10F0C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*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>, Julie Buquet</w:t>
      </w:r>
      <w:r w:rsidRPr="00E10F0C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proofErr w:type="gramStart"/>
      <w:r w:rsidRPr="00E10F0C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,2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,3</w:t>
      </w:r>
      <w:proofErr w:type="gramEnd"/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Lorenzo Caruso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1,4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8B0519">
        <w:rPr>
          <w:rFonts w:ascii="Times New Roman" w:hAnsi="Times New Roman" w:cs="Times New Roman"/>
          <w:b/>
          <w:sz w:val="24"/>
          <w:szCs w:val="24"/>
          <w:lang w:val="en-GB"/>
        </w:rPr>
        <w:t>David Rousseau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2</w:t>
      </w:r>
      <w:r w:rsidRPr="008B0519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,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5</w:t>
      </w:r>
      <w:r w:rsidRPr="008B0519">
        <w:rPr>
          <w:rFonts w:ascii="Times New Roman" w:hAnsi="Times New Roman" w:cs="Times New Roman"/>
          <w:b/>
          <w:sz w:val="24"/>
          <w:szCs w:val="24"/>
          <w:lang w:val="en-GB"/>
        </w:rPr>
        <w:t>,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Olivier Raineteau</w:t>
      </w:r>
      <w:r w:rsidRPr="00E10F0C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1*</w:t>
      </w:r>
    </w:p>
    <w:p w:rsidR="00C93EBE" w:rsidRPr="00E10F0C" w:rsidRDefault="00C93EBE" w:rsidP="00C93E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10F0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Univ Lyon,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Université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Claude Bernard Lyon 1, Inserm, Stem Cell and Brain Research Institute U1208, 69500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Bron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>, France</w:t>
      </w:r>
    </w:p>
    <w:p w:rsidR="00C93EBE" w:rsidRDefault="00C93EBE" w:rsidP="00C93E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10F0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CREATIS CNRS UMR5220 &amp; INSERM U1044,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Université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de Lyon,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Université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Claude Bernard-Lyon 1, INSA-Lyon, Villeurbanne, France</w:t>
      </w:r>
    </w:p>
    <w:p w:rsidR="00C93EBE" w:rsidRDefault="00C93EBE" w:rsidP="00C93E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D0DE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Institut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d’Optique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Université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Paris-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Saclay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91127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Palaiseau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cedex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, France</w:t>
      </w:r>
    </w:p>
    <w:p w:rsidR="00C93EBE" w:rsidRPr="008E739B" w:rsidRDefault="00C93EBE" w:rsidP="00C93E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>Télécom Physique Strasbourg, University of Strasbourg, Strasbourg, France</w:t>
      </w:r>
    </w:p>
    <w:p w:rsidR="00C93EBE" w:rsidRPr="00E10F0C" w:rsidRDefault="00C93EBE" w:rsidP="00C93E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t>5</w:t>
      </w:r>
      <w:r w:rsidRPr="00E10F0C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LARIS, IRHS UMR INRA, </w:t>
      </w:r>
      <w:proofErr w:type="spellStart"/>
      <w:r w:rsidRPr="00E10F0C">
        <w:rPr>
          <w:rFonts w:ascii="Times New Roman" w:hAnsi="Times New Roman" w:cs="Times New Roman"/>
          <w:color w:val="000000"/>
          <w:sz w:val="24"/>
          <w:szCs w:val="24"/>
          <w:lang w:val="en-GB"/>
        </w:rPr>
        <w:t>Université</w:t>
      </w:r>
      <w:proofErr w:type="spellEnd"/>
      <w:r w:rsidRPr="00E10F0C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E10F0C">
        <w:rPr>
          <w:rFonts w:ascii="Times New Roman" w:hAnsi="Times New Roman" w:cs="Times New Roman"/>
          <w:color w:val="000000"/>
          <w:sz w:val="24"/>
          <w:szCs w:val="24"/>
          <w:lang w:val="en-GB"/>
        </w:rPr>
        <w:t>d'Angers</w:t>
      </w:r>
      <w:proofErr w:type="spellEnd"/>
      <w:r w:rsidRPr="00E10F0C">
        <w:rPr>
          <w:rFonts w:ascii="Times New Roman" w:hAnsi="Times New Roman" w:cs="Times New Roman"/>
          <w:color w:val="000000"/>
          <w:sz w:val="24"/>
          <w:szCs w:val="24"/>
          <w:lang w:val="en-GB"/>
        </w:rPr>
        <w:t>, 62 avenue Notre Dame du Lac, 49000, Angers, France</w:t>
      </w:r>
    </w:p>
    <w:p w:rsidR="00C93EBE" w:rsidRPr="00E10F0C" w:rsidRDefault="00C93EBE" w:rsidP="00C93E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10F0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*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>Corresponding author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>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4" w:history="1">
        <w:r w:rsidRPr="00F8612C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stefan.zweifel86@gmail.com</w:t>
        </w:r>
      </w:hyperlink>
      <w:r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hyperlink r:id="rId5" w:history="1">
        <w:r w:rsidRPr="00E10F0C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olivier.raineteau@inserm.fr</w:t>
        </w:r>
      </w:hyperlink>
    </w:p>
    <w:p w:rsidR="006D2A1B" w:rsidRDefault="006D2A1B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640560" w:rsidRDefault="00640560">
      <w:pPr>
        <w:rPr>
          <w:rFonts w:ascii="Times New Roman" w:hAnsi="Times New Roman" w:cs="Times New Roman"/>
        </w:rPr>
      </w:pPr>
    </w:p>
    <w:p w:rsidR="00C93EBE" w:rsidRPr="00C93EBE" w:rsidRDefault="00C93E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Supplementary Figures</w:t>
      </w:r>
    </w:p>
    <w:p w:rsidR="00C93EBE" w:rsidRPr="00C93EBE" w:rsidRDefault="00C93EBE">
      <w:pPr>
        <w:rPr>
          <w:rFonts w:ascii="Times New Roman" w:hAnsi="Times New Roman" w:cs="Times New Roman"/>
        </w:rPr>
      </w:pPr>
      <w:r w:rsidRPr="00C93EBE">
        <w:rPr>
          <w:rFonts w:ascii="Times New Roman" w:hAnsi="Times New Roman" w:cs="Times New Roman"/>
          <w:noProof/>
        </w:rPr>
        <w:drawing>
          <wp:inline distT="0" distB="0" distL="0" distR="0">
            <wp:extent cx="5972810" cy="4662170"/>
            <wp:effectExtent l="0" t="0" r="889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-S1_Zweifel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66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3EBE">
        <w:rPr>
          <w:rFonts w:ascii="Times New Roman" w:hAnsi="Times New Roman" w:cs="Times New Roman"/>
        </w:rPr>
        <w:t xml:space="preserve"> </w:t>
      </w:r>
    </w:p>
    <w:p w:rsidR="00C93EBE" w:rsidRPr="00E10F0C" w:rsidRDefault="00C93EBE" w:rsidP="00C93E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S1. </w:t>
      </w:r>
      <w:r>
        <w:rPr>
          <w:rFonts w:ascii="Times New Roman" w:hAnsi="Times New Roman" w:cs="Times New Roman"/>
          <w:sz w:val="24"/>
          <w:szCs w:val="24"/>
          <w:lang w:val="en-GB"/>
        </w:rPr>
        <w:t>Reproducible</w:t>
      </w:r>
      <w:r w:rsidRPr="00970F72">
        <w:rPr>
          <w:rFonts w:ascii="Times New Roman" w:hAnsi="Times New Roman" w:cs="Times New Roman"/>
          <w:sz w:val="24"/>
          <w:szCs w:val="24"/>
          <w:lang w:val="en-GB"/>
        </w:rPr>
        <w:t xml:space="preserve"> detection of SVZ thickness with various “reference regions”.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(A-C)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Representative micrographs of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Dapi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counter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>staining for the three ROI: medial (A), dorsal (B), lateral walls (C). Colo</w:t>
      </w:r>
      <w:r>
        <w:rPr>
          <w:rFonts w:ascii="Times New Roman" w:hAnsi="Times New Roman" w:cs="Times New Roman"/>
          <w:sz w:val="24"/>
          <w:szCs w:val="24"/>
          <w:lang w:val="en-GB"/>
        </w:rPr>
        <w:t>u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>red boxes (R1, blue; R2, orange; R3, yellow) represent three different “reference regions”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used for automatic detection of probes height (i.e. corresponding to SVZ thickness)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>(D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>H)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Graphs showing that the precision of the Jensen-Shannon divergence method to define the correct probe height is not affected by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selecting 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different “reference region” size and location. 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>(E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>I)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Representative micrographs illustrating </w:t>
      </w:r>
      <w:r w:rsidRPr="00C21A17">
        <w:rPr>
          <w:rFonts w:ascii="Times New Roman" w:hAnsi="Times New Roman" w:cs="Times New Roman"/>
          <w:sz w:val="24"/>
          <w:szCs w:val="24"/>
          <w:lang w:val="en-GB"/>
        </w:rPr>
        <w:t xml:space="preserve">the precision of </w:t>
      </w:r>
      <w:proofErr w:type="spellStart"/>
      <w:r w:rsidRPr="00C21A17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C21A17">
        <w:rPr>
          <w:rFonts w:ascii="Times New Roman" w:hAnsi="Times New Roman" w:cs="Times New Roman"/>
          <w:i/>
          <w:sz w:val="24"/>
          <w:szCs w:val="24"/>
          <w:vertAlign w:val="subscript"/>
          <w:lang w:val="en-GB"/>
        </w:rPr>
        <w:t>opt</w:t>
      </w:r>
      <w:proofErr w:type="spellEnd"/>
      <w:r w:rsidRPr="00C21A17">
        <w:rPr>
          <w:rFonts w:ascii="Times New Roman" w:hAnsi="Times New Roman" w:cs="Times New Roman"/>
          <w:sz w:val="24"/>
          <w:szCs w:val="24"/>
          <w:lang w:val="en-GB"/>
        </w:rPr>
        <w:t xml:space="preserve"> calculation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>, reflected by the optimal positioning of the probe heights. Scale bars: (C) = 500 µm; (I) = 100 µm. Abbreviations: ROI, region of interest; R1-3, “reference region” 1-3.</w:t>
      </w:r>
    </w:p>
    <w:p w:rsidR="00C93EBE" w:rsidRDefault="0091227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5838825" cy="8258810"/>
            <wp:effectExtent l="0" t="0" r="952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-S2_Zweifel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5838825" cy="8258810"/>
            <wp:effectExtent l="0" t="0" r="952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-S3_Zweifel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5838825" cy="8258810"/>
            <wp:effectExtent l="0" t="0" r="952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-S4_Zweifel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27F" w:rsidRDefault="0091227F" w:rsidP="009122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Figure S2 to S4. </w:t>
      </w:r>
      <w:r w:rsidRPr="00C16281">
        <w:rPr>
          <w:rFonts w:ascii="Times New Roman" w:hAnsi="Times New Roman" w:cs="Times New Roman"/>
          <w:sz w:val="24"/>
          <w:szCs w:val="24"/>
          <w:lang w:val="en-GB"/>
        </w:rPr>
        <w:t xml:space="preserve">Validation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C16281">
        <w:rPr>
          <w:rFonts w:ascii="Times New Roman" w:hAnsi="Times New Roman" w:cs="Times New Roman"/>
          <w:sz w:val="24"/>
          <w:szCs w:val="24"/>
          <w:lang w:val="en-GB"/>
        </w:rPr>
        <w:t xml:space="preserve">subsampling approach up to series of </w:t>
      </w:r>
      <w:r>
        <w:rPr>
          <w:rFonts w:ascii="Times New Roman" w:hAnsi="Times New Roman" w:cs="Times New Roman"/>
          <w:sz w:val="24"/>
          <w:szCs w:val="24"/>
          <w:lang w:val="en-GB"/>
        </w:rPr>
        <w:t>1/</w:t>
      </w:r>
      <w:r w:rsidRPr="00C16281">
        <w:rPr>
          <w:rFonts w:ascii="Times New Roman" w:hAnsi="Times New Roman" w:cs="Times New Roman"/>
          <w:sz w:val="24"/>
          <w:szCs w:val="24"/>
          <w:lang w:val="en-GB"/>
        </w:rPr>
        <w:t>6.</w:t>
      </w:r>
      <w:r w:rsidRPr="00E10F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Heatmaps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obtained with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subsamplings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ranging from 1/2 to 1/6 for analysis of SVZ thickness (</w:t>
      </w:r>
      <w:r w:rsidRPr="00382F6C">
        <w:rPr>
          <w:rFonts w:ascii="Times New Roman" w:hAnsi="Times New Roman" w:cs="Times New Roman"/>
          <w:sz w:val="24"/>
          <w:szCs w:val="24"/>
          <w:lang w:val="en-GB"/>
        </w:rPr>
        <w:t>Fig. S2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>), cellular density (</w:t>
      </w:r>
      <w:r w:rsidRPr="00382F6C">
        <w:rPr>
          <w:rFonts w:ascii="Times New Roman" w:hAnsi="Times New Roman" w:cs="Times New Roman"/>
          <w:sz w:val="24"/>
          <w:szCs w:val="24"/>
          <w:lang w:val="en-GB"/>
        </w:rPr>
        <w:t>Fig. S3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>) and Ki67</w:t>
      </w:r>
      <w:r w:rsidRPr="00E10F0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cells density (</w:t>
      </w:r>
      <w:r w:rsidRPr="00382F6C">
        <w:rPr>
          <w:rFonts w:ascii="Times New Roman" w:hAnsi="Times New Roman" w:cs="Times New Roman"/>
          <w:sz w:val="24"/>
          <w:szCs w:val="24"/>
          <w:lang w:val="en-GB"/>
        </w:rPr>
        <w:t>Fig. S4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proofErr w:type="spellStart"/>
      <w:r w:rsidRPr="00E10F0C">
        <w:rPr>
          <w:rFonts w:ascii="Times New Roman" w:hAnsi="Times New Roman" w:cs="Times New Roman"/>
          <w:sz w:val="24"/>
          <w:szCs w:val="24"/>
          <w:lang w:val="en-GB"/>
        </w:rPr>
        <w:t>Heatmaps</w:t>
      </w:r>
      <w:proofErr w:type="spellEnd"/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of the first line represent full analyses, 2</w:t>
      </w:r>
      <w:r w:rsidRPr="00E10F0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nd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to 6</w:t>
      </w:r>
      <w:r w:rsidRPr="00E10F0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Pr="00E10F0C">
        <w:rPr>
          <w:rFonts w:ascii="Times New Roman" w:hAnsi="Times New Roman" w:cs="Times New Roman"/>
          <w:sz w:val="24"/>
          <w:szCs w:val="24"/>
          <w:lang w:val="en-GB"/>
        </w:rPr>
        <w:t xml:space="preserve"> line show the outcome when a subsampling of 1/2 to 1/6 is applied. Row numbers indicate with which section number the analysis was started.</w:t>
      </w:r>
    </w:p>
    <w:p w:rsidR="0091227F" w:rsidRDefault="0091227F" w:rsidP="0091227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5838825" cy="8258810"/>
            <wp:effectExtent l="0" t="0" r="952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-S5_Zweifel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27F" w:rsidRPr="00E10F0C" w:rsidRDefault="0091227F" w:rsidP="0091227F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F21C2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Figure S5. 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>Detailed illustration of independent analyses averaging, as performed in “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FlashMap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”. </w:t>
      </w:r>
      <w:r w:rsidRPr="00F21C22">
        <w:rPr>
          <w:rFonts w:ascii="Times New Roman" w:hAnsi="Times New Roman" w:cs="Times New Roman"/>
          <w:b/>
          <w:sz w:val="24"/>
          <w:szCs w:val="24"/>
          <w:lang w:val="en-GB"/>
        </w:rPr>
        <w:t>(A)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In a first step the amount of probes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F21C2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n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(here Y</w:t>
      </w:r>
      <w:r w:rsidRPr="00F21C2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= 1; Y</w:t>
      </w:r>
      <w:r w:rsidRPr="00F21C2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= 4; Y</w:t>
      </w:r>
      <w:r w:rsidRPr="00F21C2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= 5) are averaged to obtain the final amount of probes X (here 3). </w:t>
      </w:r>
      <w:r w:rsidRPr="00F21C22">
        <w:rPr>
          <w:rFonts w:ascii="Times New Roman" w:hAnsi="Times New Roman" w:cs="Times New Roman"/>
          <w:b/>
          <w:sz w:val="24"/>
          <w:szCs w:val="24"/>
          <w:lang w:val="en-GB"/>
        </w:rPr>
        <w:t>(B)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The values of every ROI and section of each individual (1</w:t>
      </w:r>
      <w:r w:rsidRPr="00F21C2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st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panel) are divided by X to obtain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F21C2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n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* X “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subvalues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>” (2</w:t>
      </w:r>
      <w:r w:rsidRPr="00F21C2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nd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panel). The amount of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F21C2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n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“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subvalues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>” are then averaged, resulting in X “base values” (3</w:t>
      </w:r>
      <w:r w:rsidRPr="00F21C2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rd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panel), which are multiplied by X in order to generate X adequate “work values” (4</w:t>
      </w:r>
      <w:r w:rsidRPr="00F21C2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panel). </w:t>
      </w:r>
      <w:r w:rsidRPr="00F21C22">
        <w:rPr>
          <w:rFonts w:ascii="Times New Roman" w:hAnsi="Times New Roman" w:cs="Times New Roman"/>
          <w:b/>
          <w:sz w:val="24"/>
          <w:szCs w:val="24"/>
          <w:lang w:val="en-GB"/>
        </w:rPr>
        <w:t>(C)</w:t>
      </w:r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 Finally, “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FlashMap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” averages the corresponding “work values” into X “average values” and generates an averaged map of ODs distribution. Abbreviations: v, value;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sv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subv</w:t>
      </w:r>
      <w:bookmarkStart w:id="0" w:name="_GoBack"/>
      <w:bookmarkEnd w:id="0"/>
      <w:r w:rsidRPr="00F21C22">
        <w:rPr>
          <w:rFonts w:ascii="Times New Roman" w:hAnsi="Times New Roman" w:cs="Times New Roman"/>
          <w:sz w:val="24"/>
          <w:szCs w:val="24"/>
          <w:lang w:val="en-GB"/>
        </w:rPr>
        <w:t>alues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bv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, base values;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wv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 xml:space="preserve">, work values; </w:t>
      </w:r>
      <w:proofErr w:type="spellStart"/>
      <w:r w:rsidRPr="00F21C22">
        <w:rPr>
          <w:rFonts w:ascii="Times New Roman" w:hAnsi="Times New Roman" w:cs="Times New Roman"/>
          <w:sz w:val="24"/>
          <w:szCs w:val="24"/>
          <w:lang w:val="en-GB"/>
        </w:rPr>
        <w:t>av</w:t>
      </w:r>
      <w:proofErr w:type="spellEnd"/>
      <w:r w:rsidRPr="00F21C22">
        <w:rPr>
          <w:rFonts w:ascii="Times New Roman" w:hAnsi="Times New Roman" w:cs="Times New Roman"/>
          <w:sz w:val="24"/>
          <w:szCs w:val="24"/>
          <w:lang w:val="en-GB"/>
        </w:rPr>
        <w:t>, average values; OD, optical density.</w:t>
      </w:r>
    </w:p>
    <w:p w:rsidR="0091227F" w:rsidRPr="00C93EBE" w:rsidRDefault="0091227F" w:rsidP="0091227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sectPr w:rsidR="0091227F" w:rsidRPr="00C93E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EBE"/>
    <w:rsid w:val="00640560"/>
    <w:rsid w:val="006D2A1B"/>
    <w:rsid w:val="007B33F9"/>
    <w:rsid w:val="0091227F"/>
    <w:rsid w:val="00C93EBE"/>
    <w:rsid w:val="00F2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027A6-32A1-49E5-9432-A8CD2EFC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3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hyperlink" Target="mailto:olivier.raineteau@inserm.fr" TargetMode="External"/><Relationship Id="rId10" Type="http://schemas.openxmlformats.org/officeDocument/2006/relationships/image" Target="media/image5.tif"/><Relationship Id="rId4" Type="http://schemas.openxmlformats.org/officeDocument/2006/relationships/hyperlink" Target="mailto:stefan.zweifel86@gmail.com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raineteau1</dc:creator>
  <cp:keywords/>
  <dc:description/>
  <cp:lastModifiedBy>raineteau1</cp:lastModifiedBy>
  <cp:revision>3</cp:revision>
  <dcterms:created xsi:type="dcterms:W3CDTF">2018-09-13T10:59:00Z</dcterms:created>
  <dcterms:modified xsi:type="dcterms:W3CDTF">2018-09-13T10:59:00Z</dcterms:modified>
</cp:coreProperties>
</file>