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7B261" w14:textId="77777777" w:rsidR="00DF0378" w:rsidRDefault="00DF0378" w:rsidP="00DF0378">
      <w:pPr>
        <w:rPr>
          <w:rFonts w:ascii="Arial" w:hAnsi="Arial"/>
          <w:b/>
          <w:sz w:val="22"/>
          <w:szCs w:val="22"/>
          <w:lang w:val="en-GB"/>
        </w:rPr>
      </w:pPr>
      <w:r>
        <w:rPr>
          <w:rFonts w:ascii="Arial" w:hAnsi="Arial"/>
          <w:b/>
          <w:sz w:val="22"/>
          <w:szCs w:val="22"/>
          <w:lang w:val="en-GB"/>
        </w:rPr>
        <w:t xml:space="preserve">Inducing controlled cell cycle arrest and re-entry during asexual proliferation of </w:t>
      </w:r>
      <w:r>
        <w:rPr>
          <w:rFonts w:ascii="Arial" w:hAnsi="Arial"/>
          <w:b/>
          <w:i/>
          <w:sz w:val="22"/>
          <w:szCs w:val="22"/>
          <w:lang w:val="en-GB"/>
        </w:rPr>
        <w:t>Plasmodium falciparum</w:t>
      </w:r>
      <w:r>
        <w:rPr>
          <w:rFonts w:ascii="Arial" w:hAnsi="Arial"/>
          <w:b/>
          <w:sz w:val="22"/>
          <w:szCs w:val="22"/>
          <w:lang w:val="en-GB"/>
        </w:rPr>
        <w:t xml:space="preserve"> malaria parasites</w:t>
      </w:r>
      <w:r>
        <w:rPr>
          <w:rFonts w:ascii="Arial" w:hAnsi="Arial"/>
          <w:b/>
          <w:i/>
          <w:sz w:val="22"/>
          <w:szCs w:val="22"/>
          <w:lang w:val="en-GB"/>
        </w:rPr>
        <w:t>.</w:t>
      </w:r>
    </w:p>
    <w:p w14:paraId="07231E9D" w14:textId="77777777" w:rsidR="00DF0378" w:rsidRDefault="00DF0378" w:rsidP="00DF0378">
      <w:pPr>
        <w:rPr>
          <w:rFonts w:ascii="Arial" w:hAnsi="Arial"/>
          <w:b/>
          <w:sz w:val="22"/>
          <w:szCs w:val="22"/>
          <w:lang w:val="en-GB"/>
        </w:rPr>
      </w:pPr>
    </w:p>
    <w:p w14:paraId="695A2BBF" w14:textId="5244B55D" w:rsidR="00DF0378" w:rsidRDefault="00DF0378" w:rsidP="00DF0378">
      <w:pPr>
        <w:rPr>
          <w:rFonts w:ascii="Arial" w:hAnsi="Arial"/>
          <w:sz w:val="22"/>
          <w:szCs w:val="22"/>
          <w:vertAlign w:val="superscript"/>
          <w:lang w:val="en-GB"/>
        </w:rPr>
      </w:pPr>
      <w:r>
        <w:rPr>
          <w:rFonts w:ascii="Arial" w:hAnsi="Arial"/>
          <w:sz w:val="22"/>
          <w:szCs w:val="22"/>
          <w:lang w:val="en-GB"/>
        </w:rPr>
        <w:t>Riëtte van Biljon</w:t>
      </w:r>
      <w:r>
        <w:rPr>
          <w:rFonts w:ascii="Arial" w:hAnsi="Arial"/>
          <w:sz w:val="22"/>
          <w:szCs w:val="22"/>
          <w:vertAlign w:val="superscript"/>
          <w:lang w:val="en-GB"/>
        </w:rPr>
        <w:t>1#</w:t>
      </w:r>
      <w:r>
        <w:rPr>
          <w:rFonts w:ascii="Arial" w:hAnsi="Arial"/>
          <w:sz w:val="22"/>
          <w:szCs w:val="22"/>
          <w:lang w:val="en-GB"/>
        </w:rPr>
        <w:t>, Jandeli Niemand</w:t>
      </w:r>
      <w:r>
        <w:rPr>
          <w:rFonts w:ascii="Arial" w:hAnsi="Arial"/>
          <w:sz w:val="22"/>
          <w:szCs w:val="22"/>
          <w:vertAlign w:val="superscript"/>
          <w:lang w:val="en-GB"/>
        </w:rPr>
        <w:t>1#</w:t>
      </w:r>
      <w:r>
        <w:rPr>
          <w:rFonts w:ascii="Arial" w:hAnsi="Arial"/>
          <w:sz w:val="22"/>
          <w:szCs w:val="22"/>
          <w:lang w:val="en-GB"/>
        </w:rPr>
        <w:t>,</w:t>
      </w:r>
      <w:r>
        <w:rPr>
          <w:rFonts w:ascii="Arial" w:hAnsi="Arial"/>
          <w:sz w:val="22"/>
          <w:szCs w:val="22"/>
          <w:vertAlign w:val="superscript"/>
          <w:lang w:val="en-GB"/>
        </w:rPr>
        <w:t xml:space="preserve"> </w:t>
      </w:r>
      <w:r>
        <w:rPr>
          <w:rFonts w:ascii="Arial" w:hAnsi="Arial"/>
          <w:sz w:val="22"/>
          <w:szCs w:val="22"/>
          <w:lang w:val="en-GB"/>
        </w:rPr>
        <w:t>Roelof van Wyk</w:t>
      </w:r>
      <w:r>
        <w:rPr>
          <w:rFonts w:ascii="Arial" w:hAnsi="Arial"/>
          <w:sz w:val="22"/>
          <w:szCs w:val="22"/>
          <w:vertAlign w:val="superscript"/>
          <w:lang w:val="en-GB"/>
        </w:rPr>
        <w:t>1</w:t>
      </w:r>
      <w:r>
        <w:rPr>
          <w:rFonts w:ascii="Arial" w:hAnsi="Arial"/>
          <w:sz w:val="22"/>
          <w:szCs w:val="22"/>
          <w:lang w:val="en-GB"/>
        </w:rPr>
        <w:t>, Katherine Clark</w:t>
      </w:r>
      <w:r>
        <w:rPr>
          <w:rFonts w:ascii="Arial" w:hAnsi="Arial"/>
          <w:sz w:val="22"/>
          <w:szCs w:val="22"/>
          <w:vertAlign w:val="superscript"/>
          <w:lang w:val="en-GB"/>
        </w:rPr>
        <w:t>1</w:t>
      </w:r>
      <w:r>
        <w:rPr>
          <w:rFonts w:ascii="Arial" w:hAnsi="Arial"/>
          <w:sz w:val="22"/>
          <w:szCs w:val="22"/>
          <w:lang w:val="en-GB"/>
        </w:rPr>
        <w:t>, Bianca Verlinden</w:t>
      </w:r>
      <w:r>
        <w:rPr>
          <w:rFonts w:ascii="Arial" w:hAnsi="Arial"/>
          <w:sz w:val="22"/>
          <w:szCs w:val="22"/>
          <w:vertAlign w:val="superscript"/>
          <w:lang w:val="en-GB"/>
        </w:rPr>
        <w:t>1</w:t>
      </w:r>
      <w:r>
        <w:rPr>
          <w:rFonts w:ascii="Arial" w:hAnsi="Arial"/>
          <w:sz w:val="22"/>
          <w:szCs w:val="22"/>
          <w:lang w:val="en-GB"/>
        </w:rPr>
        <w:t>, Clarissa Abrie</w:t>
      </w:r>
      <w:r>
        <w:rPr>
          <w:rFonts w:ascii="Arial" w:hAnsi="Arial"/>
          <w:sz w:val="22"/>
          <w:szCs w:val="22"/>
          <w:vertAlign w:val="superscript"/>
          <w:lang w:val="en-GB"/>
        </w:rPr>
        <w:t>1</w:t>
      </w:r>
      <w:r>
        <w:rPr>
          <w:rFonts w:ascii="Arial" w:hAnsi="Arial"/>
          <w:sz w:val="22"/>
          <w:szCs w:val="22"/>
          <w:lang w:val="en-GB"/>
        </w:rPr>
        <w:t>, Hilde v</w:t>
      </w:r>
      <w:r>
        <w:rPr>
          <w:rFonts w:ascii="Arial" w:hAnsi="Arial"/>
          <w:color w:val="000000"/>
          <w:sz w:val="22"/>
          <w:szCs w:val="22"/>
          <w:lang w:val="en-GB"/>
        </w:rPr>
        <w:t>o</w:t>
      </w:r>
      <w:r>
        <w:rPr>
          <w:rFonts w:ascii="Arial" w:hAnsi="Arial"/>
          <w:sz w:val="22"/>
          <w:szCs w:val="22"/>
          <w:lang w:val="en-GB"/>
        </w:rPr>
        <w:t>n Gr</w:t>
      </w:r>
      <w:r>
        <w:rPr>
          <w:rFonts w:ascii="Arial" w:hAnsi="Arial"/>
          <w:color w:val="000000"/>
          <w:sz w:val="22"/>
          <w:szCs w:val="22"/>
          <w:lang w:val="en-GB"/>
        </w:rPr>
        <w:t>ü</w:t>
      </w:r>
      <w:r>
        <w:rPr>
          <w:rFonts w:ascii="Arial" w:hAnsi="Arial"/>
          <w:sz w:val="22"/>
          <w:szCs w:val="22"/>
          <w:lang w:val="en-GB"/>
        </w:rPr>
        <w:t>ning</w:t>
      </w:r>
      <w:r>
        <w:rPr>
          <w:rFonts w:ascii="Arial" w:hAnsi="Arial"/>
          <w:sz w:val="22"/>
          <w:szCs w:val="22"/>
          <w:vertAlign w:val="superscript"/>
          <w:lang w:val="en-GB"/>
        </w:rPr>
        <w:t>1</w:t>
      </w:r>
      <w:r>
        <w:rPr>
          <w:rFonts w:ascii="Arial" w:hAnsi="Arial"/>
          <w:sz w:val="22"/>
          <w:szCs w:val="22"/>
          <w:lang w:val="en-GB"/>
        </w:rPr>
        <w:t>, Werner Smidt</w:t>
      </w:r>
      <w:r>
        <w:rPr>
          <w:rFonts w:ascii="Arial" w:hAnsi="Arial"/>
          <w:sz w:val="22"/>
          <w:szCs w:val="22"/>
          <w:vertAlign w:val="superscript"/>
          <w:lang w:val="en-GB"/>
        </w:rPr>
        <w:t>2</w:t>
      </w:r>
      <w:r>
        <w:rPr>
          <w:rFonts w:ascii="Arial" w:hAnsi="Arial"/>
          <w:sz w:val="22"/>
          <w:szCs w:val="22"/>
          <w:lang w:val="en-GB"/>
        </w:rPr>
        <w:t>, Annél Smit</w:t>
      </w:r>
      <w:r>
        <w:rPr>
          <w:rFonts w:ascii="Arial" w:hAnsi="Arial"/>
          <w:sz w:val="22"/>
          <w:szCs w:val="22"/>
          <w:vertAlign w:val="superscript"/>
          <w:lang w:val="en-GB"/>
        </w:rPr>
        <w:t>1</w:t>
      </w:r>
      <w:r>
        <w:rPr>
          <w:rFonts w:ascii="Arial" w:hAnsi="Arial"/>
          <w:sz w:val="22"/>
          <w:szCs w:val="22"/>
          <w:lang w:val="en-GB"/>
        </w:rPr>
        <w:t>, Janette Reader</w:t>
      </w:r>
      <w:r>
        <w:rPr>
          <w:rFonts w:ascii="Arial" w:hAnsi="Arial"/>
          <w:sz w:val="22"/>
          <w:szCs w:val="22"/>
          <w:vertAlign w:val="superscript"/>
          <w:lang w:val="en-GB"/>
        </w:rPr>
        <w:t>1</w:t>
      </w:r>
      <w:r>
        <w:rPr>
          <w:rFonts w:ascii="Arial" w:hAnsi="Arial"/>
          <w:sz w:val="22"/>
          <w:szCs w:val="22"/>
          <w:lang w:val="en-GB"/>
        </w:rPr>
        <w:t>, Heather Painter</w:t>
      </w:r>
      <w:r>
        <w:rPr>
          <w:rFonts w:ascii="Arial" w:hAnsi="Arial"/>
          <w:sz w:val="22"/>
          <w:szCs w:val="22"/>
          <w:vertAlign w:val="superscript"/>
          <w:lang w:val="en-GB"/>
        </w:rPr>
        <w:t>3</w:t>
      </w:r>
      <w:r>
        <w:rPr>
          <w:rFonts w:ascii="Arial" w:hAnsi="Arial"/>
          <w:sz w:val="22"/>
          <w:szCs w:val="22"/>
          <w:lang w:val="en-GB"/>
        </w:rPr>
        <w:t>, Manuel Llin</w:t>
      </w:r>
      <w:r>
        <w:rPr>
          <w:rFonts w:ascii="Arial" w:hAnsi="Arial"/>
          <w:color w:val="000000"/>
          <w:sz w:val="22"/>
          <w:szCs w:val="22"/>
          <w:lang w:val="en-GB"/>
        </w:rPr>
        <w:t>á</w:t>
      </w:r>
      <w:r>
        <w:rPr>
          <w:rFonts w:ascii="Arial" w:hAnsi="Arial"/>
          <w:sz w:val="22"/>
          <w:szCs w:val="22"/>
          <w:lang w:val="en-GB"/>
        </w:rPr>
        <w:t>s</w:t>
      </w:r>
      <w:r>
        <w:rPr>
          <w:rFonts w:ascii="Arial" w:hAnsi="Arial"/>
          <w:sz w:val="22"/>
          <w:szCs w:val="22"/>
          <w:vertAlign w:val="superscript"/>
          <w:lang w:val="en-GB"/>
        </w:rPr>
        <w:t>3,4</w:t>
      </w:r>
      <w:r>
        <w:rPr>
          <w:rFonts w:ascii="Arial" w:hAnsi="Arial"/>
          <w:sz w:val="22"/>
          <w:szCs w:val="22"/>
          <w:lang w:val="en-GB"/>
        </w:rPr>
        <w:t>,</w:t>
      </w:r>
      <w:r>
        <w:rPr>
          <w:rFonts w:ascii="Arial" w:hAnsi="Arial"/>
          <w:sz w:val="22"/>
          <w:szCs w:val="22"/>
          <w:vertAlign w:val="superscript"/>
          <w:lang w:val="en-GB"/>
        </w:rPr>
        <w:t xml:space="preserve"> </w:t>
      </w:r>
      <w:r>
        <w:rPr>
          <w:rFonts w:ascii="Arial" w:hAnsi="Arial"/>
          <w:sz w:val="22"/>
          <w:szCs w:val="22"/>
          <w:lang w:val="en-GB"/>
        </w:rPr>
        <w:t>Christian Doerig</w:t>
      </w:r>
      <w:r>
        <w:rPr>
          <w:rFonts w:ascii="Arial" w:hAnsi="Arial"/>
          <w:sz w:val="22"/>
          <w:szCs w:val="22"/>
          <w:vertAlign w:val="superscript"/>
          <w:lang w:val="en-GB"/>
        </w:rPr>
        <w:t>5</w:t>
      </w:r>
      <w:r>
        <w:rPr>
          <w:rFonts w:ascii="Arial" w:hAnsi="Arial"/>
          <w:sz w:val="22"/>
          <w:szCs w:val="22"/>
          <w:lang w:val="en-GB"/>
        </w:rPr>
        <w:t xml:space="preserve"> and Lyn-Marié Birkholtz</w:t>
      </w:r>
      <w:r>
        <w:rPr>
          <w:rFonts w:ascii="Arial" w:hAnsi="Arial"/>
          <w:sz w:val="22"/>
          <w:szCs w:val="22"/>
          <w:vertAlign w:val="superscript"/>
          <w:lang w:val="en-GB"/>
        </w:rPr>
        <w:t>1*</w:t>
      </w:r>
    </w:p>
    <w:p w14:paraId="30EEA23A" w14:textId="4DD2650F" w:rsidR="00E62D99" w:rsidRDefault="00E62D99" w:rsidP="00DF0378">
      <w:pPr>
        <w:rPr>
          <w:rFonts w:ascii="Arial" w:hAnsi="Arial"/>
          <w:sz w:val="22"/>
          <w:szCs w:val="22"/>
          <w:vertAlign w:val="superscript"/>
          <w:lang w:val="en-GB"/>
        </w:rPr>
      </w:pPr>
    </w:p>
    <w:p w14:paraId="56BB0F00" w14:textId="3CF2DCB8" w:rsidR="00E62D99" w:rsidRDefault="00E62D99" w:rsidP="00E62D99">
      <w:pPr>
        <w:pStyle w:val="BodyText"/>
        <w:rPr>
          <w:rFonts w:ascii="Arial" w:hAnsi="Arial" w:cs="Arial"/>
          <w:sz w:val="22"/>
          <w:szCs w:val="22"/>
        </w:rPr>
      </w:pPr>
      <w:r>
        <w:rPr>
          <w:rFonts w:ascii="Arial" w:hAnsi="Arial" w:cs="Arial"/>
          <w:sz w:val="22"/>
          <w:szCs w:val="22"/>
          <w:vertAlign w:val="superscript"/>
        </w:rPr>
        <w:t xml:space="preserve">1 </w:t>
      </w:r>
      <w:r>
        <w:rPr>
          <w:rFonts w:ascii="Arial" w:hAnsi="Arial" w:cs="Arial"/>
          <w:sz w:val="22"/>
          <w:szCs w:val="22"/>
        </w:rPr>
        <w:t xml:space="preserve">Institute for Sustainable Malaria Control and </w:t>
      </w:r>
      <w:r>
        <w:rPr>
          <w:rFonts w:ascii="Arial" w:hAnsi="Arial" w:cs="Arial"/>
          <w:sz w:val="22"/>
          <w:szCs w:val="22"/>
          <w:vertAlign w:val="superscript"/>
        </w:rPr>
        <w:t xml:space="preserve">2 </w:t>
      </w:r>
      <w:r>
        <w:rPr>
          <w:rFonts w:ascii="Arial" w:hAnsi="Arial" w:cs="Arial"/>
          <w:sz w:val="22"/>
          <w:szCs w:val="22"/>
        </w:rPr>
        <w:t xml:space="preserve">Centre for Bioinformatics and Computational Biology, Department of Biochemistry, </w:t>
      </w:r>
      <w:r w:rsidR="00BE1B3A">
        <w:rPr>
          <w:rFonts w:ascii="Arial" w:hAnsi="Arial" w:cs="Arial"/>
          <w:sz w:val="22"/>
          <w:szCs w:val="22"/>
        </w:rPr>
        <w:t xml:space="preserve">Genetics and Microbiology, </w:t>
      </w:r>
      <w:bookmarkStart w:id="0" w:name="_GoBack"/>
      <w:bookmarkEnd w:id="0"/>
      <w:r>
        <w:rPr>
          <w:rFonts w:ascii="Arial" w:hAnsi="Arial" w:cs="Arial"/>
          <w:sz w:val="22"/>
          <w:szCs w:val="22"/>
        </w:rPr>
        <w:t>University of Pretoria, Private Bag x20, Hatfield 0028, South Africa</w:t>
      </w:r>
    </w:p>
    <w:p w14:paraId="613B639E" w14:textId="77777777" w:rsidR="00E62D99" w:rsidRDefault="00E62D99" w:rsidP="00E62D99">
      <w:pPr>
        <w:widowControl w:val="0"/>
        <w:autoSpaceDE w:val="0"/>
        <w:autoSpaceDN w:val="0"/>
        <w:adjustRightInd w:val="0"/>
        <w:spacing w:after="0"/>
        <w:jc w:val="left"/>
        <w:rPr>
          <w:rFonts w:ascii="Arial" w:eastAsia="Times New Roman" w:hAnsi="Arial"/>
          <w:sz w:val="22"/>
          <w:szCs w:val="22"/>
          <w:lang w:val="en-GB"/>
        </w:rPr>
      </w:pPr>
      <w:r>
        <w:rPr>
          <w:rFonts w:ascii="Arial" w:eastAsia="Times New Roman" w:hAnsi="Arial"/>
          <w:sz w:val="22"/>
          <w:szCs w:val="22"/>
          <w:vertAlign w:val="superscript"/>
          <w:lang w:val="en-GB"/>
        </w:rPr>
        <w:t>3</w:t>
      </w:r>
      <w:r>
        <w:rPr>
          <w:rFonts w:ascii="Arial" w:eastAsia="Times New Roman" w:hAnsi="Arial"/>
          <w:sz w:val="22"/>
          <w:szCs w:val="22"/>
          <w:lang w:val="en-GB"/>
        </w:rPr>
        <w:t xml:space="preserve"> Department of Biochemistry &amp; Molecular Biology and Centre for Malaria Research, Pennsylvania State University, University Park, PA 16802, USA </w:t>
      </w:r>
    </w:p>
    <w:p w14:paraId="3E697E76" w14:textId="77777777" w:rsidR="00E62D99" w:rsidRDefault="00E62D99" w:rsidP="00E62D99">
      <w:pPr>
        <w:widowControl w:val="0"/>
        <w:autoSpaceDE w:val="0"/>
        <w:autoSpaceDN w:val="0"/>
        <w:adjustRightInd w:val="0"/>
        <w:spacing w:after="0"/>
        <w:jc w:val="left"/>
        <w:rPr>
          <w:rFonts w:ascii="Arial" w:eastAsia="Times New Roman" w:hAnsi="Arial"/>
          <w:sz w:val="22"/>
          <w:szCs w:val="22"/>
          <w:lang w:val="en-GB"/>
        </w:rPr>
      </w:pPr>
      <w:r>
        <w:rPr>
          <w:rFonts w:ascii="Arial" w:eastAsia="Times New Roman" w:hAnsi="Arial"/>
          <w:sz w:val="22"/>
          <w:szCs w:val="22"/>
          <w:vertAlign w:val="superscript"/>
          <w:lang w:val="en-GB"/>
        </w:rPr>
        <w:t>4</w:t>
      </w:r>
      <w:r>
        <w:rPr>
          <w:rFonts w:ascii="Arial" w:eastAsia="Times New Roman" w:hAnsi="Arial"/>
          <w:sz w:val="22"/>
          <w:szCs w:val="22"/>
          <w:lang w:val="en-GB"/>
        </w:rPr>
        <w:t xml:space="preserve"> Department of Chemistry, Pennsylvania State University, University Park, PA 16802, USA</w:t>
      </w:r>
    </w:p>
    <w:p w14:paraId="70255B71" w14:textId="77777777" w:rsidR="00E62D99" w:rsidRDefault="00E62D99" w:rsidP="00E62D99">
      <w:pPr>
        <w:rPr>
          <w:rFonts w:ascii="Arial" w:eastAsia="Times New Roman" w:hAnsi="Arial"/>
          <w:sz w:val="22"/>
          <w:szCs w:val="22"/>
          <w:lang w:val="en-GB"/>
        </w:rPr>
      </w:pPr>
      <w:r>
        <w:rPr>
          <w:rFonts w:ascii="Arial" w:hAnsi="Arial"/>
          <w:sz w:val="22"/>
          <w:szCs w:val="22"/>
          <w:vertAlign w:val="superscript"/>
          <w:lang w:val="en-GB"/>
        </w:rPr>
        <w:t xml:space="preserve">5 </w:t>
      </w:r>
      <w:r>
        <w:rPr>
          <w:rFonts w:ascii="Arial" w:eastAsia="Times New Roman" w:hAnsi="Arial"/>
          <w:sz w:val="22"/>
          <w:szCs w:val="22"/>
          <w:lang w:val="en-GB"/>
        </w:rPr>
        <w:t xml:space="preserve">Infection and Immunity Program, Monash Biomedicine Discovery Institute and Department of Microbiology, Monash University, Victoria 3800, Australia </w:t>
      </w:r>
    </w:p>
    <w:p w14:paraId="6431F170" w14:textId="77777777" w:rsidR="00E62D99" w:rsidRDefault="00E62D99" w:rsidP="00E62D99">
      <w:pPr>
        <w:pStyle w:val="BodyText"/>
        <w:rPr>
          <w:rFonts w:ascii="Arial" w:hAnsi="Arial" w:cs="Arial"/>
          <w:sz w:val="22"/>
          <w:szCs w:val="22"/>
        </w:rPr>
      </w:pPr>
    </w:p>
    <w:p w14:paraId="6B084B66" w14:textId="77777777" w:rsidR="00E62D99" w:rsidRDefault="00E62D99" w:rsidP="00E62D99">
      <w:pPr>
        <w:pStyle w:val="BodyText"/>
        <w:rPr>
          <w:rFonts w:ascii="Arial" w:hAnsi="Arial" w:cs="Arial"/>
          <w:sz w:val="22"/>
          <w:szCs w:val="22"/>
        </w:rPr>
      </w:pPr>
      <w:r>
        <w:rPr>
          <w:rFonts w:ascii="Arial" w:hAnsi="Arial" w:cs="Arial"/>
          <w:sz w:val="22"/>
          <w:szCs w:val="22"/>
        </w:rPr>
        <w:t># These authors contributed equally to this work</w:t>
      </w:r>
    </w:p>
    <w:p w14:paraId="38416F9B" w14:textId="77777777" w:rsidR="00E62D99" w:rsidRDefault="00E62D99" w:rsidP="00E62D99">
      <w:pPr>
        <w:pStyle w:val="BodyText"/>
        <w:rPr>
          <w:rFonts w:ascii="Arial" w:hAnsi="Arial" w:cs="Arial"/>
          <w:sz w:val="22"/>
          <w:szCs w:val="22"/>
          <w:highlight w:val="cyan"/>
        </w:rPr>
      </w:pPr>
    </w:p>
    <w:p w14:paraId="41636859" w14:textId="77777777" w:rsidR="00E62D99" w:rsidRDefault="00E62D99" w:rsidP="00E62D99">
      <w:pPr>
        <w:pStyle w:val="BodyText"/>
        <w:rPr>
          <w:rFonts w:ascii="Arial" w:hAnsi="Arial" w:cs="Arial"/>
          <w:sz w:val="22"/>
          <w:szCs w:val="22"/>
        </w:rPr>
      </w:pPr>
    </w:p>
    <w:p w14:paraId="1DA6EC69" w14:textId="77777777" w:rsidR="00E62D99" w:rsidRDefault="00E62D99" w:rsidP="00E62D99">
      <w:pPr>
        <w:pStyle w:val="BodyText"/>
        <w:rPr>
          <w:rFonts w:ascii="Arial" w:hAnsi="Arial" w:cs="Arial"/>
          <w:sz w:val="22"/>
          <w:szCs w:val="22"/>
        </w:rPr>
      </w:pPr>
    </w:p>
    <w:p w14:paraId="27C835F6" w14:textId="77777777" w:rsidR="00E62D99" w:rsidRDefault="00E62D99" w:rsidP="00E62D99">
      <w:pPr>
        <w:pStyle w:val="BodyText"/>
        <w:rPr>
          <w:rFonts w:ascii="Arial" w:hAnsi="Arial" w:cs="Arial"/>
          <w:sz w:val="22"/>
          <w:szCs w:val="22"/>
        </w:rPr>
      </w:pPr>
    </w:p>
    <w:p w14:paraId="46CAF296" w14:textId="77777777" w:rsidR="00E62D99" w:rsidRDefault="00E62D99" w:rsidP="00E62D99">
      <w:pPr>
        <w:pStyle w:val="BodyText"/>
        <w:rPr>
          <w:rFonts w:ascii="Arial" w:hAnsi="Arial" w:cs="Arial"/>
          <w:sz w:val="22"/>
          <w:szCs w:val="22"/>
        </w:rPr>
      </w:pPr>
    </w:p>
    <w:p w14:paraId="72C9449F" w14:textId="77777777" w:rsidR="00E62D99" w:rsidRDefault="00E62D99" w:rsidP="00E62D99">
      <w:pPr>
        <w:rPr>
          <w:rFonts w:ascii="Arial" w:hAnsi="Arial"/>
          <w:sz w:val="22"/>
          <w:szCs w:val="22"/>
          <w:lang w:val="en-GB"/>
        </w:rPr>
      </w:pPr>
      <w:r>
        <w:rPr>
          <w:rFonts w:ascii="Arial" w:hAnsi="Arial"/>
          <w:sz w:val="22"/>
          <w:szCs w:val="22"/>
          <w:vertAlign w:val="superscript"/>
          <w:lang w:val="en-GB"/>
        </w:rPr>
        <w:t xml:space="preserve">* </w:t>
      </w:r>
      <w:r>
        <w:rPr>
          <w:rFonts w:ascii="Arial" w:hAnsi="Arial"/>
          <w:sz w:val="22"/>
          <w:szCs w:val="22"/>
          <w:lang w:val="en-GB"/>
        </w:rPr>
        <w:t xml:space="preserve">Corresponding author Tel.: +27 12 420 2479; fax: +27 12 362 5302. E-mail address:  </w:t>
      </w:r>
    </w:p>
    <w:p w14:paraId="1B7BD00F" w14:textId="2E5A89B0" w:rsidR="00E62D99" w:rsidRDefault="00BE1B3A" w:rsidP="00E62D99">
      <w:pPr>
        <w:rPr>
          <w:rFonts w:ascii="Arial" w:hAnsi="Arial"/>
          <w:sz w:val="22"/>
          <w:szCs w:val="22"/>
          <w:lang w:val="en-GB"/>
        </w:rPr>
      </w:pPr>
      <w:hyperlink r:id="rId6" w:history="1">
        <w:r w:rsidR="00E62D99">
          <w:rPr>
            <w:rStyle w:val="Hyperlink"/>
            <w:rFonts w:ascii="Arial" w:hAnsi="Arial"/>
            <w:sz w:val="22"/>
            <w:szCs w:val="22"/>
            <w:lang w:val="en-GB"/>
          </w:rPr>
          <w:t>lbirkholtz@up.ac.za</w:t>
        </w:r>
      </w:hyperlink>
    </w:p>
    <w:p w14:paraId="23CC2E44" w14:textId="77777777" w:rsidR="00DF0378" w:rsidRDefault="00DF0378">
      <w:pPr>
        <w:spacing w:after="160" w:line="259" w:lineRule="auto"/>
        <w:jc w:val="left"/>
        <w:rPr>
          <w:rFonts w:ascii="Arial" w:hAnsi="Arial"/>
          <w:b/>
          <w:lang w:val="en-GB"/>
        </w:rPr>
      </w:pPr>
      <w:r>
        <w:rPr>
          <w:rFonts w:ascii="Arial" w:hAnsi="Arial"/>
          <w:b/>
          <w:lang w:val="en-GB"/>
        </w:rPr>
        <w:br w:type="page"/>
      </w:r>
    </w:p>
    <w:p w14:paraId="1EB1A145" w14:textId="18AF9AA3" w:rsidR="00485978" w:rsidRDefault="00E210C0">
      <w:pPr>
        <w:rPr>
          <w:rFonts w:ascii="Arial" w:hAnsi="Arial"/>
          <w:b/>
          <w:lang w:val="en-GB"/>
        </w:rPr>
      </w:pPr>
      <w:r>
        <w:rPr>
          <w:rFonts w:ascii="Arial" w:hAnsi="Arial"/>
          <w:b/>
          <w:lang w:val="en-GB"/>
        </w:rPr>
        <w:lastRenderedPageBreak/>
        <w:t>Supplementary information</w:t>
      </w:r>
    </w:p>
    <w:p w14:paraId="1F84A90A" w14:textId="77777777" w:rsidR="00485978" w:rsidRDefault="00E210C0">
      <w:pPr>
        <w:rPr>
          <w:rFonts w:ascii="Arial" w:hAnsi="Arial"/>
          <w:b/>
          <w:sz w:val="22"/>
          <w:szCs w:val="22"/>
          <w:lang w:val="en-GB"/>
        </w:rPr>
      </w:pPr>
      <w:r>
        <w:rPr>
          <w:rFonts w:ascii="Arial" w:hAnsi="Arial"/>
          <w:b/>
          <w:sz w:val="22"/>
          <w:szCs w:val="22"/>
          <w:lang w:val="en-GB"/>
        </w:rPr>
        <w:t>Table of Contents:</w:t>
      </w:r>
    </w:p>
    <w:p w14:paraId="3F55975C" w14:textId="77777777" w:rsidR="00485978" w:rsidRDefault="00E210C0">
      <w:pPr>
        <w:pStyle w:val="ListParagraph"/>
        <w:numPr>
          <w:ilvl w:val="0"/>
          <w:numId w:val="2"/>
        </w:numPr>
        <w:rPr>
          <w:rFonts w:ascii="Arial" w:hAnsi="Arial"/>
          <w:b/>
          <w:sz w:val="22"/>
          <w:szCs w:val="22"/>
          <w:lang w:val="en-GB"/>
        </w:rPr>
      </w:pPr>
      <w:r>
        <w:rPr>
          <w:rFonts w:ascii="Arial" w:hAnsi="Arial"/>
          <w:b/>
          <w:sz w:val="22"/>
          <w:szCs w:val="22"/>
          <w:lang w:val="en-GB"/>
        </w:rPr>
        <w:t>Supplementary Methods</w:t>
      </w:r>
    </w:p>
    <w:p w14:paraId="519C7D23" w14:textId="77777777" w:rsidR="00485978" w:rsidRDefault="00E210C0">
      <w:pPr>
        <w:pStyle w:val="ListParagraph"/>
        <w:numPr>
          <w:ilvl w:val="0"/>
          <w:numId w:val="2"/>
        </w:numPr>
        <w:rPr>
          <w:rFonts w:ascii="Arial" w:hAnsi="Arial"/>
          <w:b/>
          <w:sz w:val="22"/>
          <w:szCs w:val="22"/>
          <w:lang w:val="en-GB"/>
        </w:rPr>
      </w:pPr>
      <w:r>
        <w:rPr>
          <w:rFonts w:ascii="Arial" w:hAnsi="Arial"/>
          <w:b/>
          <w:sz w:val="22"/>
          <w:szCs w:val="22"/>
          <w:lang w:val="en-GB"/>
        </w:rPr>
        <w:t>Supplementary Figures</w:t>
      </w:r>
    </w:p>
    <w:p w14:paraId="7B7983F3" w14:textId="77777777" w:rsidR="00485978" w:rsidRDefault="00E210C0">
      <w:pPr>
        <w:pStyle w:val="ListParagraph"/>
        <w:numPr>
          <w:ilvl w:val="0"/>
          <w:numId w:val="2"/>
        </w:numPr>
        <w:rPr>
          <w:rFonts w:ascii="Arial" w:hAnsi="Arial"/>
          <w:b/>
          <w:sz w:val="22"/>
          <w:szCs w:val="22"/>
          <w:lang w:val="en-GB"/>
        </w:rPr>
      </w:pPr>
      <w:r>
        <w:rPr>
          <w:rFonts w:ascii="Arial" w:hAnsi="Arial"/>
          <w:b/>
          <w:sz w:val="22"/>
          <w:szCs w:val="22"/>
          <w:lang w:val="en-GB"/>
        </w:rPr>
        <w:t>Supplementary Files</w:t>
      </w:r>
    </w:p>
    <w:p w14:paraId="7FC7F21E" w14:textId="77777777" w:rsidR="00485978" w:rsidRDefault="00485978">
      <w:pPr>
        <w:rPr>
          <w:rFonts w:ascii="Arial" w:hAnsi="Arial"/>
          <w:b/>
          <w:sz w:val="22"/>
          <w:szCs w:val="22"/>
          <w:lang w:val="en-GB"/>
        </w:rPr>
      </w:pPr>
    </w:p>
    <w:p w14:paraId="34A05805" w14:textId="77777777" w:rsidR="00485978" w:rsidRDefault="00E210C0">
      <w:pPr>
        <w:pStyle w:val="ListParagraph"/>
        <w:numPr>
          <w:ilvl w:val="0"/>
          <w:numId w:val="3"/>
        </w:numPr>
        <w:rPr>
          <w:rFonts w:ascii="Arial" w:hAnsi="Arial"/>
          <w:b/>
          <w:sz w:val="22"/>
          <w:szCs w:val="22"/>
        </w:rPr>
      </w:pPr>
      <w:r>
        <w:rPr>
          <w:rFonts w:ascii="Arial" w:hAnsi="Arial"/>
          <w:b/>
          <w:sz w:val="22"/>
          <w:szCs w:val="22"/>
        </w:rPr>
        <w:t>Supplementary methods</w:t>
      </w:r>
    </w:p>
    <w:p w14:paraId="065D79AF" w14:textId="77777777" w:rsidR="00485978" w:rsidRDefault="00E210C0">
      <w:pPr>
        <w:pStyle w:val="Heading3"/>
        <w:numPr>
          <w:ilvl w:val="0"/>
          <w:numId w:val="0"/>
        </w:numPr>
        <w:spacing w:before="0" w:after="0"/>
        <w:ind w:left="720" w:hanging="720"/>
        <w:rPr>
          <w:rFonts w:ascii="Arial" w:hAnsi="Arial" w:cs="Arial"/>
          <w:sz w:val="22"/>
          <w:szCs w:val="22"/>
          <w:u w:val="none"/>
          <w:lang w:val="en-US"/>
        </w:rPr>
      </w:pPr>
      <w:r>
        <w:rPr>
          <w:rFonts w:ascii="Arial" w:hAnsi="Arial" w:cs="Arial"/>
          <w:i/>
          <w:iCs/>
          <w:sz w:val="22"/>
          <w:szCs w:val="22"/>
          <w:u w:val="none"/>
          <w:lang w:val="en-US"/>
        </w:rPr>
        <w:t>In vitro</w:t>
      </w:r>
      <w:r>
        <w:rPr>
          <w:rFonts w:ascii="Arial" w:hAnsi="Arial" w:cs="Arial"/>
          <w:sz w:val="22"/>
          <w:szCs w:val="22"/>
          <w:u w:val="none"/>
          <w:lang w:val="en-US"/>
        </w:rPr>
        <w:t xml:space="preserve"> cultivation of intraerythrocytic </w:t>
      </w:r>
      <w:r>
        <w:rPr>
          <w:rFonts w:ascii="Arial" w:hAnsi="Arial" w:cs="Arial"/>
          <w:i/>
          <w:iCs/>
          <w:sz w:val="22"/>
          <w:szCs w:val="22"/>
          <w:u w:val="none"/>
          <w:lang w:val="en-US"/>
        </w:rPr>
        <w:t>P. falciparum</w:t>
      </w:r>
      <w:r>
        <w:rPr>
          <w:rFonts w:ascii="Arial" w:hAnsi="Arial" w:cs="Arial"/>
          <w:sz w:val="22"/>
          <w:szCs w:val="22"/>
          <w:u w:val="none"/>
          <w:lang w:val="en-US"/>
        </w:rPr>
        <w:t xml:space="preserve"> parasites</w:t>
      </w:r>
    </w:p>
    <w:p w14:paraId="4B11D516" w14:textId="77777777" w:rsidR="00485978" w:rsidRDefault="00E210C0">
      <w:pPr>
        <w:spacing w:after="0"/>
        <w:rPr>
          <w:rFonts w:ascii="Arial" w:hAnsi="Arial"/>
          <w:sz w:val="22"/>
          <w:szCs w:val="22"/>
          <w:lang w:val="en-US"/>
        </w:rPr>
      </w:pPr>
      <w:r>
        <w:rPr>
          <w:rFonts w:ascii="Arial" w:hAnsi="Arial"/>
          <w:i/>
          <w:iCs/>
          <w:sz w:val="22"/>
          <w:szCs w:val="22"/>
          <w:lang w:val="en-US"/>
        </w:rPr>
        <w:t>P. falciparum</w:t>
      </w:r>
      <w:r>
        <w:rPr>
          <w:rFonts w:ascii="Arial" w:hAnsi="Arial"/>
          <w:sz w:val="22"/>
          <w:szCs w:val="22"/>
          <w:lang w:val="en-US"/>
        </w:rPr>
        <w:t xml:space="preserve"> (3D7 and NF54) parasites were maintained with shaking at 37°C at 5% haematocrit (human erythrocytes) in complete culture medium [RPMI 1640 medium (Sigma-Aldrich) supplemented with 25 mM HEPES (Sigma-Aldrich), 11 mM D-glucose (Sigma-Aldrich), 200 μM hypoxanthine (Sigma-Aldrich), 0.2% (w/v) sodium bicarbonate, 24 μg/ml Gentamycin (Sigma-Aldrich) and 0.5% (w/v) AlbuMAX II] under hypoxic conditions (90% N</w:t>
      </w:r>
      <w:r>
        <w:rPr>
          <w:rFonts w:ascii="Arial" w:hAnsi="Arial"/>
          <w:sz w:val="22"/>
          <w:szCs w:val="22"/>
          <w:vertAlign w:val="subscript"/>
          <w:lang w:val="en-US"/>
        </w:rPr>
        <w:t>2</w:t>
      </w:r>
      <w:r>
        <w:rPr>
          <w:rFonts w:ascii="Arial" w:hAnsi="Arial"/>
          <w:sz w:val="22"/>
          <w:szCs w:val="22"/>
          <w:lang w:val="en-US"/>
        </w:rPr>
        <w:t>, 5% O</w:t>
      </w:r>
      <w:r>
        <w:rPr>
          <w:rFonts w:ascii="Arial" w:hAnsi="Arial"/>
          <w:sz w:val="22"/>
          <w:szCs w:val="22"/>
          <w:vertAlign w:val="subscript"/>
          <w:lang w:val="en-US"/>
        </w:rPr>
        <w:t>2</w:t>
      </w:r>
      <w:r>
        <w:rPr>
          <w:rFonts w:ascii="Arial" w:hAnsi="Arial"/>
          <w:sz w:val="22"/>
          <w:szCs w:val="22"/>
          <w:lang w:val="en-US"/>
        </w:rPr>
        <w:t>, and 5% CO</w:t>
      </w:r>
      <w:r>
        <w:rPr>
          <w:rFonts w:ascii="Arial" w:hAnsi="Arial"/>
          <w:sz w:val="22"/>
          <w:szCs w:val="22"/>
          <w:vertAlign w:val="subscript"/>
          <w:lang w:val="en-US"/>
        </w:rPr>
        <w:t>2</w:t>
      </w:r>
      <w:r>
        <w:rPr>
          <w:rFonts w:ascii="Arial" w:hAnsi="Arial"/>
          <w:sz w:val="22"/>
          <w:szCs w:val="22"/>
          <w:lang w:val="en-US"/>
        </w:rPr>
        <w:t>). Parasite development was monitored with light microscopy through Giemsa staining.</w:t>
      </w:r>
    </w:p>
    <w:p w14:paraId="062894C6" w14:textId="77777777" w:rsidR="00485978" w:rsidRDefault="00E210C0">
      <w:pPr>
        <w:autoSpaceDE w:val="0"/>
        <w:autoSpaceDN w:val="0"/>
        <w:adjustRightInd w:val="0"/>
        <w:spacing w:after="0"/>
        <w:rPr>
          <w:rFonts w:ascii="Arial" w:hAnsi="Arial"/>
          <w:b/>
          <w:sz w:val="22"/>
          <w:szCs w:val="22"/>
          <w:lang w:val="en-US"/>
        </w:rPr>
      </w:pPr>
      <w:r>
        <w:rPr>
          <w:rFonts w:ascii="Arial" w:hAnsi="Arial"/>
          <w:b/>
          <w:sz w:val="22"/>
          <w:szCs w:val="22"/>
          <w:lang w:val="en-US"/>
        </w:rPr>
        <w:t xml:space="preserve">Gating for flow cytometric measurement of nucleic content </w:t>
      </w:r>
    </w:p>
    <w:p w14:paraId="5DE012FF" w14:textId="61B72523" w:rsidR="00485978" w:rsidRDefault="00E210C0">
      <w:pPr>
        <w:spacing w:after="0"/>
        <w:rPr>
          <w:rFonts w:ascii="Arial" w:hAnsi="Arial"/>
          <w:sz w:val="22"/>
          <w:szCs w:val="22"/>
          <w:lang w:val="en-US"/>
        </w:rPr>
      </w:pPr>
      <w:r>
        <w:rPr>
          <w:rFonts w:ascii="Arial" w:hAnsi="Arial"/>
          <w:sz w:val="22"/>
          <w:szCs w:val="22"/>
          <w:lang w:val="en-US"/>
        </w:rPr>
        <w:t xml:space="preserve">Primary gating was performed based on background fluorescent signal from DNA-free uninfected erythrocytes to obtain the parasite-infected erythrocyte population as an indication of parasitaemia. Secondary gating was performed on the parasite-infected erythrocyte population </w:t>
      </w:r>
      <w:r w:rsidR="0025351E">
        <w:rPr>
          <w:rFonts w:ascii="Arial" w:hAnsi="Arial"/>
          <w:sz w:val="22"/>
          <w:szCs w:val="22"/>
          <w:lang w:val="en-US"/>
        </w:rPr>
        <w:t xml:space="preserve">within runs and applied to biological replicates (with technical duplicates), to </w:t>
      </w:r>
      <w:r>
        <w:rPr>
          <w:rFonts w:ascii="Arial" w:hAnsi="Arial"/>
          <w:sz w:val="22"/>
          <w:szCs w:val="22"/>
          <w:lang w:val="en-US"/>
        </w:rPr>
        <w:t>segregate parasitized erythrocytes by nucleic content with 1 nucleus (1N DNA copy number) corresponding to either ring or early trophozoite forms separated from those corresponding to parasitized erythrocytes containing multiple nuclei (2N, mature trophozoite forms or &gt;2N corresponding to schizont parasites).</w:t>
      </w:r>
    </w:p>
    <w:p w14:paraId="78459AC6" w14:textId="77777777" w:rsidR="00485978" w:rsidRDefault="00E210C0">
      <w:pPr>
        <w:spacing w:after="0"/>
        <w:rPr>
          <w:rFonts w:ascii="Arial" w:hAnsi="Arial"/>
          <w:b/>
          <w:sz w:val="22"/>
          <w:szCs w:val="22"/>
          <w:lang w:val="en-US"/>
        </w:rPr>
      </w:pPr>
      <w:r>
        <w:rPr>
          <w:rFonts w:ascii="Arial" w:hAnsi="Arial"/>
          <w:b/>
          <w:sz w:val="22"/>
          <w:szCs w:val="22"/>
          <w:lang w:val="en-US"/>
        </w:rPr>
        <w:t>Support vector machine construction</w:t>
      </w:r>
    </w:p>
    <w:p w14:paraId="214F8B7A" w14:textId="77777777" w:rsidR="00485978" w:rsidRDefault="00E210C0">
      <w:pPr>
        <w:spacing w:after="0"/>
        <w:rPr>
          <w:rFonts w:ascii="Arial" w:hAnsi="Arial"/>
          <w:sz w:val="22"/>
          <w:szCs w:val="22"/>
          <w:lang w:val="en-US"/>
        </w:rPr>
      </w:pPr>
      <w:r>
        <w:rPr>
          <w:rFonts w:ascii="Arial" w:hAnsi="Arial"/>
          <w:sz w:val="22"/>
          <w:szCs w:val="22"/>
          <w:lang w:val="en-US"/>
        </w:rPr>
        <w:t xml:space="preserve">The SVM was trained using a linear kernel with the 3705 genes as input data together with the 30 classes. The weights of each gene's contribution to the classification of each class was calculated and the top 1% of the genes were chosen for each of the 30 classes and agglomerated into a single set of 642 genes. A non-parametric correlation coefficient (Kendall's Tau) between all classes was calculated using representative gene expression levels (maximum divergence from the control) of each class. The resultant 30x30 matrix was scaled to two dimensions using the cmdscale function in R. The data points were clustered using k-means bagged clustering to determine the optimal number of clusters.  </w:t>
      </w:r>
    </w:p>
    <w:p w14:paraId="03A69061" w14:textId="77777777" w:rsidR="00485978" w:rsidRDefault="00485978">
      <w:pPr>
        <w:spacing w:after="0"/>
        <w:rPr>
          <w:rFonts w:ascii="Arial" w:hAnsi="Arial"/>
          <w:b/>
          <w:sz w:val="22"/>
          <w:szCs w:val="22"/>
          <w:lang w:val="en-US"/>
        </w:rPr>
      </w:pPr>
    </w:p>
    <w:p w14:paraId="27FD908A" w14:textId="77777777" w:rsidR="00485978" w:rsidRDefault="00485978">
      <w:pPr>
        <w:spacing w:after="0"/>
        <w:rPr>
          <w:rFonts w:ascii="Arial" w:hAnsi="Arial"/>
          <w:b/>
          <w:sz w:val="22"/>
          <w:szCs w:val="22"/>
          <w:lang w:val="en-US"/>
        </w:rPr>
      </w:pPr>
    </w:p>
    <w:p w14:paraId="459EB38F" w14:textId="77777777" w:rsidR="00485978" w:rsidRDefault="00E210C0">
      <w:pPr>
        <w:spacing w:after="0"/>
        <w:rPr>
          <w:rFonts w:ascii="Arial" w:hAnsi="Arial"/>
          <w:b/>
          <w:sz w:val="22"/>
          <w:szCs w:val="22"/>
          <w:lang w:val="en-US"/>
        </w:rPr>
      </w:pPr>
      <w:r>
        <w:rPr>
          <w:rFonts w:ascii="Arial" w:hAnsi="Arial"/>
          <w:b/>
          <w:sz w:val="22"/>
          <w:szCs w:val="22"/>
          <w:lang w:val="en-US"/>
        </w:rPr>
        <w:t>Experimental setup for qPCR</w:t>
      </w:r>
    </w:p>
    <w:p w14:paraId="745B3BFA" w14:textId="620F2980" w:rsidR="00485978" w:rsidRDefault="002636FE">
      <w:pPr>
        <w:rPr>
          <w:sz w:val="22"/>
        </w:rPr>
      </w:pPr>
      <w:r>
        <w:rPr>
          <w:rFonts w:ascii="Arial" w:hAnsi="Arial"/>
          <w:sz w:val="22"/>
        </w:rPr>
        <w:t xml:space="preserve">RNA samples were taken from </w:t>
      </w:r>
      <w:r w:rsidR="004F22A7">
        <w:rPr>
          <w:rFonts w:ascii="Arial" w:hAnsi="Arial"/>
          <w:sz w:val="22"/>
        </w:rPr>
        <w:t xml:space="preserve">control </w:t>
      </w:r>
      <w:r>
        <w:rPr>
          <w:rFonts w:ascii="Arial" w:hAnsi="Arial"/>
          <w:sz w:val="22"/>
        </w:rPr>
        <w:t>parasites</w:t>
      </w:r>
      <w:r w:rsidR="004F22A7">
        <w:rPr>
          <w:rFonts w:ascii="Arial" w:hAnsi="Arial"/>
          <w:sz w:val="22"/>
        </w:rPr>
        <w:t>, parasites</w:t>
      </w:r>
      <w:r>
        <w:rPr>
          <w:rFonts w:ascii="Arial" w:hAnsi="Arial"/>
          <w:sz w:val="22"/>
        </w:rPr>
        <w:t xml:space="preserve"> treated with 2 mM DFMO for 24 h</w:t>
      </w:r>
      <w:r w:rsidR="004F22A7">
        <w:rPr>
          <w:rFonts w:ascii="Arial" w:hAnsi="Arial"/>
          <w:sz w:val="22"/>
        </w:rPr>
        <w:t xml:space="preserve"> (arrested 24h) or</w:t>
      </w:r>
      <w:r w:rsidR="00E846DE">
        <w:rPr>
          <w:rFonts w:ascii="Arial" w:hAnsi="Arial"/>
          <w:sz w:val="22"/>
        </w:rPr>
        <w:t xml:space="preserve"> 30 h </w:t>
      </w:r>
      <w:r w:rsidR="004F22A7">
        <w:rPr>
          <w:rFonts w:ascii="Arial" w:hAnsi="Arial"/>
          <w:sz w:val="22"/>
        </w:rPr>
        <w:t xml:space="preserve">(arrested 30h) </w:t>
      </w:r>
      <w:r w:rsidR="00E846DE">
        <w:rPr>
          <w:rFonts w:ascii="Arial" w:hAnsi="Arial"/>
          <w:sz w:val="22"/>
        </w:rPr>
        <w:t xml:space="preserve">and parasites </w:t>
      </w:r>
      <w:r w:rsidR="004F22A7">
        <w:rPr>
          <w:rFonts w:ascii="Arial" w:hAnsi="Arial"/>
          <w:sz w:val="22"/>
        </w:rPr>
        <w:t xml:space="preserve">reversed with putrescine (24 h DFMO treatment followed by </w:t>
      </w:r>
      <w:r w:rsidR="00E846DE">
        <w:rPr>
          <w:rFonts w:ascii="Arial" w:hAnsi="Arial"/>
          <w:sz w:val="22"/>
        </w:rPr>
        <w:t>6 h after putrescine reversal</w:t>
      </w:r>
      <w:r w:rsidR="006E6B81">
        <w:rPr>
          <w:rFonts w:ascii="Arial" w:hAnsi="Arial"/>
          <w:sz w:val="22"/>
        </w:rPr>
        <w:t>, re-entry2).</w:t>
      </w:r>
      <w:r w:rsidR="00E210C0">
        <w:rPr>
          <w:rFonts w:ascii="Arial" w:hAnsi="Arial"/>
          <w:sz w:val="22"/>
        </w:rPr>
        <w:t xml:space="preserve"> A reference gene standard curve was constructed using primers specific for </w:t>
      </w:r>
      <w:r w:rsidR="00E210C0">
        <w:rPr>
          <w:rFonts w:ascii="Arial" w:hAnsi="Arial"/>
          <w:i/>
          <w:sz w:val="22"/>
        </w:rPr>
        <w:t xml:space="preserve">P. falciparum </w:t>
      </w:r>
      <w:r w:rsidR="00E210C0">
        <w:rPr>
          <w:rFonts w:ascii="Arial" w:hAnsi="Arial"/>
          <w:sz w:val="22"/>
        </w:rPr>
        <w:t>seryl-tRNA synthetase (</w:t>
      </w:r>
      <w:r w:rsidR="006E6B81">
        <w:rPr>
          <w:rFonts w:ascii="Arial" w:hAnsi="Arial"/>
          <w:sz w:val="22"/>
        </w:rPr>
        <w:t xml:space="preserve">Pf3D7_0717700, </w:t>
      </w:r>
      <w:r w:rsidR="00E210C0">
        <w:rPr>
          <w:rFonts w:ascii="Arial" w:hAnsi="Arial"/>
          <w:sz w:val="22"/>
        </w:rPr>
        <w:t>IDT, USA) (forward primer sequence 5’-</w:t>
      </w:r>
      <w:r w:rsidR="00E210C0">
        <w:rPr>
          <w:rFonts w:ascii="Arial" w:eastAsia="Times New Roman" w:hAnsi="Arial"/>
          <w:color w:val="000000"/>
          <w:sz w:val="22"/>
          <w:lang w:eastAsia="en-ZA"/>
        </w:rPr>
        <w:t>TTCGGCAGATTCTTCCATAA-3’</w:t>
      </w:r>
      <w:r w:rsidR="00E210C0">
        <w:rPr>
          <w:rFonts w:ascii="Arial" w:hAnsi="Arial"/>
          <w:sz w:val="22"/>
        </w:rPr>
        <w:t>, and reverse primer sequence 5’-</w:t>
      </w:r>
      <w:r w:rsidR="00E210C0">
        <w:rPr>
          <w:rFonts w:ascii="Arial" w:eastAsia="Times New Roman" w:hAnsi="Arial"/>
          <w:color w:val="000000"/>
          <w:sz w:val="22"/>
          <w:lang w:eastAsia="en-ZA"/>
        </w:rPr>
        <w:t>AAGTAGGAGGTCATCGTGGTT-3’)</w:t>
      </w:r>
      <w:r w:rsidR="00E210C0">
        <w:rPr>
          <w:rFonts w:ascii="Arial" w:hAnsi="Arial"/>
          <w:sz w:val="22"/>
        </w:rPr>
        <w:t xml:space="preserve">. </w:t>
      </w:r>
      <w:r w:rsidR="001002C3">
        <w:rPr>
          <w:rFonts w:ascii="Arial" w:hAnsi="Arial"/>
          <w:sz w:val="22"/>
        </w:rPr>
        <w:t xml:space="preserve">The primers used for each of the differentially expressed genes were: </w:t>
      </w:r>
      <w:r w:rsidR="001002C3">
        <w:rPr>
          <w:rFonts w:ascii="Arial" w:hAnsi="Arial"/>
          <w:i/>
          <w:sz w:val="22"/>
        </w:rPr>
        <w:t xml:space="preserve">pf3d7_0217500 </w:t>
      </w:r>
      <w:r w:rsidR="001002C3">
        <w:rPr>
          <w:rFonts w:ascii="Arial" w:hAnsi="Arial"/>
          <w:sz w:val="22"/>
        </w:rPr>
        <w:t>(</w:t>
      </w:r>
      <w:r w:rsidR="001002C3">
        <w:rPr>
          <w:rFonts w:ascii="Arial" w:hAnsi="Arial"/>
          <w:i/>
          <w:sz w:val="22"/>
        </w:rPr>
        <w:t xml:space="preserve">cdpk1), </w:t>
      </w:r>
      <w:r w:rsidR="001002C3">
        <w:rPr>
          <w:rFonts w:ascii="Arial" w:hAnsi="Arial"/>
          <w:sz w:val="22"/>
        </w:rPr>
        <w:t>forward: 5’-</w:t>
      </w:r>
      <w:r w:rsidR="001002C3" w:rsidRPr="001002C3">
        <w:rPr>
          <w:rFonts w:ascii="Arial" w:hAnsi="Arial"/>
          <w:sz w:val="22"/>
        </w:rPr>
        <w:t>GCTCAAGCAGCCATATTATTTATTG</w:t>
      </w:r>
      <w:r w:rsidR="001002C3">
        <w:rPr>
          <w:rFonts w:ascii="Arial" w:hAnsi="Arial"/>
          <w:sz w:val="22"/>
        </w:rPr>
        <w:t>-3’, reverse: 5’-</w:t>
      </w:r>
      <w:r w:rsidR="001002C3" w:rsidRPr="001002C3">
        <w:rPr>
          <w:rFonts w:ascii="Arial" w:hAnsi="Arial"/>
          <w:sz w:val="22"/>
        </w:rPr>
        <w:t>AAAGCTCCTAAGTATGTTGTATC</w:t>
      </w:r>
      <w:r w:rsidR="001002C3">
        <w:rPr>
          <w:rFonts w:ascii="Arial" w:hAnsi="Arial"/>
          <w:sz w:val="22"/>
        </w:rPr>
        <w:t xml:space="preserve">-3’, </w:t>
      </w:r>
      <w:r w:rsidR="001002C3">
        <w:rPr>
          <w:rFonts w:ascii="Arial" w:hAnsi="Arial"/>
          <w:i/>
          <w:sz w:val="22"/>
        </w:rPr>
        <w:t xml:space="preserve">pf3d7_1356900 </w:t>
      </w:r>
      <w:r w:rsidR="001002C3">
        <w:rPr>
          <w:rFonts w:ascii="Arial" w:hAnsi="Arial"/>
          <w:sz w:val="22"/>
        </w:rPr>
        <w:t>(</w:t>
      </w:r>
      <w:r w:rsidR="001002C3">
        <w:rPr>
          <w:rFonts w:ascii="Arial" w:hAnsi="Arial"/>
          <w:i/>
          <w:sz w:val="22"/>
        </w:rPr>
        <w:t xml:space="preserve">pk5), </w:t>
      </w:r>
      <w:r w:rsidR="001002C3">
        <w:rPr>
          <w:rFonts w:ascii="Arial" w:hAnsi="Arial"/>
          <w:sz w:val="22"/>
        </w:rPr>
        <w:t>forward: 5’-</w:t>
      </w:r>
      <w:r w:rsidR="001002C3" w:rsidRPr="001002C3">
        <w:rPr>
          <w:rFonts w:ascii="Arial" w:hAnsi="Arial"/>
          <w:sz w:val="22"/>
        </w:rPr>
        <w:t>TATTTCCAGGGGTATCTG</w:t>
      </w:r>
      <w:r w:rsidR="001002C3">
        <w:rPr>
          <w:rFonts w:ascii="Arial" w:hAnsi="Arial"/>
          <w:sz w:val="22"/>
        </w:rPr>
        <w:t>-3’, reverse: 5’-</w:t>
      </w:r>
      <w:r w:rsidR="001002C3" w:rsidRPr="001002C3">
        <w:rPr>
          <w:rFonts w:ascii="Arial" w:hAnsi="Arial"/>
          <w:sz w:val="22"/>
        </w:rPr>
        <w:t>GGTAAAGGTTCATATACGGTA</w:t>
      </w:r>
      <w:r w:rsidR="001002C3">
        <w:rPr>
          <w:rFonts w:ascii="Arial" w:hAnsi="Arial"/>
          <w:sz w:val="22"/>
        </w:rPr>
        <w:t xml:space="preserve">-3’, </w:t>
      </w:r>
      <w:r w:rsidR="001002C3" w:rsidRPr="001002C3">
        <w:rPr>
          <w:rFonts w:ascii="Arial" w:hAnsi="Arial"/>
          <w:i/>
          <w:sz w:val="22"/>
        </w:rPr>
        <w:t>pf3d7_1227500</w:t>
      </w:r>
      <w:r w:rsidR="001002C3">
        <w:rPr>
          <w:rFonts w:ascii="Arial" w:hAnsi="Arial"/>
          <w:i/>
          <w:sz w:val="22"/>
        </w:rPr>
        <w:t xml:space="preserve">, </w:t>
      </w:r>
      <w:r w:rsidR="001002C3">
        <w:rPr>
          <w:rFonts w:ascii="Arial" w:hAnsi="Arial"/>
          <w:sz w:val="22"/>
        </w:rPr>
        <w:t>forward: 5’-</w:t>
      </w:r>
      <w:r w:rsidR="001002C3" w:rsidRPr="001002C3">
        <w:rPr>
          <w:rFonts w:ascii="Arial" w:hAnsi="Arial"/>
          <w:sz w:val="22"/>
        </w:rPr>
        <w:t>AGAAAGAGGGAGAAAAGAGTC</w:t>
      </w:r>
      <w:r w:rsidR="001002C3">
        <w:rPr>
          <w:rFonts w:ascii="Arial" w:hAnsi="Arial"/>
          <w:sz w:val="22"/>
        </w:rPr>
        <w:t>-3’, reverse: 5’-</w:t>
      </w:r>
      <w:r w:rsidR="001002C3" w:rsidRPr="001002C3">
        <w:rPr>
          <w:rFonts w:ascii="Arial" w:hAnsi="Arial"/>
          <w:sz w:val="22"/>
        </w:rPr>
        <w:t>TCTGCACCAGGTGTTGTATC</w:t>
      </w:r>
      <w:r w:rsidR="001002C3">
        <w:rPr>
          <w:rFonts w:ascii="Arial" w:hAnsi="Arial"/>
          <w:sz w:val="22"/>
        </w:rPr>
        <w:t>-3’</w:t>
      </w:r>
      <w:r w:rsidR="00E210C0">
        <w:rPr>
          <w:rFonts w:ascii="Arial" w:hAnsi="Arial"/>
          <w:sz w:val="22"/>
        </w:rPr>
        <w:t xml:space="preserve">, </w:t>
      </w:r>
      <w:r w:rsidR="00E210C0" w:rsidRPr="00E210C0">
        <w:rPr>
          <w:rFonts w:ascii="Arial" w:hAnsi="Arial"/>
          <w:i/>
          <w:sz w:val="22"/>
        </w:rPr>
        <w:t>pf3d7_1228300</w:t>
      </w:r>
      <w:r w:rsidR="00E210C0">
        <w:rPr>
          <w:rFonts w:ascii="Arial" w:hAnsi="Arial"/>
          <w:i/>
          <w:sz w:val="22"/>
        </w:rPr>
        <w:t xml:space="preserve"> </w:t>
      </w:r>
      <w:r w:rsidR="00E210C0">
        <w:rPr>
          <w:rFonts w:ascii="Arial" w:hAnsi="Arial"/>
          <w:sz w:val="22"/>
        </w:rPr>
        <w:t>(</w:t>
      </w:r>
      <w:r w:rsidR="00E210C0" w:rsidRPr="00ED0F24">
        <w:rPr>
          <w:rFonts w:ascii="Arial" w:hAnsi="Arial"/>
          <w:i/>
          <w:sz w:val="22"/>
        </w:rPr>
        <w:t>nek1</w:t>
      </w:r>
      <w:r w:rsidR="00E210C0">
        <w:rPr>
          <w:rFonts w:ascii="Arial" w:hAnsi="Arial"/>
          <w:sz w:val="22"/>
        </w:rPr>
        <w:t>)</w:t>
      </w:r>
      <w:r w:rsidR="00E210C0">
        <w:rPr>
          <w:rFonts w:ascii="Arial" w:hAnsi="Arial"/>
          <w:i/>
          <w:sz w:val="22"/>
        </w:rPr>
        <w:t xml:space="preserve">, </w:t>
      </w:r>
      <w:r w:rsidR="00E210C0">
        <w:rPr>
          <w:rFonts w:ascii="Arial" w:hAnsi="Arial"/>
          <w:sz w:val="22"/>
        </w:rPr>
        <w:t>forward: 5’-</w:t>
      </w:r>
      <w:r w:rsidR="00E210C0" w:rsidRPr="00E210C0">
        <w:rPr>
          <w:rFonts w:ascii="Arial" w:hAnsi="Arial"/>
          <w:sz w:val="22"/>
        </w:rPr>
        <w:t>GGTGCTTACAACAATCATAATAC</w:t>
      </w:r>
      <w:r w:rsidR="00E210C0">
        <w:rPr>
          <w:rFonts w:ascii="Arial" w:hAnsi="Arial"/>
          <w:sz w:val="22"/>
        </w:rPr>
        <w:t>-3’, reverse: 5’-</w:t>
      </w:r>
      <w:r w:rsidR="00E210C0" w:rsidRPr="00E210C0">
        <w:rPr>
          <w:rFonts w:ascii="Arial" w:hAnsi="Arial"/>
          <w:sz w:val="22"/>
        </w:rPr>
        <w:t>ATTCCTTATATTCCCTTGATACTTA</w:t>
      </w:r>
      <w:r w:rsidR="00E210C0">
        <w:rPr>
          <w:rFonts w:ascii="Arial" w:hAnsi="Arial"/>
          <w:sz w:val="22"/>
        </w:rPr>
        <w:t xml:space="preserve">-3’, </w:t>
      </w:r>
      <w:r w:rsidR="00E210C0" w:rsidRPr="00E210C0">
        <w:rPr>
          <w:rFonts w:ascii="Arial" w:hAnsi="Arial"/>
          <w:i/>
          <w:sz w:val="22"/>
        </w:rPr>
        <w:t>pf3d7_0617900</w:t>
      </w:r>
      <w:r w:rsidR="00E210C0">
        <w:rPr>
          <w:rFonts w:ascii="Arial" w:hAnsi="Arial"/>
          <w:sz w:val="22"/>
        </w:rPr>
        <w:t xml:space="preserve"> (</w:t>
      </w:r>
      <w:r w:rsidR="00E210C0">
        <w:rPr>
          <w:rFonts w:ascii="Arial" w:hAnsi="Arial"/>
          <w:i/>
          <w:sz w:val="22"/>
        </w:rPr>
        <w:t>histone 3.</w:t>
      </w:r>
      <w:r w:rsidR="00E210C0" w:rsidRPr="00ED0F24">
        <w:rPr>
          <w:rFonts w:ascii="Arial" w:hAnsi="Arial"/>
          <w:sz w:val="22"/>
        </w:rPr>
        <w:t>3</w:t>
      </w:r>
      <w:r w:rsidR="00E210C0">
        <w:rPr>
          <w:rFonts w:ascii="Arial" w:hAnsi="Arial"/>
          <w:sz w:val="22"/>
        </w:rPr>
        <w:t>), forward: 5’-</w:t>
      </w:r>
      <w:r w:rsidR="00E210C0" w:rsidRPr="00E210C0">
        <w:rPr>
          <w:rFonts w:ascii="Arial" w:hAnsi="Arial"/>
          <w:sz w:val="22"/>
        </w:rPr>
        <w:t>CCCCAAGAAAACAACTCGC</w:t>
      </w:r>
      <w:r w:rsidR="00E210C0">
        <w:rPr>
          <w:rFonts w:ascii="Arial" w:hAnsi="Arial"/>
          <w:sz w:val="22"/>
        </w:rPr>
        <w:t>-3’, reverse: 5’-</w:t>
      </w:r>
      <w:r w:rsidR="00E210C0" w:rsidRPr="00E210C0">
        <w:rPr>
          <w:rFonts w:ascii="Arial" w:hAnsi="Arial"/>
          <w:sz w:val="22"/>
        </w:rPr>
        <w:t>AAAGCAACAGTTCCTGGACGAT</w:t>
      </w:r>
      <w:r w:rsidR="00E210C0">
        <w:rPr>
          <w:rFonts w:ascii="Arial" w:hAnsi="Arial"/>
          <w:sz w:val="22"/>
        </w:rPr>
        <w:t xml:space="preserve">-3’. </w:t>
      </w:r>
      <w:r w:rsidR="00E210C0" w:rsidRPr="00E210C0">
        <w:rPr>
          <w:rFonts w:ascii="Arial" w:hAnsi="Arial"/>
          <w:sz w:val="22"/>
        </w:rPr>
        <w:t>Real</w:t>
      </w:r>
      <w:r w:rsidR="00E210C0">
        <w:rPr>
          <w:rFonts w:ascii="Arial" w:hAnsi="Arial"/>
          <w:sz w:val="22"/>
        </w:rPr>
        <w:t xml:space="preserve"> time quantitative PCR (qPCR) was conducted in white 384 well plates and analysed using the Roche Lightcycler 480 (Roche Diagnostics, Switzerland). Each reaction contained 5 pmol of each primer and Master Mix 2X optimised for the Roche Lightcycler 480 from the Kapa SYBRFAST qPCR kit (Kapa Biosystems, USA)</w:t>
      </w:r>
      <w:r w:rsidR="009846AF">
        <w:rPr>
          <w:rFonts w:ascii="Arial" w:hAnsi="Arial"/>
          <w:sz w:val="22"/>
        </w:rPr>
        <w:t>.</w:t>
      </w:r>
      <w:r w:rsidR="00E210C0">
        <w:rPr>
          <w:rFonts w:ascii="Arial" w:hAnsi="Arial"/>
          <w:sz w:val="22"/>
        </w:rPr>
        <w:t xml:space="preserve"> The reaction was run</w:t>
      </w:r>
      <w:r>
        <w:rPr>
          <w:rFonts w:ascii="Arial" w:hAnsi="Arial"/>
          <w:sz w:val="22"/>
        </w:rPr>
        <w:t xml:space="preserve"> from 1 ng cDNA</w:t>
      </w:r>
      <w:r w:rsidR="00E210C0">
        <w:rPr>
          <w:rFonts w:ascii="Arial" w:hAnsi="Arial"/>
          <w:sz w:val="22"/>
        </w:rPr>
        <w:t xml:space="preserve"> for 45 cycles with a 5 min pre-incubation at 94°C. Each cycle consisted of denaturation at 94°C for 10 sec, annealing at 55°C for 20 s and extension at 68°C for 4 s, during which the amplification was measured. The amplification cycles were followed by the melt curves, consisting of 30 s incubation at 95°C, 30 s incubation at 55°C and continuous measurement until the sample reached 95°C again. For relative quantification the 2</w:t>
      </w:r>
      <w:r w:rsidR="00E210C0">
        <w:rPr>
          <w:rFonts w:ascii="Arial" w:hAnsi="Arial"/>
          <w:sz w:val="22"/>
          <w:vertAlign w:val="superscript"/>
        </w:rPr>
        <w:t xml:space="preserve">-ΔCt </w:t>
      </w:r>
      <w:r w:rsidR="00E210C0">
        <w:rPr>
          <w:rFonts w:ascii="Arial" w:hAnsi="Arial"/>
          <w:sz w:val="22"/>
        </w:rPr>
        <w:t xml:space="preserve">method was used to calculate </w:t>
      </w:r>
      <w:r>
        <w:rPr>
          <w:rFonts w:ascii="Arial" w:hAnsi="Arial"/>
          <w:sz w:val="22"/>
        </w:rPr>
        <w:t>of the difference in expression</w:t>
      </w:r>
      <w:r w:rsidR="00E210C0">
        <w:rPr>
          <w:rFonts w:ascii="Arial" w:hAnsi="Arial"/>
          <w:sz w:val="22"/>
        </w:rPr>
        <w:t xml:space="preserve"> expression of the gene of interest compared to the reference gene. Data were subsequently expressed as l</w:t>
      </w:r>
      <w:r w:rsidR="00E210C0">
        <w:rPr>
          <w:rFonts w:ascii="Arial" w:eastAsia="+mn-ea" w:hAnsi="Arial"/>
          <w:color w:val="000000"/>
          <w:kern w:val="24"/>
          <w:sz w:val="22"/>
          <w:lang w:val="en-GB"/>
        </w:rPr>
        <w:t>og</w:t>
      </w:r>
      <w:r w:rsidR="00E210C0">
        <w:rPr>
          <w:rFonts w:ascii="Arial" w:eastAsia="+mn-ea" w:hAnsi="Arial"/>
          <w:color w:val="000000"/>
          <w:kern w:val="24"/>
          <w:sz w:val="22"/>
          <w:vertAlign w:val="subscript"/>
          <w:lang w:val="en-GB"/>
        </w:rPr>
        <w:t>2</w:t>
      </w:r>
      <w:r w:rsidR="006E6B81">
        <w:rPr>
          <w:rFonts w:ascii="Arial" w:eastAsia="+mn-ea" w:hAnsi="Arial"/>
          <w:color w:val="000000"/>
          <w:kern w:val="24"/>
          <w:sz w:val="22"/>
          <w:lang w:val="en-GB"/>
        </w:rPr>
        <w:t>FC (a</w:t>
      </w:r>
      <w:r w:rsidR="00E210C0">
        <w:rPr>
          <w:rFonts w:ascii="Arial" w:eastAsia="+mn-ea" w:hAnsi="Arial"/>
          <w:color w:val="000000"/>
          <w:kern w:val="24"/>
          <w:sz w:val="22"/>
          <w:lang w:val="en-GB"/>
        </w:rPr>
        <w:t>rrest</w:t>
      </w:r>
      <w:r w:rsidR="006E6B81">
        <w:rPr>
          <w:rFonts w:ascii="Arial" w:eastAsia="+mn-ea" w:hAnsi="Arial"/>
          <w:color w:val="000000"/>
          <w:kern w:val="24"/>
          <w:sz w:val="22"/>
          <w:lang w:val="en-GB"/>
        </w:rPr>
        <w:t>ed 24h /Control or re-entry2/ a</w:t>
      </w:r>
      <w:r w:rsidR="00E210C0">
        <w:rPr>
          <w:rFonts w:ascii="Arial" w:eastAsia="+mn-ea" w:hAnsi="Arial"/>
          <w:color w:val="000000"/>
          <w:kern w:val="24"/>
          <w:sz w:val="22"/>
          <w:lang w:val="en-GB"/>
        </w:rPr>
        <w:t>rrested 30 h)</w:t>
      </w:r>
      <w:r>
        <w:rPr>
          <w:rFonts w:ascii="Arial" w:eastAsia="+mn-ea" w:hAnsi="Arial"/>
          <w:color w:val="000000"/>
          <w:kern w:val="24"/>
          <w:sz w:val="22"/>
          <w:lang w:val="en-GB"/>
        </w:rPr>
        <w:t>.</w:t>
      </w:r>
    </w:p>
    <w:p w14:paraId="6B18ED83" w14:textId="77777777" w:rsidR="00485978" w:rsidRDefault="00485978">
      <w:pPr>
        <w:spacing w:after="0"/>
        <w:rPr>
          <w:rFonts w:ascii="Arial" w:hAnsi="Arial"/>
          <w:sz w:val="22"/>
          <w:szCs w:val="22"/>
          <w:lang w:val="en-US"/>
        </w:rPr>
      </w:pPr>
    </w:p>
    <w:p w14:paraId="365CB8FF" w14:textId="77777777" w:rsidR="00485978" w:rsidRDefault="00E210C0">
      <w:pPr>
        <w:spacing w:after="160" w:line="259" w:lineRule="auto"/>
        <w:jc w:val="left"/>
        <w:rPr>
          <w:rFonts w:ascii="Arial" w:hAnsi="Arial"/>
          <w:sz w:val="22"/>
          <w:szCs w:val="22"/>
          <w:lang w:val="en-US"/>
        </w:rPr>
      </w:pPr>
      <w:r>
        <w:rPr>
          <w:rFonts w:ascii="Arial" w:hAnsi="Arial"/>
          <w:sz w:val="22"/>
          <w:szCs w:val="22"/>
          <w:lang w:val="en-US"/>
        </w:rPr>
        <w:br w:type="page"/>
      </w:r>
    </w:p>
    <w:p w14:paraId="1E31D299" w14:textId="77777777" w:rsidR="00485978" w:rsidRDefault="00485978">
      <w:pPr>
        <w:rPr>
          <w:rFonts w:ascii="Arial" w:hAnsi="Arial"/>
          <w:sz w:val="22"/>
          <w:szCs w:val="22"/>
          <w:lang w:val="en-US"/>
        </w:rPr>
      </w:pPr>
    </w:p>
    <w:p w14:paraId="786907C1" w14:textId="77777777" w:rsidR="00485978" w:rsidRDefault="00E210C0">
      <w:pPr>
        <w:pStyle w:val="ListParagraph"/>
        <w:numPr>
          <w:ilvl w:val="0"/>
          <w:numId w:val="3"/>
        </w:numPr>
        <w:rPr>
          <w:rFonts w:ascii="Arial" w:hAnsi="Arial"/>
          <w:b/>
          <w:sz w:val="28"/>
          <w:szCs w:val="28"/>
        </w:rPr>
      </w:pPr>
      <w:r>
        <w:rPr>
          <w:rFonts w:ascii="Arial" w:hAnsi="Arial"/>
          <w:b/>
          <w:sz w:val="28"/>
          <w:szCs w:val="28"/>
        </w:rPr>
        <w:t>Supplementary Figures</w:t>
      </w:r>
    </w:p>
    <w:p w14:paraId="705B5E96" w14:textId="77777777" w:rsidR="00485978" w:rsidRDefault="00E210C0">
      <w:pPr>
        <w:pStyle w:val="ListParagraph"/>
        <w:rPr>
          <w:rFonts w:ascii="Arial" w:hAnsi="Arial"/>
          <w:b/>
          <w:sz w:val="28"/>
          <w:szCs w:val="28"/>
        </w:rPr>
      </w:pPr>
      <w:r>
        <w:rPr>
          <w:rFonts w:ascii="Arial" w:hAnsi="Arial"/>
          <w:b/>
          <w:sz w:val="28"/>
          <w:szCs w:val="28"/>
        </w:rPr>
        <w:t>a</w:t>
      </w:r>
      <w:r>
        <w:rPr>
          <w:rFonts w:ascii="Arial" w:hAnsi="Arial"/>
          <w:b/>
          <w:sz w:val="28"/>
          <w:szCs w:val="28"/>
        </w:rPr>
        <w:tab/>
      </w:r>
      <w:r>
        <w:rPr>
          <w:rFonts w:ascii="Arial" w:hAnsi="Arial"/>
          <w:b/>
          <w:sz w:val="28"/>
          <w:szCs w:val="28"/>
        </w:rPr>
        <w:tab/>
      </w:r>
      <w:r>
        <w:rPr>
          <w:rFonts w:ascii="Arial" w:hAnsi="Arial"/>
          <w:b/>
          <w:sz w:val="28"/>
          <w:szCs w:val="28"/>
        </w:rPr>
        <w:tab/>
      </w:r>
      <w:r>
        <w:rPr>
          <w:rFonts w:ascii="Arial" w:hAnsi="Arial"/>
          <w:b/>
          <w:sz w:val="28"/>
          <w:szCs w:val="28"/>
        </w:rPr>
        <w:tab/>
      </w:r>
      <w:r>
        <w:rPr>
          <w:rFonts w:ascii="Arial" w:hAnsi="Arial"/>
          <w:b/>
          <w:sz w:val="28"/>
          <w:szCs w:val="28"/>
        </w:rPr>
        <w:tab/>
      </w:r>
      <w:r>
        <w:rPr>
          <w:rFonts w:ascii="Arial" w:hAnsi="Arial"/>
          <w:b/>
          <w:sz w:val="28"/>
          <w:szCs w:val="28"/>
        </w:rPr>
        <w:tab/>
      </w:r>
      <w:r>
        <w:rPr>
          <w:rFonts w:ascii="Arial" w:hAnsi="Arial"/>
          <w:b/>
          <w:sz w:val="28"/>
          <w:szCs w:val="28"/>
        </w:rPr>
        <w:tab/>
        <w:t>b</w:t>
      </w:r>
      <w:r>
        <w:rPr>
          <w:rFonts w:ascii="Arial" w:hAnsi="Arial"/>
          <w:b/>
          <w:sz w:val="28"/>
          <w:szCs w:val="28"/>
        </w:rPr>
        <w:tab/>
      </w:r>
      <w:r>
        <w:rPr>
          <w:rFonts w:ascii="Arial" w:hAnsi="Arial"/>
          <w:b/>
          <w:sz w:val="28"/>
          <w:szCs w:val="28"/>
        </w:rPr>
        <w:tab/>
      </w:r>
      <w:r>
        <w:rPr>
          <w:rFonts w:ascii="Arial" w:hAnsi="Arial"/>
          <w:b/>
          <w:sz w:val="28"/>
          <w:szCs w:val="28"/>
        </w:rPr>
        <w:tab/>
      </w:r>
      <w:r>
        <w:rPr>
          <w:rFonts w:ascii="Arial" w:hAnsi="Arial"/>
          <w:b/>
          <w:sz w:val="28"/>
          <w:szCs w:val="28"/>
        </w:rPr>
        <w:tab/>
      </w:r>
      <w:r>
        <w:rPr>
          <w:rFonts w:ascii="Arial" w:hAnsi="Arial"/>
          <w:b/>
          <w:sz w:val="28"/>
          <w:szCs w:val="28"/>
        </w:rPr>
        <w:tab/>
      </w:r>
    </w:p>
    <w:p w14:paraId="7C489AD9" w14:textId="77777777" w:rsidR="00485978" w:rsidRDefault="00E210C0">
      <w:pPr>
        <w:pStyle w:val="ListParagraph"/>
        <w:rPr>
          <w:rFonts w:ascii="Arial" w:hAnsi="Arial"/>
          <w:b/>
          <w:sz w:val="28"/>
          <w:szCs w:val="28"/>
        </w:rPr>
      </w:pPr>
      <w:r>
        <w:rPr>
          <w:rFonts w:ascii="Arial" w:hAnsi="Arial"/>
          <w:b/>
          <w:noProof/>
          <w:sz w:val="28"/>
          <w:szCs w:val="28"/>
          <w:lang w:val="en-US"/>
        </w:rPr>
        <w:drawing>
          <wp:anchor distT="0" distB="0" distL="114300" distR="114300" simplePos="0" relativeHeight="251662336" behindDoc="0" locked="0" layoutInCell="1" allowOverlap="1" wp14:anchorId="2BE81098" wp14:editId="00D157BC">
            <wp:simplePos x="0" y="0"/>
            <wp:positionH relativeFrom="column">
              <wp:posOffset>3116580</wp:posOffset>
            </wp:positionH>
            <wp:positionV relativeFrom="paragraph">
              <wp:posOffset>106045</wp:posOffset>
            </wp:positionV>
            <wp:extent cx="2847975" cy="45567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7975" cy="4556760"/>
                    </a:xfrm>
                    <a:prstGeom prst="rect">
                      <a:avLst/>
                    </a:prstGeom>
                    <a:noFill/>
                  </pic:spPr>
                </pic:pic>
              </a:graphicData>
            </a:graphic>
            <wp14:sizeRelH relativeFrom="margin">
              <wp14:pctWidth>0</wp14:pctWidth>
            </wp14:sizeRelH>
            <wp14:sizeRelV relativeFrom="margin">
              <wp14:pctHeight>0</wp14:pctHeight>
            </wp14:sizeRelV>
          </wp:anchor>
        </w:drawing>
      </w:r>
      <w:r>
        <w:rPr>
          <w:b/>
          <w:noProof/>
          <w:lang w:val="en-US"/>
        </w:rPr>
        <mc:AlternateContent>
          <mc:Choice Requires="wps">
            <w:drawing>
              <wp:anchor distT="0" distB="0" distL="114300" distR="114300" simplePos="0" relativeHeight="251659264" behindDoc="0" locked="0" layoutInCell="1" allowOverlap="1" wp14:anchorId="7A1F89D4" wp14:editId="26F7959C">
                <wp:simplePos x="0" y="0"/>
                <wp:positionH relativeFrom="margin">
                  <wp:posOffset>2566670</wp:posOffset>
                </wp:positionH>
                <wp:positionV relativeFrom="paragraph">
                  <wp:posOffset>4659630</wp:posOffset>
                </wp:positionV>
                <wp:extent cx="3886200" cy="2275840"/>
                <wp:effectExtent l="0" t="0" r="0" b="10160"/>
                <wp:wrapNone/>
                <wp:docPr id="114" name="Text Box 114"/>
                <wp:cNvGraphicFramePr/>
                <a:graphic xmlns:a="http://schemas.openxmlformats.org/drawingml/2006/main">
                  <a:graphicData uri="http://schemas.microsoft.com/office/word/2010/wordprocessingShape">
                    <wps:wsp>
                      <wps:cNvSpPr txBox="1"/>
                      <wps:spPr>
                        <a:xfrm>
                          <a:off x="0" y="0"/>
                          <a:ext cx="3886200" cy="2275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7D322B" w14:textId="200C0624" w:rsidR="00485978" w:rsidRDefault="00E210C0">
                            <w:pPr>
                              <w:spacing w:after="0" w:line="240" w:lineRule="auto"/>
                              <w:rPr>
                                <w:rFonts w:ascii="Arial" w:hAnsi="Arial"/>
                                <w:sz w:val="22"/>
                                <w:szCs w:val="22"/>
                              </w:rPr>
                            </w:pPr>
                            <w:r>
                              <w:rPr>
                                <w:rFonts w:ascii="Arial" w:hAnsi="Arial"/>
                                <w:b/>
                                <w:sz w:val="22"/>
                                <w:szCs w:val="22"/>
                              </w:rPr>
                              <w:t xml:space="preserve">Fig. S1 related to Fig. 2: (a) </w:t>
                            </w:r>
                            <w:r>
                              <w:rPr>
                                <w:rFonts w:ascii="Arial" w:hAnsi="Arial"/>
                                <w:sz w:val="22"/>
                                <w:szCs w:val="22"/>
                              </w:rPr>
                              <w:t xml:space="preserve">Time course of </w:t>
                            </w:r>
                            <w:r w:rsidR="00B838BC">
                              <w:rPr>
                                <w:rFonts w:ascii="Arial" w:hAnsi="Arial"/>
                                <w:sz w:val="22"/>
                                <w:szCs w:val="22"/>
                              </w:rPr>
                              <w:t xml:space="preserve">a </w:t>
                            </w:r>
                          </w:p>
                          <w:p w14:paraId="073BCAB5" w14:textId="6DF39E1F" w:rsidR="00485978" w:rsidRDefault="00E210C0" w:rsidP="00B838BC">
                            <w:pPr>
                              <w:spacing w:after="0" w:line="240" w:lineRule="auto"/>
                              <w:rPr>
                                <w:rFonts w:ascii="Arial" w:hAnsi="Arial"/>
                                <w:sz w:val="22"/>
                                <w:szCs w:val="22"/>
                              </w:rPr>
                            </w:pPr>
                            <w:r>
                              <w:rPr>
                                <w:rFonts w:ascii="Arial" w:hAnsi="Arial"/>
                                <w:sz w:val="22"/>
                                <w:szCs w:val="22"/>
                              </w:rPr>
                              <w:t xml:space="preserve">synchronised, newly invasive culture </w:t>
                            </w:r>
                            <w:r w:rsidR="00B838BC">
                              <w:rPr>
                                <w:rFonts w:ascii="Arial" w:hAnsi="Arial"/>
                                <w:sz w:val="22"/>
                                <w:szCs w:val="22"/>
                              </w:rPr>
                              <w:t>(</w:t>
                            </w:r>
                            <w:r>
                              <w:rPr>
                                <w:rFonts w:ascii="Arial" w:hAnsi="Arial"/>
                                <w:sz w:val="22"/>
                                <w:szCs w:val="22"/>
                              </w:rPr>
                              <w:t xml:space="preserve">obtained with three successive rounds of sorbitol synchronisation of ring stages and subsequent magnetic purification of mature stages) </w:t>
                            </w:r>
                            <w:r w:rsidR="00B838BC">
                              <w:rPr>
                                <w:rFonts w:ascii="Arial" w:hAnsi="Arial"/>
                                <w:sz w:val="22"/>
                                <w:szCs w:val="22"/>
                              </w:rPr>
                              <w:t xml:space="preserve">monitored </w:t>
                            </w:r>
                            <w:r>
                              <w:rPr>
                                <w:rFonts w:ascii="Arial" w:hAnsi="Arial"/>
                                <w:sz w:val="22"/>
                                <w:szCs w:val="22"/>
                              </w:rPr>
                              <w:t xml:space="preserve">2-hourly. 3D7 parasites were monitored from invasion of erythrocytes by merozoites and 2-hourly thereafter for a complete life cycle. Parasites were stained with Giemsa and viewed under 100x objective. Photos are representatives of a minimum of 100 parasites viewed at each time point. </w:t>
                            </w:r>
                            <w:r>
                              <w:rPr>
                                <w:rFonts w:ascii="Arial" w:hAnsi="Arial"/>
                                <w:b/>
                                <w:sz w:val="22"/>
                                <w:szCs w:val="22"/>
                              </w:rPr>
                              <w:t>(b)</w:t>
                            </w:r>
                            <w:r>
                              <w:rPr>
                                <w:rFonts w:ascii="Arial" w:hAnsi="Arial"/>
                                <w:sz w:val="22"/>
                                <w:szCs w:val="22"/>
                              </w:rPr>
                              <w:t xml:space="preserve"> </w:t>
                            </w:r>
                            <w:r w:rsidR="00B406A9">
                              <w:rPr>
                                <w:rFonts w:ascii="Arial" w:hAnsi="Arial"/>
                                <w:sz w:val="22"/>
                                <w:szCs w:val="22"/>
                              </w:rPr>
                              <w:t>Control</w:t>
                            </w:r>
                            <w:r>
                              <w:rPr>
                                <w:rFonts w:ascii="Arial" w:hAnsi="Arial"/>
                                <w:sz w:val="22"/>
                                <w:szCs w:val="22"/>
                              </w:rPr>
                              <w:t xml:space="preserve"> (U), DFMO synchronisation (T) and reversal (DP) on different parasite strains, Dd2, HB3 and 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F89D4" id="_x0000_t202" coordsize="21600,21600" o:spt="202" path="m,l,21600r21600,l21600,xe">
                <v:stroke joinstyle="miter"/>
                <v:path gradientshapeok="t" o:connecttype="rect"/>
              </v:shapetype>
              <v:shape id="Text Box 114" o:spid="_x0000_s1026" type="#_x0000_t202" style="position:absolute;left:0;text-align:left;margin-left:202.1pt;margin-top:366.9pt;width:306pt;height:17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" filled="f" stroked="f" strokeweight=".5pt">
                <v:textbox>
                  <w:txbxContent>
                    <w:p w14:paraId="667D322B" w14:textId="200C0624" w:rsidR="00485978" w:rsidRDefault="00E210C0">
                      <w:pPr>
                        <w:spacing w:after="0" w:line="240" w:lineRule="auto"/>
                        <w:rPr>
                          <w:rFonts w:ascii="Arial" w:hAnsi="Arial"/>
                          <w:sz w:val="22"/>
                          <w:szCs w:val="22"/>
                        </w:rPr>
                      </w:pPr>
                      <w:r>
                        <w:rPr>
                          <w:rFonts w:ascii="Arial" w:hAnsi="Arial"/>
                          <w:b/>
                          <w:sz w:val="22"/>
                          <w:szCs w:val="22"/>
                        </w:rPr>
                        <w:t xml:space="preserve">Fig. S1 related to Fig. 2: (a) </w:t>
                      </w:r>
                      <w:r>
                        <w:rPr>
                          <w:rFonts w:ascii="Arial" w:hAnsi="Arial"/>
                          <w:sz w:val="22"/>
                          <w:szCs w:val="22"/>
                        </w:rPr>
                        <w:t xml:space="preserve">Time course of </w:t>
                      </w:r>
                      <w:r w:rsidR="00B838BC">
                        <w:rPr>
                          <w:rFonts w:ascii="Arial" w:hAnsi="Arial"/>
                          <w:sz w:val="22"/>
                          <w:szCs w:val="22"/>
                        </w:rPr>
                        <w:t xml:space="preserve">a </w:t>
                      </w:r>
                    </w:p>
                    <w:p w14:paraId="073BCAB5" w14:textId="6DF39E1F" w:rsidR="00485978" w:rsidRDefault="00E210C0" w:rsidP="00B838BC">
                      <w:pPr>
                        <w:spacing w:after="0" w:line="240" w:lineRule="auto"/>
                        <w:rPr>
                          <w:rFonts w:ascii="Arial" w:hAnsi="Arial"/>
                          <w:sz w:val="22"/>
                          <w:szCs w:val="22"/>
                        </w:rPr>
                      </w:pPr>
                      <w:r>
                        <w:rPr>
                          <w:rFonts w:ascii="Arial" w:hAnsi="Arial"/>
                          <w:sz w:val="22"/>
                          <w:szCs w:val="22"/>
                        </w:rPr>
                        <w:t xml:space="preserve">synchronised, newly invasive culture </w:t>
                      </w:r>
                      <w:r w:rsidR="00B838BC">
                        <w:rPr>
                          <w:rFonts w:ascii="Arial" w:hAnsi="Arial"/>
                          <w:sz w:val="22"/>
                          <w:szCs w:val="22"/>
                        </w:rPr>
                        <w:t>(</w:t>
                      </w:r>
                      <w:r>
                        <w:rPr>
                          <w:rFonts w:ascii="Arial" w:hAnsi="Arial"/>
                          <w:sz w:val="22"/>
                          <w:szCs w:val="22"/>
                        </w:rPr>
                        <w:t xml:space="preserve">obtained with three successive rounds of sorbitol synchronisation of ring stages and subsequent magnetic purification of mature stages) </w:t>
                      </w:r>
                      <w:r w:rsidR="00B838BC">
                        <w:rPr>
                          <w:rFonts w:ascii="Arial" w:hAnsi="Arial"/>
                          <w:sz w:val="22"/>
                          <w:szCs w:val="22"/>
                        </w:rPr>
                        <w:t xml:space="preserve">monitored </w:t>
                      </w:r>
                      <w:r>
                        <w:rPr>
                          <w:rFonts w:ascii="Arial" w:hAnsi="Arial"/>
                          <w:sz w:val="22"/>
                          <w:szCs w:val="22"/>
                        </w:rPr>
                        <w:t xml:space="preserve">2-hourly. 3D7 parasites were monitored from invasion of erythrocytes by merozoites and 2-hourly thereafter for a complete life cycle. Parasites were stained with Giemsa and viewed under 100x objective. Photos are representatives of a minimum of 100 parasites viewed at each time point. </w:t>
                      </w:r>
                      <w:r>
                        <w:rPr>
                          <w:rFonts w:ascii="Arial" w:hAnsi="Arial"/>
                          <w:b/>
                          <w:sz w:val="22"/>
                          <w:szCs w:val="22"/>
                        </w:rPr>
                        <w:t>(b)</w:t>
                      </w:r>
                      <w:r>
                        <w:rPr>
                          <w:rFonts w:ascii="Arial" w:hAnsi="Arial"/>
                          <w:sz w:val="22"/>
                          <w:szCs w:val="22"/>
                        </w:rPr>
                        <w:t xml:space="preserve"> </w:t>
                      </w:r>
                      <w:r w:rsidR="00B406A9">
                        <w:rPr>
                          <w:rFonts w:ascii="Arial" w:hAnsi="Arial"/>
                          <w:sz w:val="22"/>
                          <w:szCs w:val="22"/>
                        </w:rPr>
                        <w:t>Control</w:t>
                      </w:r>
                      <w:r>
                        <w:rPr>
                          <w:rFonts w:ascii="Arial" w:hAnsi="Arial"/>
                          <w:sz w:val="22"/>
                          <w:szCs w:val="22"/>
                        </w:rPr>
                        <w:t xml:space="preserve"> (U), DFMO synchronisation (T) and reversal (DP) on different parasite strains, Dd2, HB3 and K1.</w:t>
                      </w:r>
                    </w:p>
                  </w:txbxContent>
                </v:textbox>
                <w10:wrap anchorx="margin"/>
              </v:shape>
            </w:pict>
          </mc:Fallback>
        </mc:AlternateContent>
      </w:r>
      <w:r>
        <w:rPr>
          <w:noProof/>
          <w:lang w:val="en-US"/>
        </w:rPr>
        <w:drawing>
          <wp:inline distT="0" distB="0" distL="0" distR="0" wp14:anchorId="03334FFA" wp14:editId="628FD62D">
            <wp:extent cx="2908935" cy="7367558"/>
            <wp:effectExtent l="0" t="0" r="120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S1.tif"/>
                    <pic:cNvPicPr/>
                  </pic:nvPicPr>
                  <pic:blipFill>
                    <a:blip r:embed="rId8">
                      <a:extLst>
                        <a:ext uri="{28A0092B-C50C-407E-A947-70E740481C1C}">
                          <a14:useLocalDpi xmlns:a14="http://schemas.microsoft.com/office/drawing/2010/main" val="0"/>
                        </a:ext>
                      </a:extLst>
                    </a:blip>
                    <a:stretch>
                      <a:fillRect/>
                    </a:stretch>
                  </pic:blipFill>
                  <pic:spPr>
                    <a:xfrm>
                      <a:off x="0" y="0"/>
                      <a:ext cx="2939790" cy="7445706"/>
                    </a:xfrm>
                    <a:prstGeom prst="rect">
                      <a:avLst/>
                    </a:prstGeom>
                  </pic:spPr>
                </pic:pic>
              </a:graphicData>
            </a:graphic>
          </wp:inline>
        </w:drawing>
      </w:r>
      <w:r>
        <w:rPr>
          <w:rFonts w:ascii="Arial" w:hAnsi="Arial"/>
          <w:b/>
          <w:sz w:val="28"/>
          <w:szCs w:val="28"/>
        </w:rPr>
        <w:br w:type="page"/>
      </w:r>
    </w:p>
    <w:p w14:paraId="08696881" w14:textId="77777777" w:rsidR="00485978" w:rsidRDefault="00E210C0">
      <w:pPr>
        <w:pStyle w:val="ListParagraph"/>
        <w:rPr>
          <w:rFonts w:ascii="Arial" w:hAnsi="Arial"/>
          <w:b/>
          <w:sz w:val="28"/>
          <w:szCs w:val="28"/>
        </w:rPr>
      </w:pPr>
      <w:r>
        <w:rPr>
          <w:rFonts w:ascii="Arial" w:hAnsi="Arial"/>
          <w:b/>
          <w:noProof/>
          <w:sz w:val="28"/>
          <w:szCs w:val="28"/>
          <w:lang w:val="en-US"/>
        </w:rPr>
        <w:lastRenderedPageBreak/>
        <w:drawing>
          <wp:anchor distT="0" distB="0" distL="114300" distR="114300" simplePos="0" relativeHeight="251661312" behindDoc="0" locked="0" layoutInCell="1" allowOverlap="1" wp14:anchorId="43186A92" wp14:editId="1ABD34F0">
            <wp:simplePos x="0" y="0"/>
            <wp:positionH relativeFrom="column">
              <wp:posOffset>736600</wp:posOffset>
            </wp:positionH>
            <wp:positionV relativeFrom="paragraph">
              <wp:posOffset>-219710</wp:posOffset>
            </wp:positionV>
            <wp:extent cx="3543935" cy="1988061"/>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563570" cy="199907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sz w:val="28"/>
          <w:szCs w:val="28"/>
        </w:rPr>
        <w:t>a</w:t>
      </w:r>
    </w:p>
    <w:p w14:paraId="4EDABF1B" w14:textId="77777777" w:rsidR="00485978" w:rsidRDefault="00485978">
      <w:pPr>
        <w:pStyle w:val="ListParagraph"/>
        <w:rPr>
          <w:rFonts w:ascii="Arial" w:hAnsi="Arial"/>
          <w:b/>
          <w:sz w:val="28"/>
          <w:szCs w:val="28"/>
        </w:rPr>
      </w:pPr>
    </w:p>
    <w:p w14:paraId="38E24906" w14:textId="77777777" w:rsidR="00485978" w:rsidRDefault="00485978">
      <w:pPr>
        <w:pStyle w:val="ListParagraph"/>
        <w:rPr>
          <w:rFonts w:ascii="Arial" w:hAnsi="Arial"/>
          <w:b/>
          <w:sz w:val="28"/>
          <w:szCs w:val="28"/>
        </w:rPr>
      </w:pPr>
    </w:p>
    <w:p w14:paraId="5C183954" w14:textId="77777777" w:rsidR="00485978" w:rsidRDefault="00485978">
      <w:pPr>
        <w:rPr>
          <w:rFonts w:ascii="Arial" w:hAnsi="Arial"/>
          <w:b/>
          <w:sz w:val="28"/>
          <w:szCs w:val="28"/>
        </w:rPr>
      </w:pPr>
    </w:p>
    <w:p w14:paraId="285C36AA" w14:textId="77777777" w:rsidR="00485978" w:rsidRDefault="00E210C0">
      <w:pPr>
        <w:pStyle w:val="ListParagraph"/>
        <w:rPr>
          <w:rFonts w:ascii="Arial" w:hAnsi="Arial"/>
          <w:b/>
          <w:sz w:val="28"/>
          <w:szCs w:val="28"/>
        </w:rPr>
      </w:pPr>
      <w:r>
        <w:rPr>
          <w:rFonts w:ascii="Arial" w:hAnsi="Arial"/>
          <w:b/>
          <w:sz w:val="28"/>
          <w:szCs w:val="28"/>
        </w:rPr>
        <w:t>b</w:t>
      </w:r>
    </w:p>
    <w:p w14:paraId="74A9E7DA" w14:textId="77777777" w:rsidR="00485978" w:rsidRDefault="00E210C0">
      <w:pPr>
        <w:pStyle w:val="ListParagraph"/>
        <w:rPr>
          <w:rFonts w:ascii="Arial" w:hAnsi="Arial"/>
          <w:b/>
          <w:sz w:val="28"/>
          <w:szCs w:val="28"/>
        </w:rPr>
      </w:pPr>
      <w:r>
        <w:rPr>
          <w:rFonts w:ascii="Arial" w:hAnsi="Arial"/>
          <w:b/>
          <w:noProof/>
          <w:sz w:val="28"/>
          <w:szCs w:val="28"/>
          <w:lang w:val="en-US"/>
        </w:rPr>
        <w:drawing>
          <wp:inline distT="0" distB="0" distL="0" distR="0" wp14:anchorId="67A4A31E" wp14:editId="32129E20">
            <wp:extent cx="5814695" cy="287328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036" cy="2880366"/>
                    </a:xfrm>
                    <a:prstGeom prst="rect">
                      <a:avLst/>
                    </a:prstGeom>
                    <a:noFill/>
                  </pic:spPr>
                </pic:pic>
              </a:graphicData>
            </a:graphic>
          </wp:inline>
        </w:drawing>
      </w:r>
    </w:p>
    <w:p w14:paraId="35309D11" w14:textId="77777777" w:rsidR="00485978" w:rsidRDefault="00E210C0">
      <w:pPr>
        <w:spacing w:after="0" w:line="240" w:lineRule="auto"/>
        <w:rPr>
          <w:rFonts w:ascii="Arial" w:eastAsia="+mn-ea" w:hAnsi="Arial"/>
          <w:color w:val="000000"/>
          <w:kern w:val="24"/>
          <w:sz w:val="22"/>
          <w:lang w:val="en-GB"/>
        </w:rPr>
      </w:pPr>
      <w:r>
        <w:rPr>
          <w:rFonts w:ascii="Arial" w:eastAsia="+mn-ea" w:hAnsi="Arial"/>
          <w:b/>
          <w:bCs/>
          <w:color w:val="000000"/>
          <w:kern w:val="24"/>
          <w:sz w:val="22"/>
          <w:lang w:val="en-GB"/>
        </w:rPr>
        <w:t>Fig. S2 related to Fig 3: Reversible cell cycle arrest occurs at G</w:t>
      </w:r>
      <w:r>
        <w:rPr>
          <w:rFonts w:ascii="Arial" w:eastAsia="+mn-ea" w:hAnsi="Arial"/>
          <w:b/>
          <w:bCs/>
          <w:color w:val="000000"/>
          <w:kern w:val="24"/>
          <w:sz w:val="22"/>
          <w:vertAlign w:val="subscript"/>
          <w:lang w:val="en-GB"/>
        </w:rPr>
        <w:t>1</w:t>
      </w:r>
      <w:r>
        <w:rPr>
          <w:rFonts w:ascii="Arial" w:eastAsia="+mn-ea" w:hAnsi="Arial"/>
          <w:b/>
          <w:bCs/>
          <w:color w:val="000000"/>
          <w:kern w:val="24"/>
          <w:sz w:val="22"/>
          <w:lang w:val="en-GB"/>
        </w:rPr>
        <w:t xml:space="preserve">/S phase. </w:t>
      </w:r>
      <w:r>
        <w:rPr>
          <w:rFonts w:ascii="Arial" w:eastAsia="+mn-ea" w:hAnsi="Arial"/>
          <w:color w:val="000000"/>
          <w:kern w:val="24"/>
          <w:sz w:val="22"/>
          <w:lang w:val="en-GB"/>
        </w:rPr>
        <w:t xml:space="preserve">Intraerythrocytic </w:t>
      </w:r>
      <w:r>
        <w:rPr>
          <w:rFonts w:ascii="Arial" w:eastAsia="+mn-ea" w:hAnsi="Arial"/>
          <w:i/>
          <w:iCs/>
          <w:color w:val="000000"/>
          <w:kern w:val="24"/>
          <w:sz w:val="22"/>
          <w:lang w:val="en-GB"/>
        </w:rPr>
        <w:t xml:space="preserve">P. falciparum </w:t>
      </w:r>
      <w:r>
        <w:rPr>
          <w:rFonts w:ascii="Arial" w:eastAsia="+mn-ea" w:hAnsi="Arial"/>
          <w:color w:val="000000"/>
          <w:kern w:val="24"/>
          <w:sz w:val="22"/>
          <w:lang w:val="en-GB"/>
        </w:rPr>
        <w:t>3D7 parasites were categorised into different cell cycle phases according to DNA and RNA content as described (Grimberg 2008)</w:t>
      </w:r>
      <w:r>
        <w:rPr>
          <w:rFonts w:ascii="Arial" w:eastAsia="+mn-ea" w:hAnsi="Arial"/>
          <w:b/>
          <w:bCs/>
          <w:color w:val="000000"/>
          <w:kern w:val="24"/>
          <w:sz w:val="22"/>
          <w:lang w:val="en-GB"/>
        </w:rPr>
        <w:t xml:space="preserve">. (a) </w:t>
      </w:r>
      <w:r>
        <w:rPr>
          <w:rFonts w:ascii="Arial" w:eastAsia="+mn-ea" w:hAnsi="Arial"/>
          <w:bCs/>
          <w:color w:val="000000"/>
          <w:kern w:val="24"/>
          <w:sz w:val="22"/>
          <w:lang w:val="en-GB"/>
        </w:rPr>
        <w:t xml:space="preserve">Gating strategy used to bin parasites based on DNA and RNA content as either in G1 or S phases of their cell cycle. </w:t>
      </w:r>
      <w:r>
        <w:rPr>
          <w:rFonts w:ascii="Arial" w:eastAsia="+mn-ea" w:hAnsi="Arial"/>
          <w:b/>
          <w:bCs/>
          <w:color w:val="000000"/>
          <w:kern w:val="24"/>
          <w:sz w:val="22"/>
          <w:lang w:val="en-GB"/>
        </w:rPr>
        <w:t xml:space="preserve">(b) </w:t>
      </w:r>
      <w:r>
        <w:rPr>
          <w:rFonts w:ascii="Arial" w:eastAsia="+mn-ea" w:hAnsi="Arial"/>
          <w:color w:val="000000"/>
          <w:kern w:val="24"/>
          <w:sz w:val="22"/>
          <w:lang w:val="en-GB"/>
        </w:rPr>
        <w:t>Ring-stage parasites (1% haematocrit, 10% parasitaemia) were treated with DFMO (IC</w:t>
      </w:r>
      <w:r>
        <w:rPr>
          <w:rFonts w:ascii="Arial" w:eastAsia="+mn-ea" w:hAnsi="Arial"/>
          <w:color w:val="000000"/>
          <w:kern w:val="24"/>
          <w:sz w:val="22"/>
          <w:vertAlign w:val="subscript"/>
          <w:lang w:val="en-GB"/>
        </w:rPr>
        <w:t>90</w:t>
      </w:r>
      <w:r>
        <w:rPr>
          <w:rFonts w:ascii="Arial" w:eastAsia="+mn-ea" w:hAnsi="Arial"/>
          <w:color w:val="000000"/>
          <w:kern w:val="24"/>
          <w:sz w:val="22"/>
          <w:lang w:val="en-GB"/>
        </w:rPr>
        <w:t>) or left untreated for control and samples taken at 12 hpi (red), 22 hpi (blue), 36 hpi (green), 39 hpi (orange), 42 hpi (cyan), 48 hpi (purple) and 12 hpi of the next cycle (pink). Additionally, following 24 h of DFMO treatment, putrescine (2 mM) was added to stimulate cell cycle re-entry, and samples taken 3, 6, 12 and 24 h after reversal (grayscale). The nucleic acid content of parasitized erythrocytes was determined by consecutive staining with SYBR Green I (DNA) and PyroninY (RNA); detected in the FITC or PE channel, respectively, on a Becton Dickenson FACSAria with &gt;10 000 parasitized erythrocyte events analysed using FlowJo version X.0.7. Compensation values were calculated using single stained samples. Representative cytometric profiles are shown, with averaged quadrant data corresponding to parasite populations undergoing S-phase (upper right) and G</w:t>
      </w:r>
      <w:r>
        <w:rPr>
          <w:rFonts w:ascii="Arial" w:eastAsia="+mn-ea" w:hAnsi="Arial"/>
          <w:color w:val="000000"/>
          <w:kern w:val="24"/>
          <w:sz w:val="22"/>
          <w:vertAlign w:val="subscript"/>
          <w:lang w:val="en-GB"/>
        </w:rPr>
        <w:t>1</w:t>
      </w:r>
      <w:r>
        <w:rPr>
          <w:rFonts w:ascii="Arial" w:eastAsia="+mn-ea" w:hAnsi="Arial"/>
          <w:color w:val="000000"/>
          <w:kern w:val="24"/>
          <w:sz w:val="22"/>
          <w:lang w:val="en-GB"/>
        </w:rPr>
        <w:t>-phase (lower left) from three independent biological replicates, performed in technical duplicates, ±S.E.</w:t>
      </w:r>
    </w:p>
    <w:p w14:paraId="25066D38" w14:textId="77777777" w:rsidR="00485978" w:rsidRDefault="00485978">
      <w:pPr>
        <w:spacing w:after="0" w:line="240" w:lineRule="auto"/>
        <w:rPr>
          <w:rFonts w:ascii="Arial" w:eastAsia="+mn-ea" w:hAnsi="Arial"/>
          <w:color w:val="000000"/>
          <w:kern w:val="24"/>
          <w:sz w:val="22"/>
          <w:lang w:val="en-GB"/>
        </w:rPr>
      </w:pPr>
    </w:p>
    <w:p w14:paraId="0298C13C" w14:textId="77777777" w:rsidR="00485978" w:rsidRDefault="00E210C0">
      <w:pPr>
        <w:pStyle w:val="ListParagraph"/>
        <w:spacing w:line="240" w:lineRule="auto"/>
        <w:ind w:left="0"/>
        <w:rPr>
          <w:rFonts w:ascii="Arial" w:eastAsia="+mn-ea" w:hAnsi="Arial"/>
          <w:color w:val="000000"/>
          <w:kern w:val="24"/>
          <w:sz w:val="20"/>
          <w:szCs w:val="20"/>
          <w:lang w:val="en-GB"/>
        </w:rPr>
      </w:pPr>
      <w:r>
        <w:rPr>
          <w:rFonts w:ascii="Arial" w:eastAsia="+mn-ea" w:hAnsi="Arial"/>
          <w:color w:val="000000"/>
          <w:kern w:val="24"/>
          <w:sz w:val="20"/>
          <w:szCs w:val="20"/>
          <w:lang w:val="en-GB"/>
        </w:rPr>
        <w:t xml:space="preserve">Grimberg, B. T., Erickson, J. J., Sramkoski, R. M., Jacobberger, J. W. &amp; Zimmerman, P. A. Monitoring </w:t>
      </w:r>
      <w:r>
        <w:rPr>
          <w:rFonts w:ascii="Arial" w:eastAsia="+mn-ea" w:hAnsi="Arial"/>
          <w:i/>
          <w:color w:val="000000"/>
          <w:kern w:val="24"/>
          <w:sz w:val="20"/>
          <w:szCs w:val="20"/>
          <w:lang w:val="en-GB"/>
        </w:rPr>
        <w:t>Plasmodium falciparum</w:t>
      </w:r>
      <w:r>
        <w:rPr>
          <w:rFonts w:ascii="Arial" w:eastAsia="+mn-ea" w:hAnsi="Arial"/>
          <w:color w:val="000000"/>
          <w:kern w:val="24"/>
          <w:sz w:val="20"/>
          <w:szCs w:val="20"/>
          <w:lang w:val="en-GB"/>
        </w:rPr>
        <w:t xml:space="preserve"> growth and development by UV flow cytometry using an optimized Hoechst-thiazole orange staining strategy. Cytometry A 73, 546-554, doi:10.1002/cyto.a.20541 (2008).</w:t>
      </w:r>
    </w:p>
    <w:p w14:paraId="3939BDA4" w14:textId="77777777" w:rsidR="00485978" w:rsidRDefault="00E210C0">
      <w:pPr>
        <w:spacing w:after="160" w:line="259" w:lineRule="auto"/>
        <w:jc w:val="left"/>
        <w:rPr>
          <w:rFonts w:ascii="Arial" w:eastAsia="+mn-ea" w:hAnsi="Arial"/>
          <w:color w:val="000000"/>
          <w:kern w:val="24"/>
          <w:sz w:val="20"/>
          <w:szCs w:val="20"/>
          <w:lang w:val="en-GB"/>
        </w:rPr>
      </w:pPr>
      <w:r>
        <w:rPr>
          <w:rFonts w:ascii="Arial" w:eastAsia="+mn-ea" w:hAnsi="Arial"/>
          <w:color w:val="000000"/>
          <w:kern w:val="24"/>
          <w:sz w:val="20"/>
          <w:szCs w:val="20"/>
          <w:lang w:val="en-GB"/>
        </w:rPr>
        <w:br w:type="page"/>
      </w:r>
    </w:p>
    <w:p w14:paraId="780FF616" w14:textId="77777777" w:rsidR="00485978" w:rsidRDefault="00485978">
      <w:pPr>
        <w:pStyle w:val="ListParagraph"/>
        <w:rPr>
          <w:rFonts w:ascii="Arial" w:hAnsi="Arial"/>
          <w:b/>
          <w:sz w:val="28"/>
          <w:szCs w:val="28"/>
        </w:rPr>
      </w:pPr>
    </w:p>
    <w:p w14:paraId="1760A913" w14:textId="77777777" w:rsidR="00485978" w:rsidRDefault="00E210C0">
      <w:pPr>
        <w:pStyle w:val="ListParagraph"/>
        <w:rPr>
          <w:rFonts w:ascii="Arial" w:hAnsi="Arial"/>
          <w:b/>
          <w:sz w:val="28"/>
          <w:szCs w:val="28"/>
        </w:rPr>
      </w:pPr>
      <w:r>
        <w:rPr>
          <w:rFonts w:ascii="Arial" w:hAnsi="Arial"/>
          <w:b/>
          <w:noProof/>
          <w:sz w:val="28"/>
          <w:szCs w:val="28"/>
          <w:lang w:val="en-US"/>
        </w:rPr>
        <w:drawing>
          <wp:inline distT="0" distB="0" distL="0" distR="0" wp14:anchorId="1ED8D93A" wp14:editId="001239DA">
            <wp:extent cx="5943600" cy="294576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945765"/>
                    </a:xfrm>
                    <a:prstGeom prst="rect">
                      <a:avLst/>
                    </a:prstGeom>
                  </pic:spPr>
                </pic:pic>
              </a:graphicData>
            </a:graphic>
          </wp:inline>
        </w:drawing>
      </w:r>
    </w:p>
    <w:p w14:paraId="7242F3C6" w14:textId="77777777" w:rsidR="00485978" w:rsidRDefault="00485978">
      <w:pPr>
        <w:pStyle w:val="ListParagraph"/>
        <w:rPr>
          <w:rFonts w:ascii="Arial" w:hAnsi="Arial"/>
          <w:b/>
          <w:sz w:val="28"/>
          <w:szCs w:val="28"/>
        </w:rPr>
      </w:pPr>
    </w:p>
    <w:p w14:paraId="0D8EE3C6" w14:textId="4DC8686F" w:rsidR="00485978" w:rsidRDefault="00F87B74">
      <w:pPr>
        <w:pStyle w:val="ListParagraph"/>
        <w:spacing w:line="240" w:lineRule="auto"/>
        <w:rPr>
          <w:rFonts w:ascii="Arial" w:hAnsi="Arial"/>
          <w:sz w:val="22"/>
          <w:szCs w:val="22"/>
          <w:lang w:val="en-GB"/>
        </w:rPr>
      </w:pPr>
      <w:r>
        <w:rPr>
          <w:rFonts w:ascii="Arial" w:hAnsi="Arial"/>
          <w:b/>
          <w:sz w:val="22"/>
          <w:szCs w:val="22"/>
        </w:rPr>
        <w:t>Fig. S3</w:t>
      </w:r>
      <w:r w:rsidR="00E210C0">
        <w:rPr>
          <w:rFonts w:ascii="Arial" w:hAnsi="Arial"/>
          <w:b/>
          <w:sz w:val="22"/>
          <w:szCs w:val="22"/>
        </w:rPr>
        <w:t xml:space="preserve">. </w:t>
      </w:r>
      <w:r w:rsidR="00E210C0">
        <w:rPr>
          <w:rFonts w:ascii="Arial" w:eastAsia="+mn-ea" w:hAnsi="Arial"/>
          <w:i/>
          <w:color w:val="000000"/>
          <w:kern w:val="24"/>
          <w:sz w:val="22"/>
          <w:szCs w:val="22"/>
          <w:lang w:val="en-GB"/>
        </w:rPr>
        <w:t>P. falciparum</w:t>
      </w:r>
      <w:r w:rsidR="00E210C0">
        <w:rPr>
          <w:rFonts w:ascii="Arial" w:eastAsia="+mn-ea" w:hAnsi="Arial"/>
          <w:color w:val="000000"/>
          <w:kern w:val="24"/>
          <w:sz w:val="22"/>
          <w:szCs w:val="22"/>
          <w:lang w:val="en-GB"/>
        </w:rPr>
        <w:t xml:space="preserve"> parasite transcriptomes were matched to cell cycle associated transcripts from non-quiescent and quiescent yeast transcriptomes (Friedlander 2006, Aragon 2006) (</w:t>
      </w:r>
      <w:hyperlink r:id="rId12" w:history="1">
        <w:r w:rsidR="00E210C0">
          <w:rPr>
            <w:rFonts w:ascii="Arial" w:hAnsi="Arial"/>
            <w:color w:val="000000"/>
            <w:sz w:val="22"/>
            <w:szCs w:val="22"/>
          </w:rPr>
          <w:t>www.yeastgenome.org)</w:t>
        </w:r>
      </w:hyperlink>
      <w:r w:rsidR="00E210C0">
        <w:rPr>
          <w:rFonts w:ascii="Arial" w:hAnsi="Arial"/>
          <w:color w:val="000000"/>
          <w:sz w:val="22"/>
          <w:szCs w:val="22"/>
        </w:rPr>
        <w:t xml:space="preserve">, </w:t>
      </w:r>
      <w:r w:rsidR="00E210C0">
        <w:rPr>
          <w:rFonts w:ascii="Arial" w:eastAsia="+mn-ea" w:hAnsi="Arial"/>
          <w:color w:val="000000"/>
          <w:kern w:val="24"/>
          <w:sz w:val="22"/>
          <w:szCs w:val="22"/>
          <w:lang w:val="en-GB"/>
        </w:rPr>
        <w:t xml:space="preserve">or </w:t>
      </w:r>
      <w:r w:rsidR="00E210C0">
        <w:rPr>
          <w:rFonts w:ascii="Arial" w:eastAsia="+mn-ea" w:hAnsi="Arial"/>
          <w:i/>
          <w:color w:val="000000"/>
          <w:kern w:val="24"/>
          <w:sz w:val="22"/>
          <w:szCs w:val="22"/>
          <w:lang w:val="en-GB"/>
        </w:rPr>
        <w:t>P. berghei</w:t>
      </w:r>
      <w:r w:rsidR="00E210C0">
        <w:rPr>
          <w:rFonts w:ascii="Arial" w:eastAsia="+mn-ea" w:hAnsi="Arial"/>
          <w:color w:val="000000"/>
          <w:kern w:val="24"/>
          <w:sz w:val="22"/>
          <w:szCs w:val="22"/>
          <w:lang w:val="en-GB"/>
        </w:rPr>
        <w:t xml:space="preserve"> parasites (Hall 2005) clustered according to defined cell cycle compartments. </w:t>
      </w:r>
      <w:r w:rsidR="00E210C0">
        <w:rPr>
          <w:rFonts w:ascii="Arial" w:eastAsia="+mn-ea" w:hAnsi="Arial"/>
          <w:bCs/>
          <w:color w:val="000000"/>
          <w:kern w:val="24"/>
          <w:sz w:val="22"/>
          <w:szCs w:val="22"/>
          <w:lang w:val="en-GB"/>
        </w:rPr>
        <w:t>The total number of matched (</w:t>
      </w:r>
      <w:r w:rsidR="00E210C0">
        <w:rPr>
          <w:rFonts w:ascii="Arial" w:eastAsia="+mn-ea" w:hAnsi="Arial"/>
          <w:bCs/>
          <w:i/>
          <w:color w:val="000000"/>
          <w:kern w:val="24"/>
          <w:sz w:val="22"/>
          <w:szCs w:val="22"/>
          <w:lang w:val="en-GB"/>
        </w:rPr>
        <w:t>P. falciparum</w:t>
      </w:r>
      <w:r w:rsidR="00E210C0">
        <w:rPr>
          <w:rFonts w:ascii="Arial" w:eastAsia="+mn-ea" w:hAnsi="Arial"/>
          <w:bCs/>
          <w:color w:val="000000"/>
          <w:kern w:val="24"/>
          <w:sz w:val="22"/>
          <w:szCs w:val="22"/>
          <w:lang w:val="en-GB"/>
        </w:rPr>
        <w:t xml:space="preserve"> to yeast/</w:t>
      </w:r>
      <w:r w:rsidR="00E210C0">
        <w:rPr>
          <w:rFonts w:ascii="Arial" w:eastAsia="+mn-ea" w:hAnsi="Arial"/>
          <w:bCs/>
          <w:i/>
          <w:color w:val="000000"/>
          <w:kern w:val="24"/>
          <w:sz w:val="22"/>
          <w:szCs w:val="22"/>
          <w:lang w:val="en-GB"/>
        </w:rPr>
        <w:t>P. berghei</w:t>
      </w:r>
      <w:r w:rsidR="00E210C0">
        <w:rPr>
          <w:rFonts w:ascii="Arial" w:eastAsia="+mn-ea" w:hAnsi="Arial"/>
          <w:bCs/>
          <w:color w:val="000000"/>
          <w:kern w:val="24"/>
          <w:sz w:val="22"/>
          <w:szCs w:val="22"/>
          <w:lang w:val="en-GB"/>
        </w:rPr>
        <w:t>) genes in each cell cycle compartment is indicated, together with the number of DE genes in italics (log</w:t>
      </w:r>
      <w:r w:rsidR="00E210C0">
        <w:rPr>
          <w:rFonts w:ascii="Arial" w:eastAsia="+mn-ea" w:hAnsi="Arial"/>
          <w:bCs/>
          <w:color w:val="000000"/>
          <w:kern w:val="24"/>
          <w:sz w:val="22"/>
          <w:szCs w:val="22"/>
          <w:vertAlign w:val="subscript"/>
          <w:lang w:val="en-GB"/>
        </w:rPr>
        <w:t xml:space="preserve">2 </w:t>
      </w:r>
      <w:r w:rsidR="00E210C0">
        <w:rPr>
          <w:rFonts w:ascii="Arial" w:eastAsia="+mn-ea" w:hAnsi="Arial"/>
          <w:bCs/>
          <w:color w:val="000000"/>
          <w:kern w:val="24"/>
          <w:sz w:val="22"/>
          <w:szCs w:val="22"/>
          <w:lang w:val="en-GB"/>
        </w:rPr>
        <w:t xml:space="preserve">fold change of &gt;0.5 in either direction). PlasmoDB identifiers of selected transcripts: </w:t>
      </w:r>
      <w:r w:rsidR="00E210C0">
        <w:rPr>
          <w:rFonts w:ascii="Arial" w:hAnsi="Arial"/>
          <w:sz w:val="22"/>
          <w:szCs w:val="22"/>
          <w:lang w:val="en-GB"/>
        </w:rPr>
        <w:t>eIF4A (PF3D7_1468700); eIF4E (PF3D7_0315100), PK5 (PF3D7_1356900); RAD54 (PF3D7_0803400), MCM3 (PF3D7_0527000); MCM4 (PF3D7_1317100); MCM5 (PF3D7_1211700), MCM6 (PF3D7_1355100), MCM7 (PF3D7_0705400); ORC2 (PF3D7_0705300); DNA polymerase subunit alpha (PF3D7_0411900); DNA primase (PF3D7_0910900), proliferating cell nuclear antigen (PF3D7_1361900); nuclear complex protein 2 (PF3D7_1340300).</w:t>
      </w:r>
    </w:p>
    <w:p w14:paraId="3DC4EBAF" w14:textId="77777777" w:rsidR="00485978" w:rsidRDefault="00485978">
      <w:pPr>
        <w:pStyle w:val="ListParagraph"/>
        <w:rPr>
          <w:rFonts w:ascii="Arial" w:hAnsi="Arial"/>
          <w:b/>
          <w:sz w:val="28"/>
          <w:szCs w:val="28"/>
        </w:rPr>
      </w:pPr>
    </w:p>
    <w:p w14:paraId="469280B9" w14:textId="77777777" w:rsidR="00485978" w:rsidRDefault="00E210C0">
      <w:pPr>
        <w:pStyle w:val="EndNoteBibliography"/>
        <w:spacing w:after="0"/>
        <w:ind w:left="720" w:hanging="720"/>
        <w:rPr>
          <w:noProof/>
        </w:rPr>
      </w:pPr>
      <w:r>
        <w:rPr>
          <w:noProof/>
        </w:rPr>
        <w:t>Friedlander, G.</w:t>
      </w:r>
      <w:r>
        <w:rPr>
          <w:i/>
          <w:noProof/>
        </w:rPr>
        <w:t xml:space="preserve"> et al.</w:t>
      </w:r>
      <w:r>
        <w:rPr>
          <w:noProof/>
        </w:rPr>
        <w:t xml:space="preserve"> Modulation of the transcription regulatory program in yeast cells committed to sporulation. </w:t>
      </w:r>
      <w:r>
        <w:rPr>
          <w:i/>
          <w:noProof/>
        </w:rPr>
        <w:t>Genome Biol</w:t>
      </w:r>
      <w:r>
        <w:rPr>
          <w:noProof/>
        </w:rPr>
        <w:t xml:space="preserve"> </w:t>
      </w:r>
      <w:r>
        <w:rPr>
          <w:b/>
          <w:noProof/>
        </w:rPr>
        <w:t>7</w:t>
      </w:r>
      <w:r>
        <w:rPr>
          <w:noProof/>
        </w:rPr>
        <w:t>, R20, doi:10.1186/gb-2006-7-3-r20 (2006).</w:t>
      </w:r>
    </w:p>
    <w:p w14:paraId="7D61257A" w14:textId="77777777" w:rsidR="00485978" w:rsidRDefault="00E210C0">
      <w:pPr>
        <w:pStyle w:val="EndNoteBibliography"/>
        <w:spacing w:after="0"/>
        <w:ind w:left="720" w:hanging="720"/>
        <w:rPr>
          <w:noProof/>
        </w:rPr>
      </w:pPr>
      <w:r>
        <w:rPr>
          <w:noProof/>
        </w:rPr>
        <w:t xml:space="preserve">Aragon, A. D., Quinones, G. A., Thomas, E. V., Roy, S. &amp; Werner-Washburne, M. Release of extraction-resistant mRNA in stationary phase </w:t>
      </w:r>
      <w:r>
        <w:rPr>
          <w:i/>
          <w:noProof/>
        </w:rPr>
        <w:t>Saccharomyces cerevisiae</w:t>
      </w:r>
      <w:r>
        <w:rPr>
          <w:noProof/>
        </w:rPr>
        <w:t xml:space="preserve"> produces a massive increase in transcript abundance in response to stress. </w:t>
      </w:r>
      <w:r>
        <w:rPr>
          <w:i/>
          <w:noProof/>
        </w:rPr>
        <w:t>Genome Biol</w:t>
      </w:r>
      <w:r>
        <w:rPr>
          <w:noProof/>
        </w:rPr>
        <w:t xml:space="preserve"> </w:t>
      </w:r>
      <w:r>
        <w:rPr>
          <w:b/>
          <w:noProof/>
        </w:rPr>
        <w:t>7</w:t>
      </w:r>
      <w:r>
        <w:rPr>
          <w:noProof/>
        </w:rPr>
        <w:t>, R9, doi:10.1186/gb-2006-7-2-r9 (2006).</w:t>
      </w:r>
    </w:p>
    <w:p w14:paraId="12E7A538" w14:textId="77777777" w:rsidR="00485978" w:rsidRDefault="00E210C0">
      <w:pPr>
        <w:pStyle w:val="EndNoteBibliography"/>
        <w:spacing w:after="0"/>
        <w:ind w:left="720" w:hanging="720"/>
        <w:rPr>
          <w:noProof/>
        </w:rPr>
      </w:pPr>
      <w:r>
        <w:rPr>
          <w:noProof/>
        </w:rPr>
        <w:t>Hall, N.</w:t>
      </w:r>
      <w:r>
        <w:rPr>
          <w:i/>
          <w:noProof/>
        </w:rPr>
        <w:t xml:space="preserve"> et al.</w:t>
      </w:r>
      <w:r>
        <w:rPr>
          <w:noProof/>
        </w:rPr>
        <w:t xml:space="preserve"> A comprehensive survey of the </w:t>
      </w:r>
      <w:r>
        <w:rPr>
          <w:i/>
          <w:noProof/>
        </w:rPr>
        <w:t>Plasmodium</w:t>
      </w:r>
      <w:r>
        <w:rPr>
          <w:noProof/>
        </w:rPr>
        <w:t xml:space="preserve"> life cycle by genomic, transcriptomic, and proteomic analyses. </w:t>
      </w:r>
      <w:r>
        <w:rPr>
          <w:i/>
          <w:noProof/>
        </w:rPr>
        <w:t>Science</w:t>
      </w:r>
      <w:r>
        <w:rPr>
          <w:noProof/>
        </w:rPr>
        <w:t xml:space="preserve"> </w:t>
      </w:r>
      <w:r>
        <w:rPr>
          <w:b/>
          <w:noProof/>
        </w:rPr>
        <w:t>307</w:t>
      </w:r>
      <w:r>
        <w:rPr>
          <w:noProof/>
        </w:rPr>
        <w:t>, 82-86, doi:10.1126/science.1103717 (2005).</w:t>
      </w:r>
    </w:p>
    <w:p w14:paraId="5BBA1E66" w14:textId="1C5B4BA9" w:rsidR="00F87B74" w:rsidRDefault="00F87B74">
      <w:pPr>
        <w:spacing w:after="160" w:line="259" w:lineRule="auto"/>
        <w:jc w:val="left"/>
        <w:rPr>
          <w:rFonts w:ascii="Arial" w:hAnsi="Arial"/>
          <w:b/>
          <w:sz w:val="28"/>
          <w:szCs w:val="28"/>
        </w:rPr>
      </w:pPr>
      <w:r>
        <w:rPr>
          <w:rFonts w:ascii="Arial" w:hAnsi="Arial"/>
          <w:b/>
          <w:sz w:val="28"/>
          <w:szCs w:val="28"/>
        </w:rPr>
        <w:br w:type="page"/>
      </w:r>
    </w:p>
    <w:p w14:paraId="3BA770EB" w14:textId="43E5ADFC" w:rsidR="00F87B74" w:rsidRDefault="00F87B74" w:rsidP="00F87B74">
      <w:pPr>
        <w:spacing w:after="160" w:line="259" w:lineRule="auto"/>
        <w:jc w:val="left"/>
        <w:rPr>
          <w:rFonts w:ascii="Arial" w:hAnsi="Arial"/>
          <w:b/>
          <w:sz w:val="28"/>
          <w:szCs w:val="28"/>
        </w:rPr>
      </w:pPr>
      <w:r>
        <w:rPr>
          <w:noProof/>
        </w:rPr>
        <w:lastRenderedPageBreak/>
        <w:drawing>
          <wp:anchor distT="0" distB="0" distL="114300" distR="114300" simplePos="0" relativeHeight="251664384" behindDoc="0" locked="0" layoutInCell="1" allowOverlap="1" wp14:anchorId="5D507FC0" wp14:editId="7441D578">
            <wp:simplePos x="0" y="0"/>
            <wp:positionH relativeFrom="margin">
              <wp:posOffset>0</wp:posOffset>
            </wp:positionH>
            <wp:positionV relativeFrom="paragraph">
              <wp:posOffset>0</wp:posOffset>
            </wp:positionV>
            <wp:extent cx="4244340" cy="2743200"/>
            <wp:effectExtent l="0" t="0" r="3810" b="0"/>
            <wp:wrapNone/>
            <wp:docPr id="5" name="Chart 5">
              <a:extLst xmlns:a="http://schemas.openxmlformats.org/drawingml/2006/main">
                <a:ext uri="{FF2B5EF4-FFF2-40B4-BE49-F238E27FC236}">
                  <a16:creationId xmlns:a16="http://schemas.microsoft.com/office/drawing/2014/main" id="{B69A0D42-0411-4738-80D5-4E46083E95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1A3B4C6" w14:textId="77777777" w:rsidR="00F87B74" w:rsidRDefault="00F87B74" w:rsidP="00F87B74">
      <w:pPr>
        <w:spacing w:after="160" w:line="259" w:lineRule="auto"/>
        <w:jc w:val="left"/>
        <w:rPr>
          <w:rFonts w:ascii="Arial" w:hAnsi="Arial"/>
          <w:b/>
          <w:sz w:val="28"/>
          <w:szCs w:val="28"/>
        </w:rPr>
      </w:pPr>
    </w:p>
    <w:p w14:paraId="205ADBC2" w14:textId="77777777" w:rsidR="00F87B74" w:rsidRDefault="00F87B74" w:rsidP="00F87B74">
      <w:pPr>
        <w:spacing w:after="160" w:line="259" w:lineRule="auto"/>
        <w:jc w:val="left"/>
        <w:rPr>
          <w:rFonts w:ascii="Arial" w:hAnsi="Arial"/>
          <w:b/>
          <w:sz w:val="28"/>
          <w:szCs w:val="28"/>
        </w:rPr>
      </w:pPr>
    </w:p>
    <w:p w14:paraId="58AD746C" w14:textId="77777777" w:rsidR="00F87B74" w:rsidRDefault="00F87B74" w:rsidP="00F87B74">
      <w:pPr>
        <w:spacing w:after="160" w:line="259" w:lineRule="auto"/>
        <w:jc w:val="left"/>
        <w:rPr>
          <w:rFonts w:ascii="Arial" w:hAnsi="Arial"/>
          <w:b/>
          <w:sz w:val="28"/>
          <w:szCs w:val="28"/>
        </w:rPr>
      </w:pPr>
    </w:p>
    <w:p w14:paraId="11583000" w14:textId="77777777" w:rsidR="00F87B74" w:rsidRDefault="00F87B74" w:rsidP="00F87B74">
      <w:pPr>
        <w:spacing w:after="160" w:line="259" w:lineRule="auto"/>
        <w:jc w:val="left"/>
        <w:rPr>
          <w:rFonts w:ascii="Arial" w:hAnsi="Arial"/>
          <w:b/>
          <w:sz w:val="28"/>
          <w:szCs w:val="28"/>
        </w:rPr>
      </w:pPr>
    </w:p>
    <w:p w14:paraId="7F361E87" w14:textId="77777777" w:rsidR="00F87B74" w:rsidRDefault="00F87B74" w:rsidP="00F87B74">
      <w:pPr>
        <w:spacing w:after="160" w:line="259" w:lineRule="auto"/>
        <w:jc w:val="left"/>
        <w:rPr>
          <w:rFonts w:ascii="Arial" w:hAnsi="Arial"/>
          <w:b/>
          <w:sz w:val="28"/>
          <w:szCs w:val="28"/>
        </w:rPr>
      </w:pPr>
    </w:p>
    <w:p w14:paraId="5A3E1987" w14:textId="77777777" w:rsidR="00F87B74" w:rsidRDefault="00F87B74" w:rsidP="00F87B74">
      <w:pPr>
        <w:spacing w:after="160" w:line="259" w:lineRule="auto"/>
        <w:jc w:val="left"/>
        <w:rPr>
          <w:rFonts w:ascii="Arial" w:hAnsi="Arial"/>
          <w:b/>
          <w:sz w:val="28"/>
          <w:szCs w:val="28"/>
        </w:rPr>
      </w:pPr>
    </w:p>
    <w:p w14:paraId="1B662CE2" w14:textId="77777777" w:rsidR="00F87B74" w:rsidRDefault="00F87B74" w:rsidP="00F87B74">
      <w:pPr>
        <w:spacing w:after="160" w:line="259" w:lineRule="auto"/>
        <w:jc w:val="left"/>
        <w:rPr>
          <w:rFonts w:ascii="Arial" w:hAnsi="Arial"/>
          <w:b/>
          <w:sz w:val="28"/>
          <w:szCs w:val="28"/>
        </w:rPr>
      </w:pPr>
    </w:p>
    <w:p w14:paraId="39D48F9A" w14:textId="77777777" w:rsidR="00F87B74" w:rsidRDefault="00F87B74" w:rsidP="00F87B74">
      <w:pPr>
        <w:spacing w:after="160" w:line="259" w:lineRule="auto"/>
        <w:jc w:val="left"/>
        <w:rPr>
          <w:rFonts w:ascii="Arial" w:hAnsi="Arial"/>
          <w:b/>
          <w:sz w:val="28"/>
          <w:szCs w:val="28"/>
        </w:rPr>
      </w:pPr>
    </w:p>
    <w:p w14:paraId="2A95D4F3" w14:textId="12CF8DB4" w:rsidR="00F87B74" w:rsidRDefault="00FB1717" w:rsidP="00F87B74">
      <w:pPr>
        <w:spacing w:after="160" w:line="259" w:lineRule="auto"/>
        <w:jc w:val="left"/>
        <w:rPr>
          <w:rFonts w:ascii="Arial" w:hAnsi="Arial"/>
          <w:b/>
          <w:sz w:val="28"/>
          <w:szCs w:val="28"/>
        </w:rPr>
      </w:pPr>
      <w:r>
        <w:rPr>
          <w:rFonts w:ascii="Arial" w:eastAsia="+mn-ea" w:hAnsi="Arial"/>
          <w:b/>
          <w:bCs/>
          <w:color w:val="000000"/>
          <w:kern w:val="24"/>
          <w:sz w:val="22"/>
          <w:lang w:val="en-GB"/>
        </w:rPr>
        <w:t>Fig. S4 related to Fig. 4 and Fig. 6</w:t>
      </w:r>
      <w:r w:rsidR="00F87B74" w:rsidRPr="002636FE">
        <w:rPr>
          <w:rFonts w:ascii="Arial" w:eastAsia="+mn-ea" w:hAnsi="Arial"/>
          <w:b/>
          <w:bCs/>
          <w:color w:val="000000"/>
          <w:kern w:val="24"/>
          <w:sz w:val="22"/>
          <w:lang w:val="en-GB"/>
        </w:rPr>
        <w:t xml:space="preserve">: </w:t>
      </w:r>
      <w:r w:rsidR="00F87B74" w:rsidRPr="002636FE">
        <w:rPr>
          <w:rFonts w:ascii="Arial" w:eastAsia="+mn-ea" w:hAnsi="Arial"/>
          <w:b/>
          <w:color w:val="000000"/>
          <w:kern w:val="24"/>
          <w:sz w:val="22"/>
          <w:lang w:val="en-GB"/>
        </w:rPr>
        <w:t>SYBR</w:t>
      </w:r>
      <w:r w:rsidR="0008653D">
        <w:rPr>
          <w:rFonts w:ascii="Arial" w:eastAsia="+mn-ea" w:hAnsi="Arial"/>
          <w:b/>
          <w:color w:val="000000"/>
          <w:kern w:val="24"/>
          <w:sz w:val="22"/>
          <w:lang w:val="en-GB"/>
        </w:rPr>
        <w:t xml:space="preserve"> </w:t>
      </w:r>
      <w:r w:rsidR="00F87B74" w:rsidRPr="002636FE">
        <w:rPr>
          <w:rFonts w:ascii="Arial" w:eastAsia="+mn-ea" w:hAnsi="Arial"/>
          <w:b/>
          <w:color w:val="000000"/>
          <w:kern w:val="24"/>
          <w:sz w:val="22"/>
          <w:lang w:val="en-GB"/>
        </w:rPr>
        <w:t>Green I</w:t>
      </w:r>
      <w:r w:rsidR="00F87B74" w:rsidRPr="002636FE">
        <w:rPr>
          <w:rFonts w:ascii="Arial" w:eastAsia="+mn-ea" w:hAnsi="Arial"/>
          <w:b/>
          <w:bCs/>
          <w:color w:val="000000"/>
          <w:kern w:val="24"/>
          <w:sz w:val="22"/>
          <w:lang w:val="en-GB"/>
        </w:rPr>
        <w:t xml:space="preserve"> q</w:t>
      </w:r>
      <w:r w:rsidR="00F87B74">
        <w:rPr>
          <w:rFonts w:ascii="Arial" w:eastAsia="+mn-ea" w:hAnsi="Arial"/>
          <w:b/>
          <w:bCs/>
          <w:color w:val="000000"/>
          <w:kern w:val="24"/>
          <w:sz w:val="22"/>
          <w:lang w:val="en-GB"/>
        </w:rPr>
        <w:t xml:space="preserve">PCR confirmation of differentially expressed genes . </w:t>
      </w:r>
      <w:r w:rsidR="00F87B74">
        <w:rPr>
          <w:rFonts w:ascii="Arial" w:eastAsia="+mn-ea" w:hAnsi="Arial"/>
          <w:color w:val="000000"/>
          <w:kern w:val="24"/>
          <w:sz w:val="22"/>
          <w:lang w:val="en-GB"/>
        </w:rPr>
        <w:t>Gene expression is indicated as log</w:t>
      </w:r>
      <w:r w:rsidR="00F87B74">
        <w:rPr>
          <w:rFonts w:ascii="Arial" w:eastAsia="+mn-ea" w:hAnsi="Arial"/>
          <w:color w:val="000000"/>
          <w:kern w:val="24"/>
          <w:sz w:val="22"/>
          <w:vertAlign w:val="subscript"/>
          <w:lang w:val="en-GB"/>
        </w:rPr>
        <w:t>2</w:t>
      </w:r>
      <w:r w:rsidR="00F87B74">
        <w:rPr>
          <w:rFonts w:ascii="Arial" w:eastAsia="+mn-ea" w:hAnsi="Arial"/>
          <w:color w:val="000000"/>
          <w:kern w:val="24"/>
          <w:sz w:val="22"/>
          <w:lang w:val="en-GB"/>
        </w:rPr>
        <w:t>FC</w:t>
      </w:r>
      <w:r w:rsidR="003B5F40">
        <w:rPr>
          <w:rFonts w:ascii="Arial" w:eastAsia="+mn-ea" w:hAnsi="Arial"/>
          <w:color w:val="000000"/>
          <w:kern w:val="24"/>
          <w:sz w:val="22"/>
          <w:lang w:val="en-GB"/>
        </w:rPr>
        <w:t>: for the 24 h timepoint between a</w:t>
      </w:r>
      <w:r w:rsidR="00F87B74">
        <w:rPr>
          <w:rFonts w:ascii="Arial" w:eastAsia="+mn-ea" w:hAnsi="Arial"/>
          <w:color w:val="000000"/>
          <w:kern w:val="24"/>
          <w:sz w:val="22"/>
          <w:lang w:val="en-GB"/>
        </w:rPr>
        <w:t>rrest</w:t>
      </w:r>
      <w:r w:rsidR="00B406A9">
        <w:rPr>
          <w:rFonts w:ascii="Arial" w:eastAsia="+mn-ea" w:hAnsi="Arial"/>
          <w:color w:val="000000"/>
          <w:kern w:val="24"/>
          <w:sz w:val="22"/>
          <w:lang w:val="en-GB"/>
        </w:rPr>
        <w:t>ed</w:t>
      </w:r>
      <w:r w:rsidR="003B5F40">
        <w:rPr>
          <w:rFonts w:ascii="Arial" w:eastAsia="+mn-ea" w:hAnsi="Arial"/>
          <w:color w:val="000000"/>
          <w:kern w:val="24"/>
          <w:sz w:val="22"/>
          <w:lang w:val="en-GB"/>
        </w:rPr>
        <w:t xml:space="preserve"> 24 h/Control and for the 30 h timepoint re-entry 2/ a</w:t>
      </w:r>
      <w:r w:rsidR="00F87B74">
        <w:rPr>
          <w:rFonts w:ascii="Arial" w:eastAsia="+mn-ea" w:hAnsi="Arial"/>
          <w:color w:val="000000"/>
          <w:kern w:val="24"/>
          <w:sz w:val="22"/>
          <w:lang w:val="en-GB"/>
        </w:rPr>
        <w:t>rrested 30 h</w:t>
      </w:r>
      <w:r w:rsidR="003B5F40">
        <w:rPr>
          <w:rFonts w:ascii="Arial" w:eastAsia="+mn-ea" w:hAnsi="Arial"/>
          <w:color w:val="000000"/>
          <w:kern w:val="24"/>
          <w:sz w:val="22"/>
          <w:lang w:val="en-GB"/>
        </w:rPr>
        <w:t>.</w:t>
      </w:r>
      <w:r w:rsidR="00F87B74">
        <w:rPr>
          <w:rFonts w:ascii="Arial" w:eastAsia="+mn-ea" w:hAnsi="Arial"/>
          <w:color w:val="000000"/>
          <w:kern w:val="24"/>
          <w:sz w:val="22"/>
          <w:lang w:val="en-GB"/>
        </w:rPr>
        <w:t xml:space="preserve"> </w:t>
      </w:r>
    </w:p>
    <w:p w14:paraId="51172520" w14:textId="77777777" w:rsidR="00F87B74" w:rsidRDefault="00F87B74" w:rsidP="00F87B74">
      <w:pPr>
        <w:spacing w:after="160" w:line="259" w:lineRule="auto"/>
        <w:jc w:val="left"/>
        <w:rPr>
          <w:rFonts w:ascii="Arial" w:hAnsi="Arial"/>
          <w:b/>
          <w:sz w:val="28"/>
          <w:szCs w:val="28"/>
        </w:rPr>
      </w:pPr>
    </w:p>
    <w:p w14:paraId="757243FE" w14:textId="7FF814F6" w:rsidR="00485978" w:rsidRDefault="00F87B74" w:rsidP="00F87B74">
      <w:pPr>
        <w:pStyle w:val="ListParagraph"/>
        <w:rPr>
          <w:rFonts w:ascii="Arial" w:hAnsi="Arial"/>
          <w:b/>
          <w:sz w:val="28"/>
          <w:szCs w:val="28"/>
        </w:rPr>
      </w:pPr>
      <w:r>
        <w:rPr>
          <w:rFonts w:ascii="Arial" w:hAnsi="Arial"/>
          <w:b/>
          <w:sz w:val="28"/>
          <w:szCs w:val="28"/>
        </w:rPr>
        <w:br w:type="page"/>
      </w:r>
    </w:p>
    <w:p w14:paraId="0E2D0CB8" w14:textId="77777777" w:rsidR="00485978" w:rsidRDefault="00E210C0">
      <w:pPr>
        <w:pStyle w:val="ListParagraph"/>
        <w:rPr>
          <w:rFonts w:ascii="Arial" w:hAnsi="Arial"/>
          <w:b/>
          <w:sz w:val="28"/>
          <w:szCs w:val="28"/>
        </w:rPr>
      </w:pPr>
      <w:r>
        <w:rPr>
          <w:rFonts w:ascii="Arial" w:hAnsi="Arial"/>
          <w:b/>
          <w:noProof/>
          <w:sz w:val="28"/>
          <w:szCs w:val="28"/>
          <w:lang w:val="en-US"/>
        </w:rPr>
        <w:lastRenderedPageBreak/>
        <w:drawing>
          <wp:inline distT="0" distB="0" distL="0" distR="0" wp14:anchorId="56420103" wp14:editId="3D2DBF5C">
            <wp:extent cx="4861575" cy="6758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63995" cy="6762304"/>
                    </a:xfrm>
                    <a:prstGeom prst="rect">
                      <a:avLst/>
                    </a:prstGeom>
                  </pic:spPr>
                </pic:pic>
              </a:graphicData>
            </a:graphic>
          </wp:inline>
        </w:drawing>
      </w:r>
    </w:p>
    <w:p w14:paraId="714DA444" w14:textId="13102FF1" w:rsidR="00485978" w:rsidRDefault="00E210C0">
      <w:pPr>
        <w:widowControl w:val="0"/>
        <w:autoSpaceDE w:val="0"/>
        <w:autoSpaceDN w:val="0"/>
        <w:adjustRightInd w:val="0"/>
        <w:spacing w:after="0" w:line="240" w:lineRule="auto"/>
        <w:rPr>
          <w:rFonts w:ascii="Arial" w:hAnsi="Arial"/>
          <w:b/>
          <w:sz w:val="28"/>
          <w:szCs w:val="28"/>
        </w:rPr>
      </w:pPr>
      <w:r>
        <w:rPr>
          <w:rFonts w:ascii="Arial" w:hAnsi="Arial"/>
          <w:b/>
          <w:bCs/>
          <w:color w:val="000000"/>
          <w:sz w:val="22"/>
          <w:szCs w:val="22"/>
          <w:lang w:val="en-GB"/>
        </w:rPr>
        <w:t>Fig. S</w:t>
      </w:r>
      <w:r w:rsidR="00344C17">
        <w:rPr>
          <w:rFonts w:ascii="Arial" w:hAnsi="Arial"/>
          <w:b/>
          <w:bCs/>
          <w:color w:val="000000"/>
          <w:sz w:val="22"/>
          <w:szCs w:val="22"/>
          <w:lang w:val="en-GB"/>
        </w:rPr>
        <w:t>5</w:t>
      </w:r>
      <w:r>
        <w:rPr>
          <w:rFonts w:ascii="Arial" w:hAnsi="Arial"/>
          <w:b/>
          <w:bCs/>
          <w:color w:val="000000"/>
          <w:sz w:val="22"/>
          <w:szCs w:val="22"/>
          <w:lang w:val="en-GB"/>
        </w:rPr>
        <w:t xml:space="preserve"> related to Fig 6A and B: Analysis of cell cycle molecular descriptors and regulators. </w:t>
      </w:r>
      <w:r>
        <w:rPr>
          <w:rFonts w:ascii="Arial" w:hAnsi="Arial"/>
          <w:color w:val="000000"/>
          <w:sz w:val="22"/>
          <w:szCs w:val="22"/>
          <w:lang w:val="en-GB"/>
        </w:rPr>
        <w:t xml:space="preserve">The transcriptomes of cell cycle arrested </w:t>
      </w:r>
      <w:r>
        <w:rPr>
          <w:rFonts w:ascii="Arial" w:hAnsi="Arial"/>
          <w:i/>
          <w:iCs/>
          <w:color w:val="000000"/>
          <w:sz w:val="22"/>
          <w:szCs w:val="22"/>
          <w:lang w:val="en-GB"/>
        </w:rPr>
        <w:t xml:space="preserve">P. falciparum </w:t>
      </w:r>
      <w:r>
        <w:rPr>
          <w:rFonts w:ascii="Arial" w:hAnsi="Arial"/>
          <w:color w:val="000000"/>
          <w:sz w:val="22"/>
          <w:szCs w:val="22"/>
          <w:lang w:val="en-GB"/>
        </w:rPr>
        <w:t>parasites (Arrested) as well as parasites that re-entered their cell cycles (RE1-3) were analysed in context of genes matching key terms associated with cell cycle regulation using PlasmoDB (v33). The DE genes in each functional cluster are indicated, together with transcripts showing a strong differential response (SR: log</w:t>
      </w:r>
      <w:r>
        <w:rPr>
          <w:rFonts w:ascii="Arial" w:hAnsi="Arial"/>
          <w:color w:val="000000"/>
          <w:sz w:val="22"/>
          <w:szCs w:val="22"/>
          <w:vertAlign w:val="subscript"/>
          <w:lang w:val="en-GB"/>
        </w:rPr>
        <w:t xml:space="preserve">2 </w:t>
      </w:r>
      <w:r>
        <w:rPr>
          <w:rFonts w:ascii="Arial" w:hAnsi="Arial"/>
          <w:color w:val="000000"/>
          <w:sz w:val="22"/>
          <w:szCs w:val="22"/>
          <w:lang w:val="en-GB"/>
        </w:rPr>
        <w:t xml:space="preserve">fold change of &gt;1 in either direction) as well as genes that were refractory to KO in </w:t>
      </w:r>
      <w:r>
        <w:rPr>
          <w:rFonts w:ascii="Arial" w:hAnsi="Arial"/>
          <w:i/>
          <w:iCs/>
          <w:color w:val="000000"/>
          <w:sz w:val="22"/>
          <w:szCs w:val="22"/>
          <w:lang w:val="en-GB"/>
        </w:rPr>
        <w:t xml:space="preserve">P. berghei </w:t>
      </w:r>
      <w:r>
        <w:rPr>
          <w:rFonts w:ascii="Arial" w:hAnsi="Arial"/>
          <w:color w:val="000000"/>
          <w:sz w:val="22"/>
          <w:szCs w:val="22"/>
          <w:lang w:val="en-GB"/>
        </w:rPr>
        <w:t>(</w:t>
      </w:r>
      <w:r>
        <w:rPr>
          <w:rFonts w:ascii="Arial" w:hAnsi="Arial"/>
          <w:i/>
          <w:iCs/>
          <w:color w:val="000000"/>
          <w:sz w:val="22"/>
          <w:szCs w:val="22"/>
          <w:lang w:val="en-GB"/>
        </w:rPr>
        <w:t>P. b</w:t>
      </w:r>
      <w:r>
        <w:rPr>
          <w:rFonts w:ascii="Arial" w:hAnsi="Arial"/>
          <w:color w:val="000000"/>
          <w:sz w:val="22"/>
          <w:szCs w:val="22"/>
          <w:lang w:val="en-GB"/>
        </w:rPr>
        <w:t xml:space="preserve">) or </w:t>
      </w:r>
      <w:r>
        <w:rPr>
          <w:rFonts w:ascii="Arial" w:hAnsi="Arial"/>
          <w:i/>
          <w:iCs/>
          <w:color w:val="000000"/>
          <w:sz w:val="22"/>
          <w:szCs w:val="22"/>
          <w:lang w:val="en-GB"/>
        </w:rPr>
        <w:t xml:space="preserve">P. falciparum </w:t>
      </w:r>
      <w:r>
        <w:rPr>
          <w:rFonts w:ascii="Arial" w:hAnsi="Arial"/>
          <w:color w:val="000000"/>
          <w:sz w:val="22"/>
          <w:szCs w:val="22"/>
          <w:lang w:val="en-GB"/>
        </w:rPr>
        <w:t>(</w:t>
      </w:r>
      <w:r>
        <w:rPr>
          <w:rFonts w:ascii="Arial" w:hAnsi="Arial"/>
          <w:i/>
          <w:iCs/>
          <w:color w:val="000000"/>
          <w:sz w:val="22"/>
          <w:szCs w:val="22"/>
          <w:lang w:val="en-GB"/>
        </w:rPr>
        <w:t>P. f</w:t>
      </w:r>
      <w:r>
        <w:rPr>
          <w:rFonts w:ascii="Arial" w:hAnsi="Arial"/>
          <w:color w:val="000000"/>
          <w:sz w:val="22"/>
          <w:szCs w:val="22"/>
          <w:lang w:val="en-GB"/>
        </w:rPr>
        <w:t>)</w:t>
      </w:r>
      <w:r>
        <w:rPr>
          <w:rFonts w:ascii="Arial" w:hAnsi="Arial"/>
          <w:i/>
          <w:iCs/>
          <w:color w:val="000000"/>
          <w:sz w:val="22"/>
          <w:szCs w:val="22"/>
          <w:lang w:val="en-GB"/>
        </w:rPr>
        <w:t xml:space="preserve"> </w:t>
      </w:r>
      <w:r>
        <w:rPr>
          <w:rFonts w:ascii="Arial" w:hAnsi="Arial"/>
          <w:color w:val="000000"/>
          <w:sz w:val="22"/>
          <w:szCs w:val="22"/>
          <w:lang w:val="en-GB"/>
        </w:rPr>
        <w:t xml:space="preserve">indicated with black blocks. Within the functional clusters, the expression profiles of genes of interest that were DE in RE1 (light </w:t>
      </w:r>
      <w:r w:rsidR="00B406A9">
        <w:rPr>
          <w:rFonts w:ascii="Arial" w:hAnsi="Arial"/>
          <w:color w:val="000000"/>
          <w:sz w:val="22"/>
          <w:szCs w:val="22"/>
          <w:lang w:val="en-GB"/>
        </w:rPr>
        <w:t>grey</w:t>
      </w:r>
      <w:r>
        <w:rPr>
          <w:rFonts w:ascii="Arial" w:hAnsi="Arial"/>
          <w:color w:val="000000"/>
          <w:sz w:val="22"/>
          <w:szCs w:val="22"/>
          <w:lang w:val="en-GB"/>
        </w:rPr>
        <w:t xml:space="preserve"> block), RE2 (</w:t>
      </w:r>
      <w:r w:rsidR="00B406A9">
        <w:rPr>
          <w:rFonts w:ascii="Arial" w:hAnsi="Arial"/>
          <w:color w:val="000000"/>
          <w:sz w:val="22"/>
          <w:szCs w:val="22"/>
          <w:lang w:val="en-GB"/>
        </w:rPr>
        <w:t>grey</w:t>
      </w:r>
      <w:r>
        <w:rPr>
          <w:rFonts w:ascii="Arial" w:hAnsi="Arial"/>
          <w:color w:val="000000"/>
          <w:sz w:val="22"/>
          <w:szCs w:val="22"/>
          <w:lang w:val="en-GB"/>
        </w:rPr>
        <w:t xml:space="preserve"> block) and RE3 (dark </w:t>
      </w:r>
      <w:r w:rsidR="00B406A9">
        <w:rPr>
          <w:rFonts w:ascii="Arial" w:hAnsi="Arial"/>
          <w:color w:val="000000"/>
          <w:sz w:val="22"/>
          <w:szCs w:val="22"/>
          <w:lang w:val="en-GB"/>
        </w:rPr>
        <w:t>grey</w:t>
      </w:r>
      <w:r>
        <w:rPr>
          <w:rFonts w:ascii="Arial" w:hAnsi="Arial"/>
          <w:color w:val="000000"/>
          <w:sz w:val="22"/>
          <w:szCs w:val="22"/>
          <w:lang w:val="en-GB"/>
        </w:rPr>
        <w:t xml:space="preserve"> block) were highlighted in line graphs. </w:t>
      </w:r>
      <w:r>
        <w:rPr>
          <w:rFonts w:ascii="Arial" w:hAnsi="Arial"/>
          <w:b/>
          <w:sz w:val="28"/>
          <w:szCs w:val="28"/>
        </w:rPr>
        <w:br w:type="page"/>
      </w:r>
    </w:p>
    <w:p w14:paraId="4AA3B219" w14:textId="77777777" w:rsidR="00485978" w:rsidRDefault="00485978">
      <w:pPr>
        <w:widowControl w:val="0"/>
        <w:autoSpaceDE w:val="0"/>
        <w:autoSpaceDN w:val="0"/>
        <w:adjustRightInd w:val="0"/>
        <w:spacing w:after="0" w:line="240" w:lineRule="auto"/>
        <w:rPr>
          <w:rFonts w:ascii="Arial" w:hAnsi="Arial"/>
          <w:b/>
          <w:sz w:val="28"/>
          <w:szCs w:val="28"/>
        </w:rPr>
      </w:pPr>
    </w:p>
    <w:p w14:paraId="04F44A6B" w14:textId="77777777" w:rsidR="00485978" w:rsidRDefault="00E210C0">
      <w:pPr>
        <w:widowControl w:val="0"/>
        <w:autoSpaceDE w:val="0"/>
        <w:autoSpaceDN w:val="0"/>
        <w:adjustRightInd w:val="0"/>
        <w:spacing w:after="0" w:line="240" w:lineRule="auto"/>
        <w:rPr>
          <w:rFonts w:ascii="Arial" w:hAnsi="Arial"/>
          <w:b/>
          <w:sz w:val="28"/>
          <w:szCs w:val="28"/>
        </w:rPr>
      </w:pPr>
      <w:r>
        <w:rPr>
          <w:rFonts w:ascii="Arial" w:hAnsi="Arial"/>
          <w:b/>
          <w:noProof/>
          <w:sz w:val="28"/>
          <w:szCs w:val="28"/>
          <w:lang w:val="en-US"/>
        </w:rPr>
        <w:drawing>
          <wp:inline distT="0" distB="0" distL="0" distR="0" wp14:anchorId="1F1309C9" wp14:editId="386B23EF">
            <wp:extent cx="5943600" cy="354647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546475"/>
                    </a:xfrm>
                    <a:prstGeom prst="rect">
                      <a:avLst/>
                    </a:prstGeom>
                  </pic:spPr>
                </pic:pic>
              </a:graphicData>
            </a:graphic>
          </wp:inline>
        </w:drawing>
      </w:r>
    </w:p>
    <w:p w14:paraId="2AD79C7A" w14:textId="77777777" w:rsidR="00485978" w:rsidRDefault="00485978">
      <w:pPr>
        <w:spacing w:after="0"/>
        <w:rPr>
          <w:rFonts w:ascii="Arial" w:eastAsia="+mn-ea" w:hAnsi="Arial"/>
          <w:b/>
          <w:bCs/>
          <w:color w:val="000000"/>
          <w:kern w:val="24"/>
          <w:sz w:val="22"/>
          <w:lang w:val="en-GB"/>
        </w:rPr>
      </w:pPr>
    </w:p>
    <w:p w14:paraId="2C9AB13D" w14:textId="03848EE5" w:rsidR="00485978" w:rsidRDefault="00344C17">
      <w:pPr>
        <w:spacing w:after="0" w:line="240" w:lineRule="auto"/>
        <w:rPr>
          <w:rFonts w:ascii="Arial" w:eastAsia="+mn-ea" w:hAnsi="Arial"/>
          <w:b/>
          <w:bCs/>
          <w:color w:val="000000"/>
          <w:kern w:val="24"/>
          <w:sz w:val="22"/>
          <w:lang w:val="en-GB"/>
        </w:rPr>
      </w:pPr>
      <w:r>
        <w:rPr>
          <w:rFonts w:ascii="Arial" w:eastAsia="+mn-ea" w:hAnsi="Arial"/>
          <w:b/>
          <w:bCs/>
          <w:color w:val="000000"/>
          <w:kern w:val="24"/>
          <w:sz w:val="22"/>
          <w:lang w:val="en-GB"/>
        </w:rPr>
        <w:t>Fig. S6</w:t>
      </w:r>
      <w:r w:rsidR="00E210C0">
        <w:rPr>
          <w:rFonts w:ascii="Arial" w:eastAsia="+mn-ea" w:hAnsi="Arial"/>
          <w:b/>
          <w:bCs/>
          <w:color w:val="000000"/>
          <w:kern w:val="24"/>
          <w:sz w:val="22"/>
          <w:lang w:val="en-GB"/>
        </w:rPr>
        <w:t xml:space="preserve"> related to Fig. 6C. Molecular mechanisms controlling cell cycle re-entry.</w:t>
      </w:r>
      <w:r w:rsidR="00E210C0">
        <w:rPr>
          <w:rFonts w:ascii="Arial" w:eastAsia="+mn-ea" w:hAnsi="Arial"/>
          <w:bCs/>
          <w:color w:val="000000"/>
          <w:kern w:val="24"/>
          <w:sz w:val="22"/>
          <w:lang w:val="en-GB"/>
        </w:rPr>
        <w:t xml:space="preserve"> A gene association network was constructed between putative regulators of cell cycle re-entry by combining co-expression analysis (GRENITS, probability linkage score &gt;0.25) shown as solid grey edges and functional association between genes (STRING v 10.0, combined probability score &gt;0.8) shown as dashed black edges, while associations stemming from both analyses are shown as solid black lines. Transcripts that were differentially expressed by RE1 (■), RE2 (●) and RE3 (♦) are indicated according to their increased (red) or decreased (blue) transcrip</w:t>
      </w:r>
      <w:r w:rsidR="00B406A9">
        <w:rPr>
          <w:rFonts w:ascii="Arial" w:eastAsia="+mn-ea" w:hAnsi="Arial"/>
          <w:bCs/>
          <w:color w:val="000000"/>
          <w:kern w:val="24"/>
          <w:sz w:val="22"/>
          <w:lang w:val="en-GB"/>
        </w:rPr>
        <w:t>t abundance. Genes of interest</w:t>
      </w:r>
      <w:r w:rsidR="00E210C0">
        <w:rPr>
          <w:rFonts w:ascii="Arial" w:eastAsia="+mn-ea" w:hAnsi="Arial"/>
          <w:bCs/>
          <w:color w:val="000000"/>
          <w:kern w:val="24"/>
          <w:sz w:val="22"/>
          <w:lang w:val="en-GB"/>
        </w:rPr>
        <w:t xml:space="preserve"> are indicated by gene symbol on the network, (RR=ribonucleoside-diphosphate reductase large (l) subunit, PF3D7_1437200 and small subunit (s), PF3D7_1015800, ApiAP2 (1)=PF3D7_0613800, ApiAP2 (2)=PF3D7_0802100) while genes that were not subsequently analysed were collapsed into pie diagrams in terms of their functional cluster as indicated by legend. </w:t>
      </w:r>
    </w:p>
    <w:p w14:paraId="458E3E7C" w14:textId="77777777" w:rsidR="00485978" w:rsidRDefault="00485978">
      <w:pPr>
        <w:widowControl w:val="0"/>
        <w:autoSpaceDE w:val="0"/>
        <w:autoSpaceDN w:val="0"/>
        <w:adjustRightInd w:val="0"/>
        <w:spacing w:after="0" w:line="240" w:lineRule="auto"/>
        <w:rPr>
          <w:rFonts w:ascii="Arial" w:hAnsi="Arial"/>
          <w:b/>
          <w:sz w:val="28"/>
          <w:szCs w:val="28"/>
        </w:rPr>
      </w:pPr>
    </w:p>
    <w:p w14:paraId="7D000644" w14:textId="77777777" w:rsidR="00485978" w:rsidRDefault="00E210C0">
      <w:pPr>
        <w:spacing w:after="160" w:line="259" w:lineRule="auto"/>
        <w:jc w:val="left"/>
        <w:rPr>
          <w:rFonts w:ascii="Arial" w:hAnsi="Arial"/>
          <w:b/>
          <w:sz w:val="28"/>
          <w:szCs w:val="28"/>
        </w:rPr>
      </w:pPr>
      <w:r>
        <w:rPr>
          <w:rFonts w:ascii="Arial" w:hAnsi="Arial"/>
          <w:b/>
          <w:sz w:val="28"/>
          <w:szCs w:val="28"/>
        </w:rPr>
        <w:br w:type="page"/>
      </w:r>
    </w:p>
    <w:p w14:paraId="04FD5C23" w14:textId="77777777" w:rsidR="00485978" w:rsidRDefault="00485978">
      <w:pPr>
        <w:widowControl w:val="0"/>
        <w:autoSpaceDE w:val="0"/>
        <w:autoSpaceDN w:val="0"/>
        <w:adjustRightInd w:val="0"/>
        <w:spacing w:after="0" w:line="240" w:lineRule="auto"/>
        <w:rPr>
          <w:rFonts w:ascii="Arial" w:hAnsi="Arial"/>
          <w:b/>
          <w:sz w:val="28"/>
          <w:szCs w:val="28"/>
        </w:rPr>
      </w:pPr>
    </w:p>
    <w:p w14:paraId="06C460E4" w14:textId="77777777" w:rsidR="00485978" w:rsidRDefault="00485978">
      <w:pPr>
        <w:pStyle w:val="ListParagraph"/>
        <w:rPr>
          <w:rFonts w:ascii="Arial" w:hAnsi="Arial"/>
          <w:b/>
          <w:sz w:val="28"/>
          <w:szCs w:val="28"/>
        </w:rPr>
      </w:pPr>
    </w:p>
    <w:p w14:paraId="36C5CAD1" w14:textId="77777777" w:rsidR="00485978" w:rsidRDefault="00E210C0">
      <w:pPr>
        <w:pStyle w:val="ListParagraph"/>
        <w:numPr>
          <w:ilvl w:val="0"/>
          <w:numId w:val="3"/>
        </w:numPr>
        <w:rPr>
          <w:rFonts w:ascii="Arial" w:hAnsi="Arial"/>
          <w:b/>
          <w:sz w:val="28"/>
          <w:szCs w:val="28"/>
        </w:rPr>
      </w:pPr>
      <w:r>
        <w:rPr>
          <w:rFonts w:ascii="Arial" w:hAnsi="Arial"/>
          <w:b/>
          <w:sz w:val="28"/>
          <w:szCs w:val="28"/>
        </w:rPr>
        <w:t>Supplementary Files</w:t>
      </w:r>
    </w:p>
    <w:p w14:paraId="5D029269" w14:textId="77777777" w:rsidR="00485978" w:rsidRDefault="00E210C0">
      <w:pPr>
        <w:rPr>
          <w:rFonts w:ascii="Arial" w:hAnsi="Arial"/>
          <w:sz w:val="22"/>
          <w:szCs w:val="22"/>
          <w:lang w:val="en-US"/>
        </w:rPr>
      </w:pPr>
      <w:r>
        <w:rPr>
          <w:rFonts w:ascii="Arial" w:hAnsi="Arial"/>
          <w:sz w:val="22"/>
          <w:szCs w:val="22"/>
          <w:lang w:val="en-US"/>
        </w:rPr>
        <w:t xml:space="preserve">Supplementary File S1 – Complete transcriptome dataset </w:t>
      </w:r>
    </w:p>
    <w:p w14:paraId="46B7A1DB" w14:textId="77777777" w:rsidR="00485978" w:rsidRDefault="00E210C0">
      <w:pPr>
        <w:rPr>
          <w:rFonts w:ascii="Arial" w:hAnsi="Arial"/>
          <w:sz w:val="22"/>
          <w:szCs w:val="22"/>
          <w:lang w:val="en-US"/>
        </w:rPr>
      </w:pPr>
      <w:r>
        <w:rPr>
          <w:rFonts w:ascii="Arial" w:hAnsi="Arial"/>
          <w:sz w:val="22"/>
          <w:szCs w:val="22"/>
          <w:lang w:val="en-US"/>
        </w:rPr>
        <w:t xml:space="preserve">Supplementary File S2 – Functional clusters </w:t>
      </w:r>
    </w:p>
    <w:p w14:paraId="0DC934FD" w14:textId="77777777" w:rsidR="00485978" w:rsidRDefault="00E210C0">
      <w:pPr>
        <w:rPr>
          <w:rFonts w:ascii="Arial" w:hAnsi="Arial"/>
          <w:sz w:val="22"/>
          <w:szCs w:val="22"/>
          <w:lang w:val="en-US"/>
        </w:rPr>
      </w:pPr>
      <w:r>
        <w:rPr>
          <w:rFonts w:ascii="Arial" w:hAnsi="Arial"/>
          <w:sz w:val="22"/>
          <w:szCs w:val="22"/>
          <w:lang w:val="en-US"/>
        </w:rPr>
        <w:t xml:space="preserve">Supplementary File S3 – Cell cycle compartment analysis </w:t>
      </w:r>
    </w:p>
    <w:p w14:paraId="7B028CFF" w14:textId="77777777" w:rsidR="00485978" w:rsidRDefault="00E210C0">
      <w:pPr>
        <w:rPr>
          <w:rFonts w:ascii="Arial" w:hAnsi="Arial"/>
          <w:sz w:val="22"/>
          <w:szCs w:val="22"/>
          <w:lang w:val="en-US"/>
        </w:rPr>
      </w:pPr>
      <w:r>
        <w:rPr>
          <w:rFonts w:ascii="Arial" w:hAnsi="Arial"/>
          <w:sz w:val="22"/>
          <w:szCs w:val="22"/>
          <w:lang w:val="en-US"/>
        </w:rPr>
        <w:t>Supplementary File S4 – Gene association network</w:t>
      </w:r>
    </w:p>
    <w:sectPr w:rsidR="00485978">
      <w:pgSz w:w="12240" w:h="15840"/>
      <w:pgMar w:top="1426" w:right="1440" w:bottom="94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mn-e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457096"/>
    <w:multiLevelType w:val="multilevel"/>
    <w:tmpl w:val="5408125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2565"/>
        </w:tabs>
        <w:ind w:left="2565"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545A3907"/>
    <w:multiLevelType w:val="hybridMultilevel"/>
    <w:tmpl w:val="6EA080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39476E"/>
    <w:multiLevelType w:val="hybridMultilevel"/>
    <w:tmpl w:val="615A57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978"/>
    <w:rsid w:val="0008653D"/>
    <w:rsid w:val="001002C3"/>
    <w:rsid w:val="001835F8"/>
    <w:rsid w:val="0025351E"/>
    <w:rsid w:val="002636FE"/>
    <w:rsid w:val="00287C7A"/>
    <w:rsid w:val="00344C17"/>
    <w:rsid w:val="003B5F40"/>
    <w:rsid w:val="00485978"/>
    <w:rsid w:val="004F22A7"/>
    <w:rsid w:val="006E6B81"/>
    <w:rsid w:val="00813C71"/>
    <w:rsid w:val="008B4FD3"/>
    <w:rsid w:val="00901B0F"/>
    <w:rsid w:val="009846AF"/>
    <w:rsid w:val="00B406A9"/>
    <w:rsid w:val="00B40FE0"/>
    <w:rsid w:val="00B52EE6"/>
    <w:rsid w:val="00B838BC"/>
    <w:rsid w:val="00BE1B3A"/>
    <w:rsid w:val="00DF0378"/>
    <w:rsid w:val="00E210C0"/>
    <w:rsid w:val="00E62D99"/>
    <w:rsid w:val="00E846DE"/>
    <w:rsid w:val="00ED0F24"/>
    <w:rsid w:val="00F87B74"/>
    <w:rsid w:val="00FB1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EFA69"/>
  <w15:chartTrackingRefBased/>
  <w15:docId w15:val="{3C60F626-258D-42E7-A753-62032BC7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360" w:lineRule="auto"/>
      <w:jc w:val="both"/>
    </w:pPr>
    <w:rPr>
      <w:rFonts w:ascii="Tahoma" w:hAnsi="Tahoma" w:cs="Arial"/>
      <w:sz w:val="24"/>
      <w:szCs w:val="24"/>
      <w:lang w:val="en-ZA"/>
    </w:rPr>
  </w:style>
  <w:style w:type="paragraph" w:styleId="Heading1">
    <w:name w:val="heading 1"/>
    <w:basedOn w:val="Normal"/>
    <w:next w:val="Normal"/>
    <w:link w:val="Heading1Char"/>
    <w:uiPriority w:val="99"/>
    <w:qFormat/>
    <w:pPr>
      <w:keepNext/>
      <w:numPr>
        <w:numId w:val="1"/>
      </w:numPr>
      <w:spacing w:before="240" w:after="60"/>
      <w:outlineLvl w:val="0"/>
    </w:pPr>
    <w:rPr>
      <w:rFonts w:eastAsia="Times New Roman" w:cs="Tahoma"/>
      <w:b/>
      <w:bCs/>
      <w:kern w:val="32"/>
      <w:sz w:val="32"/>
      <w:szCs w:val="32"/>
      <w:lang w:val="en-GB"/>
    </w:rPr>
  </w:style>
  <w:style w:type="paragraph" w:styleId="Heading2">
    <w:name w:val="heading 2"/>
    <w:basedOn w:val="Normal"/>
    <w:next w:val="Normal"/>
    <w:link w:val="Heading2Char"/>
    <w:uiPriority w:val="99"/>
    <w:qFormat/>
    <w:pPr>
      <w:keepNext/>
      <w:numPr>
        <w:ilvl w:val="1"/>
        <w:numId w:val="1"/>
      </w:numPr>
      <w:spacing w:before="240" w:after="60"/>
      <w:outlineLvl w:val="1"/>
    </w:pPr>
    <w:rPr>
      <w:rFonts w:eastAsia="Times New Roman" w:cs="Tahoma"/>
      <w:b/>
      <w:bCs/>
      <w:i/>
      <w:iCs/>
      <w:sz w:val="28"/>
      <w:szCs w:val="28"/>
      <w:lang w:val="en-GB"/>
    </w:rPr>
  </w:style>
  <w:style w:type="paragraph" w:styleId="Heading3">
    <w:name w:val="heading 3"/>
    <w:basedOn w:val="Normal"/>
    <w:next w:val="Normal"/>
    <w:link w:val="Heading3Char"/>
    <w:uiPriority w:val="99"/>
    <w:qFormat/>
    <w:pPr>
      <w:keepNext/>
      <w:numPr>
        <w:ilvl w:val="2"/>
        <w:numId w:val="1"/>
      </w:numPr>
      <w:spacing w:before="240" w:after="60"/>
      <w:outlineLvl w:val="2"/>
    </w:pPr>
    <w:rPr>
      <w:rFonts w:eastAsia="Times New Roman" w:cs="Tahoma"/>
      <w:b/>
      <w:bCs/>
      <w:u w:val="single"/>
      <w:lang w:val="en-GB"/>
    </w:rPr>
  </w:style>
  <w:style w:type="paragraph" w:styleId="Heading4">
    <w:name w:val="heading 4"/>
    <w:basedOn w:val="Normal"/>
    <w:next w:val="Normal"/>
    <w:link w:val="Heading4Char"/>
    <w:autoRedefine/>
    <w:uiPriority w:val="99"/>
    <w:qFormat/>
    <w:pPr>
      <w:keepNext/>
      <w:numPr>
        <w:ilvl w:val="3"/>
        <w:numId w:val="1"/>
      </w:numPr>
      <w:tabs>
        <w:tab w:val="clear" w:pos="2565"/>
        <w:tab w:val="num" w:pos="1701"/>
      </w:tabs>
      <w:spacing w:before="240" w:after="60"/>
      <w:outlineLvl w:val="3"/>
    </w:pPr>
    <w:rPr>
      <w:rFonts w:eastAsia="Times New Roman" w:cs="Tahoma"/>
      <w:b/>
      <w:bCs/>
      <w:sz w:val="22"/>
      <w:szCs w:val="22"/>
      <w:lang w:val="en-GB"/>
    </w:rPr>
  </w:style>
  <w:style w:type="paragraph" w:styleId="Heading5">
    <w:name w:val="heading 5"/>
    <w:basedOn w:val="Normal"/>
    <w:next w:val="Normal"/>
    <w:link w:val="Heading5Char"/>
    <w:uiPriority w:val="99"/>
    <w:qFormat/>
    <w:pPr>
      <w:numPr>
        <w:ilvl w:val="4"/>
        <w:numId w:val="1"/>
      </w:numPr>
      <w:spacing w:before="240" w:after="60"/>
      <w:outlineLvl w:val="4"/>
    </w:pPr>
    <w:rPr>
      <w:rFonts w:eastAsia="Times New Roman" w:cs="Tahoma"/>
      <w:b/>
      <w:bCs/>
      <w:i/>
      <w:iCs/>
      <w:sz w:val="26"/>
      <w:szCs w:val="26"/>
      <w:lang w:val="en-GB"/>
    </w:rPr>
  </w:style>
  <w:style w:type="paragraph" w:styleId="Heading6">
    <w:name w:val="heading 6"/>
    <w:basedOn w:val="Normal"/>
    <w:next w:val="Normal"/>
    <w:link w:val="Heading6Char"/>
    <w:uiPriority w:val="99"/>
    <w:qFormat/>
    <w:pPr>
      <w:numPr>
        <w:ilvl w:val="5"/>
        <w:numId w:val="1"/>
      </w:numPr>
      <w:spacing w:before="240" w:after="60"/>
      <w:outlineLvl w:val="5"/>
    </w:pPr>
    <w:rPr>
      <w:rFonts w:ascii="Times New Roman" w:eastAsia="Times New Roman" w:hAnsi="Times New Roman" w:cs="Times New Roman"/>
      <w:b/>
      <w:bCs/>
      <w:sz w:val="22"/>
      <w:szCs w:val="22"/>
      <w:lang w:val="en-GB"/>
    </w:rPr>
  </w:style>
  <w:style w:type="paragraph" w:styleId="Heading7">
    <w:name w:val="heading 7"/>
    <w:basedOn w:val="Normal"/>
    <w:next w:val="Normal"/>
    <w:link w:val="Heading7Char"/>
    <w:uiPriority w:val="99"/>
    <w:qFormat/>
    <w:pPr>
      <w:numPr>
        <w:ilvl w:val="6"/>
        <w:numId w:val="1"/>
      </w:numPr>
      <w:spacing w:before="240" w:after="60"/>
      <w:outlineLvl w:val="6"/>
    </w:pPr>
    <w:rPr>
      <w:rFonts w:ascii="Times New Roman" w:eastAsia="Times New Roman" w:hAnsi="Times New Roman" w:cs="Times New Roman"/>
      <w:lang w:val="en-GB"/>
    </w:rPr>
  </w:style>
  <w:style w:type="paragraph" w:styleId="Heading8">
    <w:name w:val="heading 8"/>
    <w:basedOn w:val="Normal"/>
    <w:next w:val="Normal"/>
    <w:link w:val="Heading8Char"/>
    <w:uiPriority w:val="99"/>
    <w:qFormat/>
    <w:pPr>
      <w:numPr>
        <w:ilvl w:val="7"/>
        <w:numId w:val="1"/>
      </w:numPr>
      <w:spacing w:before="240" w:after="60"/>
      <w:outlineLvl w:val="7"/>
    </w:pPr>
    <w:rPr>
      <w:rFonts w:ascii="Times New Roman" w:eastAsia="Times New Roman" w:hAnsi="Times New Roman" w:cs="Times New Roman"/>
      <w:i/>
      <w:iCs/>
      <w:lang w:val="en-GB"/>
    </w:rPr>
  </w:style>
  <w:style w:type="paragraph" w:styleId="Heading9">
    <w:name w:val="heading 9"/>
    <w:basedOn w:val="Normal"/>
    <w:next w:val="Normal"/>
    <w:link w:val="Heading9Char"/>
    <w:uiPriority w:val="99"/>
    <w:qFormat/>
    <w:pPr>
      <w:numPr>
        <w:ilvl w:val="8"/>
        <w:numId w:val="1"/>
      </w:numPr>
      <w:spacing w:before="240" w:after="60"/>
      <w:outlineLvl w:val="8"/>
    </w:pPr>
    <w:rPr>
      <w:rFonts w:eastAsia="Times New Roman" w:cs="Tahoma"/>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rFonts w:ascii="Tahoma" w:hAnsi="Tahoma" w:cs="Arial"/>
      <w:sz w:val="24"/>
      <w:szCs w:val="24"/>
      <w:lang w:val="en-ZA"/>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ZA"/>
    </w:rPr>
  </w:style>
  <w:style w:type="character" w:customStyle="1" w:styleId="Heading1Char">
    <w:name w:val="Heading 1 Char"/>
    <w:basedOn w:val="DefaultParagraphFont"/>
    <w:link w:val="Heading1"/>
    <w:uiPriority w:val="99"/>
    <w:rPr>
      <w:rFonts w:ascii="Tahoma" w:eastAsia="Times New Roman" w:hAnsi="Tahoma" w:cs="Tahoma"/>
      <w:b/>
      <w:bCs/>
      <w:kern w:val="32"/>
      <w:sz w:val="32"/>
      <w:szCs w:val="32"/>
      <w:lang w:val="en-GB"/>
    </w:rPr>
  </w:style>
  <w:style w:type="character" w:customStyle="1" w:styleId="Heading2Char">
    <w:name w:val="Heading 2 Char"/>
    <w:basedOn w:val="DefaultParagraphFont"/>
    <w:link w:val="Heading2"/>
    <w:uiPriority w:val="99"/>
    <w:rPr>
      <w:rFonts w:ascii="Tahoma" w:eastAsia="Times New Roman" w:hAnsi="Tahoma" w:cs="Tahoma"/>
      <w:b/>
      <w:bCs/>
      <w:i/>
      <w:iCs/>
      <w:sz w:val="28"/>
      <w:szCs w:val="28"/>
      <w:lang w:val="en-GB"/>
    </w:rPr>
  </w:style>
  <w:style w:type="character" w:customStyle="1" w:styleId="Heading3Char">
    <w:name w:val="Heading 3 Char"/>
    <w:basedOn w:val="DefaultParagraphFont"/>
    <w:link w:val="Heading3"/>
    <w:uiPriority w:val="99"/>
    <w:rPr>
      <w:rFonts w:ascii="Tahoma" w:eastAsia="Times New Roman" w:hAnsi="Tahoma" w:cs="Tahoma"/>
      <w:b/>
      <w:bCs/>
      <w:sz w:val="24"/>
      <w:szCs w:val="24"/>
      <w:u w:val="single"/>
      <w:lang w:val="en-GB"/>
    </w:rPr>
  </w:style>
  <w:style w:type="character" w:customStyle="1" w:styleId="Heading4Char">
    <w:name w:val="Heading 4 Char"/>
    <w:basedOn w:val="DefaultParagraphFont"/>
    <w:link w:val="Heading4"/>
    <w:uiPriority w:val="99"/>
    <w:rPr>
      <w:rFonts w:ascii="Tahoma" w:eastAsia="Times New Roman" w:hAnsi="Tahoma" w:cs="Tahoma"/>
      <w:b/>
      <w:bCs/>
      <w:lang w:val="en-GB"/>
    </w:rPr>
  </w:style>
  <w:style w:type="character" w:customStyle="1" w:styleId="Heading5Char">
    <w:name w:val="Heading 5 Char"/>
    <w:basedOn w:val="DefaultParagraphFont"/>
    <w:link w:val="Heading5"/>
    <w:uiPriority w:val="99"/>
    <w:rPr>
      <w:rFonts w:ascii="Tahoma" w:eastAsia="Times New Roman" w:hAnsi="Tahoma" w:cs="Tahoma"/>
      <w:b/>
      <w:bCs/>
      <w:i/>
      <w:iCs/>
      <w:sz w:val="26"/>
      <w:szCs w:val="26"/>
      <w:lang w:val="en-GB"/>
    </w:rPr>
  </w:style>
  <w:style w:type="character" w:customStyle="1" w:styleId="Heading6Char">
    <w:name w:val="Heading 6 Char"/>
    <w:basedOn w:val="DefaultParagraphFont"/>
    <w:link w:val="Heading6"/>
    <w:uiPriority w:val="99"/>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uiPriority w:val="99"/>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9"/>
    <w:rPr>
      <w:rFonts w:ascii="Tahoma" w:eastAsia="Times New Roman" w:hAnsi="Tahoma" w:cs="Tahoma"/>
      <w:lang w:val="en-GB"/>
    </w:rPr>
  </w:style>
  <w:style w:type="paragraph" w:styleId="BodyText">
    <w:name w:val="Body Text"/>
    <w:basedOn w:val="Normal"/>
    <w:link w:val="BodyTextChar"/>
    <w:pPr>
      <w:spacing w:after="0"/>
    </w:pPr>
    <w:rPr>
      <w:rFonts w:eastAsia="Times New Roman" w:cs="Tahoma"/>
      <w:lang w:val="en-GB"/>
    </w:rPr>
  </w:style>
  <w:style w:type="character" w:customStyle="1" w:styleId="BodyTextChar">
    <w:name w:val="Body Text Char"/>
    <w:basedOn w:val="DefaultParagraphFont"/>
    <w:link w:val="BodyText"/>
    <w:rPr>
      <w:rFonts w:ascii="Tahoma" w:eastAsia="Times New Roman" w:hAnsi="Tahoma" w:cs="Tahoma"/>
      <w:sz w:val="24"/>
      <w:szCs w:val="24"/>
      <w:lang w:val="en-GB"/>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customStyle="1" w:styleId="EndNoteBibliography">
    <w:name w:val="EndNote Bibliography"/>
    <w:basedOn w:val="Normal"/>
    <w:pPr>
      <w:spacing w:line="240" w:lineRule="auto"/>
    </w:pPr>
    <w:rPr>
      <w:rFonts w:cs="Tahoma"/>
      <w:sz w:val="20"/>
      <w:lang w:val="en-US"/>
    </w:rPr>
  </w:style>
  <w:style w:type="paragraph" w:styleId="CommentSubject">
    <w:name w:val="annotation subject"/>
    <w:basedOn w:val="CommentText"/>
    <w:next w:val="CommentText"/>
    <w:link w:val="CommentSubjectChar"/>
    <w:uiPriority w:val="99"/>
    <w:semiHidden/>
    <w:unhideWhenUsed/>
    <w:rPr>
      <w:b/>
      <w:bCs/>
      <w:sz w:val="20"/>
      <w:szCs w:val="20"/>
    </w:rPr>
  </w:style>
  <w:style w:type="character" w:customStyle="1" w:styleId="CommentSubjectChar">
    <w:name w:val="Comment Subject Char"/>
    <w:basedOn w:val="CommentTextChar"/>
    <w:link w:val="CommentSubject"/>
    <w:uiPriority w:val="99"/>
    <w:semiHidden/>
    <w:rPr>
      <w:rFonts w:ascii="Tahoma" w:hAnsi="Tahoma" w:cs="Arial"/>
      <w:b/>
      <w:bCs/>
      <w:sz w:val="20"/>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www.yeastgenome.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lbirkholtz@up.ac.za" TargetMode="Externa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6.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Ri&#235;tte\Documents\Data%20msc\Data%20msc\qPCR%20DFMO\relative%20quantification%20DFMO%20gen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52029761988911"/>
          <c:y val="5.0925925925925923E-2"/>
          <c:w val="0.86975195201138455"/>
          <c:h val="0.68382363662875478"/>
        </c:manualLayout>
      </c:layout>
      <c:barChart>
        <c:barDir val="col"/>
        <c:grouping val="clustered"/>
        <c:varyColors val="0"/>
        <c:ser>
          <c:idx val="0"/>
          <c:order val="0"/>
          <c:tx>
            <c:strRef>
              <c:f>Sheet1!$B$27</c:f>
              <c:strCache>
                <c:ptCount val="1"/>
                <c:pt idx="0">
                  <c:v>24 h qPCR</c:v>
                </c:pt>
              </c:strCache>
            </c:strRef>
          </c:tx>
          <c:spPr>
            <a:pattFill prst="smCheck">
              <a:fgClr>
                <a:schemeClr val="tx1"/>
              </a:fgClr>
              <a:bgClr>
                <a:schemeClr val="bg1"/>
              </a:bgClr>
            </a:pattFill>
            <a:ln>
              <a:solidFill>
                <a:schemeClr val="bg1">
                  <a:lumMod val="50000"/>
                </a:schemeClr>
              </a:solidFill>
            </a:ln>
            <a:effectLst/>
          </c:spPr>
          <c:invertIfNegative val="0"/>
          <c:cat>
            <c:strRef>
              <c:f>Sheet1!$A$28:$A$32</c:f>
              <c:strCache>
                <c:ptCount val="5"/>
                <c:pt idx="0">
                  <c:v>PF3D7_1356900</c:v>
                </c:pt>
                <c:pt idx="1">
                  <c:v>PF3D7_1227500</c:v>
                </c:pt>
                <c:pt idx="2">
                  <c:v>PF3D7_0217500</c:v>
                </c:pt>
                <c:pt idx="3">
                  <c:v>PF3D7_1228300</c:v>
                </c:pt>
                <c:pt idx="4">
                  <c:v>PF3D7_0617900</c:v>
                </c:pt>
              </c:strCache>
            </c:strRef>
          </c:cat>
          <c:val>
            <c:numRef>
              <c:f>Sheet1!$B$28:$B$32</c:f>
              <c:numCache>
                <c:formatCode>General</c:formatCode>
                <c:ptCount val="5"/>
                <c:pt idx="0">
                  <c:v>-0.69950326454105238</c:v>
                </c:pt>
                <c:pt idx="1">
                  <c:v>-3.4269098040479968</c:v>
                </c:pt>
                <c:pt idx="2">
                  <c:v>-4.6395062850121489</c:v>
                </c:pt>
                <c:pt idx="3">
                  <c:v>-1.1983015445514977</c:v>
                </c:pt>
                <c:pt idx="4">
                  <c:v>-1.3284316930204694</c:v>
                </c:pt>
              </c:numCache>
            </c:numRef>
          </c:val>
          <c:extLst>
            <c:ext xmlns:c16="http://schemas.microsoft.com/office/drawing/2014/chart" uri="{C3380CC4-5D6E-409C-BE32-E72D297353CC}">
              <c16:uniqueId val="{00000000-E8F7-874B-A494-0D356BF98E45}"/>
            </c:ext>
          </c:extLst>
        </c:ser>
        <c:ser>
          <c:idx val="1"/>
          <c:order val="1"/>
          <c:tx>
            <c:strRef>
              <c:f>Sheet1!$C$27</c:f>
              <c:strCache>
                <c:ptCount val="1"/>
                <c:pt idx="0">
                  <c:v>24 h Microarray</c:v>
                </c:pt>
              </c:strCache>
            </c:strRef>
          </c:tx>
          <c:spPr>
            <a:solidFill>
              <a:schemeClr val="tx1"/>
            </a:solidFill>
            <a:ln>
              <a:solidFill>
                <a:schemeClr val="tx1"/>
              </a:solidFill>
            </a:ln>
            <a:effectLst/>
          </c:spPr>
          <c:invertIfNegative val="0"/>
          <c:cat>
            <c:strRef>
              <c:f>Sheet1!$A$28:$A$32</c:f>
              <c:strCache>
                <c:ptCount val="5"/>
                <c:pt idx="0">
                  <c:v>PF3D7_1356900</c:v>
                </c:pt>
                <c:pt idx="1">
                  <c:v>PF3D7_1227500</c:v>
                </c:pt>
                <c:pt idx="2">
                  <c:v>PF3D7_0217500</c:v>
                </c:pt>
                <c:pt idx="3">
                  <c:v>PF3D7_1228300</c:v>
                </c:pt>
                <c:pt idx="4">
                  <c:v>PF3D7_0617900</c:v>
                </c:pt>
              </c:strCache>
            </c:strRef>
          </c:cat>
          <c:val>
            <c:numRef>
              <c:f>Sheet1!$C$28:$C$32</c:f>
              <c:numCache>
                <c:formatCode>General</c:formatCode>
                <c:ptCount val="5"/>
                <c:pt idx="0">
                  <c:v>-0.7562586467500001</c:v>
                </c:pt>
                <c:pt idx="1">
                  <c:v>-2.4989370032499996</c:v>
                </c:pt>
                <c:pt idx="2">
                  <c:v>-3.0316966134999999</c:v>
                </c:pt>
                <c:pt idx="3">
                  <c:v>-0.77498298125000009</c:v>
                </c:pt>
                <c:pt idx="4">
                  <c:v>-0.53900755024999991</c:v>
                </c:pt>
              </c:numCache>
            </c:numRef>
          </c:val>
          <c:extLst>
            <c:ext xmlns:c16="http://schemas.microsoft.com/office/drawing/2014/chart" uri="{C3380CC4-5D6E-409C-BE32-E72D297353CC}">
              <c16:uniqueId val="{00000001-E8F7-874B-A494-0D356BF98E45}"/>
            </c:ext>
          </c:extLst>
        </c:ser>
        <c:ser>
          <c:idx val="2"/>
          <c:order val="2"/>
          <c:tx>
            <c:strRef>
              <c:f>Sheet1!$D$27</c:f>
              <c:strCache>
                <c:ptCount val="1"/>
                <c:pt idx="0">
                  <c:v>30 h qPCR</c:v>
                </c:pt>
              </c:strCache>
            </c:strRef>
          </c:tx>
          <c:spPr>
            <a:pattFill prst="smCheck">
              <a:fgClr>
                <a:schemeClr val="bg1">
                  <a:lumMod val="50000"/>
                </a:schemeClr>
              </a:fgClr>
              <a:bgClr>
                <a:schemeClr val="bg1"/>
              </a:bgClr>
            </a:pattFill>
            <a:ln>
              <a:solidFill>
                <a:schemeClr val="bg1">
                  <a:lumMod val="75000"/>
                </a:schemeClr>
              </a:solidFill>
            </a:ln>
            <a:effectLst/>
          </c:spPr>
          <c:invertIfNegative val="0"/>
          <c:cat>
            <c:strRef>
              <c:f>Sheet1!$A$28:$A$32</c:f>
              <c:strCache>
                <c:ptCount val="5"/>
                <c:pt idx="0">
                  <c:v>PF3D7_1356900</c:v>
                </c:pt>
                <c:pt idx="1">
                  <c:v>PF3D7_1227500</c:v>
                </c:pt>
                <c:pt idx="2">
                  <c:v>PF3D7_0217500</c:v>
                </c:pt>
                <c:pt idx="3">
                  <c:v>PF3D7_1228300</c:v>
                </c:pt>
                <c:pt idx="4">
                  <c:v>PF3D7_0617900</c:v>
                </c:pt>
              </c:strCache>
            </c:strRef>
          </c:cat>
          <c:val>
            <c:numRef>
              <c:f>Sheet1!$D$28:$D$32</c:f>
              <c:numCache>
                <c:formatCode>General</c:formatCode>
                <c:ptCount val="5"/>
                <c:pt idx="0">
                  <c:v>1.1736456278987812</c:v>
                </c:pt>
                <c:pt idx="1">
                  <c:v>1.9870260664036994</c:v>
                </c:pt>
                <c:pt idx="2">
                  <c:v>2.1746510066906839</c:v>
                </c:pt>
                <c:pt idx="3">
                  <c:v>0.29030169992393423</c:v>
                </c:pt>
                <c:pt idx="4">
                  <c:v>0.55134651545354485</c:v>
                </c:pt>
              </c:numCache>
            </c:numRef>
          </c:val>
          <c:extLst>
            <c:ext xmlns:c16="http://schemas.microsoft.com/office/drawing/2014/chart" uri="{C3380CC4-5D6E-409C-BE32-E72D297353CC}">
              <c16:uniqueId val="{00000002-E8F7-874B-A494-0D356BF98E45}"/>
            </c:ext>
          </c:extLst>
        </c:ser>
        <c:ser>
          <c:idx val="3"/>
          <c:order val="3"/>
          <c:tx>
            <c:strRef>
              <c:f>Sheet1!$E$27</c:f>
              <c:strCache>
                <c:ptCount val="1"/>
                <c:pt idx="0">
                  <c:v>30 h Microarray</c:v>
                </c:pt>
              </c:strCache>
            </c:strRef>
          </c:tx>
          <c:spPr>
            <a:solidFill>
              <a:schemeClr val="tx1">
                <a:lumMod val="50000"/>
                <a:lumOff val="50000"/>
              </a:schemeClr>
            </a:solidFill>
            <a:ln>
              <a:solidFill>
                <a:schemeClr val="tx1">
                  <a:lumMod val="65000"/>
                  <a:lumOff val="35000"/>
                </a:schemeClr>
              </a:solidFill>
            </a:ln>
            <a:effectLst/>
          </c:spPr>
          <c:invertIfNegative val="0"/>
          <c:cat>
            <c:strRef>
              <c:f>Sheet1!$A$28:$A$32</c:f>
              <c:strCache>
                <c:ptCount val="5"/>
                <c:pt idx="0">
                  <c:v>PF3D7_1356900</c:v>
                </c:pt>
                <c:pt idx="1">
                  <c:v>PF3D7_1227500</c:v>
                </c:pt>
                <c:pt idx="2">
                  <c:v>PF3D7_0217500</c:v>
                </c:pt>
                <c:pt idx="3">
                  <c:v>PF3D7_1228300</c:v>
                </c:pt>
                <c:pt idx="4">
                  <c:v>PF3D7_0617900</c:v>
                </c:pt>
              </c:strCache>
            </c:strRef>
          </c:cat>
          <c:val>
            <c:numRef>
              <c:f>Sheet1!$E$28:$E$32</c:f>
              <c:numCache>
                <c:formatCode>General</c:formatCode>
                <c:ptCount val="5"/>
                <c:pt idx="0">
                  <c:v>0.67489741824999983</c:v>
                </c:pt>
                <c:pt idx="1">
                  <c:v>0.29690343275000003</c:v>
                </c:pt>
                <c:pt idx="2">
                  <c:v>0.99711989275000013</c:v>
                </c:pt>
                <c:pt idx="3">
                  <c:v>0.23361303149999996</c:v>
                </c:pt>
                <c:pt idx="4">
                  <c:v>0.17223243799999996</c:v>
                </c:pt>
              </c:numCache>
            </c:numRef>
          </c:val>
          <c:extLst>
            <c:ext xmlns:c16="http://schemas.microsoft.com/office/drawing/2014/chart" uri="{C3380CC4-5D6E-409C-BE32-E72D297353CC}">
              <c16:uniqueId val="{00000003-E8F7-874B-A494-0D356BF98E45}"/>
            </c:ext>
          </c:extLst>
        </c:ser>
        <c:dLbls>
          <c:showLegendKey val="0"/>
          <c:showVal val="0"/>
          <c:showCatName val="0"/>
          <c:showSerName val="0"/>
          <c:showPercent val="0"/>
          <c:showBubbleSize val="0"/>
        </c:dLbls>
        <c:gapWidth val="219"/>
        <c:overlap val="-27"/>
        <c:axId val="700169048"/>
        <c:axId val="700174296"/>
      </c:barChart>
      <c:catAx>
        <c:axId val="700169048"/>
        <c:scaling>
          <c:orientation val="minMax"/>
        </c:scaling>
        <c:delete val="0"/>
        <c:axPos val="b"/>
        <c:numFmt formatCode="General" sourceLinked="1"/>
        <c:majorTickMark val="none"/>
        <c:minorTickMark val="none"/>
        <c:tickLblPos val="low"/>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00174296"/>
        <c:crosses val="autoZero"/>
        <c:auto val="1"/>
        <c:lblAlgn val="ctr"/>
        <c:lblOffset val="100"/>
        <c:noMultiLvlLbl val="0"/>
      </c:catAx>
      <c:valAx>
        <c:axId val="70017429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Log2(FC)</a:t>
                </a:r>
              </a:p>
            </c:rich>
          </c:tx>
          <c:layout>
            <c:manualLayout>
              <c:xMode val="edge"/>
              <c:yMode val="edge"/>
              <c:x val="7.7741180018565904E-3"/>
              <c:y val="0.2626757072032662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dk1">
                <a:shade val="95000"/>
                <a:satMod val="105000"/>
              </a:schemeClr>
            </a:solidFill>
            <a:prstDash val="soli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00169048"/>
        <c:crosses val="autoZero"/>
        <c:crossBetween val="between"/>
      </c:valAx>
      <c:spPr>
        <a:noFill/>
        <a:ln>
          <a:noFill/>
        </a:ln>
        <a:effectLst/>
      </c:spPr>
    </c:plotArea>
    <c:legend>
      <c:legendPos val="b"/>
      <c:layout>
        <c:manualLayout>
          <c:xMode val="edge"/>
          <c:yMode val="edge"/>
          <c:x val="0.73082764340274342"/>
          <c:y val="0.43576334208223982"/>
          <c:w val="0.2392220034995626"/>
          <c:h val="0.2447922134733158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545A5-7690-6D48-956A-E90B40601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1676</Words>
  <Characters>9556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 Niemand</dc:creator>
  <cp:keywords/>
  <dc:description/>
  <cp:lastModifiedBy>Prof. L Birkholtz</cp:lastModifiedBy>
  <cp:revision>3</cp:revision>
  <cp:lastPrinted>2018-07-18T09:36:00Z</cp:lastPrinted>
  <dcterms:created xsi:type="dcterms:W3CDTF">2018-08-13T09:32:00Z</dcterms:created>
  <dcterms:modified xsi:type="dcterms:W3CDTF">2018-10-15T12:01:00Z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http://www.zotero.org/styles/cell</vt:lpwstr>
  </property>
  <property fmtid="{D5CDD505-2E9C-101B-9397-08002B2CF9AE}" pid="5" name="Mendeley Recent Style Name 1_1">
    <vt:lpwstr>Cell</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http://csl.mendeley.com/styles/13237821/rvb-harvard-cite-them-right-2</vt:lpwstr>
  </property>
  <property fmtid="{D5CDD505-2E9C-101B-9397-08002B2CF9AE}" pid="9" name="Mendeley Recent Style Name 3_1">
    <vt:lpwstr>Cite Them Right 10th edition - Harvard - Riette van Biljon</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http://csl.mendeley.com/styles/13237821/vancouver-2</vt:lpwstr>
  </property>
  <property fmtid="{D5CDD505-2E9C-101B-9397-08002B2CF9AE}" pid="21" name="Mendeley Recent Style Name 9_1">
    <vt:lpwstr>Vancouver - Riette van Biljon</vt:lpwstr>
  </property>
  <property fmtid="{D5CDD505-2E9C-101B-9397-08002B2CF9AE}" pid="22" name="Mendeley Document_1">
    <vt:lpwstr>True</vt:lpwstr>
  </property>
  <property fmtid="{D5CDD505-2E9C-101B-9397-08002B2CF9AE}" pid="23" name="Mendeley Unique User Id_1">
    <vt:lpwstr>dc917f42-2c0d-3b3b-8532-df745dd2b585</vt:lpwstr>
  </property>
  <property fmtid="{D5CDD505-2E9C-101B-9397-08002B2CF9AE}" pid="24" name="Mendeley Citation Style_1">
    <vt:lpwstr>http://www.zotero.org/styles/vancouver</vt:lpwstr>
  </property>
</Properties>
</file>