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81" w:rsidRPr="0039634E" w:rsidRDefault="00275181" w:rsidP="00275181">
      <w:pPr>
        <w:pStyle w:val="Heading1"/>
        <w:spacing w:line="240" w:lineRule="auto"/>
        <w:rPr>
          <w:rFonts w:asciiTheme="majorBidi" w:hAnsiTheme="majorBidi"/>
          <w:bCs w:val="0"/>
          <w:color w:val="auto"/>
          <w:sz w:val="24"/>
          <w:szCs w:val="24"/>
          <w:lang w:val="en-GB"/>
        </w:rPr>
      </w:pPr>
      <w:r w:rsidRPr="0039634E">
        <w:rPr>
          <w:rFonts w:asciiTheme="majorBidi" w:hAnsiTheme="majorBidi"/>
          <w:bCs w:val="0"/>
          <w:color w:val="auto"/>
          <w:sz w:val="24"/>
          <w:szCs w:val="24"/>
          <w:lang w:val="en-GB"/>
        </w:rPr>
        <w:t xml:space="preserve">Supplementary information to: Evidence for ‘critical slowing down’ in seagrass: a stress gradient experiment at the southern limit of its range </w:t>
      </w:r>
    </w:p>
    <w:p w:rsidR="00275181" w:rsidRPr="0039634E" w:rsidRDefault="00275181" w:rsidP="00275181">
      <w:pPr>
        <w:spacing w:line="240" w:lineRule="auto"/>
        <w:rPr>
          <w:rFonts w:asciiTheme="majorBidi" w:hAnsiTheme="majorBidi" w:cstheme="majorBidi"/>
          <w:iCs/>
          <w:szCs w:val="24"/>
          <w:lang w:val="en-GB"/>
        </w:rPr>
      </w:pPr>
    </w:p>
    <w:p w:rsidR="00275181" w:rsidRPr="0039634E" w:rsidRDefault="00275181" w:rsidP="00275181">
      <w:pPr>
        <w:spacing w:line="240" w:lineRule="auto"/>
        <w:rPr>
          <w:rFonts w:asciiTheme="majorBidi" w:hAnsiTheme="majorBidi" w:cstheme="majorBidi"/>
          <w:bCs/>
          <w:szCs w:val="24"/>
          <w:vertAlign w:val="superscript"/>
          <w:lang w:val="en-GB"/>
        </w:rPr>
      </w:pPr>
      <w:r w:rsidRPr="0039634E">
        <w:rPr>
          <w:rFonts w:asciiTheme="majorBidi" w:hAnsiTheme="majorBidi" w:cstheme="majorBidi"/>
          <w:bCs/>
          <w:szCs w:val="24"/>
          <w:lang w:val="en-GB"/>
        </w:rPr>
        <w:t>El-Hacen M. El-Hacen</w:t>
      </w:r>
      <w:r w:rsidRPr="0039634E">
        <w:rPr>
          <w:rFonts w:asciiTheme="majorBidi" w:hAnsiTheme="majorBidi" w:cstheme="majorBidi"/>
          <w:bCs/>
          <w:szCs w:val="24"/>
          <w:vertAlign w:val="superscript"/>
          <w:lang w:val="en-GB"/>
        </w:rPr>
        <w:t>1, 2,*</w:t>
      </w:r>
      <w:r w:rsidRPr="0039634E">
        <w:rPr>
          <w:rFonts w:asciiTheme="majorBidi" w:hAnsiTheme="majorBidi" w:cstheme="majorBidi"/>
          <w:bCs/>
          <w:szCs w:val="24"/>
          <w:lang w:val="en-GB"/>
        </w:rPr>
        <w:t>, Tjeerd J. Bouma</w:t>
      </w:r>
      <w:r w:rsidRPr="0039634E">
        <w:rPr>
          <w:rFonts w:asciiTheme="majorBidi" w:hAnsiTheme="majorBidi" w:cstheme="majorBidi"/>
          <w:bCs/>
          <w:szCs w:val="24"/>
          <w:vertAlign w:val="superscript"/>
          <w:lang w:val="en-GB"/>
        </w:rPr>
        <w:t>1, 3</w:t>
      </w:r>
      <w:r w:rsidRPr="0039634E">
        <w:rPr>
          <w:rFonts w:asciiTheme="majorBidi" w:hAnsiTheme="majorBidi" w:cstheme="majorBidi"/>
          <w:bCs/>
          <w:szCs w:val="24"/>
          <w:lang w:val="en-GB"/>
        </w:rPr>
        <w:t>, Gregory S. Fivash</w:t>
      </w:r>
      <w:r w:rsidRPr="0039634E">
        <w:rPr>
          <w:rFonts w:asciiTheme="majorBidi" w:hAnsiTheme="majorBidi" w:cstheme="majorBidi"/>
          <w:bCs/>
          <w:szCs w:val="24"/>
          <w:vertAlign w:val="superscript"/>
          <w:lang w:val="en-GB"/>
        </w:rPr>
        <w:t>1, 3</w:t>
      </w:r>
      <w:r w:rsidRPr="0039634E">
        <w:rPr>
          <w:rFonts w:asciiTheme="majorBidi" w:hAnsiTheme="majorBidi" w:cstheme="majorBidi"/>
          <w:bCs/>
          <w:szCs w:val="24"/>
          <w:lang w:val="en-GB"/>
        </w:rPr>
        <w:t xml:space="preserve">, </w:t>
      </w:r>
      <w:proofErr w:type="spellStart"/>
      <w:r w:rsidRPr="0039634E">
        <w:rPr>
          <w:rFonts w:asciiTheme="majorBidi" w:hAnsiTheme="majorBidi" w:cstheme="majorBidi"/>
          <w:bCs/>
          <w:szCs w:val="24"/>
          <w:lang w:val="en-GB"/>
        </w:rPr>
        <w:t>Amadou</w:t>
      </w:r>
      <w:proofErr w:type="spellEnd"/>
      <w:r w:rsidRPr="0039634E">
        <w:rPr>
          <w:rFonts w:asciiTheme="majorBidi" w:hAnsiTheme="majorBidi" w:cstheme="majorBidi"/>
          <w:bCs/>
          <w:szCs w:val="24"/>
          <w:lang w:val="en-GB"/>
        </w:rPr>
        <w:t xml:space="preserve"> </w:t>
      </w:r>
      <w:proofErr w:type="spellStart"/>
      <w:r w:rsidRPr="0039634E">
        <w:rPr>
          <w:rFonts w:asciiTheme="majorBidi" w:hAnsiTheme="majorBidi" w:cstheme="majorBidi"/>
          <w:bCs/>
          <w:szCs w:val="24"/>
          <w:lang w:val="en-GB"/>
        </w:rPr>
        <w:t>Abderahmane</w:t>
      </w:r>
      <w:proofErr w:type="spellEnd"/>
      <w:r w:rsidRPr="0039634E">
        <w:rPr>
          <w:rFonts w:asciiTheme="majorBidi" w:hAnsiTheme="majorBidi" w:cstheme="majorBidi"/>
          <w:bCs/>
          <w:szCs w:val="24"/>
          <w:lang w:val="en-GB"/>
        </w:rPr>
        <w:t xml:space="preserve"> Sall</w:t>
      </w:r>
      <w:r w:rsidRPr="0039634E">
        <w:rPr>
          <w:rFonts w:asciiTheme="majorBidi" w:hAnsiTheme="majorBidi" w:cstheme="majorBidi"/>
          <w:bCs/>
          <w:szCs w:val="24"/>
          <w:vertAlign w:val="superscript"/>
          <w:lang w:val="en-GB"/>
        </w:rPr>
        <w:t>4</w:t>
      </w:r>
      <w:r w:rsidRPr="0039634E">
        <w:rPr>
          <w:rFonts w:asciiTheme="majorBidi" w:hAnsiTheme="majorBidi" w:cstheme="majorBidi"/>
          <w:bCs/>
          <w:szCs w:val="24"/>
          <w:lang w:val="en-GB"/>
        </w:rPr>
        <w:t>, Theunis Piersma</w:t>
      </w:r>
      <w:r w:rsidRPr="0039634E">
        <w:rPr>
          <w:rFonts w:asciiTheme="majorBidi" w:hAnsiTheme="majorBidi" w:cstheme="majorBidi"/>
          <w:bCs/>
          <w:szCs w:val="24"/>
          <w:vertAlign w:val="superscript"/>
          <w:lang w:val="en-GB"/>
        </w:rPr>
        <w:t>1, 5</w:t>
      </w:r>
      <w:r w:rsidRPr="0039634E">
        <w:rPr>
          <w:rFonts w:asciiTheme="majorBidi" w:hAnsiTheme="majorBidi" w:cstheme="majorBidi"/>
          <w:bCs/>
          <w:szCs w:val="24"/>
          <w:lang w:val="en-GB"/>
        </w:rPr>
        <w:t>, Han Olff</w:t>
      </w:r>
      <w:r w:rsidRPr="0039634E">
        <w:rPr>
          <w:rFonts w:asciiTheme="majorBidi" w:hAnsiTheme="majorBidi" w:cstheme="majorBidi"/>
          <w:bCs/>
          <w:szCs w:val="24"/>
          <w:vertAlign w:val="superscript"/>
          <w:lang w:val="en-GB"/>
        </w:rPr>
        <w:t xml:space="preserve">1 </w:t>
      </w:r>
      <w:r w:rsidRPr="0039634E">
        <w:rPr>
          <w:rFonts w:asciiTheme="majorBidi" w:hAnsiTheme="majorBidi" w:cstheme="majorBidi"/>
          <w:bCs/>
          <w:szCs w:val="24"/>
          <w:lang w:val="en-GB"/>
        </w:rPr>
        <w:t>and Laura L. Govers</w:t>
      </w:r>
      <w:r w:rsidRPr="0039634E">
        <w:rPr>
          <w:rFonts w:asciiTheme="majorBidi" w:hAnsiTheme="majorBidi" w:cstheme="majorBidi"/>
          <w:bCs/>
          <w:szCs w:val="24"/>
          <w:vertAlign w:val="superscript"/>
          <w:lang w:val="en-GB"/>
        </w:rPr>
        <w:t>1, 6</w:t>
      </w:r>
    </w:p>
    <w:p w:rsidR="00275181" w:rsidRPr="0039634E" w:rsidRDefault="00275181" w:rsidP="00275181">
      <w:pPr>
        <w:spacing w:line="240" w:lineRule="auto"/>
        <w:rPr>
          <w:rFonts w:asciiTheme="majorBidi" w:hAnsiTheme="majorBidi" w:cstheme="majorBidi"/>
          <w:bCs/>
          <w:szCs w:val="24"/>
          <w:vertAlign w:val="superscript"/>
          <w:lang w:val="en-GB"/>
        </w:rPr>
      </w:pPr>
    </w:p>
    <w:p w:rsidR="00275181" w:rsidRPr="0039634E" w:rsidRDefault="00275181" w:rsidP="00275181">
      <w:pPr>
        <w:spacing w:after="0" w:line="240" w:lineRule="auto"/>
        <w:rPr>
          <w:rFonts w:asciiTheme="majorBidi" w:eastAsia="Calibri" w:hAnsiTheme="majorBidi" w:cstheme="majorBidi"/>
          <w:szCs w:val="24"/>
          <w:lang w:val="en-GB" w:eastAsia="en-GB"/>
        </w:rPr>
      </w:pPr>
      <w:r w:rsidRPr="0039634E">
        <w:rPr>
          <w:rFonts w:asciiTheme="majorBidi" w:eastAsia="Calibri" w:hAnsiTheme="majorBidi" w:cstheme="majorBidi"/>
          <w:szCs w:val="24"/>
          <w:vertAlign w:val="superscript"/>
          <w:lang w:val="en-GB" w:eastAsia="en-GB"/>
        </w:rPr>
        <w:t xml:space="preserve">1 </w:t>
      </w:r>
      <w:r w:rsidRPr="0039634E">
        <w:rPr>
          <w:rFonts w:asciiTheme="majorBidi" w:eastAsia="Calibri" w:hAnsiTheme="majorBidi" w:cstheme="majorBidi"/>
          <w:bCs/>
          <w:szCs w:val="24"/>
          <w:lang w:val="en-GB" w:eastAsia="en-GB"/>
        </w:rPr>
        <w:t>Conservation Ecology Group</w:t>
      </w:r>
      <w:r w:rsidRPr="0039634E">
        <w:rPr>
          <w:rFonts w:asciiTheme="majorBidi" w:eastAsia="Calibri" w:hAnsiTheme="majorBidi" w:cstheme="majorBidi"/>
          <w:szCs w:val="24"/>
          <w:lang w:val="en-GB" w:eastAsia="en-GB"/>
        </w:rPr>
        <w:t>, Groningen Institute for Evolutionary Life Sciences (GELIFES), University of Groningen, P.O. Box 11103, 9700 CC Groningen, The Netherlands</w:t>
      </w:r>
    </w:p>
    <w:p w:rsidR="00275181" w:rsidRPr="00C35618" w:rsidRDefault="00275181" w:rsidP="00275181">
      <w:pPr>
        <w:spacing w:after="0" w:line="240" w:lineRule="auto"/>
        <w:rPr>
          <w:rFonts w:asciiTheme="majorBidi" w:eastAsia="Calibri" w:hAnsiTheme="majorBidi" w:cstheme="majorBidi"/>
          <w:szCs w:val="24"/>
          <w:lang w:val="fr-FR" w:eastAsia="en-GB"/>
        </w:rPr>
      </w:pPr>
      <w:r w:rsidRPr="00C35618">
        <w:rPr>
          <w:rFonts w:asciiTheme="majorBidi" w:eastAsia="Calibri" w:hAnsiTheme="majorBidi" w:cstheme="majorBidi"/>
          <w:szCs w:val="24"/>
          <w:vertAlign w:val="superscript"/>
          <w:lang w:val="fr-FR" w:eastAsia="en-GB"/>
        </w:rPr>
        <w:t xml:space="preserve">2 </w:t>
      </w:r>
      <w:r w:rsidRPr="00C35618">
        <w:rPr>
          <w:rFonts w:asciiTheme="majorBidi" w:eastAsia="Calibri" w:hAnsiTheme="majorBidi" w:cstheme="majorBidi"/>
          <w:szCs w:val="24"/>
          <w:lang w:val="fr-FR" w:eastAsia="en-GB"/>
        </w:rPr>
        <w:t xml:space="preserve">Parc National du Banc d’Arguin (PNBA), Rue </w:t>
      </w:r>
      <w:proofErr w:type="spellStart"/>
      <w:r w:rsidRPr="00C35618">
        <w:rPr>
          <w:rFonts w:asciiTheme="majorBidi" w:eastAsia="Calibri" w:hAnsiTheme="majorBidi" w:cstheme="majorBidi"/>
          <w:szCs w:val="24"/>
          <w:lang w:val="fr-FR" w:eastAsia="en-GB"/>
        </w:rPr>
        <w:t>Gleiguime</w:t>
      </w:r>
      <w:proofErr w:type="spellEnd"/>
      <w:r w:rsidRPr="00C35618">
        <w:rPr>
          <w:rFonts w:asciiTheme="majorBidi" w:eastAsia="Calibri" w:hAnsiTheme="majorBidi" w:cstheme="majorBidi"/>
          <w:szCs w:val="24"/>
          <w:lang w:val="fr-FR" w:eastAsia="en-GB"/>
        </w:rPr>
        <w:t xml:space="preserve"> </w:t>
      </w:r>
      <w:proofErr w:type="spellStart"/>
      <w:r w:rsidRPr="00C35618">
        <w:rPr>
          <w:rFonts w:asciiTheme="majorBidi" w:eastAsia="Calibri" w:hAnsiTheme="majorBidi" w:cstheme="majorBidi"/>
          <w:szCs w:val="24"/>
          <w:lang w:val="fr-FR" w:eastAsia="en-GB"/>
        </w:rPr>
        <w:t>Ould</w:t>
      </w:r>
      <w:proofErr w:type="spellEnd"/>
      <w:r w:rsidRPr="00C35618">
        <w:rPr>
          <w:rFonts w:asciiTheme="majorBidi" w:eastAsia="Calibri" w:hAnsiTheme="majorBidi" w:cstheme="majorBidi"/>
          <w:szCs w:val="24"/>
          <w:lang w:val="fr-FR" w:eastAsia="en-GB"/>
        </w:rPr>
        <w:t xml:space="preserve"> </w:t>
      </w:r>
      <w:proofErr w:type="spellStart"/>
      <w:r w:rsidRPr="00C35618">
        <w:rPr>
          <w:rFonts w:asciiTheme="majorBidi" w:eastAsia="Calibri" w:hAnsiTheme="majorBidi" w:cstheme="majorBidi"/>
          <w:szCs w:val="24"/>
          <w:lang w:val="fr-FR" w:eastAsia="en-GB"/>
        </w:rPr>
        <w:t>Habiboullah</w:t>
      </w:r>
      <w:proofErr w:type="spellEnd"/>
      <w:r w:rsidRPr="00C35618">
        <w:rPr>
          <w:rFonts w:asciiTheme="majorBidi" w:eastAsia="Calibri" w:hAnsiTheme="majorBidi" w:cstheme="majorBidi"/>
          <w:szCs w:val="24"/>
          <w:lang w:val="fr-FR" w:eastAsia="en-GB"/>
        </w:rPr>
        <w:t>, B Nord No 100, B.P. 5355, Nouakchott, R.I. de Mauritanie</w:t>
      </w:r>
    </w:p>
    <w:p w:rsidR="00275181" w:rsidRPr="0039634E" w:rsidRDefault="00275181" w:rsidP="00275181">
      <w:pPr>
        <w:spacing w:after="0" w:line="240" w:lineRule="auto"/>
        <w:rPr>
          <w:rFonts w:asciiTheme="majorBidi" w:hAnsiTheme="majorBidi" w:cstheme="majorBidi"/>
          <w:szCs w:val="24"/>
          <w:lang w:val="en-GB"/>
        </w:rPr>
      </w:pPr>
      <w:r w:rsidRPr="0039634E">
        <w:rPr>
          <w:rFonts w:asciiTheme="majorBidi" w:eastAsia="Calibri" w:hAnsiTheme="majorBidi" w:cstheme="majorBidi"/>
          <w:szCs w:val="24"/>
          <w:vertAlign w:val="superscript"/>
          <w:lang w:val="en-GB" w:eastAsia="en-GB"/>
        </w:rPr>
        <w:t xml:space="preserve">3 </w:t>
      </w:r>
      <w:r w:rsidRPr="0039634E">
        <w:rPr>
          <w:rFonts w:asciiTheme="majorBidi" w:eastAsia="Calibri" w:hAnsiTheme="majorBidi" w:cstheme="majorBidi"/>
          <w:szCs w:val="24"/>
          <w:lang w:val="en-GB" w:eastAsia="en-GB"/>
        </w:rPr>
        <w:t xml:space="preserve">NIOZ Royal Netherlands Institute for Sea Research, Department of Estuarine and Delta Systems and Utrecht University, P.O. Box 140, 4400 AC </w:t>
      </w:r>
      <w:proofErr w:type="spellStart"/>
      <w:r w:rsidRPr="0039634E">
        <w:rPr>
          <w:rFonts w:asciiTheme="majorBidi" w:eastAsia="Calibri" w:hAnsiTheme="majorBidi" w:cstheme="majorBidi"/>
          <w:szCs w:val="24"/>
          <w:lang w:val="en-GB" w:eastAsia="en-GB"/>
        </w:rPr>
        <w:t>Yerseke</w:t>
      </w:r>
      <w:proofErr w:type="spellEnd"/>
      <w:r w:rsidRPr="0039634E">
        <w:rPr>
          <w:rFonts w:asciiTheme="majorBidi" w:eastAsia="Calibri" w:hAnsiTheme="majorBidi" w:cstheme="majorBidi"/>
          <w:szCs w:val="24"/>
          <w:lang w:val="en-GB" w:eastAsia="en-GB"/>
        </w:rPr>
        <w:t>, The Netherlands</w:t>
      </w:r>
    </w:p>
    <w:p w:rsidR="00275181" w:rsidRPr="00C35618" w:rsidRDefault="00275181" w:rsidP="00275181">
      <w:pPr>
        <w:spacing w:after="0" w:line="240" w:lineRule="auto"/>
        <w:rPr>
          <w:rFonts w:asciiTheme="majorBidi" w:eastAsia="Calibri" w:hAnsiTheme="majorBidi" w:cstheme="majorBidi"/>
          <w:szCs w:val="24"/>
          <w:lang w:val="fr-FR" w:eastAsia="en-GB"/>
        </w:rPr>
      </w:pPr>
      <w:r w:rsidRPr="00C35618">
        <w:rPr>
          <w:rFonts w:asciiTheme="majorBidi" w:hAnsiTheme="majorBidi" w:cstheme="majorBidi"/>
          <w:szCs w:val="24"/>
          <w:vertAlign w:val="superscript"/>
          <w:lang w:val="fr-FR"/>
        </w:rPr>
        <w:t xml:space="preserve">4 </w:t>
      </w:r>
      <w:r w:rsidRPr="00C35618">
        <w:rPr>
          <w:rFonts w:asciiTheme="majorBidi" w:hAnsiTheme="majorBidi" w:cstheme="majorBidi"/>
          <w:szCs w:val="24"/>
          <w:lang w:val="fr-FR"/>
        </w:rPr>
        <w:t xml:space="preserve">Institut Mauritanien de Recherches Océanographiques et des Pêches (IMROP), BP 22, Nouadhibou, </w:t>
      </w:r>
      <w:r w:rsidRPr="00C35618">
        <w:rPr>
          <w:rFonts w:asciiTheme="majorBidi" w:eastAsia="Calibri" w:hAnsiTheme="majorBidi" w:cstheme="majorBidi"/>
          <w:szCs w:val="24"/>
          <w:lang w:val="fr-FR" w:eastAsia="en-GB"/>
        </w:rPr>
        <w:t>R.I. de Mauritanie</w:t>
      </w:r>
    </w:p>
    <w:p w:rsidR="00275181" w:rsidRPr="0039634E" w:rsidRDefault="00275181" w:rsidP="00275181">
      <w:pPr>
        <w:spacing w:after="0" w:line="240" w:lineRule="auto"/>
        <w:rPr>
          <w:rFonts w:asciiTheme="majorBidi" w:eastAsia="Calibri" w:hAnsiTheme="majorBidi" w:cstheme="majorBidi"/>
          <w:szCs w:val="24"/>
          <w:lang w:val="en-GB" w:eastAsia="en-GB"/>
        </w:rPr>
      </w:pPr>
      <w:r w:rsidRPr="0039634E">
        <w:rPr>
          <w:rFonts w:asciiTheme="majorBidi" w:eastAsia="Calibri" w:hAnsiTheme="majorBidi" w:cstheme="majorBidi"/>
          <w:szCs w:val="24"/>
          <w:vertAlign w:val="superscript"/>
          <w:lang w:val="en-GB" w:eastAsia="en-GB"/>
        </w:rPr>
        <w:t xml:space="preserve">5 </w:t>
      </w:r>
      <w:r w:rsidRPr="0039634E">
        <w:rPr>
          <w:rFonts w:asciiTheme="majorBidi" w:eastAsia="Calibri" w:hAnsiTheme="majorBidi" w:cstheme="majorBidi"/>
          <w:szCs w:val="24"/>
          <w:lang w:val="en-GB" w:eastAsia="en-GB"/>
        </w:rPr>
        <w:t>NIOZ Royal Netherlands Institute for Sea Research, Department of Coastal Systems and Utrecht University, P.O. Box 59, 1790 AB Den Burg, Texel, The Netherlands</w:t>
      </w:r>
    </w:p>
    <w:p w:rsidR="00275181" w:rsidRPr="0039634E" w:rsidRDefault="00275181" w:rsidP="00275181">
      <w:pPr>
        <w:spacing w:after="0" w:line="240" w:lineRule="auto"/>
        <w:rPr>
          <w:rFonts w:asciiTheme="majorBidi" w:eastAsia="Calibri" w:hAnsiTheme="majorBidi" w:cstheme="majorBidi"/>
          <w:szCs w:val="24"/>
          <w:lang w:val="en-GB" w:eastAsia="en-GB"/>
        </w:rPr>
      </w:pPr>
      <w:r w:rsidRPr="0039634E">
        <w:rPr>
          <w:rFonts w:asciiTheme="majorBidi" w:eastAsia="Calibri" w:hAnsiTheme="majorBidi" w:cstheme="majorBidi"/>
          <w:szCs w:val="24"/>
          <w:vertAlign w:val="superscript"/>
          <w:lang w:val="en-GB" w:eastAsia="en-GB"/>
        </w:rPr>
        <w:t xml:space="preserve">6 </w:t>
      </w:r>
      <w:r w:rsidRPr="0039634E">
        <w:rPr>
          <w:rFonts w:asciiTheme="majorBidi" w:eastAsia="Calibri" w:hAnsiTheme="majorBidi" w:cstheme="majorBidi"/>
          <w:szCs w:val="24"/>
          <w:lang w:val="en-GB" w:eastAsia="en-GB"/>
        </w:rPr>
        <w:t>Department of Aquatic Ecology and Environmental Biology, Institute for Water and Wetland Research (</w:t>
      </w:r>
      <w:r>
        <w:rPr>
          <w:rFonts w:asciiTheme="majorBidi" w:eastAsia="Calibri" w:hAnsiTheme="majorBidi" w:cstheme="majorBidi"/>
          <w:szCs w:val="24"/>
          <w:lang w:val="en-GB" w:eastAsia="en-GB"/>
        </w:rPr>
        <w:t>IWWR</w:t>
      </w:r>
      <w:r w:rsidRPr="0039634E">
        <w:rPr>
          <w:rFonts w:asciiTheme="majorBidi" w:eastAsia="Calibri" w:hAnsiTheme="majorBidi" w:cstheme="majorBidi"/>
          <w:szCs w:val="24"/>
          <w:lang w:val="en-GB" w:eastAsia="en-GB"/>
        </w:rPr>
        <w:t xml:space="preserve">), </w:t>
      </w:r>
      <w:proofErr w:type="spellStart"/>
      <w:r w:rsidRPr="0039634E">
        <w:rPr>
          <w:rFonts w:asciiTheme="majorBidi" w:eastAsia="Calibri" w:hAnsiTheme="majorBidi" w:cstheme="majorBidi"/>
          <w:szCs w:val="24"/>
          <w:lang w:val="en-GB" w:eastAsia="en-GB"/>
        </w:rPr>
        <w:t>Radboud</w:t>
      </w:r>
      <w:proofErr w:type="spellEnd"/>
      <w:r w:rsidRPr="0039634E">
        <w:rPr>
          <w:rFonts w:asciiTheme="majorBidi" w:eastAsia="Calibri" w:hAnsiTheme="majorBidi" w:cstheme="majorBidi"/>
          <w:szCs w:val="24"/>
          <w:lang w:val="en-GB" w:eastAsia="en-GB"/>
        </w:rPr>
        <w:t xml:space="preserve"> University, </w:t>
      </w:r>
      <w:proofErr w:type="spellStart"/>
      <w:r w:rsidRPr="0039634E">
        <w:rPr>
          <w:rFonts w:asciiTheme="majorBidi" w:eastAsia="Calibri" w:hAnsiTheme="majorBidi" w:cstheme="majorBidi"/>
          <w:szCs w:val="24"/>
          <w:lang w:val="en-GB" w:eastAsia="en-GB"/>
        </w:rPr>
        <w:t>Heyendaalseweg</w:t>
      </w:r>
      <w:proofErr w:type="spellEnd"/>
      <w:r w:rsidRPr="0039634E">
        <w:rPr>
          <w:rFonts w:asciiTheme="majorBidi" w:eastAsia="Calibri" w:hAnsiTheme="majorBidi" w:cstheme="majorBidi"/>
          <w:szCs w:val="24"/>
          <w:lang w:val="en-GB" w:eastAsia="en-GB"/>
        </w:rPr>
        <w:t xml:space="preserve"> 135, 6525 AJ, Nijmegen, the Netherlands</w:t>
      </w:r>
    </w:p>
    <w:p w:rsidR="00275181" w:rsidRPr="0039634E" w:rsidRDefault="00275181" w:rsidP="00275181">
      <w:pPr>
        <w:spacing w:after="0" w:line="240" w:lineRule="auto"/>
        <w:rPr>
          <w:rFonts w:asciiTheme="majorBidi" w:eastAsia="Calibri" w:hAnsiTheme="majorBidi" w:cstheme="majorBidi"/>
          <w:szCs w:val="24"/>
          <w:lang w:val="en-GB" w:eastAsia="en-GB"/>
        </w:rPr>
      </w:pPr>
    </w:p>
    <w:p w:rsidR="00275181" w:rsidRPr="0039634E" w:rsidRDefault="00275181" w:rsidP="00275181">
      <w:pPr>
        <w:spacing w:after="0" w:line="240" w:lineRule="auto"/>
        <w:rPr>
          <w:rFonts w:asciiTheme="majorBidi" w:eastAsia="Calibri" w:hAnsiTheme="majorBidi" w:cstheme="majorBidi"/>
          <w:szCs w:val="24"/>
          <w:lang w:val="en-GB" w:eastAsia="en-GB"/>
        </w:rPr>
      </w:pPr>
      <w:r w:rsidRPr="0039634E">
        <w:rPr>
          <w:rFonts w:asciiTheme="majorBidi" w:eastAsia="SimSun" w:hAnsiTheme="majorBidi" w:cstheme="majorBidi"/>
          <w:szCs w:val="24"/>
          <w:lang w:val="en-GB" w:eastAsia="zh-CN"/>
        </w:rPr>
        <w:t>*Corresponding author: Hacen El-Hacen (</w:t>
      </w:r>
      <w:hyperlink r:id="rId8" w:history="1">
        <w:r w:rsidRPr="0039634E">
          <w:rPr>
            <w:rFonts w:asciiTheme="majorBidi" w:eastAsia="Calibri" w:hAnsiTheme="majorBidi" w:cstheme="majorBidi"/>
            <w:szCs w:val="24"/>
            <w:lang w:val="en-GB" w:eastAsia="en-GB"/>
          </w:rPr>
          <w:t>e.h.m.el.hacen@rug.nl</w:t>
        </w:r>
      </w:hyperlink>
      <w:r w:rsidRPr="0039634E">
        <w:rPr>
          <w:rFonts w:asciiTheme="majorBidi" w:eastAsia="Calibri" w:hAnsiTheme="majorBidi" w:cstheme="majorBidi"/>
          <w:szCs w:val="24"/>
          <w:lang w:val="en-GB" w:eastAsia="en-GB"/>
        </w:rPr>
        <w:t>)</w:t>
      </w:r>
    </w:p>
    <w:p w:rsidR="00275181" w:rsidRPr="0039634E" w:rsidRDefault="00275181" w:rsidP="00275181">
      <w:pPr>
        <w:spacing w:after="0" w:line="240" w:lineRule="auto"/>
        <w:rPr>
          <w:rFonts w:asciiTheme="majorBidi" w:hAnsiTheme="majorBidi" w:cstheme="majorBidi"/>
          <w:szCs w:val="24"/>
          <w:lang w:val="en-GB"/>
        </w:rPr>
      </w:pPr>
      <w:r w:rsidRPr="0039634E">
        <w:rPr>
          <w:rFonts w:asciiTheme="majorBidi" w:hAnsiTheme="majorBidi" w:cstheme="majorBidi"/>
          <w:szCs w:val="24"/>
          <w:lang w:val="en-GB"/>
        </w:rPr>
        <w:t>Postal address: P.O. Box 11103, 9700 CC Groningen, The Netherlands</w:t>
      </w:r>
    </w:p>
    <w:p w:rsidR="00275181" w:rsidRPr="0039634E" w:rsidRDefault="00275181" w:rsidP="00275181">
      <w:pPr>
        <w:spacing w:after="0" w:line="240" w:lineRule="auto"/>
        <w:rPr>
          <w:rFonts w:asciiTheme="majorBidi" w:hAnsiTheme="majorBidi" w:cstheme="majorBidi"/>
          <w:szCs w:val="24"/>
          <w:lang w:val="en-GB"/>
        </w:rPr>
      </w:pPr>
      <w:r w:rsidRPr="0039634E">
        <w:rPr>
          <w:rFonts w:asciiTheme="majorBidi" w:hAnsiTheme="majorBidi" w:cstheme="majorBidi"/>
          <w:szCs w:val="24"/>
          <w:lang w:val="en-GB"/>
        </w:rPr>
        <w:t xml:space="preserve">Telephone/Fax: [+31] 50 363 5205 </w:t>
      </w:r>
    </w:p>
    <w:p w:rsidR="00275181" w:rsidRPr="0039634E" w:rsidRDefault="00275181" w:rsidP="00275181">
      <w:pPr>
        <w:spacing w:line="240" w:lineRule="auto"/>
        <w:rPr>
          <w:rFonts w:asciiTheme="majorBidi" w:hAnsiTheme="majorBidi" w:cstheme="majorBidi"/>
          <w:szCs w:val="24"/>
          <w:lang w:val="en-GB"/>
        </w:rPr>
      </w:pPr>
    </w:p>
    <w:p w:rsidR="00275181" w:rsidRPr="0039634E" w:rsidRDefault="00275181" w:rsidP="00275181">
      <w:pPr>
        <w:spacing w:line="240" w:lineRule="auto"/>
        <w:rPr>
          <w:rFonts w:asciiTheme="majorBidi" w:hAnsiTheme="majorBidi" w:cstheme="majorBidi"/>
          <w:b/>
          <w:bCs/>
          <w:i/>
          <w:iCs/>
          <w:szCs w:val="24"/>
          <w:lang w:val="en-GB"/>
        </w:rPr>
      </w:pPr>
      <w:r w:rsidRPr="0039634E">
        <w:rPr>
          <w:rFonts w:asciiTheme="majorBidi" w:hAnsiTheme="majorBidi" w:cstheme="majorBidi"/>
          <w:b/>
          <w:bCs/>
          <w:i/>
          <w:iCs/>
          <w:szCs w:val="24"/>
          <w:lang w:val="en-GB"/>
        </w:rPr>
        <w:br w:type="page"/>
      </w:r>
    </w:p>
    <w:p w:rsidR="00275181" w:rsidRDefault="00275181" w:rsidP="00275181">
      <w:pPr>
        <w:spacing w:line="240" w:lineRule="auto"/>
        <w:jc w:val="both"/>
        <w:rPr>
          <w:rFonts w:asciiTheme="majorBidi" w:hAnsiTheme="majorBidi" w:cstheme="majorBidi"/>
          <w:b/>
          <w:bCs/>
          <w:szCs w:val="24"/>
          <w:lang w:val="en-GB"/>
        </w:rPr>
      </w:pPr>
      <w:r w:rsidRPr="0039634E">
        <w:rPr>
          <w:rFonts w:asciiTheme="majorBidi" w:hAnsiTheme="majorBidi" w:cstheme="majorBidi"/>
          <w:b/>
          <w:bCs/>
          <w:i/>
          <w:iCs/>
          <w:szCs w:val="24"/>
          <w:lang w:val="en-GB"/>
        </w:rPr>
        <w:lastRenderedPageBreak/>
        <w:t xml:space="preserve">Supplementary 1: </w:t>
      </w:r>
      <w:r w:rsidRPr="0039634E">
        <w:rPr>
          <w:rFonts w:asciiTheme="majorBidi" w:hAnsiTheme="majorBidi" w:cstheme="majorBidi"/>
          <w:b/>
          <w:bCs/>
          <w:iCs/>
          <w:szCs w:val="24"/>
          <w:lang w:val="en-GB"/>
        </w:rPr>
        <w:t>Witnessed</w:t>
      </w:r>
      <w:r w:rsidRPr="0039634E">
        <w:rPr>
          <w:rFonts w:asciiTheme="majorBidi" w:hAnsiTheme="majorBidi" w:cstheme="majorBidi"/>
          <w:b/>
          <w:bCs/>
          <w:i/>
          <w:iCs/>
          <w:szCs w:val="24"/>
          <w:lang w:val="en-GB"/>
        </w:rPr>
        <w:t xml:space="preserve"> s</w:t>
      </w:r>
      <w:r w:rsidRPr="0039634E">
        <w:rPr>
          <w:rFonts w:asciiTheme="majorBidi" w:hAnsiTheme="majorBidi" w:cstheme="majorBidi"/>
          <w:b/>
          <w:bCs/>
          <w:szCs w:val="24"/>
          <w:lang w:val="en-GB"/>
        </w:rPr>
        <w:t>eagrass die-off events in Banc d’Arguin</w:t>
      </w:r>
    </w:p>
    <w:p w:rsidR="00C80588" w:rsidRPr="0039634E" w:rsidRDefault="00C80588" w:rsidP="00275181">
      <w:pPr>
        <w:spacing w:line="240" w:lineRule="auto"/>
        <w:jc w:val="both"/>
        <w:rPr>
          <w:rFonts w:asciiTheme="majorBidi" w:hAnsiTheme="majorBidi" w:cstheme="majorBidi"/>
          <w:b/>
          <w:bCs/>
          <w:i/>
          <w:iCs/>
          <w:szCs w:val="24"/>
          <w:lang w:val="en-GB"/>
        </w:rPr>
      </w:pPr>
    </w:p>
    <w:p w:rsidR="00275181" w:rsidRPr="0039634E" w:rsidRDefault="00275181" w:rsidP="00275181">
      <w:pPr>
        <w:keepNext/>
        <w:spacing w:line="240" w:lineRule="auto"/>
        <w:jc w:val="both"/>
        <w:rPr>
          <w:rFonts w:asciiTheme="majorBidi" w:hAnsiTheme="majorBidi" w:cstheme="majorBidi"/>
          <w:szCs w:val="24"/>
          <w:lang w:val="en-GB"/>
        </w:rPr>
      </w:pPr>
      <w:r w:rsidRPr="0039634E">
        <w:rPr>
          <w:rFonts w:asciiTheme="majorBidi" w:hAnsiTheme="majorBidi" w:cstheme="majorBidi"/>
          <w:b/>
          <w:bCs/>
          <w:noProof/>
          <w:szCs w:val="24"/>
        </w:rPr>
        <w:drawing>
          <wp:inline distT="0" distB="0" distL="0" distR="0" wp14:anchorId="23C118B5" wp14:editId="41DDAAED">
            <wp:extent cx="5760720" cy="43167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off.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16730"/>
                    </a:xfrm>
                    <a:prstGeom prst="rect">
                      <a:avLst/>
                    </a:prstGeom>
                  </pic:spPr>
                </pic:pic>
              </a:graphicData>
            </a:graphic>
          </wp:inline>
        </w:drawing>
      </w:r>
    </w:p>
    <w:p w:rsidR="00C80588" w:rsidRDefault="00275181" w:rsidP="00C80588">
      <w:pPr>
        <w:pStyle w:val="Caption"/>
        <w:jc w:val="both"/>
        <w:rPr>
          <w:rFonts w:asciiTheme="majorBidi" w:hAnsiTheme="majorBidi" w:cstheme="majorBidi"/>
          <w:b w:val="0"/>
          <w:bCs w:val="0"/>
          <w:color w:val="auto"/>
          <w:sz w:val="24"/>
          <w:szCs w:val="24"/>
          <w:lang w:val="en-GB"/>
        </w:rPr>
      </w:pPr>
      <w:r w:rsidRPr="00670CDC">
        <w:rPr>
          <w:rFonts w:asciiTheme="majorBidi" w:hAnsiTheme="majorBidi" w:cstheme="majorBidi"/>
          <w:color w:val="auto"/>
          <w:sz w:val="24"/>
          <w:szCs w:val="24"/>
          <w:lang w:val="en-GB"/>
        </w:rPr>
        <w:t>Figure S</w:t>
      </w:r>
      <w:r w:rsidRPr="00670CDC">
        <w:rPr>
          <w:rFonts w:asciiTheme="majorBidi" w:hAnsiTheme="majorBidi" w:cstheme="majorBidi"/>
          <w:color w:val="auto"/>
          <w:sz w:val="24"/>
          <w:szCs w:val="24"/>
          <w:lang w:val="en-GB"/>
        </w:rPr>
        <w:fldChar w:fldCharType="begin"/>
      </w:r>
      <w:r w:rsidRPr="00670CDC">
        <w:rPr>
          <w:rFonts w:asciiTheme="majorBidi" w:hAnsiTheme="majorBidi" w:cstheme="majorBidi"/>
          <w:color w:val="auto"/>
          <w:sz w:val="24"/>
          <w:szCs w:val="24"/>
          <w:lang w:val="en-GB"/>
        </w:rPr>
        <w:instrText xml:space="preserve"> SEQ Figure_S \* ARABIC </w:instrText>
      </w:r>
      <w:r w:rsidRPr="00670CDC">
        <w:rPr>
          <w:rFonts w:asciiTheme="majorBidi" w:hAnsiTheme="majorBidi" w:cstheme="majorBidi"/>
          <w:color w:val="auto"/>
          <w:sz w:val="24"/>
          <w:szCs w:val="24"/>
          <w:lang w:val="en-GB"/>
        </w:rPr>
        <w:fldChar w:fldCharType="separate"/>
      </w:r>
      <w:r w:rsidR="00A545A5">
        <w:rPr>
          <w:rFonts w:asciiTheme="majorBidi" w:hAnsiTheme="majorBidi" w:cstheme="majorBidi"/>
          <w:noProof/>
          <w:color w:val="auto"/>
          <w:sz w:val="24"/>
          <w:szCs w:val="24"/>
          <w:lang w:val="en-GB"/>
        </w:rPr>
        <w:t>1</w:t>
      </w:r>
      <w:r w:rsidRPr="00670CDC">
        <w:rPr>
          <w:rFonts w:asciiTheme="majorBidi" w:hAnsiTheme="majorBidi" w:cstheme="majorBidi"/>
          <w:color w:val="auto"/>
          <w:sz w:val="24"/>
          <w:szCs w:val="24"/>
          <w:lang w:val="en-GB"/>
        </w:rPr>
        <w:fldChar w:fldCharType="end"/>
      </w:r>
      <w:r w:rsidRPr="00670CDC">
        <w:rPr>
          <w:rFonts w:asciiTheme="majorBidi" w:hAnsiTheme="majorBidi" w:cstheme="majorBidi"/>
          <w:color w:val="auto"/>
          <w:sz w:val="24"/>
          <w:szCs w:val="24"/>
          <w:lang w:val="en-GB"/>
        </w:rPr>
        <w:t>.</w:t>
      </w:r>
      <w:r w:rsidRPr="0039634E">
        <w:rPr>
          <w:rFonts w:asciiTheme="majorBidi" w:hAnsiTheme="majorBidi" w:cstheme="majorBidi"/>
          <w:b w:val="0"/>
          <w:bCs w:val="0"/>
          <w:color w:val="auto"/>
          <w:sz w:val="24"/>
          <w:szCs w:val="24"/>
          <w:lang w:val="en-GB"/>
        </w:rPr>
        <w:t xml:space="preserve"> Landscape-scale seagrass die-off related events in Parc National du Banc d’Arguin, Mauritania (see Fig. 2) observed during the study period. Upper panels (a, b) show sudden die-off low on the elevational gradient due to unknown physiological damage to the tissues. Lower panels (c, d) demonstrate degrading seagrass higher on the elevational gradient du to massive deposition of mud-packages. Left photos (a, c) were taken in May 2015 and the right ones (b, d) on May 2016.</w:t>
      </w:r>
      <w:r w:rsidR="00C80588">
        <w:rPr>
          <w:rFonts w:asciiTheme="majorBidi" w:hAnsiTheme="majorBidi" w:cstheme="majorBidi"/>
          <w:b w:val="0"/>
          <w:bCs w:val="0"/>
          <w:color w:val="auto"/>
          <w:sz w:val="24"/>
          <w:szCs w:val="24"/>
          <w:lang w:val="en-GB"/>
        </w:rPr>
        <w:t xml:space="preserve"> </w:t>
      </w:r>
    </w:p>
    <w:p w:rsidR="00C80588" w:rsidRDefault="00C80588" w:rsidP="00C80588">
      <w:pPr>
        <w:rPr>
          <w:lang w:val="en-GB"/>
        </w:rPr>
      </w:pPr>
      <w:r>
        <w:rPr>
          <w:lang w:val="en-GB"/>
        </w:rPr>
        <w:br w:type="page"/>
      </w:r>
    </w:p>
    <w:p w:rsidR="00275181" w:rsidRPr="0039634E" w:rsidRDefault="00B93913" w:rsidP="0068122B">
      <w:pPr>
        <w:spacing w:line="240" w:lineRule="auto"/>
        <w:rPr>
          <w:rFonts w:asciiTheme="majorBidi" w:hAnsiTheme="majorBidi" w:cstheme="majorBidi"/>
          <w:b/>
          <w:bCs/>
          <w:i/>
          <w:iCs/>
          <w:szCs w:val="24"/>
          <w:lang w:val="en-GB"/>
        </w:rPr>
      </w:pPr>
      <w:r>
        <w:rPr>
          <w:rFonts w:asciiTheme="majorBidi" w:hAnsiTheme="majorBidi" w:cstheme="majorBidi"/>
          <w:b/>
          <w:bCs/>
          <w:i/>
          <w:iCs/>
          <w:szCs w:val="24"/>
          <w:lang w:val="en-GB"/>
        </w:rPr>
        <w:lastRenderedPageBreak/>
        <w:t>Supplementary 2: Structural equation m</w:t>
      </w:r>
      <w:r w:rsidR="00275181" w:rsidRPr="0039634E">
        <w:rPr>
          <w:rFonts w:asciiTheme="majorBidi" w:hAnsiTheme="majorBidi" w:cstheme="majorBidi"/>
          <w:b/>
          <w:bCs/>
          <w:i/>
          <w:iCs/>
          <w:szCs w:val="24"/>
          <w:lang w:val="en-GB"/>
        </w:rPr>
        <w:t>odelling procedures</w:t>
      </w:r>
      <w:r w:rsidR="007F547D">
        <w:rPr>
          <w:rFonts w:asciiTheme="majorBidi" w:hAnsiTheme="majorBidi" w:cstheme="majorBidi"/>
          <w:b/>
          <w:bCs/>
          <w:i/>
          <w:iCs/>
          <w:szCs w:val="24"/>
          <w:lang w:val="en-GB"/>
        </w:rPr>
        <w:t xml:space="preserve"> </w:t>
      </w:r>
    </w:p>
    <w:p w:rsidR="00275181" w:rsidRDefault="00275181" w:rsidP="00124FEB">
      <w:pPr>
        <w:spacing w:line="240" w:lineRule="auto"/>
        <w:rPr>
          <w:rFonts w:asciiTheme="majorBidi" w:hAnsiTheme="majorBidi" w:cstheme="majorBidi"/>
          <w:szCs w:val="24"/>
          <w:lang w:val="en-GB"/>
        </w:rPr>
      </w:pPr>
      <w:r w:rsidRPr="0039634E">
        <w:rPr>
          <w:rFonts w:asciiTheme="majorBidi" w:hAnsiTheme="majorBidi" w:cstheme="majorBidi"/>
          <w:szCs w:val="24"/>
          <w:lang w:val="en-GB"/>
        </w:rPr>
        <w:t xml:space="preserve">The process of conducting structural equation models typically involves model specification, identification, parameter estimates, evaluation of model fit, and model re-specification (Grace 2006, Grace </w:t>
      </w:r>
      <w:r w:rsidRPr="0039634E">
        <w:rPr>
          <w:rFonts w:asciiTheme="majorBidi" w:hAnsiTheme="majorBidi" w:cstheme="majorBidi"/>
          <w:i/>
          <w:iCs/>
          <w:szCs w:val="24"/>
          <w:lang w:val="en-GB"/>
        </w:rPr>
        <w:t>et al.</w:t>
      </w:r>
      <w:r w:rsidRPr="0039634E">
        <w:rPr>
          <w:rFonts w:asciiTheme="majorBidi" w:hAnsiTheme="majorBidi" w:cstheme="majorBidi"/>
          <w:szCs w:val="24"/>
          <w:lang w:val="en-GB"/>
        </w:rPr>
        <w:t xml:space="preserve"> 2010). In the present study</w:t>
      </w:r>
      <w:r w:rsidRPr="0039634E">
        <w:rPr>
          <w:rFonts w:asciiTheme="majorBidi" w:hAnsiTheme="majorBidi" w:cstheme="majorBidi"/>
          <w:i/>
          <w:iCs/>
          <w:szCs w:val="24"/>
          <w:lang w:val="en-GB"/>
        </w:rPr>
        <w:t>, a prior</w:t>
      </w:r>
      <w:r w:rsidRPr="0039634E">
        <w:rPr>
          <w:rFonts w:asciiTheme="majorBidi" w:hAnsiTheme="majorBidi" w:cstheme="majorBidi"/>
          <w:szCs w:val="24"/>
          <w:lang w:val="en-GB"/>
        </w:rPr>
        <w:t xml:space="preserve"> meta-model was developed, based upon our knowledge on the functioning of </w:t>
      </w:r>
      <w:r w:rsidRPr="0039634E">
        <w:rPr>
          <w:rFonts w:asciiTheme="majorBidi" w:hAnsiTheme="majorBidi" w:cstheme="majorBidi"/>
          <w:i/>
          <w:iCs/>
          <w:szCs w:val="24"/>
          <w:lang w:val="en-GB"/>
        </w:rPr>
        <w:t>Zostera</w:t>
      </w:r>
      <w:r w:rsidRPr="0039634E">
        <w:rPr>
          <w:rFonts w:asciiTheme="majorBidi" w:hAnsiTheme="majorBidi" w:cstheme="majorBidi"/>
          <w:szCs w:val="24"/>
          <w:lang w:val="en-GB"/>
        </w:rPr>
        <w:t xml:space="preserve"> </w:t>
      </w:r>
      <w:r w:rsidRPr="0039634E">
        <w:rPr>
          <w:rFonts w:asciiTheme="majorBidi" w:hAnsiTheme="majorBidi" w:cstheme="majorBidi"/>
          <w:i/>
          <w:iCs/>
          <w:szCs w:val="24"/>
          <w:lang w:val="en-GB"/>
        </w:rPr>
        <w:t>noltii</w:t>
      </w:r>
      <w:r w:rsidR="001123EE">
        <w:rPr>
          <w:rFonts w:asciiTheme="majorBidi" w:hAnsiTheme="majorBidi" w:cstheme="majorBidi"/>
          <w:szCs w:val="24"/>
          <w:lang w:val="en-GB"/>
        </w:rPr>
        <w:t>, including important interactions that might affect its recovery</w:t>
      </w:r>
      <w:r w:rsidRPr="0039634E">
        <w:rPr>
          <w:rFonts w:asciiTheme="majorBidi" w:hAnsiTheme="majorBidi" w:cstheme="majorBidi"/>
          <w:szCs w:val="24"/>
          <w:lang w:val="en-GB"/>
        </w:rPr>
        <w:t xml:space="preserve"> (Fig.</w:t>
      </w:r>
      <w:r w:rsidR="001123EE">
        <w:rPr>
          <w:rFonts w:asciiTheme="majorBidi" w:hAnsiTheme="majorBidi" w:cstheme="majorBidi"/>
          <w:szCs w:val="24"/>
          <w:lang w:val="en-GB"/>
        </w:rPr>
        <w:t xml:space="preserve"> S2). This</w:t>
      </w:r>
      <w:r w:rsidR="0068122B">
        <w:rPr>
          <w:rFonts w:asciiTheme="majorBidi" w:hAnsiTheme="majorBidi" w:cstheme="majorBidi"/>
          <w:szCs w:val="24"/>
          <w:lang w:val="en-GB"/>
        </w:rPr>
        <w:t xml:space="preserve"> meta-model included eight</w:t>
      </w:r>
      <w:r w:rsidR="00384631">
        <w:rPr>
          <w:rFonts w:asciiTheme="majorBidi" w:hAnsiTheme="majorBidi" w:cstheme="majorBidi"/>
          <w:szCs w:val="24"/>
          <w:lang w:val="en-GB"/>
        </w:rPr>
        <w:t xml:space="preserve"> observed exogenous variables</w:t>
      </w:r>
      <w:r w:rsidR="00384631" w:rsidRPr="00384631">
        <w:rPr>
          <w:rFonts w:asciiTheme="majorBidi" w:hAnsiTheme="majorBidi" w:cstheme="majorBidi"/>
          <w:szCs w:val="24"/>
          <w:lang w:val="en-GB"/>
        </w:rPr>
        <w:t xml:space="preserve"> </w:t>
      </w:r>
      <w:r w:rsidR="00384631" w:rsidRPr="00384631">
        <w:rPr>
          <w:rFonts w:asciiTheme="majorBidi" w:hAnsiTheme="majorBidi" w:cstheme="majorBidi"/>
          <w:color w:val="FF0000"/>
          <w:szCs w:val="24"/>
          <w:lang w:val="en-GB"/>
        </w:rPr>
        <w:t>and was improved by removing the non-significant paths from the meta-model</w:t>
      </w:r>
      <w:r w:rsidR="00452B58">
        <w:rPr>
          <w:rFonts w:asciiTheme="majorBidi" w:hAnsiTheme="majorBidi" w:cstheme="majorBidi"/>
          <w:color w:val="FF0000"/>
          <w:szCs w:val="24"/>
          <w:lang w:val="en-GB"/>
        </w:rPr>
        <w:fldChar w:fldCharType="begin" w:fldLock="1"/>
      </w:r>
      <w:r w:rsidR="00452B58">
        <w:rPr>
          <w:rFonts w:asciiTheme="majorBidi" w:hAnsiTheme="majorBidi" w:cstheme="majorBidi"/>
          <w:color w:val="FF0000"/>
          <w:szCs w:val="24"/>
          <w:lang w:val="en-GB"/>
        </w:rPr>
        <w:instrText xml:space="preserve">ADDIN CSL_CITATION {"citationItems":[{"id":"ITEM-1","itemData":{"ISBN":"9780521837422","ISSN":"0033-5770","PMID":"15003161","abstract":"This book presents an introduction to the methodology of structural equation modeling, illustrates its use, and goes on to argue that it has revolutionary implications for the study of natural systems. A major theme of this book is that we have, up to this point, attempted to study systems primarily using methods (such as the univariate model) that were designed only for considering individual processes. Understanding systems requires the capacity to examine simultaneous influences and responses. Structural equation modeling (SEM) has such capabilities. It also possesses many other traits that add strength to its utility as a means of making scientific progress. In light of the capabilities of SEM, it can be argued that much of ecological theory is currently locked in an immature state that impairs its relevance. It is further argued that the principles of SEM are capable of leading to the development and evaluation of multivariate theories of the sort vitally needed for the conservation of natural systems. Supplementary information can be found at the authors website, accessible via www.cambridge.org/9780521837422. </w:instrText>
      </w:r>
      <w:r w:rsidR="00452B58">
        <w:rPr>
          <w:rFonts w:cs="Times New Roman"/>
          <w:color w:val="FF0000"/>
          <w:szCs w:val="24"/>
          <w:lang w:val="en-GB"/>
        </w:rPr>
        <w:instrText></w:instrText>
      </w:r>
      <w:r w:rsidR="00452B58">
        <w:rPr>
          <w:rFonts w:asciiTheme="majorBidi" w:hAnsiTheme="majorBidi" w:cstheme="majorBidi"/>
          <w:color w:val="FF0000"/>
          <w:szCs w:val="24"/>
          <w:lang w:val="en-GB"/>
        </w:rPr>
        <w:instrText xml:space="preserve"> Details why multivariate analyses should be used to study ecological systems </w:instrText>
      </w:r>
      <w:r w:rsidR="00452B58">
        <w:rPr>
          <w:rFonts w:cs="Times New Roman"/>
          <w:color w:val="FF0000"/>
          <w:szCs w:val="24"/>
          <w:lang w:val="en-GB"/>
        </w:rPr>
        <w:instrText></w:instrText>
      </w:r>
      <w:r w:rsidR="00452B58">
        <w:rPr>
          <w:rFonts w:asciiTheme="majorBidi" w:hAnsiTheme="majorBidi" w:cstheme="majorBidi"/>
          <w:color w:val="FF0000"/>
          <w:szCs w:val="24"/>
          <w:lang w:val="en-GB"/>
        </w:rPr>
        <w:instrText xml:space="preserve"> Exposes unappreciated weakness in many current popular analyses </w:instrText>
      </w:r>
      <w:r w:rsidR="00452B58">
        <w:rPr>
          <w:rFonts w:cs="Times New Roman"/>
          <w:color w:val="FF0000"/>
          <w:szCs w:val="24"/>
          <w:lang w:val="en-GB"/>
        </w:rPr>
        <w:instrText></w:instrText>
      </w:r>
      <w:r w:rsidR="00452B58">
        <w:rPr>
          <w:rFonts w:asciiTheme="majorBidi" w:hAnsiTheme="majorBidi" w:cstheme="majorBidi"/>
          <w:color w:val="FF0000"/>
          <w:szCs w:val="24"/>
          <w:lang w:val="en-GB"/>
        </w:rPr>
        <w:instrText xml:space="preserve"> Emphasises the future methodological developments needed to advance our understanding of ecological systems","author":[{"dropping-particle":"","family":"Grace","given":"James B","non-dropping-particle":"","parse-names":false,"suffix":""}],"id":"ITEM-1","issued":{"date-parts":[["2006"]]},"publisher":"Cambridge University Press, Cambridge","publisher-place":"Cambridge","title":"Structural equation modeling and natural systems","type":"book"},"uris":["http://www.mendeley.com/documents/?uuid=2733eaf6-258c-317a-a6ce-6be3e482545f"]},{"id":"ITEM-2","itemData":{"DOI":"10.2307/27806874","abstract":"The use of structural equation modeling (SEM) is often motivated by its utility for investigating complex networks of relationships, but also because of its promise as a means of representing theoretical concepts using latent variables. In this paper, we discuss characteristics of ecological theory and some of the challenges for proper specification of theoretical ideas in structural equation models (SE models). In our presentation, we describe some of the requirements for classical latent variable models in which observed variables (indicators) are interpreted as the effects of underlying causes. We also describe alternative model specifications in which indicators are interpreted as having causal influences on the theoretical concepts. We suggest that this latter nonclassical specification (which involves another variable type—the composite) will often be appropriate for ecological studies because of the multifaceted nature of our theoretical concepts. In this paper, we employ the use of meta-models to aid the translation of theory into SE models and also to facilitate our ability to relate results back to our theories. We demonstrate our approach by showing how a synthetic theory of grassland biodiversity can be evaluated using SEM and data from a coastal grassland. In this example, the theory focuses on the responses of species richness to abiotic stress and disturbance, both directly and through intervening effects on community biomass. Models examined include both those based on classical forms (where each concept is represented using a single latent variable) and also ones in which the concepts are recognized to be multifaceted and modeled as such. To address the challenge of matching SE models with the conceptual level of our theory, two approaches are illustrated, compositing and aggregation. Both approaches are shown to have merits, with the former being preferable for cases where the multiple facets of a concept have widely differing effects in the system and the latter being preferable where facets act together consistently when influencing other parts of the system. Because ecological theory characteristically deals with concepts that are multifaceted, we expect the methods presented in this paper will be useful for ecologists wishing to use SEM.","author":[{"dropping-particle":"","family":"Grace","given":"James B.","non-dropping-particle":"","parse-names":false,"suffix":""},{"dropping-particle":"","family":"Anderson","given":"T. Michael","non-dropping-particle":"","parse-names":false,"suffix":""},{"dropping-particle":"","family":"Olff","given":"Han","non-dropping-particle":"","parse-names":false,"suffix":""},{"dropping-particle":"","family":"Scheiner","given":"Samuel M.","non-dropping-particle":"","parse-names":false,"suffix":""}],"container-title":"Ecological Monographs","id":"ITEM-2","issued":{"date-parts":[["2010"]]},"page":"67-87","publisher":"WileyEcological Society of America","title":"On the specification of structural equation models for ecological systems","type":"article","volume":"80"},"uris":["http://www.mendeley.com/documents/?uuid=b4fd8b4d-9be1-3370-809c-dd392743951f"]}],"mendeley":{"formattedCitation":"&lt;sup&gt;1,2&lt;/sup&gt;","plainTextFormattedCitation":"1,2"},"properties":{"noteIndex":0},"schema":"https://github.com/citation-style-language/schema/raw/master/csl-citation.json"}</w:instrText>
      </w:r>
      <w:r w:rsidR="00452B58">
        <w:rPr>
          <w:rFonts w:asciiTheme="majorBidi" w:hAnsiTheme="majorBidi" w:cstheme="majorBidi"/>
          <w:color w:val="FF0000"/>
          <w:szCs w:val="24"/>
          <w:lang w:val="en-GB"/>
        </w:rPr>
        <w:fldChar w:fldCharType="separate"/>
      </w:r>
      <w:r w:rsidR="00452B58" w:rsidRPr="00452B58">
        <w:rPr>
          <w:rFonts w:asciiTheme="majorBidi" w:hAnsiTheme="majorBidi" w:cstheme="majorBidi"/>
          <w:noProof/>
          <w:color w:val="FF0000"/>
          <w:szCs w:val="24"/>
          <w:vertAlign w:val="superscript"/>
          <w:lang w:val="en-GB"/>
        </w:rPr>
        <w:t>1,2</w:t>
      </w:r>
      <w:r w:rsidR="00452B58">
        <w:rPr>
          <w:rFonts w:asciiTheme="majorBidi" w:hAnsiTheme="majorBidi" w:cstheme="majorBidi"/>
          <w:color w:val="FF0000"/>
          <w:szCs w:val="24"/>
          <w:lang w:val="en-GB"/>
        </w:rPr>
        <w:fldChar w:fldCharType="end"/>
      </w:r>
      <w:r w:rsidR="00384631" w:rsidRPr="00384631">
        <w:rPr>
          <w:rFonts w:asciiTheme="majorBidi" w:hAnsiTheme="majorBidi" w:cstheme="majorBidi"/>
          <w:color w:val="FF0000"/>
          <w:szCs w:val="24"/>
          <w:lang w:val="en-GB"/>
        </w:rPr>
        <w:t xml:space="preserve">, and compared these models using </w:t>
      </w:r>
      <w:proofErr w:type="spellStart"/>
      <w:r w:rsidR="00384631" w:rsidRPr="00384631">
        <w:rPr>
          <w:rFonts w:asciiTheme="majorBidi" w:hAnsiTheme="majorBidi" w:cstheme="majorBidi"/>
          <w:color w:val="FF0000"/>
          <w:szCs w:val="24"/>
          <w:lang w:val="en-GB"/>
        </w:rPr>
        <w:t>Akaike’s</w:t>
      </w:r>
      <w:proofErr w:type="spellEnd"/>
      <w:r w:rsidR="00384631" w:rsidRPr="00384631">
        <w:rPr>
          <w:rFonts w:asciiTheme="majorBidi" w:hAnsiTheme="majorBidi" w:cstheme="majorBidi"/>
          <w:color w:val="FF0000"/>
          <w:szCs w:val="24"/>
          <w:lang w:val="en-GB"/>
        </w:rPr>
        <w:t xml:space="preserve"> information criterion (</w:t>
      </w:r>
      <w:proofErr w:type="spellStart"/>
      <w:r w:rsidR="00384631" w:rsidRPr="00384631">
        <w:rPr>
          <w:rFonts w:asciiTheme="majorBidi" w:hAnsiTheme="majorBidi" w:cstheme="majorBidi"/>
          <w:color w:val="FF0000"/>
          <w:szCs w:val="24"/>
          <w:lang w:val="en-GB"/>
        </w:rPr>
        <w:t>AICc</w:t>
      </w:r>
      <w:proofErr w:type="spellEnd"/>
      <w:r w:rsidR="00384631" w:rsidRPr="00384631">
        <w:rPr>
          <w:rFonts w:asciiTheme="majorBidi" w:hAnsiTheme="majorBidi" w:cstheme="majorBidi"/>
          <w:color w:val="FF0000"/>
          <w:szCs w:val="24"/>
          <w:lang w:val="en-GB"/>
        </w:rPr>
        <w:t>)</w:t>
      </w:r>
      <w:r w:rsidR="00384631">
        <w:rPr>
          <w:rFonts w:asciiTheme="majorBidi" w:hAnsiTheme="majorBidi" w:cstheme="majorBidi"/>
          <w:color w:val="FF0000"/>
          <w:szCs w:val="24"/>
          <w:lang w:val="en-GB"/>
        </w:rPr>
        <w:fldChar w:fldCharType="begin" w:fldLock="1"/>
      </w:r>
      <w:r w:rsidR="00452B58">
        <w:rPr>
          <w:rFonts w:asciiTheme="majorBidi" w:hAnsiTheme="majorBidi" w:cstheme="majorBidi"/>
          <w:color w:val="FF0000"/>
          <w:szCs w:val="24"/>
          <w:lang w:val="en-GB"/>
        </w:rPr>
        <w:instrText>ADDIN CSL_CITATION {"citationItems":[{"id":"ITEM-1","itemData":{"DOI":"10.1126/sciadv.1700419","ISSN":"2375-2548","abstract":"Among the most enduring ecological challenges is an integrated theory explaining the latitudinal biodiversity gradient, including discrepancies observed at different spatial scales. Analysis of Reef Life Survey data for 4127 marine species at 2406 coral and rocky sites worldwide confirms that the total ecoregion richness peaks in low latitudes, near +15°N and −15°S. However, although richness at survey sites is maximal near the equator for vertebrates, it peaks at high latitudes for large mobile invertebrates. Site richness for different groups is dependent on abundance, which is in turn correlated with temperature for fishes and nutrients for macroinvertebrates. We suggest that temperature-mediated fish predation and herbivory have constrained mobile macroinvertebrate diversity at the site scale across the tropics. Conversely, at the ecoregion scale, richness responds positively to coral reef area, highlighting potentially huge global biodiversity losses with coral decline. Improved conservation outcomes require management frameworks, informed by hierarchical monitoring, that cover differing site- and regional-scale processes across diverse taxa, including attention to invertebrate species, which appear disproportionately threatened by warming seas.","author":[{"dropping-particle":"","family":"Edgar","given":"Graham J.","non-dropping-particle":"","parse-names":false,"suffix":""},{"dropping-particle":"","family":"Alexander","given":"Timothy J.","non-dropping-particle":"","parse-names":false,"suffix":""},{"dropping-particle":"","family":"Lefcheck","given":"Jonathan S.","non-dropping-particle":"","parse-names":false,"suffix":""},{"dropping-particle":"","family":"Bates","given":"Amanda E.","non-dropping-particle":"","parse-names":false,"suffix":""},{"dropping-particle":"","family":"Kininmonth","given":"Stuart J.","non-dropping-particle":"","parse-names":false,"suffix":""},{"dropping-particle":"","family":"Thomson","given":"Russell J.","non-dropping-particle":"","parse-names":false,"suffix":""},{"dropping-particle":"","family":"Duffy","given":"J. Emmett","non-dropping-particle":"","parse-names":false,"suffix":""},{"dropping-particle":"","family":"Costello","given":"Mark J.","non-dropping-particle":"","parse-names":false,"suffix":""},{"dropping-particle":"","family":"Stuart-Smith","given":"Rick D.","non-dropping-particle":"","parse-names":false,"suffix":""}],"container-title":"Science Advances","id":"ITEM-1","issue":"10","issued":{"date-parts":[["2017","10","18"]]},"page":"e1700419","publisher":"American Association for the Advancement of Science","title":"Abundance and local-scale processes contribute to multi-phyla gradients in global marine diversity","type":"article-journal","volume":"3"},"uris":["http://www.mendeley.com/documents/?uuid=03210ede-3e9e-3c03-bf09-6cac233b89a8"]},{"id":"ITEM-2","itemData":{"DOI":"10.1111/2041-210X.12512","ISSN":"2041210X","author":[{"dropping-particle":"","family":"Lefcheck","given":"Jonathan S.","non-dropping-particle":"","parse-names":false,"suffix":""}],"container-title":"Methods in Ecology and Evolution","editor":[{"dropping-particle":"","family":"Freckleton","given":"Robert","non-dropping-particle":"","parse-names":false,"suffix":""}],"id":"ITEM-2","issue":"5","issued":{"date-parts":[["2016","5"]]},"page":"573-579","publisher":"Wiley/Blackwell (10.1111)","title":"piecewiseSEM : Piecewise structural equation modelling in r for ecology, evolution, and systematics","type":"article-journal","volume":"7"},"uris":["http://www.mendeley.com/documents/?uuid=051c7d59-e90f-3a6d-ba7b-68392828899c"]},{"id":"ITEM-3","itemData":{"ISBN":"6176367670","ISSN":"00129658","PMID":"24949238","abstract":"The use of functional traits to explain biodiversity effects on ecosystem functioning has attracted intense recent interest, yet very few \\textit{a priori }manipulations of functional diversity have been attempted to date, especially from a food web perspective. Here, we simultaneously manipulated multiple functional traits of estuarine grazers and predators within multiple levels of species richness to test whether species richness or functional diversity is a better predictor of ecosystem functioning in multitrophic estuarine food webs. Community functional diversity better predicted the majority of ecosystem responses based on results from generalized linear mixed effects models. Structural equation modeling revealed that this outcome was independently attributable to functional diversity of both trophic levels, with stronger effects observed for predators. Functional complementarity was also important, as species with different combinations of traits influenced different ecosystem functions. Our study is the first to extend experimental investigations of functional diversity to a multilevel food web, and demonstrates that functional diversity is more effective than species richness in predicting ecosystem functioning in a food web context.","author":[{"dropping-particle":"","family":"Lefcheck","given":"Jonathan S.","non-dropping-particle":"","parse-names":false,"suffix":""},{"dropping-particle":"","family":"Duffy","given":"J. Emmett","non-dropping-particle":"","parse-names":false,"suffix":""}],"container-title":"Ecology","id":"ITEM-3","issued":{"date-parts":[["2015"]]},"title":"Multitrophic functional diversity predicts ecosystem functioning in experimental assemblages of estuarine consumers","type":"article-journal"},"uris":["http://www.mendeley.com/documents/?uuid=e483050a-b066-3ab8-8247-acb786588dd8"]},{"id":"ITEM-4","itemData":{"ISSN":"0027-8424","PMID":"29507225","abstract":"Humans strongly impact the dynamics of coastal systems, yet surprisingly few studies mechanistically link management of anthropogenic stressors and successful restoration of nearshore habitats over large spatial and temporal scales. Such examples are sorely needed to ensure the success of ecosystem restoration efforts worldwide. Here, we unite 30 consecutive years of watershed modeling, biogeochemical data, and comprehensive aerial surveys of Chesapeake Bay, United States to quantify the cascading effects of anthropogenic impacts on submersed aquatic vegetation (SAV), an ecologically and economically valuable habitat. We employ structural equation models to link land use change to higher nutrient loads, which in turn reduce SAV cover through multiple, independent pathways. We also show through our models that high biodiversity of SAV consistently promotes cover, an unexpected finding that corroborates emerging evidence from other terrestrial and marine systems. Due to sustained management actions that have reduced nitrogen concentrations in Chesapeake Bay by 23% since 1984, SAV has regained 17,000 ha to achieve its highest cover in almost half a century. Our study empirically demonstrates that nutrient reductions and biodiversity conservation are effective strategies to aid the successful recovery of degraded systems at regional scales, a finding which is highly relevant to the utility of environmental management programs worldwide.","author":[{"dropping-particle":"","family":"Lefcheck","given":"Jonathan S.","non-dropping-particle":"","parse-names":false,"suffix":""},{"dropping-particle":"","family":"Orth","given":"Robert J.","non-dropping-particle":"","parse-names":false,"suffix":""},{"dropping-particle":"","family":"Dennison","given":"William C.","non-dropping-particle":"","parse-names":false,"suffix":""},{"dropping-particle":"","family":"Wilcox","given":"David J.","non-dropping-particle":"","parse-names":false,"suffix":""},{"dropping-particle":"","family":"Murphy","given":"Rebecca R.","non-dropping-particle":"","parse-names":false,"suffix":""},{"dropping-particle":"","family":"Keisman","given":"Jennifer","non-dropping-particle":"","parse-names":false,"suffix":""},{"dropping-particle":"","family":"Gurbisz","given":"Cassie","non-dropping-particle":"","parse-names":false,"suffix":""},{"dropping-particle":"","family":"Hannam","given":"Michael","non-dropping-particle":"","parse-names":false,"suffix":""},{"dropping-particle":"","family":"Landry","given":"J. Brooke","non-dropping-particle":"","parse-names":false,"suffix":""},{"dropping-particle":"","family":"Moore","given":"Kenneth A.","non-dropping-particle":"","parse-names":false,"suffix":""},{"dropping-particle":"","family":"Patrick","given":"Christopher J.","non-dropping-particle":"","parse-names":false,"suffix":""},{"dropping-particle":"","family":"Testa","given":"Jeremy","non-dropping-particle":"","parse-names":false,"suffix":""},{"dropping-particle":"","family":"Weller","given":"Donald E.","non-dropping-particle":"","parse-names":false,"suffix":""},{"dropping-particle":"","family":"Batiuk","given":"Richard A.","non-dropping-particle":"","parse-names":false,"suffix":""}],"container-title":"Proceedings of the National Academy of Sciences","id":"ITEM-4","issued":{"date-parts":[["2018"]]},"title":"Long-term nutrient reductions lead to the unprecedented recovery of a temperate coastal region","type":"article-journal"},"uris":["http://www.mendeley.com/documents/?uuid=3d30891f-3cac-3fa2-b709-30d4275b8501"]},{"id":"ITEM-5","itemData":{"DOI":"10.18637/jss.v048.i02","ISBN":"9781439811870","ISSN":"1548-7660","PMID":"18291371","abstract":"Structural equation modeling (SEM) is a vast field and widely used by many applied researchers in the social and behavioral sciences. Over the years, many software packages for structural equation modeling have been developed, both free and commercial. However, perhaps the best state-of-the-art software packages in this field are still closed-source and/or commercial. The R package lavaan has been developed to provide applied researchers, teachers, and statisticians, a free, fully open-source, but commercial-quality package for latent variable modeling. This paper explains the aims behind the development of the package, gives an overview of its most important features, and provides some examples to illustrate how lavaan works in practice.","author":[{"dropping-particle":"","family":"Rosseel","given":"Yves","non-dropping-particle":"","parse-names":false,"suffix":""}],"container-title":"Journal of Statistical Software","id":"ITEM-5","issue":"2","issued":{"date-parts":[["2012"]]},"page":"1-36","title":"lavaan : An R Package for Structural Equation Modeling","type":"article-journal","volume":"48"},"uris":["http://www.mendeley.com/documents/?uuid=229c167d-90d5-3607-a2af-f80aece53053"]}],"mendeley":{"formattedCitation":"&lt;sup&gt;3–7&lt;/sup&gt;","plainTextFormattedCitation":"3–7","previouslyFormattedCitation":"&lt;sup&gt;2–6&lt;/sup&gt;"},"properties":{"noteIndex":0},"schema":"https://github.com/citation-style-language/schema/raw/master/csl-citation.json"}</w:instrText>
      </w:r>
      <w:r w:rsidR="00384631">
        <w:rPr>
          <w:rFonts w:asciiTheme="majorBidi" w:hAnsiTheme="majorBidi" w:cstheme="majorBidi"/>
          <w:color w:val="FF0000"/>
          <w:szCs w:val="24"/>
          <w:lang w:val="en-GB"/>
        </w:rPr>
        <w:fldChar w:fldCharType="separate"/>
      </w:r>
      <w:r w:rsidR="00452B58" w:rsidRPr="00452B58">
        <w:rPr>
          <w:rFonts w:asciiTheme="majorBidi" w:hAnsiTheme="majorBidi" w:cstheme="majorBidi"/>
          <w:noProof/>
          <w:color w:val="FF0000"/>
          <w:szCs w:val="24"/>
          <w:vertAlign w:val="superscript"/>
          <w:lang w:val="en-GB"/>
        </w:rPr>
        <w:t>3–7</w:t>
      </w:r>
      <w:r w:rsidR="00384631">
        <w:rPr>
          <w:rFonts w:asciiTheme="majorBidi" w:hAnsiTheme="majorBidi" w:cstheme="majorBidi"/>
          <w:color w:val="FF0000"/>
          <w:szCs w:val="24"/>
          <w:lang w:val="en-GB"/>
        </w:rPr>
        <w:fldChar w:fldCharType="end"/>
      </w:r>
      <w:r w:rsidR="00384631" w:rsidRPr="00384631">
        <w:rPr>
          <w:rFonts w:asciiTheme="majorBidi" w:hAnsiTheme="majorBidi" w:cstheme="majorBidi"/>
          <w:color w:val="FF0000"/>
          <w:szCs w:val="24"/>
          <w:lang w:val="en-GB"/>
        </w:rPr>
        <w:t xml:space="preserve">. </w:t>
      </w:r>
      <w:r w:rsidRPr="0039634E">
        <w:rPr>
          <w:rFonts w:asciiTheme="majorBidi" w:hAnsiTheme="majorBidi" w:cstheme="majorBidi"/>
          <w:szCs w:val="24"/>
          <w:lang w:val="en-GB"/>
        </w:rPr>
        <w:t>Our</w:t>
      </w:r>
      <w:r w:rsidRPr="0039634E">
        <w:rPr>
          <w:rFonts w:asciiTheme="majorBidi" w:hAnsiTheme="majorBidi" w:cstheme="majorBidi"/>
          <w:i/>
          <w:iCs/>
          <w:szCs w:val="24"/>
          <w:lang w:val="en-GB"/>
        </w:rPr>
        <w:t xml:space="preserve"> prior</w:t>
      </w:r>
      <w:r w:rsidRPr="0039634E">
        <w:rPr>
          <w:rFonts w:asciiTheme="majorBidi" w:hAnsiTheme="majorBidi" w:cstheme="majorBidi"/>
          <w:szCs w:val="24"/>
          <w:lang w:val="en-GB"/>
        </w:rPr>
        <w:t xml:space="preserve"> model dep</w:t>
      </w:r>
      <w:r w:rsidR="001123EE">
        <w:rPr>
          <w:rFonts w:asciiTheme="majorBidi" w:hAnsiTheme="majorBidi" w:cstheme="majorBidi"/>
          <w:szCs w:val="24"/>
          <w:lang w:val="en-GB"/>
        </w:rPr>
        <w:t>icted that elevation and die-off treatments</w:t>
      </w:r>
      <w:r w:rsidRPr="0039634E">
        <w:rPr>
          <w:rFonts w:asciiTheme="majorBidi" w:hAnsiTheme="majorBidi" w:cstheme="majorBidi"/>
          <w:szCs w:val="24"/>
          <w:lang w:val="en-GB"/>
        </w:rPr>
        <w:t xml:space="preserve"> would have direct effec</w:t>
      </w:r>
      <w:r w:rsidR="0068122B">
        <w:rPr>
          <w:rFonts w:asciiTheme="majorBidi" w:hAnsiTheme="majorBidi" w:cstheme="majorBidi"/>
          <w:szCs w:val="24"/>
          <w:lang w:val="en-GB"/>
        </w:rPr>
        <w:t xml:space="preserve">ts </w:t>
      </w:r>
      <w:r w:rsidR="001123EE">
        <w:rPr>
          <w:rFonts w:asciiTheme="majorBidi" w:hAnsiTheme="majorBidi" w:cstheme="majorBidi"/>
          <w:szCs w:val="24"/>
          <w:lang w:val="en-GB"/>
        </w:rPr>
        <w:t xml:space="preserve">on </w:t>
      </w:r>
      <w:r w:rsidR="0068122B">
        <w:rPr>
          <w:rFonts w:asciiTheme="majorBidi" w:hAnsiTheme="majorBidi" w:cstheme="majorBidi"/>
          <w:szCs w:val="24"/>
          <w:lang w:val="en-GB"/>
        </w:rPr>
        <w:t xml:space="preserve">recovery rate as well as on abiotic and biotic </w:t>
      </w:r>
      <w:r w:rsidRPr="0039634E">
        <w:rPr>
          <w:rFonts w:asciiTheme="majorBidi" w:hAnsiTheme="majorBidi" w:cstheme="majorBidi"/>
          <w:szCs w:val="24"/>
          <w:lang w:val="en-GB"/>
        </w:rPr>
        <w:t>variables</w:t>
      </w:r>
      <w:r w:rsidR="0068122B">
        <w:rPr>
          <w:rFonts w:asciiTheme="majorBidi" w:hAnsiTheme="majorBidi" w:cstheme="majorBidi"/>
          <w:szCs w:val="24"/>
          <w:lang w:val="en-GB"/>
        </w:rPr>
        <w:t xml:space="preserve"> that might</w:t>
      </w:r>
      <w:r w:rsidRPr="0039634E">
        <w:rPr>
          <w:rFonts w:asciiTheme="majorBidi" w:hAnsiTheme="majorBidi" w:cstheme="majorBidi"/>
          <w:szCs w:val="24"/>
          <w:lang w:val="en-GB"/>
        </w:rPr>
        <w:t xml:space="preserve"> affect the recovery rate of seagrass after die-off. Variables were checked for parametric assumptions and were transformed when necessary to meet the assumptions. </w:t>
      </w:r>
      <w:bookmarkStart w:id="0" w:name="_GoBack"/>
      <w:bookmarkEnd w:id="0"/>
    </w:p>
    <w:p w:rsidR="00670CDC" w:rsidRPr="0039634E" w:rsidRDefault="00670CDC" w:rsidP="0068122B">
      <w:pPr>
        <w:spacing w:line="240" w:lineRule="auto"/>
        <w:rPr>
          <w:rFonts w:asciiTheme="majorBidi" w:hAnsiTheme="majorBidi" w:cstheme="majorBidi"/>
          <w:szCs w:val="24"/>
          <w:lang w:val="en-GB"/>
        </w:rPr>
      </w:pPr>
    </w:p>
    <w:p w:rsidR="00275181" w:rsidRPr="0039634E" w:rsidRDefault="0068122B" w:rsidP="00275181">
      <w:pPr>
        <w:spacing w:line="240" w:lineRule="auto"/>
        <w:rPr>
          <w:rFonts w:asciiTheme="majorBidi" w:hAnsiTheme="majorBidi" w:cstheme="majorBidi"/>
          <w:szCs w:val="24"/>
          <w:lang w:val="en-GB"/>
        </w:rPr>
      </w:pPr>
      <w:r>
        <w:rPr>
          <w:rFonts w:asciiTheme="majorBidi" w:hAnsiTheme="majorBidi" w:cstheme="majorBidi"/>
          <w:noProof/>
          <w:szCs w:val="24"/>
        </w:rPr>
        <w:drawing>
          <wp:inline distT="0" distB="0" distL="0" distR="0" wp14:anchorId="035C1B35" wp14:editId="7F8C84A9">
            <wp:extent cx="5309627" cy="3346711"/>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SE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9627" cy="3346711"/>
                    </a:xfrm>
                    <a:prstGeom prst="rect">
                      <a:avLst/>
                    </a:prstGeom>
                  </pic:spPr>
                </pic:pic>
              </a:graphicData>
            </a:graphic>
          </wp:inline>
        </w:drawing>
      </w:r>
    </w:p>
    <w:p w:rsidR="00C80588" w:rsidRDefault="00275181" w:rsidP="00B3368A">
      <w:pPr>
        <w:spacing w:line="240" w:lineRule="auto"/>
        <w:rPr>
          <w:rFonts w:asciiTheme="majorBidi" w:hAnsiTheme="majorBidi" w:cstheme="majorBidi"/>
          <w:szCs w:val="24"/>
          <w:lang w:val="en-GB"/>
        </w:rPr>
      </w:pPr>
      <w:r w:rsidRPr="00670CDC">
        <w:rPr>
          <w:rFonts w:asciiTheme="majorBidi" w:hAnsiTheme="majorBidi" w:cstheme="majorBidi"/>
          <w:b/>
          <w:bCs/>
          <w:szCs w:val="24"/>
          <w:lang w:val="en-GB"/>
        </w:rPr>
        <w:t>Figure S2.</w:t>
      </w:r>
      <w:r w:rsidRPr="0039634E">
        <w:rPr>
          <w:rFonts w:asciiTheme="majorBidi" w:hAnsiTheme="majorBidi" w:cstheme="majorBidi"/>
          <w:szCs w:val="24"/>
          <w:lang w:val="en-GB"/>
        </w:rPr>
        <w:t xml:space="preserve"> </w:t>
      </w:r>
      <w:r w:rsidR="00B3368A" w:rsidRPr="00B3368A">
        <w:rPr>
          <w:rFonts w:asciiTheme="majorBidi" w:hAnsiTheme="majorBidi" w:cstheme="majorBidi"/>
          <w:i/>
          <w:iCs/>
          <w:szCs w:val="24"/>
          <w:lang w:val="en-GB"/>
        </w:rPr>
        <w:t>A priori</w:t>
      </w:r>
      <w:r w:rsidR="003E3CF0">
        <w:rPr>
          <w:rFonts w:asciiTheme="majorBidi" w:hAnsiTheme="majorBidi" w:cstheme="majorBidi"/>
          <w:szCs w:val="24"/>
          <w:lang w:val="en-GB"/>
        </w:rPr>
        <w:t xml:space="preserve"> meta-model of possible links of</w:t>
      </w:r>
      <w:r w:rsidR="00B3368A" w:rsidRPr="00B3368A">
        <w:rPr>
          <w:rFonts w:asciiTheme="majorBidi" w:hAnsiTheme="majorBidi" w:cstheme="majorBidi"/>
          <w:szCs w:val="24"/>
          <w:lang w:val="en-GB"/>
        </w:rPr>
        <w:t xml:space="preserve"> the predicted effects of elevation, treatment, and various abiotic and biotic factors on the recovery rate of seagrass after experimental die-off events at Zira, Banc d’Arguin.</w:t>
      </w:r>
    </w:p>
    <w:p w:rsidR="00C80588" w:rsidRDefault="00C80588" w:rsidP="00C80588">
      <w:pPr>
        <w:rPr>
          <w:lang w:val="en-GB"/>
        </w:rPr>
      </w:pPr>
      <w:r>
        <w:rPr>
          <w:lang w:val="en-GB"/>
        </w:rPr>
        <w:br w:type="page"/>
      </w:r>
    </w:p>
    <w:p w:rsidR="00275181" w:rsidRPr="0039634E" w:rsidRDefault="00275181" w:rsidP="00A62D21">
      <w:pPr>
        <w:pStyle w:val="Caption"/>
        <w:keepNext/>
        <w:jc w:val="both"/>
        <w:rPr>
          <w:rFonts w:asciiTheme="majorBidi" w:hAnsiTheme="majorBidi" w:cstheme="majorBidi"/>
          <w:b w:val="0"/>
          <w:bCs w:val="0"/>
          <w:color w:val="auto"/>
          <w:sz w:val="24"/>
          <w:szCs w:val="24"/>
          <w:lang w:val="en-GB"/>
        </w:rPr>
      </w:pPr>
      <w:r w:rsidRPr="00670CDC">
        <w:rPr>
          <w:rFonts w:asciiTheme="majorBidi" w:hAnsiTheme="majorBidi" w:cstheme="majorBidi"/>
          <w:color w:val="auto"/>
          <w:sz w:val="24"/>
          <w:szCs w:val="24"/>
          <w:lang w:val="en-GB"/>
        </w:rPr>
        <w:lastRenderedPageBreak/>
        <w:t>Table S</w:t>
      </w:r>
      <w:r w:rsidRPr="00670CDC">
        <w:rPr>
          <w:rFonts w:asciiTheme="majorBidi" w:hAnsiTheme="majorBidi" w:cstheme="majorBidi"/>
          <w:color w:val="auto"/>
          <w:sz w:val="24"/>
          <w:szCs w:val="24"/>
          <w:lang w:val="en-GB"/>
        </w:rPr>
        <w:fldChar w:fldCharType="begin"/>
      </w:r>
      <w:r w:rsidRPr="00670CDC">
        <w:rPr>
          <w:rFonts w:asciiTheme="majorBidi" w:hAnsiTheme="majorBidi" w:cstheme="majorBidi"/>
          <w:color w:val="auto"/>
          <w:sz w:val="24"/>
          <w:szCs w:val="24"/>
          <w:lang w:val="en-GB"/>
        </w:rPr>
        <w:instrText xml:space="preserve"> SEQ Table_S \* ARABIC </w:instrText>
      </w:r>
      <w:r w:rsidRPr="00670CDC">
        <w:rPr>
          <w:rFonts w:asciiTheme="majorBidi" w:hAnsiTheme="majorBidi" w:cstheme="majorBidi"/>
          <w:color w:val="auto"/>
          <w:sz w:val="24"/>
          <w:szCs w:val="24"/>
          <w:lang w:val="en-GB"/>
        </w:rPr>
        <w:fldChar w:fldCharType="separate"/>
      </w:r>
      <w:r w:rsidR="00A545A5">
        <w:rPr>
          <w:rFonts w:asciiTheme="majorBidi" w:hAnsiTheme="majorBidi" w:cstheme="majorBidi"/>
          <w:noProof/>
          <w:color w:val="auto"/>
          <w:sz w:val="24"/>
          <w:szCs w:val="24"/>
          <w:lang w:val="en-GB"/>
        </w:rPr>
        <w:t>1</w:t>
      </w:r>
      <w:r w:rsidRPr="00670CDC">
        <w:rPr>
          <w:rFonts w:asciiTheme="majorBidi" w:hAnsiTheme="majorBidi" w:cstheme="majorBidi"/>
          <w:color w:val="auto"/>
          <w:sz w:val="24"/>
          <w:szCs w:val="24"/>
          <w:lang w:val="en-GB"/>
        </w:rPr>
        <w:fldChar w:fldCharType="end"/>
      </w:r>
      <w:r w:rsidRPr="00670CDC">
        <w:rPr>
          <w:rFonts w:asciiTheme="majorBidi" w:hAnsiTheme="majorBidi" w:cstheme="majorBidi"/>
          <w:color w:val="auto"/>
          <w:sz w:val="24"/>
          <w:szCs w:val="24"/>
          <w:lang w:val="en-GB"/>
        </w:rPr>
        <w:t>.</w:t>
      </w:r>
      <w:r w:rsidRPr="0039634E">
        <w:rPr>
          <w:rFonts w:asciiTheme="majorBidi" w:hAnsiTheme="majorBidi" w:cstheme="majorBidi"/>
          <w:b w:val="0"/>
          <w:bCs w:val="0"/>
          <w:color w:val="auto"/>
          <w:sz w:val="24"/>
          <w:szCs w:val="24"/>
          <w:lang w:val="en-GB"/>
        </w:rPr>
        <w:t xml:space="preserve"> </w:t>
      </w:r>
      <w:r w:rsidR="00EE640B">
        <w:rPr>
          <w:rFonts w:asciiTheme="majorBidi" w:hAnsiTheme="majorBidi" w:cstheme="majorBidi"/>
          <w:b w:val="0"/>
          <w:bCs w:val="0"/>
          <w:color w:val="auto"/>
          <w:sz w:val="24"/>
          <w:szCs w:val="24"/>
          <w:lang w:val="en-GB"/>
        </w:rPr>
        <w:t>Complete outcomes of</w:t>
      </w:r>
      <w:r w:rsidR="00EE640B" w:rsidRPr="00EE640B">
        <w:rPr>
          <w:rFonts w:asciiTheme="majorBidi" w:hAnsiTheme="majorBidi" w:cstheme="majorBidi"/>
          <w:b w:val="0"/>
          <w:bCs w:val="0"/>
          <w:color w:val="auto"/>
          <w:sz w:val="24"/>
          <w:szCs w:val="24"/>
          <w:lang w:val="en-GB"/>
        </w:rPr>
        <w:t xml:space="preserve"> the </w:t>
      </w:r>
      <w:r w:rsidR="00EE640B">
        <w:rPr>
          <w:rFonts w:asciiTheme="majorBidi" w:hAnsiTheme="majorBidi" w:cstheme="majorBidi"/>
          <w:b w:val="0"/>
          <w:bCs w:val="0"/>
          <w:color w:val="auto"/>
          <w:sz w:val="24"/>
          <w:szCs w:val="24"/>
          <w:lang w:val="en-GB"/>
        </w:rPr>
        <w:t xml:space="preserve">fitted model tested in the Piecewise SEM showing standardized coefficients </w:t>
      </w:r>
      <w:r w:rsidRPr="0039634E">
        <w:rPr>
          <w:rFonts w:asciiTheme="majorBidi" w:hAnsiTheme="majorBidi" w:cstheme="majorBidi"/>
          <w:b w:val="0"/>
          <w:bCs w:val="0"/>
          <w:color w:val="auto"/>
          <w:sz w:val="24"/>
          <w:szCs w:val="24"/>
          <w:lang w:val="en-GB"/>
        </w:rPr>
        <w:t xml:space="preserve">of the effects of </w:t>
      </w:r>
      <w:r w:rsidR="00EE640B">
        <w:rPr>
          <w:rFonts w:asciiTheme="majorBidi" w:hAnsiTheme="majorBidi" w:cstheme="majorBidi"/>
          <w:b w:val="0"/>
          <w:bCs w:val="0"/>
          <w:color w:val="auto"/>
          <w:sz w:val="24"/>
          <w:szCs w:val="24"/>
          <w:lang w:val="en-GB"/>
        </w:rPr>
        <w:t xml:space="preserve">elevation, die-off treatments, and various </w:t>
      </w:r>
      <w:r w:rsidRPr="0039634E">
        <w:rPr>
          <w:rFonts w:asciiTheme="majorBidi" w:hAnsiTheme="majorBidi" w:cstheme="majorBidi"/>
          <w:b w:val="0"/>
          <w:bCs w:val="0"/>
          <w:color w:val="auto"/>
          <w:sz w:val="24"/>
          <w:szCs w:val="24"/>
          <w:lang w:val="en-GB"/>
        </w:rPr>
        <w:t>abiotic and biotic factors on the seagrass recovery after experimental die-off events at Banc d’Arguin, Mauritania.</w:t>
      </w:r>
      <w:r w:rsidR="00A62D21">
        <w:rPr>
          <w:rFonts w:asciiTheme="majorBidi" w:hAnsiTheme="majorBidi" w:cstheme="majorBidi"/>
          <w:b w:val="0"/>
          <w:bCs w:val="0"/>
          <w:color w:val="auto"/>
          <w:sz w:val="24"/>
          <w:szCs w:val="24"/>
          <w:lang w:val="en-GB"/>
        </w:rPr>
        <w:t xml:space="preserve"> </w:t>
      </w:r>
      <w:r w:rsidR="00A62D21" w:rsidRPr="00A62D21">
        <w:rPr>
          <w:rFonts w:asciiTheme="majorBidi" w:hAnsiTheme="majorBidi" w:cstheme="majorBidi"/>
          <w:b w:val="0"/>
          <w:bCs w:val="0"/>
          <w:color w:val="auto"/>
          <w:sz w:val="24"/>
          <w:szCs w:val="24"/>
        </w:rPr>
        <w:t xml:space="preserve">Significant </w:t>
      </w:r>
      <w:r w:rsidR="00A62D21">
        <w:rPr>
          <w:rFonts w:asciiTheme="majorBidi" w:hAnsiTheme="majorBidi" w:cstheme="majorBidi"/>
          <w:b w:val="0"/>
          <w:bCs w:val="0"/>
          <w:color w:val="auto"/>
          <w:sz w:val="24"/>
          <w:szCs w:val="24"/>
        </w:rPr>
        <w:t xml:space="preserve">paths </w:t>
      </w:r>
      <w:r w:rsidR="00A62D21" w:rsidRPr="00A62D21">
        <w:rPr>
          <w:rFonts w:asciiTheme="majorBidi" w:hAnsiTheme="majorBidi" w:cstheme="majorBidi"/>
          <w:b w:val="0"/>
          <w:bCs w:val="0"/>
          <w:color w:val="auto"/>
          <w:sz w:val="24"/>
          <w:szCs w:val="24"/>
        </w:rPr>
        <w:t>(</w:t>
      </w:r>
      <w:r w:rsidR="00A62D21" w:rsidRPr="00A62D21">
        <w:rPr>
          <w:rFonts w:asciiTheme="majorBidi" w:hAnsiTheme="majorBidi" w:cstheme="majorBidi"/>
          <w:b w:val="0"/>
          <w:bCs w:val="0"/>
          <w:i/>
          <w:iCs/>
          <w:color w:val="auto"/>
          <w:sz w:val="24"/>
          <w:szCs w:val="24"/>
        </w:rPr>
        <w:t xml:space="preserve">P </w:t>
      </w:r>
      <w:r w:rsidR="00A62D21" w:rsidRPr="00A62D21">
        <w:rPr>
          <w:rFonts w:asciiTheme="majorBidi" w:hAnsiTheme="majorBidi" w:cstheme="majorBidi"/>
          <w:b w:val="0"/>
          <w:bCs w:val="0"/>
          <w:color w:val="auto"/>
          <w:sz w:val="24"/>
          <w:szCs w:val="24"/>
        </w:rPr>
        <w:t>&lt; 0.05) are denoted in bold.</w:t>
      </w:r>
    </w:p>
    <w:tbl>
      <w:tblPr>
        <w:tblW w:w="8865" w:type="dxa"/>
        <w:tblInd w:w="93" w:type="dxa"/>
        <w:tblLook w:val="04A0" w:firstRow="1" w:lastRow="0" w:firstColumn="1" w:lastColumn="0" w:noHBand="0" w:noVBand="1"/>
      </w:tblPr>
      <w:tblGrid>
        <w:gridCol w:w="1877"/>
        <w:gridCol w:w="1877"/>
        <w:gridCol w:w="1440"/>
        <w:gridCol w:w="960"/>
        <w:gridCol w:w="1110"/>
        <w:gridCol w:w="1601"/>
      </w:tblGrid>
      <w:tr w:rsidR="00EE640B" w:rsidRPr="00EE640B" w:rsidTr="00EE640B">
        <w:trPr>
          <w:trHeight w:val="315"/>
        </w:trPr>
        <w:tc>
          <w:tcPr>
            <w:tcW w:w="1877" w:type="dxa"/>
            <w:tcBorders>
              <w:top w:val="single" w:sz="4" w:space="0" w:color="BFBFBF"/>
              <w:left w:val="single" w:sz="4" w:space="0" w:color="BFBFBF"/>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Response</w:t>
            </w:r>
          </w:p>
        </w:tc>
        <w:tc>
          <w:tcPr>
            <w:tcW w:w="1877" w:type="dxa"/>
            <w:tcBorders>
              <w:top w:val="single" w:sz="4" w:space="0" w:color="BFBFBF"/>
              <w:left w:val="nil"/>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Predictor</w:t>
            </w:r>
          </w:p>
        </w:tc>
        <w:tc>
          <w:tcPr>
            <w:tcW w:w="1440" w:type="dxa"/>
            <w:tcBorders>
              <w:top w:val="single" w:sz="4" w:space="0" w:color="BFBFBF"/>
              <w:left w:val="nil"/>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Estimate</w:t>
            </w:r>
          </w:p>
        </w:tc>
        <w:tc>
          <w:tcPr>
            <w:tcW w:w="960" w:type="dxa"/>
            <w:tcBorders>
              <w:top w:val="single" w:sz="4" w:space="0" w:color="BFBFBF"/>
              <w:left w:val="nil"/>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SE</w:t>
            </w:r>
          </w:p>
        </w:tc>
        <w:tc>
          <w:tcPr>
            <w:tcW w:w="1110" w:type="dxa"/>
            <w:tcBorders>
              <w:top w:val="single" w:sz="4" w:space="0" w:color="BFBFBF"/>
              <w:left w:val="nil"/>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P-value</w:t>
            </w:r>
          </w:p>
        </w:tc>
        <w:tc>
          <w:tcPr>
            <w:tcW w:w="1601" w:type="dxa"/>
            <w:tcBorders>
              <w:top w:val="single" w:sz="4" w:space="0" w:color="BFBFBF"/>
              <w:left w:val="nil"/>
              <w:bottom w:val="single" w:sz="4" w:space="0" w:color="BFBFBF"/>
              <w:right w:val="single" w:sz="4" w:space="0" w:color="BFBFBF"/>
            </w:tcBorders>
            <w:shd w:val="clear" w:color="000000" w:fill="BFBFBF"/>
            <w:noWrap/>
            <w:vAlign w:val="bottom"/>
            <w:hideMark/>
          </w:tcPr>
          <w:p w:rsidR="00EE640B" w:rsidRPr="00EE640B" w:rsidRDefault="00EE640B" w:rsidP="00EE640B">
            <w:pPr>
              <w:spacing w:after="0" w:line="240" w:lineRule="auto"/>
              <w:rPr>
                <w:rFonts w:eastAsia="Times New Roman" w:cs="Times New Roman"/>
                <w:b/>
                <w:bCs/>
                <w:color w:val="000000"/>
                <w:szCs w:val="24"/>
              </w:rPr>
            </w:pPr>
            <w:proofErr w:type="spellStart"/>
            <w:r w:rsidRPr="00EE640B">
              <w:rPr>
                <w:rFonts w:eastAsia="Times New Roman" w:cs="Times New Roman"/>
                <w:b/>
                <w:bCs/>
                <w:color w:val="000000"/>
                <w:szCs w:val="24"/>
              </w:rPr>
              <w:t>Std</w:t>
            </w:r>
            <w:proofErr w:type="spellEnd"/>
            <w:r w:rsidRPr="00EE640B">
              <w:rPr>
                <w:rFonts w:eastAsia="Times New Roman" w:cs="Times New Roman"/>
                <w:b/>
                <w:bCs/>
                <w:color w:val="000000"/>
                <w:szCs w:val="24"/>
              </w:rPr>
              <w:t xml:space="preserve"> Estimate</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0.004</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0.007</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0.556</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0.152</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0.001</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0.95</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-0.002</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0.385</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0.044</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0.001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0.625</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0.158</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0.059</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0.008</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0.154</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0.836</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0.054</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lang w:val="en-GB"/>
              </w:rPr>
              <w:t>&lt;0.001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0.903</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-0.029</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0.048</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0.554</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-0.019</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Loripes</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0.733</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-0.039</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Loripes</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0.306</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0.118</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0.011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0.176</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Benthos AFDM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0.111</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0.208</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0.623</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0.095</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Benthos AFDM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0.067</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0.135</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0.619</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0.035</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Benthos AFDM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0.057</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0.19</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0.765</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0.045</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Biofilm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0.032</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0.335</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0.929</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0.023</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Biofilm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-0.015</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0.055</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0.787</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-0.006</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Biofilm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-0.151</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0.065</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0.022</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-0.106</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Biofilm</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-0.189</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0.076</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0.014</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-0.125</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0.082</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2.283</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0.972</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0.002</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-0.075</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0.049</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0.128</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-0.034</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0.005</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0.06</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0.938</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0.003</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Loripes</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0.009</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0.027</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0.732</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0.007</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Benthos AFDM</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-0.039</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0.024</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0.116</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-0.034</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Biofilm</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-0.118</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0.055</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0.032</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-0.128</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Elevation</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-0.409</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0.294</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lang w:val="en-GB"/>
              </w:rPr>
              <w:t>&lt;0.001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-0.306</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Recovery rate</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Die-off size</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-0.218</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0.041</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0.236</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-0.098</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-0.114</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xml:space="preserve">NA </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0.935</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-0.114</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Sedimentation</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-0.018</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xml:space="preserve">NA </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0.597</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-0.018</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Organic matter</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0.086</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xml:space="preserve">NA </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0.125</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0.086</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Loripes</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Benthos AFDM</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0.313</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xml:space="preserve">NA </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lang w:val="en-GB"/>
              </w:rPr>
              <w:t>&lt;0.001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b/>
                <w:bCs/>
                <w:color w:val="000000"/>
                <w:szCs w:val="24"/>
              </w:rPr>
            </w:pPr>
            <w:r w:rsidRPr="00EE640B">
              <w:rPr>
                <w:rFonts w:eastAsia="Times New Roman" w:cs="Times New Roman"/>
                <w:b/>
                <w:bCs/>
                <w:color w:val="000000"/>
                <w:szCs w:val="24"/>
              </w:rPr>
              <w:t>0.313</w:t>
            </w:r>
          </w:p>
        </w:tc>
      </w:tr>
      <w:tr w:rsidR="00EE640B" w:rsidRPr="00EE640B" w:rsidTr="00EE640B">
        <w:trPr>
          <w:trHeight w:val="315"/>
        </w:trPr>
        <w:tc>
          <w:tcPr>
            <w:tcW w:w="1877" w:type="dxa"/>
            <w:tcBorders>
              <w:top w:val="nil"/>
              <w:left w:val="single" w:sz="4" w:space="0" w:color="BFBFBF"/>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Loripes</w:t>
            </w:r>
          </w:p>
        </w:tc>
        <w:tc>
          <w:tcPr>
            <w:tcW w:w="1877"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Redox</w:t>
            </w:r>
          </w:p>
        </w:tc>
        <w:tc>
          <w:tcPr>
            <w:tcW w:w="144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0.096</w:t>
            </w:r>
          </w:p>
        </w:tc>
        <w:tc>
          <w:tcPr>
            <w:tcW w:w="96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 xml:space="preserve">NA </w:t>
            </w:r>
          </w:p>
        </w:tc>
        <w:tc>
          <w:tcPr>
            <w:tcW w:w="1110"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0.1</w:t>
            </w:r>
          </w:p>
        </w:tc>
        <w:tc>
          <w:tcPr>
            <w:tcW w:w="1601" w:type="dxa"/>
            <w:tcBorders>
              <w:top w:val="nil"/>
              <w:left w:val="nil"/>
              <w:bottom w:val="single" w:sz="4" w:space="0" w:color="BFBFBF"/>
              <w:right w:val="single" w:sz="4" w:space="0" w:color="BFBFBF"/>
            </w:tcBorders>
            <w:shd w:val="clear" w:color="auto" w:fill="auto"/>
            <w:noWrap/>
            <w:vAlign w:val="bottom"/>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color w:val="000000"/>
                <w:szCs w:val="24"/>
              </w:rPr>
              <w:t>0.096</w:t>
            </w:r>
          </w:p>
        </w:tc>
      </w:tr>
      <w:tr w:rsidR="00EE640B" w:rsidRPr="00EE640B" w:rsidTr="00EE640B">
        <w:trPr>
          <w:trHeight w:val="315"/>
        </w:trPr>
        <w:tc>
          <w:tcPr>
            <w:tcW w:w="8865" w:type="dxa"/>
            <w:gridSpan w:val="6"/>
            <w:tcBorders>
              <w:top w:val="single" w:sz="4" w:space="0" w:color="BFBFBF"/>
              <w:left w:val="single" w:sz="4" w:space="0" w:color="BFBFBF"/>
              <w:bottom w:val="single" w:sz="4" w:space="0" w:color="BFBFBF"/>
              <w:right w:val="single" w:sz="4" w:space="0" w:color="BFBFBF"/>
            </w:tcBorders>
            <w:shd w:val="clear" w:color="000000" w:fill="FFFFFF"/>
            <w:noWrap/>
            <w:hideMark/>
          </w:tcPr>
          <w:p w:rsidR="00EE640B" w:rsidRPr="00EE640B" w:rsidRDefault="00EE640B" w:rsidP="00EE640B">
            <w:pPr>
              <w:spacing w:after="0" w:line="240" w:lineRule="auto"/>
              <w:rPr>
                <w:rFonts w:eastAsia="Times New Roman" w:cs="Times New Roman"/>
                <w:color w:val="000000"/>
                <w:szCs w:val="24"/>
              </w:rPr>
            </w:pPr>
            <w:r w:rsidRPr="00EE640B">
              <w:rPr>
                <w:rFonts w:eastAsia="Times New Roman" w:cs="Times New Roman"/>
                <w:i/>
                <w:iCs/>
                <w:color w:val="000000"/>
                <w:szCs w:val="24"/>
              </w:rPr>
              <w:t>Notes</w:t>
            </w:r>
            <w:r w:rsidRPr="00EE640B">
              <w:rPr>
                <w:rFonts w:eastAsia="Times New Roman" w:cs="Times New Roman"/>
                <w:color w:val="000000"/>
                <w:szCs w:val="24"/>
              </w:rPr>
              <w:t xml:space="preserve">: Estimate = standardized path coefficient; SE = standard error; </w:t>
            </w:r>
          </w:p>
        </w:tc>
      </w:tr>
      <w:tr w:rsidR="00EE640B" w:rsidRPr="00EE640B" w:rsidTr="00EE640B">
        <w:trPr>
          <w:trHeight w:val="375"/>
        </w:trPr>
        <w:tc>
          <w:tcPr>
            <w:tcW w:w="8865" w:type="dxa"/>
            <w:gridSpan w:val="6"/>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EE640B" w:rsidRPr="00EE640B" w:rsidRDefault="00EE640B" w:rsidP="00EE640B">
            <w:pPr>
              <w:spacing w:after="0" w:line="240" w:lineRule="auto"/>
              <w:rPr>
                <w:rFonts w:eastAsia="Times New Roman" w:cs="Times New Roman"/>
                <w:color w:val="000000"/>
                <w:szCs w:val="24"/>
              </w:rPr>
            </w:pPr>
            <w:proofErr w:type="spellStart"/>
            <w:r w:rsidRPr="00EE640B">
              <w:rPr>
                <w:rFonts w:eastAsia="Times New Roman" w:cs="Times New Roman"/>
                <w:color w:val="000000"/>
                <w:szCs w:val="24"/>
              </w:rPr>
              <w:t>Std</w:t>
            </w:r>
            <w:proofErr w:type="spellEnd"/>
            <w:r w:rsidRPr="00EE640B">
              <w:rPr>
                <w:rFonts w:eastAsia="Times New Roman" w:cs="Times New Roman"/>
                <w:color w:val="000000"/>
                <w:szCs w:val="24"/>
              </w:rPr>
              <w:t xml:space="preserve"> Estimate = conditional R</w:t>
            </w:r>
            <w:r w:rsidRPr="00EE640B">
              <w:rPr>
                <w:rFonts w:eastAsia="Times New Roman" w:cs="Times New Roman"/>
                <w:color w:val="000000"/>
                <w:szCs w:val="24"/>
                <w:vertAlign w:val="superscript"/>
              </w:rPr>
              <w:t>2</w:t>
            </w:r>
            <w:r w:rsidRPr="00EE640B">
              <w:rPr>
                <w:rFonts w:eastAsia="Times New Roman" w:cs="Times New Roman"/>
                <w:color w:val="000000"/>
                <w:szCs w:val="24"/>
              </w:rPr>
              <w:t xml:space="preserve">; Model Fisher's C statistic = 14.65; </w:t>
            </w:r>
            <w:r w:rsidRPr="00EE640B">
              <w:rPr>
                <w:rFonts w:eastAsia="Times New Roman" w:cs="Times New Roman"/>
                <w:i/>
                <w:iCs/>
                <w:color w:val="000000"/>
                <w:szCs w:val="24"/>
              </w:rPr>
              <w:t>P</w:t>
            </w:r>
            <w:r w:rsidRPr="00EE640B">
              <w:rPr>
                <w:rFonts w:eastAsia="Times New Roman" w:cs="Times New Roman"/>
                <w:color w:val="000000"/>
                <w:szCs w:val="24"/>
              </w:rPr>
              <w:t xml:space="preserve"> = 0.56.</w:t>
            </w:r>
          </w:p>
        </w:tc>
      </w:tr>
    </w:tbl>
    <w:p w:rsidR="00905E8F" w:rsidRDefault="00905E8F" w:rsidP="00275181">
      <w:pPr>
        <w:spacing w:line="240" w:lineRule="auto"/>
        <w:rPr>
          <w:rFonts w:asciiTheme="majorBidi" w:hAnsiTheme="majorBidi" w:cstheme="majorBidi"/>
          <w:szCs w:val="24"/>
        </w:rPr>
      </w:pPr>
    </w:p>
    <w:p w:rsidR="00905E8F" w:rsidRDefault="00905E8F" w:rsidP="00905E8F">
      <w:r>
        <w:br w:type="page"/>
      </w:r>
    </w:p>
    <w:p w:rsidR="00275181" w:rsidRPr="00A423A5" w:rsidRDefault="00275181" w:rsidP="00A423A5">
      <w:pPr>
        <w:spacing w:line="240" w:lineRule="auto"/>
        <w:rPr>
          <w:rFonts w:asciiTheme="majorBidi" w:hAnsiTheme="majorBidi" w:cstheme="majorBidi"/>
          <w:b/>
          <w:bCs/>
          <w:i/>
          <w:iCs/>
          <w:szCs w:val="24"/>
          <w:lang w:val="en-GB"/>
        </w:rPr>
      </w:pPr>
      <w:r w:rsidRPr="0039634E">
        <w:rPr>
          <w:rFonts w:asciiTheme="majorBidi" w:hAnsiTheme="majorBidi" w:cstheme="majorBidi"/>
          <w:b/>
          <w:bCs/>
          <w:i/>
          <w:iCs/>
          <w:szCs w:val="24"/>
          <w:lang w:val="en-GB"/>
        </w:rPr>
        <w:lastRenderedPageBreak/>
        <w:t>Supplementary 3: Macrofaunal recolonization</w:t>
      </w:r>
    </w:p>
    <w:p w:rsidR="00275181" w:rsidRPr="0039634E" w:rsidRDefault="00275181" w:rsidP="00275181">
      <w:pPr>
        <w:spacing w:line="240" w:lineRule="auto"/>
        <w:jc w:val="center"/>
        <w:rPr>
          <w:rFonts w:asciiTheme="majorBidi" w:hAnsiTheme="majorBidi" w:cstheme="majorBidi"/>
          <w:szCs w:val="24"/>
          <w:lang w:val="en-GB"/>
        </w:rPr>
      </w:pPr>
      <w:r w:rsidRPr="0039634E">
        <w:rPr>
          <w:rFonts w:asciiTheme="majorBidi" w:hAnsiTheme="majorBidi" w:cstheme="majorBidi"/>
          <w:noProof/>
          <w:szCs w:val="24"/>
        </w:rPr>
        <w:drawing>
          <wp:inline distT="0" distB="0" distL="0" distR="0" wp14:anchorId="4CCA4161" wp14:editId="063AF4FE">
            <wp:extent cx="5400000" cy="72000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t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0" cy="7200000"/>
                    </a:xfrm>
                    <a:prstGeom prst="rect">
                      <a:avLst/>
                    </a:prstGeom>
                  </pic:spPr>
                </pic:pic>
              </a:graphicData>
            </a:graphic>
          </wp:inline>
        </w:drawing>
      </w:r>
    </w:p>
    <w:p w:rsidR="00275181" w:rsidRPr="0039634E" w:rsidRDefault="00275181" w:rsidP="00275181">
      <w:pPr>
        <w:spacing w:line="240" w:lineRule="auto"/>
        <w:rPr>
          <w:rFonts w:asciiTheme="majorBidi" w:hAnsiTheme="majorBidi" w:cstheme="majorBidi"/>
          <w:szCs w:val="24"/>
          <w:lang w:val="en-GB"/>
        </w:rPr>
      </w:pPr>
      <w:r w:rsidRPr="00905E8F">
        <w:rPr>
          <w:rFonts w:asciiTheme="majorBidi" w:hAnsiTheme="majorBidi" w:cstheme="majorBidi"/>
          <w:b/>
          <w:bCs/>
          <w:szCs w:val="24"/>
          <w:lang w:val="en-GB"/>
        </w:rPr>
        <w:t>Figure S3.</w:t>
      </w:r>
      <w:r w:rsidRPr="0039634E">
        <w:rPr>
          <w:rFonts w:asciiTheme="majorBidi" w:hAnsiTheme="majorBidi" w:cstheme="majorBidi"/>
          <w:szCs w:val="24"/>
          <w:lang w:val="en-GB"/>
        </w:rPr>
        <w:t xml:space="preserve"> Seasonal change in benthos density (m</w:t>
      </w:r>
      <w:r w:rsidRPr="0039634E">
        <w:rPr>
          <w:rFonts w:asciiTheme="majorBidi" w:hAnsiTheme="majorBidi" w:cstheme="majorBidi"/>
          <w:szCs w:val="24"/>
          <w:vertAlign w:val="superscript"/>
          <w:lang w:val="en-GB"/>
        </w:rPr>
        <w:t>-2</w:t>
      </w:r>
      <w:r w:rsidRPr="0039634E">
        <w:rPr>
          <w:rFonts w:asciiTheme="majorBidi" w:hAnsiTheme="majorBidi" w:cstheme="majorBidi"/>
          <w:szCs w:val="24"/>
          <w:lang w:val="en-GB"/>
        </w:rPr>
        <w:t xml:space="preserve">) of the most common species (94%) found in the experimental plots (C = control, L = large, S = small) along an elevation gradient, (a) high zone and (b) low zone. </w:t>
      </w:r>
    </w:p>
    <w:p w:rsidR="00275181" w:rsidRPr="0039634E" w:rsidRDefault="00275181" w:rsidP="00275181">
      <w:pPr>
        <w:spacing w:line="240" w:lineRule="auto"/>
        <w:rPr>
          <w:rFonts w:asciiTheme="majorBidi" w:hAnsiTheme="majorBidi" w:cstheme="majorBidi"/>
          <w:szCs w:val="24"/>
          <w:lang w:val="en-GB"/>
        </w:rPr>
      </w:pPr>
    </w:p>
    <w:p w:rsidR="00275181" w:rsidRPr="0039634E" w:rsidRDefault="00275181" w:rsidP="00275181">
      <w:pPr>
        <w:spacing w:line="240" w:lineRule="auto"/>
        <w:rPr>
          <w:rFonts w:asciiTheme="majorBidi" w:hAnsiTheme="majorBidi" w:cstheme="majorBidi"/>
          <w:szCs w:val="24"/>
          <w:lang w:val="en-GB"/>
        </w:rPr>
      </w:pPr>
      <w:r w:rsidRPr="0039634E">
        <w:rPr>
          <w:rFonts w:asciiTheme="majorBidi" w:hAnsiTheme="majorBidi" w:cstheme="majorBidi"/>
          <w:noProof/>
          <w:szCs w:val="24"/>
        </w:rPr>
        <w:lastRenderedPageBreak/>
        <w:drawing>
          <wp:inline distT="0" distB="0" distL="0" distR="0" wp14:anchorId="1ED56414" wp14:editId="7B6D28C1">
            <wp:extent cx="5580000" cy="5580000"/>
            <wp:effectExtent l="0" t="0" r="190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th Receve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000" cy="5580000"/>
                    </a:xfrm>
                    <a:prstGeom prst="rect">
                      <a:avLst/>
                    </a:prstGeom>
                  </pic:spPr>
                </pic:pic>
              </a:graphicData>
            </a:graphic>
          </wp:inline>
        </w:drawing>
      </w:r>
    </w:p>
    <w:p w:rsidR="00275181" w:rsidRPr="0039634E" w:rsidRDefault="00275181" w:rsidP="00275181">
      <w:pPr>
        <w:spacing w:line="240" w:lineRule="auto"/>
        <w:rPr>
          <w:rFonts w:asciiTheme="majorBidi" w:hAnsiTheme="majorBidi" w:cstheme="majorBidi"/>
          <w:szCs w:val="24"/>
          <w:lang w:val="en-GB"/>
        </w:rPr>
      </w:pPr>
      <w:r w:rsidRPr="00905E8F">
        <w:rPr>
          <w:rFonts w:asciiTheme="majorBidi" w:hAnsiTheme="majorBidi" w:cstheme="majorBidi"/>
          <w:b/>
          <w:bCs/>
          <w:szCs w:val="24"/>
          <w:lang w:val="en-GB"/>
        </w:rPr>
        <w:t>Figure S4.</w:t>
      </w:r>
      <w:r w:rsidRPr="0039634E">
        <w:rPr>
          <w:rFonts w:asciiTheme="majorBidi" w:hAnsiTheme="majorBidi" w:cstheme="majorBidi"/>
          <w:szCs w:val="24"/>
          <w:lang w:val="en-GB"/>
        </w:rPr>
        <w:t xml:space="preserve"> MDS plots showing differences in macrobenthic community assemblages between disturbed plots (large, small) and controls in two elevational zones (high, low) represented by 95% confidence interval ellipses. (a) six months, (b) 12 months, (c) 18 months, and (d) 24 months after defaunation.</w:t>
      </w:r>
    </w:p>
    <w:p w:rsidR="00275181" w:rsidRPr="0039634E" w:rsidRDefault="00275181" w:rsidP="00275181">
      <w:pPr>
        <w:spacing w:line="240" w:lineRule="auto"/>
        <w:jc w:val="both"/>
        <w:rPr>
          <w:rFonts w:asciiTheme="majorBidi" w:hAnsiTheme="majorBidi" w:cstheme="majorBidi"/>
          <w:b/>
          <w:bCs/>
          <w:szCs w:val="24"/>
          <w:lang w:val="en-GB"/>
        </w:rPr>
      </w:pPr>
    </w:p>
    <w:p w:rsidR="00275181" w:rsidRPr="0039634E" w:rsidRDefault="00275181" w:rsidP="00275181">
      <w:pPr>
        <w:spacing w:line="240" w:lineRule="auto"/>
        <w:jc w:val="both"/>
        <w:rPr>
          <w:rFonts w:asciiTheme="majorBidi" w:hAnsiTheme="majorBidi" w:cstheme="majorBidi"/>
          <w:szCs w:val="24"/>
          <w:lang w:val="en-GB"/>
        </w:rPr>
      </w:pPr>
      <w:r w:rsidRPr="0039634E">
        <w:rPr>
          <w:rFonts w:asciiTheme="majorBidi" w:hAnsiTheme="majorBidi" w:cstheme="majorBidi"/>
          <w:b/>
          <w:bCs/>
          <w:szCs w:val="24"/>
          <w:lang w:val="en-GB"/>
        </w:rPr>
        <w:t>References</w:t>
      </w:r>
    </w:p>
    <w:p w:rsidR="00452B58" w:rsidRPr="00452B58" w:rsidRDefault="00693200" w:rsidP="00452B58">
      <w:pPr>
        <w:widowControl w:val="0"/>
        <w:autoSpaceDE w:val="0"/>
        <w:autoSpaceDN w:val="0"/>
        <w:adjustRightInd w:val="0"/>
        <w:spacing w:line="240" w:lineRule="auto"/>
        <w:ind w:left="640" w:hanging="640"/>
        <w:rPr>
          <w:rFonts w:cs="Times New Roman"/>
          <w:noProof/>
          <w:color w:val="FF0000"/>
          <w:szCs w:val="24"/>
        </w:rPr>
      </w:pPr>
      <w:r w:rsidRPr="00452B58">
        <w:rPr>
          <w:rFonts w:asciiTheme="majorBidi" w:hAnsiTheme="majorBidi" w:cstheme="majorBidi"/>
          <w:noProof/>
          <w:color w:val="FF0000"/>
          <w:szCs w:val="24"/>
          <w:lang w:val="en-GB"/>
        </w:rPr>
        <w:fldChar w:fldCharType="begin" w:fldLock="1"/>
      </w:r>
      <w:r w:rsidRPr="00452B58">
        <w:rPr>
          <w:rFonts w:asciiTheme="majorBidi" w:hAnsiTheme="majorBidi" w:cstheme="majorBidi"/>
          <w:noProof/>
          <w:color w:val="FF0000"/>
          <w:szCs w:val="24"/>
          <w:lang w:val="en-GB"/>
        </w:rPr>
        <w:instrText xml:space="preserve">ADDIN Mendeley Bibliography CSL_BIBLIOGRAPHY </w:instrText>
      </w:r>
      <w:r w:rsidRPr="00452B58">
        <w:rPr>
          <w:rFonts w:asciiTheme="majorBidi" w:hAnsiTheme="majorBidi" w:cstheme="majorBidi"/>
          <w:noProof/>
          <w:color w:val="FF0000"/>
          <w:szCs w:val="24"/>
          <w:lang w:val="en-GB"/>
        </w:rPr>
        <w:fldChar w:fldCharType="separate"/>
      </w:r>
      <w:r w:rsidR="00452B58" w:rsidRPr="00452B58">
        <w:rPr>
          <w:rFonts w:cs="Times New Roman"/>
          <w:noProof/>
          <w:color w:val="FF0000"/>
          <w:szCs w:val="24"/>
        </w:rPr>
        <w:t>1.</w:t>
      </w:r>
      <w:r w:rsidR="00452B58" w:rsidRPr="00452B58">
        <w:rPr>
          <w:rFonts w:cs="Times New Roman"/>
          <w:noProof/>
          <w:color w:val="FF0000"/>
          <w:szCs w:val="24"/>
        </w:rPr>
        <w:tab/>
        <w:t xml:space="preserve">Grace, J. B. </w:t>
      </w:r>
      <w:r w:rsidR="00452B58" w:rsidRPr="00452B58">
        <w:rPr>
          <w:rFonts w:cs="Times New Roman"/>
          <w:i/>
          <w:iCs/>
          <w:noProof/>
          <w:color w:val="FF0000"/>
          <w:szCs w:val="24"/>
        </w:rPr>
        <w:t>Structural equation modeling and natural systems</w:t>
      </w:r>
      <w:r w:rsidR="00452B58" w:rsidRPr="00452B58">
        <w:rPr>
          <w:rFonts w:cs="Times New Roman"/>
          <w:noProof/>
          <w:color w:val="FF0000"/>
          <w:szCs w:val="24"/>
        </w:rPr>
        <w:t>. (Cambridge University Press, Cambridge, 2006).</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szCs w:val="24"/>
        </w:rPr>
      </w:pPr>
      <w:r w:rsidRPr="00452B58">
        <w:rPr>
          <w:rFonts w:cs="Times New Roman"/>
          <w:noProof/>
          <w:color w:val="FF0000"/>
          <w:szCs w:val="24"/>
        </w:rPr>
        <w:t>2.</w:t>
      </w:r>
      <w:r w:rsidRPr="00452B58">
        <w:rPr>
          <w:rFonts w:cs="Times New Roman"/>
          <w:noProof/>
          <w:color w:val="FF0000"/>
          <w:szCs w:val="24"/>
        </w:rPr>
        <w:tab/>
        <w:t xml:space="preserve">Grace, J. B., Anderson, T. M., Olff, H. &amp; Scheiner, S. M. On the specification of structural equation models for ecological systems. </w:t>
      </w:r>
      <w:r w:rsidRPr="00452B58">
        <w:rPr>
          <w:rFonts w:cs="Times New Roman"/>
          <w:i/>
          <w:iCs/>
          <w:noProof/>
          <w:color w:val="FF0000"/>
          <w:szCs w:val="24"/>
        </w:rPr>
        <w:t>Ecological Monographs</w:t>
      </w:r>
      <w:r w:rsidRPr="00452B58">
        <w:rPr>
          <w:rFonts w:cs="Times New Roman"/>
          <w:noProof/>
          <w:color w:val="FF0000"/>
          <w:szCs w:val="24"/>
        </w:rPr>
        <w:t xml:space="preserve"> </w:t>
      </w:r>
      <w:r w:rsidRPr="00452B58">
        <w:rPr>
          <w:rFonts w:cs="Times New Roman"/>
          <w:b/>
          <w:bCs/>
          <w:noProof/>
          <w:color w:val="FF0000"/>
          <w:szCs w:val="24"/>
        </w:rPr>
        <w:t>80,</w:t>
      </w:r>
      <w:r w:rsidRPr="00452B58">
        <w:rPr>
          <w:rFonts w:cs="Times New Roman"/>
          <w:noProof/>
          <w:color w:val="FF0000"/>
          <w:szCs w:val="24"/>
        </w:rPr>
        <w:t xml:space="preserve"> 67–87 (2010).</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szCs w:val="24"/>
        </w:rPr>
      </w:pPr>
      <w:r w:rsidRPr="00452B58">
        <w:rPr>
          <w:rFonts w:cs="Times New Roman"/>
          <w:noProof/>
          <w:color w:val="FF0000"/>
          <w:szCs w:val="24"/>
        </w:rPr>
        <w:t>3.</w:t>
      </w:r>
      <w:r w:rsidRPr="00452B58">
        <w:rPr>
          <w:rFonts w:cs="Times New Roman"/>
          <w:noProof/>
          <w:color w:val="FF0000"/>
          <w:szCs w:val="24"/>
        </w:rPr>
        <w:tab/>
        <w:t xml:space="preserve">Edgar, G. J. </w:t>
      </w:r>
      <w:r w:rsidRPr="00452B58">
        <w:rPr>
          <w:rFonts w:cs="Times New Roman"/>
          <w:i/>
          <w:iCs/>
          <w:noProof/>
          <w:color w:val="FF0000"/>
          <w:szCs w:val="24"/>
        </w:rPr>
        <w:t>et al.</w:t>
      </w:r>
      <w:r w:rsidRPr="00452B58">
        <w:rPr>
          <w:rFonts w:cs="Times New Roman"/>
          <w:noProof/>
          <w:color w:val="FF0000"/>
          <w:szCs w:val="24"/>
        </w:rPr>
        <w:t xml:space="preserve"> Abundance and local-scale processes contribute to multi-phyla gradients in global marine diversity. </w:t>
      </w:r>
      <w:r w:rsidRPr="00452B58">
        <w:rPr>
          <w:rFonts w:cs="Times New Roman"/>
          <w:i/>
          <w:iCs/>
          <w:noProof/>
          <w:color w:val="FF0000"/>
          <w:szCs w:val="24"/>
        </w:rPr>
        <w:t>Science Advances</w:t>
      </w:r>
      <w:r w:rsidRPr="00452B58">
        <w:rPr>
          <w:rFonts w:cs="Times New Roman"/>
          <w:noProof/>
          <w:color w:val="FF0000"/>
          <w:szCs w:val="24"/>
        </w:rPr>
        <w:t xml:space="preserve"> </w:t>
      </w:r>
      <w:r w:rsidRPr="00452B58">
        <w:rPr>
          <w:rFonts w:cs="Times New Roman"/>
          <w:b/>
          <w:bCs/>
          <w:noProof/>
          <w:color w:val="FF0000"/>
          <w:szCs w:val="24"/>
        </w:rPr>
        <w:t>3,</w:t>
      </w:r>
      <w:r w:rsidRPr="00452B58">
        <w:rPr>
          <w:rFonts w:cs="Times New Roman"/>
          <w:noProof/>
          <w:color w:val="FF0000"/>
          <w:szCs w:val="24"/>
        </w:rPr>
        <w:t xml:space="preserve"> e1700419 (2017).</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szCs w:val="24"/>
        </w:rPr>
      </w:pPr>
      <w:r w:rsidRPr="00452B58">
        <w:rPr>
          <w:rFonts w:cs="Times New Roman"/>
          <w:noProof/>
          <w:color w:val="FF0000"/>
          <w:szCs w:val="24"/>
        </w:rPr>
        <w:lastRenderedPageBreak/>
        <w:t>4.</w:t>
      </w:r>
      <w:r w:rsidRPr="00452B58">
        <w:rPr>
          <w:rFonts w:cs="Times New Roman"/>
          <w:noProof/>
          <w:color w:val="FF0000"/>
          <w:szCs w:val="24"/>
        </w:rPr>
        <w:tab/>
        <w:t xml:space="preserve">Lefcheck, J. S. piecewiseSEM : Piecewise structural equation modelling in r for ecology, evolution, and systematics. </w:t>
      </w:r>
      <w:r w:rsidRPr="00452B58">
        <w:rPr>
          <w:rFonts w:cs="Times New Roman"/>
          <w:i/>
          <w:iCs/>
          <w:noProof/>
          <w:color w:val="FF0000"/>
          <w:szCs w:val="24"/>
        </w:rPr>
        <w:t>Methods in Ecology and Evolution</w:t>
      </w:r>
      <w:r w:rsidRPr="00452B58">
        <w:rPr>
          <w:rFonts w:cs="Times New Roman"/>
          <w:noProof/>
          <w:color w:val="FF0000"/>
          <w:szCs w:val="24"/>
        </w:rPr>
        <w:t xml:space="preserve"> </w:t>
      </w:r>
      <w:r w:rsidRPr="00452B58">
        <w:rPr>
          <w:rFonts w:cs="Times New Roman"/>
          <w:b/>
          <w:bCs/>
          <w:noProof/>
          <w:color w:val="FF0000"/>
          <w:szCs w:val="24"/>
        </w:rPr>
        <w:t>7,</w:t>
      </w:r>
      <w:r w:rsidRPr="00452B58">
        <w:rPr>
          <w:rFonts w:cs="Times New Roman"/>
          <w:noProof/>
          <w:color w:val="FF0000"/>
          <w:szCs w:val="24"/>
        </w:rPr>
        <w:t xml:space="preserve"> 573–579 (2016).</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szCs w:val="24"/>
        </w:rPr>
      </w:pPr>
      <w:r w:rsidRPr="00452B58">
        <w:rPr>
          <w:rFonts w:cs="Times New Roman"/>
          <w:noProof/>
          <w:color w:val="FF0000"/>
          <w:szCs w:val="24"/>
        </w:rPr>
        <w:t>5.</w:t>
      </w:r>
      <w:r w:rsidRPr="00452B58">
        <w:rPr>
          <w:rFonts w:cs="Times New Roman"/>
          <w:noProof/>
          <w:color w:val="FF0000"/>
          <w:szCs w:val="24"/>
        </w:rPr>
        <w:tab/>
        <w:t xml:space="preserve">Lefcheck, J. S. &amp; Duffy, J. E. Multitrophic functional diversity predicts ecosystem functioning in experimental assemblages of estuarine consumers. </w:t>
      </w:r>
      <w:r w:rsidRPr="00452B58">
        <w:rPr>
          <w:rFonts w:cs="Times New Roman"/>
          <w:i/>
          <w:iCs/>
          <w:noProof/>
          <w:color w:val="FF0000"/>
          <w:szCs w:val="24"/>
        </w:rPr>
        <w:t>Ecology</w:t>
      </w:r>
      <w:r w:rsidRPr="00452B58">
        <w:rPr>
          <w:rFonts w:cs="Times New Roman"/>
          <w:noProof/>
          <w:color w:val="FF0000"/>
          <w:szCs w:val="24"/>
        </w:rPr>
        <w:t xml:space="preserve"> (2015).</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szCs w:val="24"/>
        </w:rPr>
      </w:pPr>
      <w:r w:rsidRPr="00452B58">
        <w:rPr>
          <w:rFonts w:cs="Times New Roman"/>
          <w:noProof/>
          <w:color w:val="FF0000"/>
          <w:szCs w:val="24"/>
        </w:rPr>
        <w:t>6.</w:t>
      </w:r>
      <w:r w:rsidRPr="00452B58">
        <w:rPr>
          <w:rFonts w:cs="Times New Roman"/>
          <w:noProof/>
          <w:color w:val="FF0000"/>
          <w:szCs w:val="24"/>
        </w:rPr>
        <w:tab/>
        <w:t xml:space="preserve">Lefcheck, J. S. </w:t>
      </w:r>
      <w:r w:rsidRPr="00452B58">
        <w:rPr>
          <w:rFonts w:cs="Times New Roman"/>
          <w:i/>
          <w:iCs/>
          <w:noProof/>
          <w:color w:val="FF0000"/>
          <w:szCs w:val="24"/>
        </w:rPr>
        <w:t>et al.</w:t>
      </w:r>
      <w:r w:rsidRPr="00452B58">
        <w:rPr>
          <w:rFonts w:cs="Times New Roman"/>
          <w:noProof/>
          <w:color w:val="FF0000"/>
          <w:szCs w:val="24"/>
        </w:rPr>
        <w:t xml:space="preserve"> Long-term nutrient reductions lead to the unprecedented recovery of a temperate coastal region. </w:t>
      </w:r>
      <w:r w:rsidRPr="00452B58">
        <w:rPr>
          <w:rFonts w:cs="Times New Roman"/>
          <w:i/>
          <w:iCs/>
          <w:noProof/>
          <w:color w:val="FF0000"/>
          <w:szCs w:val="24"/>
        </w:rPr>
        <w:t>Proceedings of the National Academy of Sciences</w:t>
      </w:r>
      <w:r w:rsidRPr="00452B58">
        <w:rPr>
          <w:rFonts w:cs="Times New Roman"/>
          <w:noProof/>
          <w:color w:val="FF0000"/>
          <w:szCs w:val="24"/>
        </w:rPr>
        <w:t xml:space="preserve"> (2018).</w:t>
      </w:r>
    </w:p>
    <w:p w:rsidR="00452B58" w:rsidRPr="00452B58" w:rsidRDefault="00452B58" w:rsidP="00452B58">
      <w:pPr>
        <w:widowControl w:val="0"/>
        <w:autoSpaceDE w:val="0"/>
        <w:autoSpaceDN w:val="0"/>
        <w:adjustRightInd w:val="0"/>
        <w:spacing w:line="240" w:lineRule="auto"/>
        <w:ind w:left="640" w:hanging="640"/>
        <w:rPr>
          <w:rFonts w:cs="Times New Roman"/>
          <w:noProof/>
          <w:color w:val="FF0000"/>
        </w:rPr>
      </w:pPr>
      <w:r w:rsidRPr="00452B58">
        <w:rPr>
          <w:rFonts w:cs="Times New Roman"/>
          <w:noProof/>
          <w:color w:val="FF0000"/>
          <w:szCs w:val="24"/>
        </w:rPr>
        <w:t>7.</w:t>
      </w:r>
      <w:r w:rsidRPr="00452B58">
        <w:rPr>
          <w:rFonts w:cs="Times New Roman"/>
          <w:noProof/>
          <w:color w:val="FF0000"/>
          <w:szCs w:val="24"/>
        </w:rPr>
        <w:tab/>
        <w:t xml:space="preserve">Rosseel, Y. lavaan : An R Package for Structural Equation Modeling. </w:t>
      </w:r>
      <w:r w:rsidRPr="00452B58">
        <w:rPr>
          <w:rFonts w:cs="Times New Roman"/>
          <w:i/>
          <w:iCs/>
          <w:noProof/>
          <w:color w:val="FF0000"/>
          <w:szCs w:val="24"/>
        </w:rPr>
        <w:t>Journal of Statistical Software</w:t>
      </w:r>
      <w:r w:rsidRPr="00452B58">
        <w:rPr>
          <w:rFonts w:cs="Times New Roman"/>
          <w:noProof/>
          <w:color w:val="FF0000"/>
          <w:szCs w:val="24"/>
        </w:rPr>
        <w:t xml:space="preserve"> </w:t>
      </w:r>
      <w:r w:rsidRPr="00452B58">
        <w:rPr>
          <w:rFonts w:cs="Times New Roman"/>
          <w:b/>
          <w:bCs/>
          <w:noProof/>
          <w:color w:val="FF0000"/>
          <w:szCs w:val="24"/>
        </w:rPr>
        <w:t>48,</w:t>
      </w:r>
      <w:r w:rsidRPr="00452B58">
        <w:rPr>
          <w:rFonts w:cs="Times New Roman"/>
          <w:noProof/>
          <w:color w:val="FF0000"/>
          <w:szCs w:val="24"/>
        </w:rPr>
        <w:t xml:space="preserve"> 1–36 (2012).</w:t>
      </w:r>
    </w:p>
    <w:p w:rsidR="00693200" w:rsidRPr="00B93913" w:rsidRDefault="00693200" w:rsidP="00452B58">
      <w:pPr>
        <w:widowControl w:val="0"/>
        <w:autoSpaceDE w:val="0"/>
        <w:autoSpaceDN w:val="0"/>
        <w:adjustRightInd w:val="0"/>
        <w:spacing w:line="240" w:lineRule="auto"/>
        <w:ind w:left="640" w:hanging="640"/>
        <w:rPr>
          <w:rFonts w:asciiTheme="majorBidi" w:hAnsiTheme="majorBidi" w:cstheme="majorBidi"/>
          <w:noProof/>
          <w:szCs w:val="24"/>
          <w:lang w:val="en-GB"/>
        </w:rPr>
      </w:pPr>
      <w:r w:rsidRPr="00452B58">
        <w:rPr>
          <w:rFonts w:asciiTheme="majorBidi" w:hAnsiTheme="majorBidi" w:cstheme="majorBidi"/>
          <w:noProof/>
          <w:color w:val="FF0000"/>
          <w:szCs w:val="24"/>
          <w:lang w:val="en-GB"/>
        </w:rPr>
        <w:fldChar w:fldCharType="end"/>
      </w:r>
    </w:p>
    <w:sectPr w:rsidR="00693200" w:rsidRPr="00B93913" w:rsidSect="00C8058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0BD" w:rsidRDefault="006940BD" w:rsidP="00F72537">
      <w:pPr>
        <w:spacing w:after="0" w:line="240" w:lineRule="auto"/>
      </w:pPr>
      <w:r>
        <w:separator/>
      </w:r>
    </w:p>
  </w:endnote>
  <w:endnote w:type="continuationSeparator" w:id="0">
    <w:p w:rsidR="006940BD" w:rsidRDefault="006940BD" w:rsidP="00F7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598212"/>
      <w:docPartObj>
        <w:docPartGallery w:val="Page Numbers (Bottom of Page)"/>
        <w:docPartUnique/>
      </w:docPartObj>
    </w:sdtPr>
    <w:sdtEndPr>
      <w:rPr>
        <w:noProof/>
      </w:rPr>
    </w:sdtEndPr>
    <w:sdtContent>
      <w:p w:rsidR="00F72537" w:rsidRDefault="00F72537">
        <w:pPr>
          <w:pStyle w:val="Footer"/>
          <w:jc w:val="right"/>
        </w:pPr>
        <w:r>
          <w:fldChar w:fldCharType="begin"/>
        </w:r>
        <w:r>
          <w:instrText xml:space="preserve"> PAGE   \* MERGEFORMAT </w:instrText>
        </w:r>
        <w:r>
          <w:fldChar w:fldCharType="separate"/>
        </w:r>
        <w:r w:rsidR="00124FEB">
          <w:rPr>
            <w:noProof/>
          </w:rPr>
          <w:t>1</w:t>
        </w:r>
        <w:r>
          <w:rPr>
            <w:noProof/>
          </w:rPr>
          <w:fldChar w:fldCharType="end"/>
        </w:r>
      </w:p>
    </w:sdtContent>
  </w:sdt>
  <w:p w:rsidR="00F72537" w:rsidRDefault="00F72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0BD" w:rsidRDefault="006940BD" w:rsidP="00F72537">
      <w:pPr>
        <w:spacing w:after="0" w:line="240" w:lineRule="auto"/>
      </w:pPr>
      <w:r>
        <w:separator/>
      </w:r>
    </w:p>
  </w:footnote>
  <w:footnote w:type="continuationSeparator" w:id="0">
    <w:p w:rsidR="006940BD" w:rsidRDefault="006940BD" w:rsidP="00F725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BD"/>
    <w:rsid w:val="00093E34"/>
    <w:rsid w:val="001123EE"/>
    <w:rsid w:val="00124FEB"/>
    <w:rsid w:val="00275181"/>
    <w:rsid w:val="00384631"/>
    <w:rsid w:val="003E3CF0"/>
    <w:rsid w:val="0040558F"/>
    <w:rsid w:val="0041400F"/>
    <w:rsid w:val="00452B58"/>
    <w:rsid w:val="00552DE1"/>
    <w:rsid w:val="005A4F0D"/>
    <w:rsid w:val="0060012C"/>
    <w:rsid w:val="00670CDC"/>
    <w:rsid w:val="0068122B"/>
    <w:rsid w:val="00693200"/>
    <w:rsid w:val="006940BD"/>
    <w:rsid w:val="006E0E8E"/>
    <w:rsid w:val="0071530F"/>
    <w:rsid w:val="007F547D"/>
    <w:rsid w:val="00905E8F"/>
    <w:rsid w:val="00920BEE"/>
    <w:rsid w:val="00951B9E"/>
    <w:rsid w:val="00963680"/>
    <w:rsid w:val="009C67A6"/>
    <w:rsid w:val="00A41FBD"/>
    <w:rsid w:val="00A423A5"/>
    <w:rsid w:val="00A545A5"/>
    <w:rsid w:val="00A62D21"/>
    <w:rsid w:val="00A77679"/>
    <w:rsid w:val="00A97733"/>
    <w:rsid w:val="00B3368A"/>
    <w:rsid w:val="00B92388"/>
    <w:rsid w:val="00B93913"/>
    <w:rsid w:val="00C80588"/>
    <w:rsid w:val="00C96FDC"/>
    <w:rsid w:val="00EE640B"/>
    <w:rsid w:val="00F31DFB"/>
    <w:rsid w:val="00F55682"/>
    <w:rsid w:val="00F725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181"/>
    <w:rPr>
      <w:rFonts w:ascii="Times New Roman" w:hAnsi="Times New Roman"/>
      <w:sz w:val="24"/>
      <w:lang w:val="en-US"/>
    </w:rPr>
  </w:style>
  <w:style w:type="paragraph" w:styleId="Heading1">
    <w:name w:val="heading 1"/>
    <w:basedOn w:val="Normal"/>
    <w:next w:val="Normal"/>
    <w:link w:val="Heading1Char"/>
    <w:uiPriority w:val="9"/>
    <w:qFormat/>
    <w:rsid w:val="002751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181"/>
    <w:rPr>
      <w:rFonts w:asciiTheme="majorHAnsi" w:eastAsiaTheme="majorEastAsia" w:hAnsiTheme="majorHAnsi" w:cstheme="majorBidi"/>
      <w:b/>
      <w:bCs/>
      <w:color w:val="365F91" w:themeColor="accent1" w:themeShade="BF"/>
      <w:sz w:val="28"/>
      <w:szCs w:val="28"/>
      <w:lang w:val="en-US"/>
    </w:rPr>
  </w:style>
  <w:style w:type="paragraph" w:styleId="Caption">
    <w:name w:val="caption"/>
    <w:basedOn w:val="Normal"/>
    <w:next w:val="Normal"/>
    <w:uiPriority w:val="35"/>
    <w:unhideWhenUsed/>
    <w:qFormat/>
    <w:rsid w:val="00275181"/>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275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181"/>
    <w:rPr>
      <w:rFonts w:ascii="Tahoma" w:hAnsi="Tahoma" w:cs="Tahoma"/>
      <w:sz w:val="16"/>
      <w:szCs w:val="16"/>
      <w:lang w:val="en-US"/>
    </w:rPr>
  </w:style>
  <w:style w:type="paragraph" w:styleId="Header">
    <w:name w:val="header"/>
    <w:basedOn w:val="Normal"/>
    <w:link w:val="HeaderChar"/>
    <w:uiPriority w:val="99"/>
    <w:unhideWhenUsed/>
    <w:rsid w:val="00F725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2537"/>
    <w:rPr>
      <w:rFonts w:ascii="Times New Roman" w:hAnsi="Times New Roman"/>
      <w:sz w:val="24"/>
      <w:lang w:val="en-US"/>
    </w:rPr>
  </w:style>
  <w:style w:type="paragraph" w:styleId="Footer">
    <w:name w:val="footer"/>
    <w:basedOn w:val="Normal"/>
    <w:link w:val="FooterChar"/>
    <w:uiPriority w:val="99"/>
    <w:unhideWhenUsed/>
    <w:rsid w:val="00F725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2537"/>
    <w:rPr>
      <w:rFonts w:ascii="Times New Roman" w:hAnsi="Times New Roman"/>
      <w:sz w:val="24"/>
      <w:lang w:val="en-US"/>
    </w:rPr>
  </w:style>
  <w:style w:type="character" w:styleId="LineNumber">
    <w:name w:val="line number"/>
    <w:basedOn w:val="DefaultParagraphFont"/>
    <w:uiPriority w:val="99"/>
    <w:semiHidden/>
    <w:unhideWhenUsed/>
    <w:rsid w:val="00F72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181"/>
    <w:rPr>
      <w:rFonts w:ascii="Times New Roman" w:hAnsi="Times New Roman"/>
      <w:sz w:val="24"/>
      <w:lang w:val="en-US"/>
    </w:rPr>
  </w:style>
  <w:style w:type="paragraph" w:styleId="Heading1">
    <w:name w:val="heading 1"/>
    <w:basedOn w:val="Normal"/>
    <w:next w:val="Normal"/>
    <w:link w:val="Heading1Char"/>
    <w:uiPriority w:val="9"/>
    <w:qFormat/>
    <w:rsid w:val="002751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181"/>
    <w:rPr>
      <w:rFonts w:asciiTheme="majorHAnsi" w:eastAsiaTheme="majorEastAsia" w:hAnsiTheme="majorHAnsi" w:cstheme="majorBidi"/>
      <w:b/>
      <w:bCs/>
      <w:color w:val="365F91" w:themeColor="accent1" w:themeShade="BF"/>
      <w:sz w:val="28"/>
      <w:szCs w:val="28"/>
      <w:lang w:val="en-US"/>
    </w:rPr>
  </w:style>
  <w:style w:type="paragraph" w:styleId="Caption">
    <w:name w:val="caption"/>
    <w:basedOn w:val="Normal"/>
    <w:next w:val="Normal"/>
    <w:uiPriority w:val="35"/>
    <w:unhideWhenUsed/>
    <w:qFormat/>
    <w:rsid w:val="00275181"/>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275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181"/>
    <w:rPr>
      <w:rFonts w:ascii="Tahoma" w:hAnsi="Tahoma" w:cs="Tahoma"/>
      <w:sz w:val="16"/>
      <w:szCs w:val="16"/>
      <w:lang w:val="en-US"/>
    </w:rPr>
  </w:style>
  <w:style w:type="paragraph" w:styleId="Header">
    <w:name w:val="header"/>
    <w:basedOn w:val="Normal"/>
    <w:link w:val="HeaderChar"/>
    <w:uiPriority w:val="99"/>
    <w:unhideWhenUsed/>
    <w:rsid w:val="00F725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2537"/>
    <w:rPr>
      <w:rFonts w:ascii="Times New Roman" w:hAnsi="Times New Roman"/>
      <w:sz w:val="24"/>
      <w:lang w:val="en-US"/>
    </w:rPr>
  </w:style>
  <w:style w:type="paragraph" w:styleId="Footer">
    <w:name w:val="footer"/>
    <w:basedOn w:val="Normal"/>
    <w:link w:val="FooterChar"/>
    <w:uiPriority w:val="99"/>
    <w:unhideWhenUsed/>
    <w:rsid w:val="00F725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2537"/>
    <w:rPr>
      <w:rFonts w:ascii="Times New Roman" w:hAnsi="Times New Roman"/>
      <w:sz w:val="24"/>
      <w:lang w:val="en-US"/>
    </w:rPr>
  </w:style>
  <w:style w:type="character" w:styleId="LineNumber">
    <w:name w:val="line number"/>
    <w:basedOn w:val="DefaultParagraphFont"/>
    <w:uiPriority w:val="99"/>
    <w:semiHidden/>
    <w:unhideWhenUsed/>
    <w:rsid w:val="00F7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m.el.hacen@rug.n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826A21A-E31A-493C-85EB-E6E67586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3448</Words>
  <Characters>19657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 El- Hacen</dc:creator>
  <cp:lastModifiedBy>E.M. El- Hacen</cp:lastModifiedBy>
  <cp:revision>26</cp:revision>
  <cp:lastPrinted>2018-07-03T13:22:00Z</cp:lastPrinted>
  <dcterms:created xsi:type="dcterms:W3CDTF">2018-04-09T17:32:00Z</dcterms:created>
  <dcterms:modified xsi:type="dcterms:W3CDTF">2018-10-08T15:12:00Z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41181269-ca4d-35a4-ba2a-a6ca11aed1f5</vt:lpwstr>
  </property>
  <property fmtid="{D5CDD505-2E9C-101B-9397-08002B2CF9AE}" pid="4" name="Mendeley Citation Style_1">
    <vt:lpwstr>http://www.zotero.org/styles/scientific-reports</vt:lpwstr>
  </property>
  <property fmtid="{D5CDD505-2E9C-101B-9397-08002B2CF9AE}" pid="5" name="Mendeley Recent Style Id 0_1">
    <vt:lpwstr>http://csl.mendeley.com/styles/466330441/copernicus-publications</vt:lpwstr>
  </property>
  <property fmtid="{D5CDD505-2E9C-101B-9397-08002B2CF9AE}" pid="6" name="Mendeley Recent Style Name 0_1">
    <vt:lpwstr>Copernicus Publications - Hacen El-Hacen</vt:lpwstr>
  </property>
  <property fmtid="{D5CDD505-2E9C-101B-9397-08002B2CF9AE}" pid="7" name="Mendeley Recent Style Id 1_1">
    <vt:lpwstr>http://www.zotero.org/styles/ecosystems</vt:lpwstr>
  </property>
  <property fmtid="{D5CDD505-2E9C-101B-9397-08002B2CF9AE}" pid="8" name="Mendeley Recent Style Name 1_1">
    <vt:lpwstr>Ecosystems</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http://www.zotero.org/styles/journal-of-biogeography</vt:lpwstr>
  </property>
  <property fmtid="{D5CDD505-2E9C-101B-9397-08002B2CF9AE}" pid="12" name="Mendeley Recent Style Name 3_1">
    <vt:lpwstr>Journal of Biogeography</vt:lpwstr>
  </property>
  <property fmtid="{D5CDD505-2E9C-101B-9397-08002B2CF9AE}" pid="13" name="Mendeley Recent Style Id 4_1">
    <vt:lpwstr>http://www.zotero.org/styles/journal-of-ecology</vt:lpwstr>
  </property>
  <property fmtid="{D5CDD505-2E9C-101B-9397-08002B2CF9AE}" pid="14" name="Mendeley Recent Style Name 4_1">
    <vt:lpwstr>Journal of Ecology</vt:lpwstr>
  </property>
  <property fmtid="{D5CDD505-2E9C-101B-9397-08002B2CF9AE}" pid="15" name="Mendeley Recent Style Id 5_1">
    <vt:lpwstr>http://www.zotero.org/styles/journal-of-geophysical-research</vt:lpwstr>
  </property>
  <property fmtid="{D5CDD505-2E9C-101B-9397-08002B2CF9AE}" pid="16" name="Mendeley Recent Style Name 5_1">
    <vt:lpwstr>Journal of Geophysical Research</vt:lpwstr>
  </property>
  <property fmtid="{D5CDD505-2E9C-101B-9397-08002B2CF9AE}" pid="17" name="Mendeley Recent Style Id 6_1">
    <vt:lpwstr>http://www.zotero.org/styles/journal-of-tropical-ecology</vt:lpwstr>
  </property>
  <property fmtid="{D5CDD505-2E9C-101B-9397-08002B2CF9AE}" pid="18" name="Mendeley Recent Style Name 6_1">
    <vt:lpwstr>Journal of Tropical Ecology</vt:lpwstr>
  </property>
  <property fmtid="{D5CDD505-2E9C-101B-9397-08002B2CF9AE}" pid="19" name="Mendeley Recent Style Id 7_1">
    <vt:lpwstr>http://www.zotero.org/styles/limnology-and-oceanography</vt:lpwstr>
  </property>
  <property fmtid="{D5CDD505-2E9C-101B-9397-08002B2CF9AE}" pid="20" name="Mendeley Recent Style Name 7_1">
    <vt:lpwstr>Limnology and Oceanography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