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49BCB" w14:textId="77777777" w:rsidR="00733D9A" w:rsidRPr="00733D9A" w:rsidRDefault="00733D9A" w:rsidP="00733D9A">
      <w:pPr>
        <w:pStyle w:val="NormalWeb"/>
      </w:pPr>
      <w:r w:rsidRPr="00733D9A">
        <w:t>Supplemental Material</w:t>
      </w:r>
    </w:p>
    <w:p w14:paraId="68322486" w14:textId="77777777" w:rsidR="00E43E9D" w:rsidRDefault="00E43E9D" w:rsidP="00E43E9D">
      <w:pPr>
        <w:spacing w:line="480" w:lineRule="auto"/>
        <w:rPr>
          <w:b/>
          <w:szCs w:val="24"/>
          <w:u w:color="000000"/>
        </w:rPr>
      </w:pPr>
      <w:r>
        <w:rPr>
          <w:b/>
          <w:szCs w:val="24"/>
          <w:u w:color="000000"/>
        </w:rPr>
        <w:t>Overlooked Trends in Observed Global Annual Precipitation Reveal Underestimated Risks</w:t>
      </w:r>
    </w:p>
    <w:p w14:paraId="6C5FF97A" w14:textId="77777777" w:rsidR="00733D9A" w:rsidRPr="00733D9A" w:rsidRDefault="00733D9A" w:rsidP="00733D9A">
      <w:pPr>
        <w:pStyle w:val="NormalWeb"/>
      </w:pPr>
      <w:r w:rsidRPr="00733D9A">
        <w:t>Anne M. Lausier</w:t>
      </w:r>
      <w:r w:rsidRPr="00733D9A">
        <w:rPr>
          <w:position w:val="8"/>
        </w:rPr>
        <w:t xml:space="preserve">1* </w:t>
      </w:r>
      <w:r w:rsidRPr="00733D9A">
        <w:t>and Shaleen Jain</w:t>
      </w:r>
      <w:r w:rsidRPr="00733D9A">
        <w:rPr>
          <w:position w:val="8"/>
        </w:rPr>
        <w:t>1</w:t>
      </w:r>
      <w:r w:rsidRPr="00733D9A">
        <w:rPr>
          <w:position w:val="8"/>
        </w:rPr>
        <w:br/>
        <w:t>1</w:t>
      </w:r>
      <w:r w:rsidRPr="00733D9A">
        <w:t xml:space="preserve">Department of Civil and Environmental Engineering, University of Maine, Orono, ME, USA. </w:t>
      </w:r>
      <w:r w:rsidRPr="00733D9A">
        <w:rPr>
          <w:position w:val="8"/>
        </w:rPr>
        <w:t>*</w:t>
      </w:r>
      <w:r w:rsidRPr="00733D9A">
        <w:t>e-mail: anne.lausier@maine.edu</w:t>
      </w:r>
    </w:p>
    <w:p w14:paraId="38F2A147" w14:textId="77777777" w:rsidR="00733D9A" w:rsidRPr="00733D9A" w:rsidRDefault="00733D9A" w:rsidP="00733D9A">
      <w:pPr>
        <w:spacing w:before="100" w:beforeAutospacing="1" w:after="100" w:afterAutospacing="1"/>
        <w:rPr>
          <w:szCs w:val="24"/>
          <w:u w:val="single"/>
        </w:rPr>
      </w:pPr>
      <w:r w:rsidRPr="00733D9A">
        <w:rPr>
          <w:szCs w:val="24"/>
          <w:u w:val="single"/>
        </w:rPr>
        <w:t xml:space="preserve">Selection of quantiles to represent precipitation tail responses </w:t>
      </w:r>
    </w:p>
    <w:p w14:paraId="17C0E424" w14:textId="4F6CEE52" w:rsidR="00930317" w:rsidRDefault="00733D9A" w:rsidP="00733D9A">
      <w:pPr>
        <w:spacing w:before="100" w:beforeAutospacing="1" w:after="100" w:afterAutospacing="1"/>
        <w:rPr>
          <w:szCs w:val="24"/>
        </w:rPr>
      </w:pPr>
      <w:r w:rsidRPr="00733D9A">
        <w:rPr>
          <w:szCs w:val="24"/>
        </w:rPr>
        <w:t xml:space="preserve">The conditional quantile response can be evaluated for any </w:t>
      </w:r>
      <w:r w:rsidRPr="00733D9A">
        <w:rPr>
          <w:rFonts w:ascii="Cambria Math" w:hAnsi="Cambria Math" w:cs="Cambria Math"/>
          <w:szCs w:val="24"/>
        </w:rPr>
        <w:t>𝜏</w:t>
      </w:r>
      <w:r w:rsidRPr="00733D9A">
        <w:rPr>
          <w:szCs w:val="24"/>
        </w:rPr>
        <w:t xml:space="preserve"> where 0 &lt; </w:t>
      </w:r>
      <w:r w:rsidRPr="00733D9A">
        <w:rPr>
          <w:rFonts w:ascii="Cambria Math" w:hAnsi="Cambria Math" w:cs="Cambria Math"/>
          <w:szCs w:val="24"/>
        </w:rPr>
        <w:t>𝜏</w:t>
      </w:r>
      <w:r w:rsidRPr="00733D9A">
        <w:rPr>
          <w:szCs w:val="24"/>
        </w:rPr>
        <w:t xml:space="preserve"> &lt; 1, providing flexibility for evaluating changes over the range of outcomes and thresholds in human and environmental systems. The entire precipitation probability distribution function (PDF) can be estimated using quantile regression (QR). For this study we chose </w:t>
      </w:r>
      <w:r w:rsidRPr="00733D9A">
        <w:rPr>
          <w:rFonts w:ascii="Cambria Math" w:hAnsi="Cambria Math" w:cs="Cambria Math"/>
          <w:szCs w:val="24"/>
        </w:rPr>
        <w:t>𝜏</w:t>
      </w:r>
      <w:r w:rsidRPr="00733D9A">
        <w:rPr>
          <w:szCs w:val="24"/>
        </w:rPr>
        <w:t xml:space="preserve"> = 0.2 and </w:t>
      </w:r>
      <w:r w:rsidRPr="00733D9A">
        <w:rPr>
          <w:rFonts w:ascii="Cambria Math" w:hAnsi="Cambria Math" w:cs="Cambria Math"/>
          <w:szCs w:val="24"/>
        </w:rPr>
        <w:t>𝜏</w:t>
      </w:r>
      <w:r w:rsidRPr="00733D9A">
        <w:rPr>
          <w:szCs w:val="24"/>
        </w:rPr>
        <w:t xml:space="preserve"> = 0.8 to represent the annual precipitation tails. For annual precipitation data, </w:t>
      </w:r>
      <w:r w:rsidRPr="00733D9A">
        <w:rPr>
          <w:rFonts w:ascii="Cambria Math" w:hAnsi="Cambria Math" w:cs="Cambria Math"/>
          <w:szCs w:val="24"/>
        </w:rPr>
        <w:t>𝜏</w:t>
      </w:r>
      <w:r w:rsidRPr="00733D9A">
        <w:rPr>
          <w:szCs w:val="24"/>
        </w:rPr>
        <w:t xml:space="preserve"> = 0.2 refers to the precipitation total that is less than 80% of the historical annual totals, where </w:t>
      </w:r>
      <w:r w:rsidRPr="00733D9A">
        <w:rPr>
          <w:rFonts w:ascii="Cambria Math" w:hAnsi="Cambria Math" w:cs="Cambria Math"/>
          <w:szCs w:val="24"/>
        </w:rPr>
        <w:t>𝜏</w:t>
      </w:r>
      <w:r w:rsidRPr="00733D9A">
        <w:rPr>
          <w:szCs w:val="24"/>
        </w:rPr>
        <w:t xml:space="preserve"> = 0.8 is less than 20% of the recorded totals. To demonstrate the range of trend estimations achieved by the QR model, and how linear regression (LR) mischaracterizes the quantile response across precipitation levels, we select two grid locations in the US for comparison (Fig. S1). For each location, the annual precipitation data is evaluated for all 0 &lt; </w:t>
      </w:r>
      <w:r w:rsidRPr="00733D9A">
        <w:rPr>
          <w:rFonts w:ascii="Cambria Math" w:hAnsi="Cambria Math" w:cs="Cambria Math"/>
          <w:szCs w:val="24"/>
        </w:rPr>
        <w:t>𝜏</w:t>
      </w:r>
      <w:r w:rsidRPr="00733D9A">
        <w:rPr>
          <w:szCs w:val="24"/>
        </w:rPr>
        <w:t xml:space="preserve"> &lt; 1 at 0.1 intervals. Significance is tested using the wild bootstrap method with n = 1000 (see methods for more details on wild bootstrap). For the location marked in blue, there is a significant mean trend. LR assumptions imply that the trend in the mean is the trend across all quantiles with the entire distribution showing a shift in location without a change in variance. The quantile coefficient estimations show that only </w:t>
      </w:r>
      <w:r w:rsidRPr="00733D9A">
        <w:rPr>
          <w:rFonts w:ascii="Cambria Math" w:hAnsi="Cambria Math" w:cs="Cambria Math"/>
          <w:szCs w:val="24"/>
        </w:rPr>
        <w:t>𝜏</w:t>
      </w:r>
      <w:r w:rsidRPr="00733D9A">
        <w:rPr>
          <w:szCs w:val="24"/>
        </w:rPr>
        <w:t xml:space="preserve"> &gt; 0.4 is significantly changing with the coefficients close to 0 mm/</w:t>
      </w:r>
      <w:proofErr w:type="spellStart"/>
      <w:r w:rsidRPr="00733D9A">
        <w:rPr>
          <w:szCs w:val="24"/>
        </w:rPr>
        <w:t>yr</w:t>
      </w:r>
      <w:proofErr w:type="spellEnd"/>
      <w:r w:rsidRPr="00733D9A">
        <w:rPr>
          <w:szCs w:val="24"/>
        </w:rPr>
        <w:t xml:space="preserve"> in the lower quantiles. Thus, LR underestimates the risk of dry conditions. Conversely, the location marked in green shows a significant positive response for most </w:t>
      </w:r>
      <w:r w:rsidRPr="00733D9A">
        <w:rPr>
          <w:rFonts w:ascii="Cambria Math" w:hAnsi="Cambria Math" w:cs="Cambria Math"/>
          <w:szCs w:val="24"/>
        </w:rPr>
        <w:t>𝜏</w:t>
      </w:r>
      <w:r w:rsidRPr="00733D9A">
        <w:rPr>
          <w:szCs w:val="24"/>
        </w:rPr>
        <w:t xml:space="preserve"> &lt; 0.5 and </w:t>
      </w:r>
      <w:proofErr w:type="gramStart"/>
      <w:r w:rsidRPr="00733D9A">
        <w:rPr>
          <w:szCs w:val="24"/>
        </w:rPr>
        <w:t>largely non-</w:t>
      </w:r>
      <w:proofErr w:type="gramEnd"/>
      <w:r w:rsidRPr="00733D9A">
        <w:rPr>
          <w:szCs w:val="24"/>
        </w:rPr>
        <w:t xml:space="preserve">significant changes in the upper tail. LR estimates an increase in the position of all quantiles, thereby overestimating the risk of wet conditions. Analysis of these two grids help to highlight the range of sensitivities across quantiles. We chose </w:t>
      </w:r>
      <w:r w:rsidRPr="00733D9A">
        <w:rPr>
          <w:rFonts w:ascii="Cambria Math" w:hAnsi="Cambria Math" w:cs="Cambria Math"/>
          <w:szCs w:val="24"/>
        </w:rPr>
        <w:t>𝜏</w:t>
      </w:r>
      <w:r w:rsidRPr="00733D9A">
        <w:rPr>
          <w:szCs w:val="24"/>
        </w:rPr>
        <w:t xml:space="preserve"> = 0.2 and </w:t>
      </w:r>
      <w:r w:rsidRPr="00733D9A">
        <w:rPr>
          <w:rFonts w:ascii="Cambria Math" w:hAnsi="Cambria Math" w:cs="Cambria Math"/>
          <w:szCs w:val="24"/>
        </w:rPr>
        <w:t>𝜏</w:t>
      </w:r>
      <w:r w:rsidRPr="00733D9A">
        <w:rPr>
          <w:szCs w:val="24"/>
        </w:rPr>
        <w:t xml:space="preserve"> = 0.8 as thresholds to represent the tails due to sample size. QR places higher weights on the points closest to the specified quantile, resulting in very high and low </w:t>
      </w:r>
      <w:r w:rsidRPr="00733D9A">
        <w:rPr>
          <w:rFonts w:ascii="Cambria Math" w:hAnsi="Cambria Math" w:cs="Cambria Math"/>
          <w:szCs w:val="24"/>
        </w:rPr>
        <w:t>𝜏</w:t>
      </w:r>
      <w:r w:rsidRPr="00733D9A">
        <w:rPr>
          <w:szCs w:val="24"/>
        </w:rPr>
        <w:t xml:space="preserve"> being sensitive to few data points. With a sample size of 67 years, the coefficient estimations for quantiles </w:t>
      </w:r>
      <w:r w:rsidRPr="00733D9A">
        <w:rPr>
          <w:rFonts w:ascii="Cambria Math" w:hAnsi="Cambria Math" w:cs="Cambria Math"/>
          <w:szCs w:val="24"/>
        </w:rPr>
        <w:t>𝜏</w:t>
      </w:r>
      <w:r w:rsidRPr="00733D9A">
        <w:rPr>
          <w:szCs w:val="24"/>
        </w:rPr>
        <w:t xml:space="preserve"> &lt; 0.2 and </w:t>
      </w:r>
      <w:r w:rsidRPr="00733D9A">
        <w:rPr>
          <w:rFonts w:ascii="Cambria Math" w:hAnsi="Cambria Math" w:cs="Cambria Math"/>
          <w:szCs w:val="24"/>
        </w:rPr>
        <w:t>𝜏</w:t>
      </w:r>
      <w:r w:rsidRPr="00733D9A">
        <w:rPr>
          <w:szCs w:val="24"/>
        </w:rPr>
        <w:t xml:space="preserve"> &gt; 0.8 tend to have higher errors producing unreliable estimates. We find that the coefficient estimates at </w:t>
      </w:r>
      <w:r w:rsidRPr="00733D9A">
        <w:rPr>
          <w:rFonts w:ascii="Cambria Math" w:hAnsi="Cambria Math" w:cs="Cambria Math"/>
          <w:szCs w:val="24"/>
        </w:rPr>
        <w:t>𝜏</w:t>
      </w:r>
      <w:r w:rsidRPr="00733D9A">
        <w:rPr>
          <w:szCs w:val="24"/>
        </w:rPr>
        <w:t xml:space="preserve"> = 0.2 and </w:t>
      </w:r>
      <w:r w:rsidRPr="00733D9A">
        <w:rPr>
          <w:rFonts w:ascii="Cambria Math" w:hAnsi="Cambria Math" w:cs="Cambria Math"/>
          <w:szCs w:val="24"/>
        </w:rPr>
        <w:t>𝜏</w:t>
      </w:r>
      <w:r w:rsidRPr="00733D9A">
        <w:rPr>
          <w:szCs w:val="24"/>
        </w:rPr>
        <w:t xml:space="preserve"> = 0.8 are similar to estimates in more extreme quantiles, and often are even conservative estimates of changes in the tails. With a larger sample size, higher and lower quantiles could be selected due to lower estimation errors. </w:t>
      </w:r>
    </w:p>
    <w:p w14:paraId="61A5180B" w14:textId="77777777" w:rsidR="00A46E76" w:rsidRDefault="00D34FFF" w:rsidP="00733D9A">
      <w:pPr>
        <w:spacing w:before="100" w:beforeAutospacing="1" w:after="100" w:afterAutospacing="1"/>
        <w:rPr>
          <w:szCs w:val="24"/>
          <w:u w:val="single"/>
        </w:rPr>
      </w:pPr>
      <w:r>
        <w:rPr>
          <w:szCs w:val="24"/>
          <w:u w:val="single"/>
        </w:rPr>
        <w:t>Assessment of Changes at Specified Thresholds</w:t>
      </w:r>
    </w:p>
    <w:p w14:paraId="43DFCFB2" w14:textId="522D7860" w:rsidR="002B4F22" w:rsidRDefault="00D34FFF" w:rsidP="00733D9A">
      <w:pPr>
        <w:spacing w:before="100" w:beforeAutospacing="1" w:after="100" w:afterAutospacing="1"/>
        <w:rPr>
          <w:szCs w:val="24"/>
        </w:rPr>
      </w:pPr>
      <w:r>
        <w:rPr>
          <w:szCs w:val="24"/>
        </w:rPr>
        <w:t xml:space="preserve">For the selected grid location in the upper panel of </w:t>
      </w:r>
      <w:r w:rsidR="00DF280A">
        <w:rPr>
          <w:szCs w:val="24"/>
        </w:rPr>
        <w:t>Fig.</w:t>
      </w:r>
      <w:r w:rsidR="00D000A7">
        <w:rPr>
          <w:szCs w:val="24"/>
        </w:rPr>
        <w:t xml:space="preserve"> </w:t>
      </w:r>
      <w:r w:rsidR="00DF280A">
        <w:rPr>
          <w:szCs w:val="24"/>
        </w:rPr>
        <w:t>S</w:t>
      </w:r>
      <w:r w:rsidR="00D000A7">
        <w:rPr>
          <w:szCs w:val="24"/>
        </w:rPr>
        <w:t>1</w:t>
      </w:r>
      <w:r>
        <w:rPr>
          <w:szCs w:val="24"/>
        </w:rPr>
        <w:t>, the conditional quantile regression lines and mean trend show marked asymmetric changes over time</w:t>
      </w:r>
      <w:r w:rsidR="00D000A7">
        <w:rPr>
          <w:szCs w:val="24"/>
        </w:rPr>
        <w:t xml:space="preserve"> (</w:t>
      </w:r>
      <w:r w:rsidR="00DF280A">
        <w:rPr>
          <w:szCs w:val="24"/>
        </w:rPr>
        <w:t>Fig.</w:t>
      </w:r>
      <w:r w:rsidR="00D000A7">
        <w:rPr>
          <w:szCs w:val="24"/>
        </w:rPr>
        <w:t xml:space="preserve"> </w:t>
      </w:r>
      <w:r w:rsidR="00DF280A">
        <w:rPr>
          <w:szCs w:val="24"/>
        </w:rPr>
        <w:t>S</w:t>
      </w:r>
      <w:r w:rsidR="00D000A7">
        <w:rPr>
          <w:szCs w:val="24"/>
        </w:rPr>
        <w:t>2)</w:t>
      </w:r>
      <w:r>
        <w:rPr>
          <w:szCs w:val="24"/>
        </w:rPr>
        <w:t>. A comparison of the regression lines clea</w:t>
      </w:r>
      <w:r w:rsidR="00B216FF">
        <w:rPr>
          <w:szCs w:val="24"/>
        </w:rPr>
        <w:t>rly demonstrates that the slope coefficients</w:t>
      </w:r>
      <w:r>
        <w:rPr>
          <w:szCs w:val="24"/>
        </w:rPr>
        <w:t xml:space="preserve"> of </w:t>
      </w:r>
      <w:r w:rsidRPr="00733D9A">
        <w:rPr>
          <w:rFonts w:ascii="Cambria Math" w:hAnsi="Cambria Math" w:cs="Cambria Math"/>
          <w:szCs w:val="24"/>
        </w:rPr>
        <w:t>𝜏</w:t>
      </w:r>
      <w:r w:rsidRPr="00733D9A">
        <w:rPr>
          <w:szCs w:val="24"/>
        </w:rPr>
        <w:t xml:space="preserve"> = 0.2</w:t>
      </w:r>
      <w:r>
        <w:rPr>
          <w:szCs w:val="24"/>
        </w:rPr>
        <w:t xml:space="preserve"> and 0.8 are unequal, and that variability in year to year precipitation totals has increa</w:t>
      </w:r>
      <w:r w:rsidR="00265C87">
        <w:rPr>
          <w:szCs w:val="24"/>
        </w:rPr>
        <w:t xml:space="preserve">sed over time at this location. </w:t>
      </w:r>
      <w:r w:rsidR="00265C87">
        <w:rPr>
          <w:szCs w:val="24"/>
        </w:rPr>
        <w:lastRenderedPageBreak/>
        <w:t xml:space="preserve">Only </w:t>
      </w:r>
      <w:r w:rsidR="00265C87" w:rsidRPr="00733D9A">
        <w:rPr>
          <w:rFonts w:ascii="Cambria Math" w:hAnsi="Cambria Math" w:cs="Cambria Math"/>
          <w:szCs w:val="24"/>
        </w:rPr>
        <w:t>𝜏</w:t>
      </w:r>
      <w:r w:rsidR="00265C87" w:rsidRPr="00733D9A">
        <w:rPr>
          <w:szCs w:val="24"/>
        </w:rPr>
        <w:t xml:space="preserve"> = </w:t>
      </w:r>
      <w:r w:rsidR="00930317">
        <w:rPr>
          <w:szCs w:val="24"/>
        </w:rPr>
        <w:t xml:space="preserve">0.5 and 0.8 show significant changes, while </w:t>
      </w:r>
      <w:r w:rsidR="00930317" w:rsidRPr="00733D9A">
        <w:rPr>
          <w:rFonts w:ascii="Cambria Math" w:hAnsi="Cambria Math" w:cs="Cambria Math"/>
          <w:szCs w:val="24"/>
        </w:rPr>
        <w:t>𝜏</w:t>
      </w:r>
      <w:r w:rsidR="00930317" w:rsidRPr="00733D9A">
        <w:rPr>
          <w:szCs w:val="24"/>
        </w:rPr>
        <w:t xml:space="preserve"> = </w:t>
      </w:r>
      <w:r w:rsidR="00930317">
        <w:rPr>
          <w:szCs w:val="24"/>
        </w:rPr>
        <w:t>0.2 shows low magnitude non-significant change (0.3 mm/year).</w:t>
      </w:r>
      <w:r w:rsidR="00265C87">
        <w:rPr>
          <w:szCs w:val="24"/>
        </w:rPr>
        <w:t xml:space="preserve"> </w:t>
      </w:r>
      <w:r>
        <w:rPr>
          <w:szCs w:val="24"/>
        </w:rPr>
        <w:t>LR assumes that the precipitation PD</w:t>
      </w:r>
      <w:r w:rsidR="000567B4">
        <w:rPr>
          <w:szCs w:val="24"/>
        </w:rPr>
        <w:t>F has constant variance and that the entire distribution undergoes a location-shift with the condi</w:t>
      </w:r>
      <w:r w:rsidR="00265C87">
        <w:rPr>
          <w:szCs w:val="24"/>
        </w:rPr>
        <w:t>tional mean.</w:t>
      </w:r>
      <w:r w:rsidR="00930317">
        <w:rPr>
          <w:szCs w:val="24"/>
        </w:rPr>
        <w:t xml:space="preserve"> Thus, at this location LR will underestimate precipitation variability, and underestimate the risk of experiencing a high precipitation total. </w:t>
      </w:r>
      <w:r w:rsidR="00B216FF">
        <w:rPr>
          <w:szCs w:val="24"/>
        </w:rPr>
        <w:t xml:space="preserve">As noted in </w:t>
      </w:r>
      <w:r w:rsidR="00DF280A">
        <w:rPr>
          <w:szCs w:val="24"/>
        </w:rPr>
        <w:t>Fig.</w:t>
      </w:r>
      <w:r w:rsidR="00B216FF">
        <w:rPr>
          <w:szCs w:val="24"/>
        </w:rPr>
        <w:t xml:space="preserve"> </w:t>
      </w:r>
      <w:r w:rsidR="00DF280A">
        <w:rPr>
          <w:szCs w:val="24"/>
        </w:rPr>
        <w:t>S</w:t>
      </w:r>
      <w:r w:rsidR="00B216FF">
        <w:rPr>
          <w:szCs w:val="24"/>
        </w:rPr>
        <w:t xml:space="preserve">1, QR can be used to evaluate changes at any threshold in the distribution and can characterize the entire range of precipitation variability over time. </w:t>
      </w:r>
    </w:p>
    <w:p w14:paraId="356FD670" w14:textId="703F3A80" w:rsidR="002B4F22" w:rsidRDefault="002B4F22" w:rsidP="00733D9A">
      <w:pPr>
        <w:spacing w:before="100" w:beforeAutospacing="1" w:after="100" w:afterAutospacing="1"/>
        <w:rPr>
          <w:szCs w:val="24"/>
          <w:u w:val="single"/>
        </w:rPr>
      </w:pPr>
      <w:r>
        <w:rPr>
          <w:szCs w:val="24"/>
          <w:u w:val="single"/>
        </w:rPr>
        <w:t>Trend typologies in driest and wettest regions of the world</w:t>
      </w:r>
    </w:p>
    <w:p w14:paraId="338ECBC1" w14:textId="42DB89BC" w:rsidR="00B50B67" w:rsidRDefault="00C1355F" w:rsidP="00A77A60">
      <w:pPr>
        <w:spacing w:before="100" w:beforeAutospacing="1" w:after="100" w:afterAutospacing="1"/>
        <w:rPr>
          <w:szCs w:val="24"/>
          <w:u w:val="single"/>
        </w:rPr>
      </w:pPr>
      <w:r>
        <w:rPr>
          <w:szCs w:val="24"/>
        </w:rPr>
        <w:t>The frequency of trend typologies coinciding with the long-term annual mean precipitation totals show the nature of change for dry and wet regions of the globes (Fig. S3). Annual mean precipitation totals grids were ra</w:t>
      </w:r>
      <w:r w:rsidR="00A77A60">
        <w:rPr>
          <w:szCs w:val="24"/>
        </w:rPr>
        <w:t>nked and placed in quantile bins subdividing the globe into very dry to very wet regions. The frequency of typologies falling in each bin were identified, as were the frequency of positive, negative, and non-significant mean trends</w:t>
      </w:r>
      <w:r>
        <w:rPr>
          <w:szCs w:val="24"/>
        </w:rPr>
        <w:t>.</w:t>
      </w:r>
      <w:r w:rsidR="00A77A60">
        <w:rPr>
          <w:szCs w:val="24"/>
        </w:rPr>
        <w:t xml:space="preserve"> Figure S3 indicates that the driest and wettest regions of the globe are characterized by higher frequencies of significant trends than the middle 20%. </w:t>
      </w:r>
      <w:r w:rsidR="00195278">
        <w:rPr>
          <w:szCs w:val="24"/>
        </w:rPr>
        <w:t xml:space="preserve">In both the driest ([0, 0.2)) and wettest ([0, 0.8)) regions of the globe </w:t>
      </w:r>
      <w:proofErr w:type="gramStart"/>
      <w:r w:rsidR="00195278">
        <w:rPr>
          <w:szCs w:val="24"/>
        </w:rPr>
        <w:t>approximately 25%</w:t>
      </w:r>
      <w:proofErr w:type="gramEnd"/>
      <w:r w:rsidR="00195278">
        <w:rPr>
          <w:szCs w:val="24"/>
        </w:rPr>
        <w:t xml:space="preserve"> of each region is characterized by negative and positive trends in single or both tails respectively. This reflects increasing differences between wet and dry areas</w:t>
      </w:r>
      <w:r w:rsidR="00A77A60">
        <w:rPr>
          <w:szCs w:val="24"/>
        </w:rPr>
        <w:t xml:space="preserve">.  </w:t>
      </w:r>
      <w:r w:rsidR="00195278">
        <w:rPr>
          <w:szCs w:val="24"/>
        </w:rPr>
        <w:t xml:space="preserve">However, </w:t>
      </w:r>
      <w:r w:rsidR="00F40D5B">
        <w:rPr>
          <w:szCs w:val="24"/>
        </w:rPr>
        <w:t xml:space="preserve">increased probability of wet conditions in dry areas and drying in wet areas are evident as well. Comparison with LR shows that the mean trends follow a similar pattern of positive and negative trends but underestimate the affected area. </w:t>
      </w:r>
      <w:r w:rsidR="00A77A60">
        <w:rPr>
          <w:szCs w:val="24"/>
        </w:rPr>
        <w:t xml:space="preserve">As such, QR detects overlooked trends in all regions of the globe, but particularly in the wetter and drier areas where sensitivities to change may be higher. </w:t>
      </w:r>
    </w:p>
    <w:p w14:paraId="103D6965" w14:textId="6AB618E0" w:rsidR="00733D9A" w:rsidRPr="00930317" w:rsidRDefault="00733D9A" w:rsidP="00733D9A">
      <w:pPr>
        <w:spacing w:before="100" w:beforeAutospacing="1" w:after="100" w:afterAutospacing="1"/>
        <w:rPr>
          <w:szCs w:val="24"/>
        </w:rPr>
      </w:pPr>
      <w:r w:rsidRPr="00733D9A">
        <w:rPr>
          <w:szCs w:val="24"/>
          <w:u w:val="single"/>
        </w:rPr>
        <w:t xml:space="preserve">Autocorrelation of Annual Precipitation Totals </w:t>
      </w:r>
    </w:p>
    <w:p w14:paraId="1F00F912" w14:textId="64D718B6" w:rsidR="00733D9A" w:rsidRPr="00733D9A" w:rsidRDefault="00733D9A" w:rsidP="00733D9A">
      <w:pPr>
        <w:spacing w:before="100" w:beforeAutospacing="1" w:after="100" w:afterAutospacing="1"/>
        <w:rPr>
          <w:szCs w:val="24"/>
        </w:rPr>
      </w:pPr>
      <w:r w:rsidRPr="00733D9A">
        <w:rPr>
          <w:szCs w:val="24"/>
        </w:rPr>
        <w:t>An underlying assumption of statistical methods for assessing climatic trends is that observations are independent, and the time-series is stationary. Violations of these assumptions can lead to erroneous trend significance calculations. To ensure that QR trend results are not biased due to year-to-year persistence in the precipitatio</w:t>
      </w:r>
      <w:r w:rsidR="004134CD">
        <w:rPr>
          <w:szCs w:val="24"/>
        </w:rPr>
        <w:t>n data we apply autocorrelation</w:t>
      </w:r>
      <w:r w:rsidR="00F71C05">
        <w:rPr>
          <w:szCs w:val="24"/>
          <w:vertAlign w:val="superscript"/>
        </w:rPr>
        <w:t>1</w:t>
      </w:r>
      <w:r w:rsidR="004134CD">
        <w:rPr>
          <w:szCs w:val="24"/>
        </w:rPr>
        <w:t xml:space="preserve"> </w:t>
      </w:r>
      <w:r w:rsidRPr="00733D9A">
        <w:rPr>
          <w:szCs w:val="24"/>
        </w:rPr>
        <w:t xml:space="preserve">defined by: </w:t>
      </w:r>
    </w:p>
    <w:p w14:paraId="035FF5EB" w14:textId="77777777" w:rsidR="00733D9A" w:rsidRPr="00733D9A" w:rsidRDefault="00733D9A" w:rsidP="00733D9A">
      <w:pPr>
        <w:pStyle w:val="Default"/>
        <w:spacing w:line="480" w:lineRule="auto"/>
        <w:rPr>
          <w:rFonts w:ascii="Times New Roman" w:hAnsi="Times New Roman" w:cs="Times New Roman"/>
          <w:sz w:val="24"/>
          <w:szCs w:val="24"/>
        </w:rPr>
      </w:pPr>
      <m:oMathPara>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k</m:t>
              </m:r>
            </m:e>
          </m:d>
          <m:r>
            <w:rPr>
              <w:rFonts w:ascii="Cambria Math" w:hAnsi="Cambria Math" w:cs="Times New Roman"/>
              <w:sz w:val="24"/>
              <w:szCs w:val="24"/>
            </w:rPr>
            <m:t xml:space="preserve">= </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N-k</m:t>
                  </m:r>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i+k</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m:t>
                  </m:r>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m:t>
                      </m:r>
                    </m:e>
                    <m:sup>
                      <m:r>
                        <w:rPr>
                          <w:rFonts w:ascii="Cambria Math" w:hAnsi="Cambria Math" w:cs="Times New Roman"/>
                          <w:sz w:val="24"/>
                          <w:szCs w:val="24"/>
                        </w:rPr>
                        <m:t>2</m:t>
                      </m:r>
                    </m:sup>
                  </m:sSup>
                </m:e>
              </m:nary>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m:t>
              </m:r>
            </m:e>
          </m:d>
        </m:oMath>
      </m:oMathPara>
    </w:p>
    <w:p w14:paraId="00C2BE70" w14:textId="404B957F" w:rsidR="00733D9A" w:rsidRDefault="00733D9A" w:rsidP="00743782">
      <w:pPr>
        <w:spacing w:before="100" w:beforeAutospacing="1" w:after="100" w:afterAutospacing="1"/>
        <w:rPr>
          <w:szCs w:val="24"/>
        </w:rPr>
      </w:pPr>
      <w:r w:rsidRPr="00733D9A">
        <w:rPr>
          <w:szCs w:val="24"/>
        </w:rPr>
        <w:t>Where r(k) is the autocorrelation at lag k, N is the number of observations, and Y</w:t>
      </w:r>
      <w:r w:rsidRPr="00733D9A">
        <w:rPr>
          <w:position w:val="-4"/>
          <w:szCs w:val="24"/>
        </w:rPr>
        <w:t>1</w:t>
      </w:r>
      <w:r w:rsidRPr="00733D9A">
        <w:rPr>
          <w:szCs w:val="24"/>
        </w:rPr>
        <w:t>, Y</w:t>
      </w:r>
      <w:r w:rsidRPr="00733D9A">
        <w:rPr>
          <w:position w:val="-4"/>
          <w:szCs w:val="24"/>
        </w:rPr>
        <w:t>2</w:t>
      </w:r>
      <w:r w:rsidRPr="00733D9A">
        <w:rPr>
          <w:szCs w:val="24"/>
        </w:rPr>
        <w:t>, Y</w:t>
      </w:r>
      <w:proofErr w:type="gramStart"/>
      <w:r w:rsidRPr="00733D9A">
        <w:rPr>
          <w:position w:val="-4"/>
          <w:szCs w:val="24"/>
        </w:rPr>
        <w:t>3</w:t>
      </w:r>
      <w:r w:rsidRPr="00733D9A">
        <w:rPr>
          <w:szCs w:val="24"/>
        </w:rPr>
        <w:t>,. . .</w:t>
      </w:r>
      <w:proofErr w:type="gramEnd"/>
      <w:r w:rsidRPr="00733D9A">
        <w:rPr>
          <w:szCs w:val="24"/>
        </w:rPr>
        <w:t xml:space="preserve"> Y</w:t>
      </w:r>
      <w:r w:rsidRPr="00733D9A">
        <w:rPr>
          <w:position w:val="-4"/>
          <w:szCs w:val="24"/>
        </w:rPr>
        <w:t xml:space="preserve">N </w:t>
      </w:r>
      <w:r w:rsidRPr="00733D9A">
        <w:rPr>
          <w:szCs w:val="24"/>
        </w:rPr>
        <w:t xml:space="preserve">are observations at equally spaced time intervals. </w:t>
      </w:r>
      <w:r w:rsidR="00F466EF">
        <w:rPr>
          <w:szCs w:val="24"/>
        </w:rPr>
        <w:t xml:space="preserve">We compare the autocorrelation of </w:t>
      </w:r>
      <w:r w:rsidR="00F466EF" w:rsidRPr="00352167">
        <w:rPr>
          <w:szCs w:val="24"/>
        </w:rPr>
        <w:t>PREC/L at a 0.5</w:t>
      </w:r>
      <w:r w:rsidR="00F466EF" w:rsidRPr="00352167">
        <w:rPr>
          <w:szCs w:val="24"/>
        </w:rPr>
        <w:sym w:font="Symbol" w:char="F0B0"/>
      </w:r>
      <w:r w:rsidR="00F466EF" w:rsidRPr="00352167">
        <w:rPr>
          <w:szCs w:val="24"/>
        </w:rPr>
        <w:t xml:space="preserve"> x 0.5</w:t>
      </w:r>
      <w:r w:rsidR="00F466EF" w:rsidRPr="00352167">
        <w:rPr>
          <w:szCs w:val="24"/>
        </w:rPr>
        <w:sym w:font="Symbol" w:char="F0B0"/>
      </w:r>
      <w:r w:rsidR="00F466EF" w:rsidRPr="00352167">
        <w:rPr>
          <w:szCs w:val="24"/>
        </w:rPr>
        <w:t xml:space="preserve"> resolution</w:t>
      </w:r>
      <w:r w:rsidR="00F71C05">
        <w:rPr>
          <w:szCs w:val="24"/>
          <w:vertAlign w:val="superscript"/>
        </w:rPr>
        <w:t>2</w:t>
      </w:r>
      <w:r w:rsidR="00F466EF" w:rsidRPr="00352167">
        <w:rPr>
          <w:szCs w:val="24"/>
        </w:rPr>
        <w:t xml:space="preserve"> and CRU TS 4.01 monthly precipitation</w:t>
      </w:r>
      <w:r w:rsidR="00F71C05">
        <w:rPr>
          <w:szCs w:val="24"/>
          <w:vertAlign w:val="superscript"/>
        </w:rPr>
        <w:t>3</w:t>
      </w:r>
      <w:r w:rsidR="00F466EF" w:rsidRPr="00352167">
        <w:rPr>
          <w:szCs w:val="24"/>
        </w:rPr>
        <w:t xml:space="preserve"> datasets on a June – May annual year from 1950 – 2011.</w:t>
      </w:r>
      <w:r w:rsidR="00F466EF">
        <w:rPr>
          <w:szCs w:val="24"/>
        </w:rPr>
        <w:t xml:space="preserve"> </w:t>
      </w:r>
      <w:r w:rsidRPr="00733D9A">
        <w:rPr>
          <w:szCs w:val="24"/>
        </w:rPr>
        <w:t>Following a procedure used for other annual p</w:t>
      </w:r>
      <w:r w:rsidR="004134CD">
        <w:rPr>
          <w:szCs w:val="24"/>
        </w:rPr>
        <w:t>recipitation total time-series</w:t>
      </w:r>
      <w:r w:rsidR="00F71C05">
        <w:rPr>
          <w:szCs w:val="24"/>
          <w:vertAlign w:val="superscript"/>
        </w:rPr>
        <w:t>4</w:t>
      </w:r>
      <w:r w:rsidRPr="00733D9A">
        <w:rPr>
          <w:szCs w:val="24"/>
        </w:rPr>
        <w:t>, we first screened the data</w:t>
      </w:r>
      <w:r w:rsidR="00F466EF" w:rsidRPr="00352167">
        <w:rPr>
          <w:szCs w:val="24"/>
        </w:rPr>
        <w:t xml:space="preserve"> </w:t>
      </w:r>
      <w:r w:rsidRPr="00733D9A">
        <w:rPr>
          <w:szCs w:val="24"/>
        </w:rPr>
        <w:t>based on the number of gauges present in each 1</w:t>
      </w:r>
      <w:r w:rsidRPr="00733D9A">
        <w:rPr>
          <w:position w:val="8"/>
          <w:szCs w:val="24"/>
        </w:rPr>
        <w:t xml:space="preserve"> </w:t>
      </w:r>
      <w:r w:rsidRPr="00733D9A">
        <w:rPr>
          <w:szCs w:val="24"/>
        </w:rPr>
        <w:t>x 1</w:t>
      </w:r>
      <w:r w:rsidRPr="00733D9A">
        <w:rPr>
          <w:position w:val="8"/>
          <w:szCs w:val="24"/>
        </w:rPr>
        <w:t xml:space="preserve"> </w:t>
      </w:r>
      <w:r w:rsidRPr="00733D9A">
        <w:rPr>
          <w:szCs w:val="24"/>
        </w:rPr>
        <w:t>grid cell</w:t>
      </w:r>
      <w:r w:rsidR="00F71C05">
        <w:rPr>
          <w:szCs w:val="24"/>
          <w:vertAlign w:val="superscript"/>
        </w:rPr>
        <w:t>5</w:t>
      </w:r>
      <w:r w:rsidRPr="00733D9A">
        <w:rPr>
          <w:szCs w:val="24"/>
        </w:rPr>
        <w:t xml:space="preserve">. Autocorrelation was only performed on grid cells with at least </w:t>
      </w:r>
      <w:proofErr w:type="gramStart"/>
      <w:r w:rsidRPr="00733D9A">
        <w:rPr>
          <w:szCs w:val="24"/>
        </w:rPr>
        <w:t>1 gauge</w:t>
      </w:r>
      <w:proofErr w:type="gramEnd"/>
      <w:r w:rsidRPr="00733D9A">
        <w:rPr>
          <w:szCs w:val="24"/>
        </w:rPr>
        <w:t xml:space="preserve"> present </w:t>
      </w:r>
      <w:r w:rsidR="00D000A7">
        <w:rPr>
          <w:szCs w:val="24"/>
        </w:rPr>
        <w:t>in the 1950—2016 record (</w:t>
      </w:r>
      <w:r w:rsidR="00DF280A">
        <w:rPr>
          <w:szCs w:val="24"/>
        </w:rPr>
        <w:t>Fig.</w:t>
      </w:r>
      <w:r w:rsidR="00D000A7">
        <w:rPr>
          <w:szCs w:val="24"/>
        </w:rPr>
        <w:t xml:space="preserve"> </w:t>
      </w:r>
      <w:r w:rsidR="00DF280A">
        <w:rPr>
          <w:szCs w:val="24"/>
        </w:rPr>
        <w:t>S</w:t>
      </w:r>
      <w:r w:rsidR="00D000A7">
        <w:rPr>
          <w:szCs w:val="24"/>
        </w:rPr>
        <w:t>6</w:t>
      </w:r>
      <w:r w:rsidRPr="00733D9A">
        <w:rPr>
          <w:szCs w:val="24"/>
        </w:rPr>
        <w:t xml:space="preserve">). The distribution of autocorrelation follows a normal distribution, with the 90% and 95% confidence intervals evaluated at </w:t>
      </w:r>
      <m:oMath>
        <m:r>
          <w:rPr>
            <w:rFonts w:ascii="Cambria Math" w:hAnsi="Cambria Math"/>
            <w:szCs w:val="24"/>
          </w:rPr>
          <m:t xml:space="preserve">± </m:t>
        </m:r>
        <m:f>
          <m:fPr>
            <m:ctrlPr>
              <w:rPr>
                <w:rFonts w:ascii="Cambria Math" w:hAnsi="Cambria Math"/>
                <w:i/>
                <w:szCs w:val="24"/>
              </w:rPr>
            </m:ctrlPr>
          </m:fPr>
          <m:num>
            <m:r>
              <w:rPr>
                <w:rFonts w:ascii="Cambria Math" w:hAnsi="Cambria Math"/>
                <w:szCs w:val="24"/>
              </w:rPr>
              <m:t>1.65</m:t>
            </m:r>
          </m:num>
          <m:den>
            <m:rad>
              <m:radPr>
                <m:degHide m:val="1"/>
                <m:ctrlPr>
                  <w:rPr>
                    <w:rFonts w:ascii="Cambria Math" w:hAnsi="Cambria Math"/>
                    <w:i/>
                    <w:szCs w:val="24"/>
                  </w:rPr>
                </m:ctrlPr>
              </m:radPr>
              <m:deg/>
              <m:e>
                <m:r>
                  <w:rPr>
                    <w:rFonts w:ascii="Cambria Math" w:hAnsi="Cambria Math"/>
                    <w:szCs w:val="24"/>
                  </w:rPr>
                  <m:t>n</m:t>
                </m:r>
              </m:e>
            </m:rad>
          </m:den>
        </m:f>
      </m:oMath>
      <w:r w:rsidRPr="00733D9A">
        <w:rPr>
          <w:rFonts w:eastAsiaTheme="minorEastAsia"/>
          <w:szCs w:val="24"/>
        </w:rPr>
        <w:t xml:space="preserve"> and </w:t>
      </w:r>
      <m:oMath>
        <m:r>
          <w:rPr>
            <w:rFonts w:ascii="Cambria Math" w:eastAsiaTheme="minorEastAsia" w:hAnsi="Cambria Math"/>
            <w:szCs w:val="24"/>
          </w:rPr>
          <m:t xml:space="preserve">± </m:t>
        </m:r>
        <m:f>
          <m:fPr>
            <m:ctrlPr>
              <w:rPr>
                <w:rFonts w:ascii="Cambria Math" w:eastAsiaTheme="minorEastAsia" w:hAnsi="Cambria Math"/>
                <w:i/>
                <w:szCs w:val="24"/>
              </w:rPr>
            </m:ctrlPr>
          </m:fPr>
          <m:num>
            <m:r>
              <w:rPr>
                <w:rFonts w:ascii="Cambria Math" w:eastAsiaTheme="minorEastAsia" w:hAnsi="Cambria Math"/>
                <w:szCs w:val="24"/>
              </w:rPr>
              <m:t>2.0</m:t>
            </m:r>
          </m:num>
          <m:den>
            <m:rad>
              <m:radPr>
                <m:degHide m:val="1"/>
                <m:ctrlPr>
                  <w:rPr>
                    <w:rFonts w:ascii="Cambria Math" w:eastAsiaTheme="minorEastAsia" w:hAnsi="Cambria Math"/>
                    <w:i/>
                    <w:szCs w:val="24"/>
                  </w:rPr>
                </m:ctrlPr>
              </m:radPr>
              <m:deg/>
              <m:e>
                <m:r>
                  <w:rPr>
                    <w:rFonts w:ascii="Cambria Math" w:eastAsiaTheme="minorEastAsia" w:hAnsi="Cambria Math"/>
                    <w:szCs w:val="24"/>
                  </w:rPr>
                  <m:t>n</m:t>
                </m:r>
              </m:e>
            </m:rad>
          </m:den>
        </m:f>
      </m:oMath>
      <w:r w:rsidRPr="00733D9A">
        <w:rPr>
          <w:rFonts w:eastAsiaTheme="minorEastAsia"/>
          <w:szCs w:val="24"/>
        </w:rPr>
        <w:t xml:space="preserve"> respectively, where </w:t>
      </w:r>
      <w:r w:rsidRPr="00733D9A">
        <w:rPr>
          <w:rFonts w:eastAsiaTheme="minorEastAsia"/>
          <w:i/>
          <w:szCs w:val="24"/>
        </w:rPr>
        <w:t>n</w:t>
      </w:r>
      <w:r w:rsidRPr="00733D9A">
        <w:rPr>
          <w:rFonts w:eastAsiaTheme="minorEastAsia"/>
          <w:szCs w:val="24"/>
        </w:rPr>
        <w:t xml:space="preserve"> is 67 years. </w:t>
      </w:r>
      <w:r w:rsidRPr="00733D9A">
        <w:rPr>
          <w:szCs w:val="24"/>
        </w:rPr>
        <w:t xml:space="preserve">We find that 7.7% of all land area grids show significant lag 1 autocorrelation at a 95% </w:t>
      </w:r>
      <w:r w:rsidRPr="00733D9A">
        <w:rPr>
          <w:szCs w:val="24"/>
        </w:rPr>
        <w:lastRenderedPageBreak/>
        <w:t xml:space="preserve">confidence interval. The impacts of episodic events on precipitation persistence are minimized by selecting a June - May annual year designation that better captures monsoonal precipitation as well as evolving ENSO conditions that often initiate and mature over the summer- fall-winter period. </w:t>
      </w:r>
    </w:p>
    <w:p w14:paraId="2D753DBC" w14:textId="6A7FF43C" w:rsidR="00B92058" w:rsidRDefault="00B92058" w:rsidP="00B92058">
      <w:pPr>
        <w:rPr>
          <w:szCs w:val="24"/>
        </w:rPr>
      </w:pPr>
    </w:p>
    <w:p w14:paraId="05CE3030" w14:textId="77777777" w:rsidR="00B92058" w:rsidRPr="00733D9A" w:rsidRDefault="00B92058" w:rsidP="00B92058">
      <w:pPr>
        <w:rPr>
          <w:szCs w:val="24"/>
        </w:rPr>
      </w:pPr>
    </w:p>
    <w:p w14:paraId="521B6193" w14:textId="77777777" w:rsidR="00B92058" w:rsidRPr="00733D9A" w:rsidRDefault="00B92058" w:rsidP="00B92058">
      <w:pPr>
        <w:rPr>
          <w:szCs w:val="24"/>
        </w:rPr>
      </w:pPr>
    </w:p>
    <w:p w14:paraId="7F7B30D2" w14:textId="33945DE0" w:rsidR="00F40D5B" w:rsidRDefault="00F40D5B">
      <w:pPr>
        <w:rPr>
          <w:szCs w:val="24"/>
        </w:rPr>
      </w:pPr>
      <w:r>
        <w:rPr>
          <w:szCs w:val="24"/>
        </w:rPr>
        <w:br w:type="page"/>
      </w:r>
    </w:p>
    <w:p w14:paraId="5DE22DEB" w14:textId="77777777" w:rsidR="00B92058" w:rsidRDefault="00B92058" w:rsidP="00B92058">
      <w:pPr>
        <w:rPr>
          <w:szCs w:val="24"/>
        </w:rPr>
      </w:pPr>
    </w:p>
    <w:p w14:paraId="4A107B1F" w14:textId="067174AA" w:rsidR="00733D9A" w:rsidRDefault="00B92058" w:rsidP="00733D9A">
      <w:pPr>
        <w:spacing w:before="100" w:beforeAutospacing="1" w:after="100" w:afterAutospacing="1"/>
        <w:rPr>
          <w:szCs w:val="24"/>
        </w:rPr>
      </w:pPr>
      <w:r>
        <w:rPr>
          <w:noProof/>
          <w:szCs w:val="24"/>
        </w:rPr>
        <w:drawing>
          <wp:inline distT="0" distB="0" distL="0" distR="0" wp14:anchorId="49954C23" wp14:editId="7F96C542">
            <wp:extent cx="4445000" cy="30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2.png"/>
                    <pic:cNvPicPr/>
                  </pic:nvPicPr>
                  <pic:blipFill>
                    <a:blip r:embed="rId7">
                      <a:extLst>
                        <a:ext uri="{28A0092B-C50C-407E-A947-70E740481C1C}">
                          <a14:useLocalDpi xmlns:a14="http://schemas.microsoft.com/office/drawing/2010/main" val="0"/>
                        </a:ext>
                      </a:extLst>
                    </a:blip>
                    <a:stretch>
                      <a:fillRect/>
                    </a:stretch>
                  </pic:blipFill>
                  <pic:spPr>
                    <a:xfrm>
                      <a:off x="0" y="0"/>
                      <a:ext cx="4445000" cy="3048000"/>
                    </a:xfrm>
                    <a:prstGeom prst="rect">
                      <a:avLst/>
                    </a:prstGeom>
                  </pic:spPr>
                </pic:pic>
              </a:graphicData>
            </a:graphic>
          </wp:inline>
        </w:drawing>
      </w:r>
    </w:p>
    <w:p w14:paraId="75502316" w14:textId="7C23FD63" w:rsidR="00733D9A" w:rsidRDefault="00B92058" w:rsidP="00733D9A">
      <w:pPr>
        <w:spacing w:before="100" w:beforeAutospacing="1" w:after="100" w:afterAutospacing="1"/>
        <w:rPr>
          <w:szCs w:val="24"/>
        </w:rPr>
      </w:pPr>
      <w:r>
        <w:rPr>
          <w:b/>
          <w:szCs w:val="24"/>
        </w:rPr>
        <w:t xml:space="preserve">Figure </w:t>
      </w:r>
      <w:r w:rsidR="00DF280A">
        <w:rPr>
          <w:b/>
          <w:szCs w:val="24"/>
        </w:rPr>
        <w:t>S</w:t>
      </w:r>
      <w:r w:rsidR="00C85469">
        <w:rPr>
          <w:b/>
          <w:szCs w:val="24"/>
        </w:rPr>
        <w:t>1</w:t>
      </w:r>
      <w:r w:rsidR="00733D9A" w:rsidRPr="00F82051">
        <w:rPr>
          <w:b/>
          <w:szCs w:val="24"/>
        </w:rPr>
        <w:t>.</w:t>
      </w:r>
      <w:r w:rsidR="00733D9A">
        <w:rPr>
          <w:szCs w:val="24"/>
        </w:rPr>
        <w:t xml:space="preserve"> </w:t>
      </w:r>
      <w:r w:rsidR="00E508B4">
        <w:rPr>
          <w:szCs w:val="24"/>
        </w:rPr>
        <w:t>Linear Quantile R</w:t>
      </w:r>
      <w:r w:rsidR="00541652">
        <w:rPr>
          <w:szCs w:val="24"/>
        </w:rPr>
        <w:t>egression c</w:t>
      </w:r>
      <w:r w:rsidR="00733D9A" w:rsidRPr="00F131B0">
        <w:rPr>
          <w:szCs w:val="24"/>
        </w:rPr>
        <w:t>oefficient estimat</w:t>
      </w:r>
      <w:r w:rsidR="00BA0925">
        <w:rPr>
          <w:szCs w:val="24"/>
        </w:rPr>
        <w:t>e</w:t>
      </w:r>
      <w:r w:rsidR="00733D9A" w:rsidRPr="00F131B0">
        <w:rPr>
          <w:szCs w:val="24"/>
        </w:rPr>
        <w:t xml:space="preserve">s </w:t>
      </w:r>
      <w:r w:rsidR="00662C78">
        <w:rPr>
          <w:szCs w:val="24"/>
        </w:rPr>
        <w:t>over</w:t>
      </w:r>
      <w:r w:rsidR="00733D9A" w:rsidRPr="00F131B0">
        <w:rPr>
          <w:szCs w:val="24"/>
        </w:rPr>
        <w:t xml:space="preserve"> the full range of </w:t>
      </w:r>
      <w:r w:rsidR="00091A87">
        <w:rPr>
          <w:szCs w:val="24"/>
        </w:rPr>
        <w:t>quantiles (</w:t>
      </w:r>
      <w:r w:rsidR="00733D9A" w:rsidRPr="00F131B0">
        <w:rPr>
          <w:rFonts w:ascii="Cambria Math" w:hAnsi="Cambria Math" w:cs="Cambria Math"/>
          <w:szCs w:val="24"/>
        </w:rPr>
        <w:t>𝜏</w:t>
      </w:r>
      <w:r w:rsidR="00091A87">
        <w:rPr>
          <w:rFonts w:ascii="Cambria Math" w:hAnsi="Cambria Math" w:cs="Cambria Math"/>
          <w:szCs w:val="24"/>
        </w:rPr>
        <w:t>)</w:t>
      </w:r>
      <w:r w:rsidR="00733D9A" w:rsidRPr="00F131B0">
        <w:rPr>
          <w:szCs w:val="24"/>
        </w:rPr>
        <w:t xml:space="preserve"> for two sample locations in North America. Gray shaded areas show the 90% confidence interval (CI) </w:t>
      </w:r>
      <w:r w:rsidR="00074419">
        <w:rPr>
          <w:szCs w:val="24"/>
        </w:rPr>
        <w:t>with significance determined using wild bootstrap (</w:t>
      </w:r>
      <w:r w:rsidR="00074419" w:rsidRPr="003A33FA">
        <w:rPr>
          <w:i/>
          <w:szCs w:val="24"/>
        </w:rPr>
        <w:t>n</w:t>
      </w:r>
      <w:r w:rsidR="00074419" w:rsidRPr="00F131B0">
        <w:rPr>
          <w:szCs w:val="24"/>
        </w:rPr>
        <w:t xml:space="preserve"> = 1000</w:t>
      </w:r>
      <w:r w:rsidR="00074419">
        <w:rPr>
          <w:szCs w:val="24"/>
        </w:rPr>
        <w:t xml:space="preserve">). </w:t>
      </w:r>
      <w:r w:rsidR="00733D9A" w:rsidRPr="00F131B0">
        <w:rPr>
          <w:szCs w:val="24"/>
        </w:rPr>
        <w:t xml:space="preserve">The solid red line shows the mean trend with dashed lines showing the 90% CI. Locations of </w:t>
      </w:r>
      <w:r w:rsidR="00733D9A" w:rsidRPr="00F131B0">
        <w:rPr>
          <w:rFonts w:ascii="Cambria Math" w:hAnsi="Cambria Math" w:cs="Cambria Math"/>
          <w:szCs w:val="24"/>
        </w:rPr>
        <w:t>𝜏</w:t>
      </w:r>
      <w:r w:rsidR="00733D9A" w:rsidRPr="00F131B0">
        <w:rPr>
          <w:szCs w:val="24"/>
        </w:rPr>
        <w:t xml:space="preserve"> = 0.2 and 0.8 are marked. In both examples, the mean trend over or underestimates the trend at different parts of the distribution. </w:t>
      </w:r>
    </w:p>
    <w:p w14:paraId="6F797754" w14:textId="7E835DFB" w:rsidR="00F82051" w:rsidRDefault="00BF5B0A" w:rsidP="00834F85">
      <w:pPr>
        <w:rPr>
          <w:szCs w:val="24"/>
        </w:rPr>
      </w:pPr>
      <w:r>
        <w:rPr>
          <w:szCs w:val="24"/>
        </w:rPr>
        <w:br w:type="page"/>
      </w:r>
    </w:p>
    <w:p w14:paraId="10B97048" w14:textId="77777777" w:rsidR="00074419" w:rsidRDefault="00074419" w:rsidP="00834F85">
      <w:pPr>
        <w:rPr>
          <w:szCs w:val="24"/>
        </w:rPr>
      </w:pPr>
    </w:p>
    <w:p w14:paraId="21E3C0B6" w14:textId="77777777" w:rsidR="00F82051" w:rsidRDefault="00F82051" w:rsidP="00A46E76">
      <w:pPr>
        <w:spacing w:before="100" w:beforeAutospacing="1" w:after="100" w:afterAutospacing="1"/>
        <w:rPr>
          <w:szCs w:val="24"/>
        </w:rPr>
      </w:pPr>
    </w:p>
    <w:p w14:paraId="48834E62" w14:textId="433A9BBC" w:rsidR="00834F85" w:rsidRPr="00383517" w:rsidRDefault="004F13A6" w:rsidP="004F13A6">
      <w:pPr>
        <w:spacing w:before="100" w:beforeAutospacing="1" w:after="100" w:afterAutospacing="1"/>
        <w:jc w:val="center"/>
        <w:rPr>
          <w:szCs w:val="24"/>
        </w:rPr>
      </w:pPr>
      <w:r>
        <w:rPr>
          <w:noProof/>
          <w:szCs w:val="24"/>
        </w:rPr>
        <w:drawing>
          <wp:inline distT="0" distB="0" distL="0" distR="0" wp14:anchorId="3A755DFA" wp14:editId="0ED61519">
            <wp:extent cx="4797911" cy="32054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new.png"/>
                    <pic:cNvPicPr/>
                  </pic:nvPicPr>
                  <pic:blipFill rotWithShape="1">
                    <a:blip r:embed="rId8"/>
                    <a:srcRect r="19269" b="50933"/>
                    <a:stretch/>
                  </pic:blipFill>
                  <pic:spPr bwMode="auto">
                    <a:xfrm>
                      <a:off x="0" y="0"/>
                      <a:ext cx="4798359" cy="3205779"/>
                    </a:xfrm>
                    <a:prstGeom prst="rect">
                      <a:avLst/>
                    </a:prstGeom>
                    <a:ln>
                      <a:noFill/>
                    </a:ln>
                    <a:extLst>
                      <a:ext uri="{53640926-AAD7-44D8-BBD7-CCE9431645EC}">
                        <a14:shadowObscured xmlns:a14="http://schemas.microsoft.com/office/drawing/2010/main"/>
                      </a:ext>
                    </a:extLst>
                  </pic:spPr>
                </pic:pic>
              </a:graphicData>
            </a:graphic>
          </wp:inline>
        </w:drawing>
      </w:r>
    </w:p>
    <w:p w14:paraId="3FA7C63C" w14:textId="36B65C36" w:rsidR="00EA0D21" w:rsidRDefault="00B92058" w:rsidP="00A46E76">
      <w:pPr>
        <w:spacing w:before="100" w:beforeAutospacing="1" w:after="100" w:afterAutospacing="1"/>
        <w:rPr>
          <w:szCs w:val="24"/>
        </w:rPr>
      </w:pPr>
      <w:r>
        <w:rPr>
          <w:b/>
          <w:szCs w:val="24"/>
        </w:rPr>
        <w:t xml:space="preserve">Figure </w:t>
      </w:r>
      <w:r w:rsidR="00DF280A">
        <w:rPr>
          <w:b/>
          <w:szCs w:val="24"/>
        </w:rPr>
        <w:t>S</w:t>
      </w:r>
      <w:r w:rsidR="00C85469">
        <w:rPr>
          <w:b/>
          <w:szCs w:val="24"/>
        </w:rPr>
        <w:t>2</w:t>
      </w:r>
      <w:r w:rsidR="00BF5B0A" w:rsidRPr="00F82051">
        <w:rPr>
          <w:b/>
          <w:szCs w:val="24"/>
        </w:rPr>
        <w:t>.</w:t>
      </w:r>
      <w:r w:rsidR="00BF5B0A">
        <w:rPr>
          <w:szCs w:val="24"/>
        </w:rPr>
        <w:t xml:space="preserve"> LR mischaracterizes risk at thresholds in the upper and lower tails of the annual precipitation distribution. Conditional trend estimates</w:t>
      </w:r>
      <w:r w:rsidR="004F13A6">
        <w:rPr>
          <w:szCs w:val="24"/>
        </w:rPr>
        <w:t xml:space="preserve"> at</w:t>
      </w:r>
      <w:r w:rsidR="00BF5B0A">
        <w:rPr>
          <w:szCs w:val="24"/>
        </w:rPr>
        <w:t xml:space="preserve"> the blue marked location in Supplementary Figure 1.</w:t>
      </w:r>
      <w:r w:rsidR="00265C87">
        <w:rPr>
          <w:szCs w:val="24"/>
        </w:rPr>
        <w:t xml:space="preserve"> LR, </w:t>
      </w:r>
      <w:r w:rsidR="00265C87">
        <w:rPr>
          <w:rFonts w:ascii="Cambria Math" w:hAnsi="Cambria Math"/>
          <w:szCs w:val="24"/>
        </w:rPr>
        <w:t xml:space="preserve">𝜏 = </w:t>
      </w:r>
      <w:r w:rsidR="00265C87">
        <w:rPr>
          <w:szCs w:val="24"/>
        </w:rPr>
        <w:t xml:space="preserve">0.5 and 0.8 are all significant at </w:t>
      </w:r>
      <w:r w:rsidR="00265C87">
        <w:rPr>
          <w:rFonts w:ascii="Cambria Math" w:hAnsi="Cambria Math"/>
          <w:szCs w:val="24"/>
        </w:rPr>
        <w:t xml:space="preserve">𝛼 </w:t>
      </w:r>
      <w:r w:rsidR="00265C87">
        <w:rPr>
          <w:szCs w:val="24"/>
        </w:rPr>
        <w:t xml:space="preserve">= 0.05. </w:t>
      </w:r>
      <w:r w:rsidR="004F13A6">
        <w:rPr>
          <w:szCs w:val="24"/>
        </w:rPr>
        <w:t xml:space="preserve">QR can be used to estimate the trend at any threshold of the precipitation </w:t>
      </w:r>
      <w:r w:rsidR="00265C87">
        <w:rPr>
          <w:szCs w:val="24"/>
        </w:rPr>
        <w:t xml:space="preserve">distribution, characterizing the entire range of variability. </w:t>
      </w:r>
    </w:p>
    <w:p w14:paraId="0CFC6028" w14:textId="77777777" w:rsidR="00EA0D21" w:rsidRDefault="00EA0D21">
      <w:pPr>
        <w:rPr>
          <w:szCs w:val="24"/>
        </w:rPr>
      </w:pPr>
      <w:r>
        <w:rPr>
          <w:szCs w:val="24"/>
        </w:rPr>
        <w:br w:type="page"/>
      </w:r>
    </w:p>
    <w:p w14:paraId="4D16CA96" w14:textId="37A32812" w:rsidR="00EA0D21" w:rsidRPr="00EA0D21" w:rsidRDefault="004C1C9D" w:rsidP="00743782">
      <w:pPr>
        <w:spacing w:before="100" w:beforeAutospacing="1" w:after="100" w:afterAutospacing="1"/>
      </w:pPr>
      <w:bookmarkStart w:id="0" w:name="_GoBack"/>
      <w:r w:rsidRPr="002F6513">
        <w:rPr>
          <w:b/>
          <w:noProof/>
          <w:szCs w:val="24"/>
        </w:rPr>
        <w:lastRenderedPageBreak/>
        <w:drawing>
          <wp:anchor distT="0" distB="0" distL="114300" distR="114300" simplePos="0" relativeHeight="251658240" behindDoc="0" locked="0" layoutInCell="1" allowOverlap="1" wp14:anchorId="5201975B" wp14:editId="36460A25">
            <wp:simplePos x="0" y="0"/>
            <wp:positionH relativeFrom="column">
              <wp:posOffset>-635</wp:posOffset>
            </wp:positionH>
            <wp:positionV relativeFrom="paragraph">
              <wp:posOffset>161925</wp:posOffset>
            </wp:positionV>
            <wp:extent cx="5929630" cy="2609850"/>
            <wp:effectExtent l="0" t="0" r="127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tdry20figv2.png"/>
                    <pic:cNvPicPr/>
                  </pic:nvPicPr>
                  <pic:blipFill rotWithShape="1">
                    <a:blip r:embed="rId9"/>
                    <a:srcRect l="961" b="2111"/>
                    <a:stretch/>
                  </pic:blipFill>
                  <pic:spPr bwMode="auto">
                    <a:xfrm>
                      <a:off x="0" y="0"/>
                      <a:ext cx="5929630" cy="260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0D21" w:rsidRPr="002F6513">
        <w:rPr>
          <w:b/>
          <w:szCs w:val="24"/>
        </w:rPr>
        <w:t>Figure S3</w:t>
      </w:r>
      <w:bookmarkEnd w:id="0"/>
      <w:r w:rsidR="00EA0D21">
        <w:rPr>
          <w:szCs w:val="24"/>
        </w:rPr>
        <w:t xml:space="preserve">. </w:t>
      </w:r>
      <w:r w:rsidR="000A67DE">
        <w:rPr>
          <w:szCs w:val="24"/>
        </w:rPr>
        <w:t xml:space="preserve">Assessment of trends in annual precipitation conditioned on the long-term mean precipitation totals. </w:t>
      </w:r>
      <w:r w:rsidR="00EA0D21">
        <w:t xml:space="preserve">a) </w:t>
      </w:r>
      <w:r w:rsidR="00132D19">
        <w:t>Global pattern of m</w:t>
      </w:r>
      <w:r w:rsidR="00EA0D21">
        <w:t>ean annual precipitation</w:t>
      </w:r>
      <w:r w:rsidR="00132D19">
        <w:t>, expressed as quantiles.</w:t>
      </w:r>
      <w:r w:rsidR="00F11AB2">
        <w:t xml:space="preserve"> </w:t>
      </w:r>
      <w:r w:rsidR="00EA0D21">
        <w:t xml:space="preserve"> b-c) Frequency of typology and mean trend </w:t>
      </w:r>
      <w:r w:rsidR="008B668C">
        <w:t>across quantile ranges</w:t>
      </w:r>
      <w:r>
        <w:t xml:space="preserve">. </w:t>
      </w:r>
      <w:r w:rsidR="00EA0D21">
        <w:t>d) Area in the driest 20% and wettest 20% of global regions coinciding with typologies and mean trends showing increased risk of wet and dry conditions.</w:t>
      </w:r>
      <w:r w:rsidR="00040132">
        <w:t xml:space="preserve"> Underlined values indicate dry areas with increased risk of dry conditions, and wet with wetter conditions.</w:t>
      </w:r>
      <w:r w:rsidR="00EA0D21">
        <w:t xml:space="preserve"> e) driest regions undergoing decreases in precipitation and f) wettest regions getting wetter. Greenland excluded from analysis. </w:t>
      </w:r>
    </w:p>
    <w:p w14:paraId="27790BCB" w14:textId="72FF741F" w:rsidR="00EA0D21" w:rsidRDefault="00EA0D21" w:rsidP="00A46E76">
      <w:pPr>
        <w:spacing w:before="100" w:beforeAutospacing="1" w:after="100" w:afterAutospacing="1"/>
        <w:rPr>
          <w:szCs w:val="24"/>
        </w:rPr>
      </w:pPr>
    </w:p>
    <w:p w14:paraId="729BCA31" w14:textId="5DA8B62E" w:rsidR="00EA0D21" w:rsidRDefault="00EA0D21" w:rsidP="00A46E76">
      <w:pPr>
        <w:spacing w:before="100" w:beforeAutospacing="1" w:after="100" w:afterAutospacing="1"/>
        <w:rPr>
          <w:szCs w:val="24"/>
        </w:rPr>
      </w:pPr>
    </w:p>
    <w:p w14:paraId="2C61F0A2" w14:textId="44593C3C" w:rsidR="00EA0D21" w:rsidRDefault="00EA0D21" w:rsidP="00A46E76">
      <w:pPr>
        <w:spacing w:before="100" w:beforeAutospacing="1" w:after="100" w:afterAutospacing="1"/>
        <w:rPr>
          <w:szCs w:val="24"/>
        </w:rPr>
      </w:pPr>
    </w:p>
    <w:p w14:paraId="2E68AB48" w14:textId="007FA8B3" w:rsidR="00EA0D21" w:rsidRDefault="00EA0D21" w:rsidP="00A46E76">
      <w:pPr>
        <w:spacing w:before="100" w:beforeAutospacing="1" w:after="100" w:afterAutospacing="1"/>
        <w:rPr>
          <w:szCs w:val="24"/>
        </w:rPr>
      </w:pPr>
    </w:p>
    <w:p w14:paraId="3C778FB4" w14:textId="77777777" w:rsidR="00EA0D21" w:rsidRPr="00A46E76" w:rsidRDefault="00EA0D21" w:rsidP="00A46E76">
      <w:pPr>
        <w:spacing w:before="100" w:beforeAutospacing="1" w:after="100" w:afterAutospacing="1"/>
        <w:rPr>
          <w:rFonts w:ascii="Cambria Math" w:hAnsi="Cambria Math"/>
          <w:szCs w:val="24"/>
        </w:rPr>
      </w:pPr>
    </w:p>
    <w:p w14:paraId="2D86075C" w14:textId="77777777" w:rsidR="00733D9A" w:rsidRDefault="00733D9A">
      <w:pPr>
        <w:rPr>
          <w:szCs w:val="24"/>
        </w:rPr>
      </w:pPr>
    </w:p>
    <w:p w14:paraId="643D2B6F" w14:textId="6538F59B" w:rsidR="00733D9A" w:rsidRDefault="00733D9A">
      <w:pPr>
        <w:rPr>
          <w:szCs w:val="24"/>
        </w:rPr>
      </w:pPr>
    </w:p>
    <w:p w14:paraId="19B82774" w14:textId="77777777" w:rsidR="00733D9A" w:rsidRDefault="00733D9A" w:rsidP="00733D9A">
      <w:pPr>
        <w:tabs>
          <w:tab w:val="left" w:pos="2804"/>
        </w:tabs>
        <w:rPr>
          <w:szCs w:val="24"/>
        </w:rPr>
      </w:pPr>
      <w:r>
        <w:rPr>
          <w:noProof/>
          <w:szCs w:val="24"/>
        </w:rPr>
        <w:lastRenderedPageBreak/>
        <w:drawing>
          <wp:inline distT="0" distB="0" distL="0" distR="0" wp14:anchorId="77E26ACE" wp14:editId="44284D55">
            <wp:extent cx="5943600" cy="31330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3.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133090"/>
                    </a:xfrm>
                    <a:prstGeom prst="rect">
                      <a:avLst/>
                    </a:prstGeom>
                  </pic:spPr>
                </pic:pic>
              </a:graphicData>
            </a:graphic>
          </wp:inline>
        </w:drawing>
      </w:r>
    </w:p>
    <w:p w14:paraId="48CE56B8" w14:textId="77777777" w:rsidR="00733D9A" w:rsidRDefault="00733D9A" w:rsidP="00733D9A">
      <w:pPr>
        <w:rPr>
          <w:szCs w:val="24"/>
        </w:rPr>
      </w:pPr>
    </w:p>
    <w:p w14:paraId="2EE1B8EC" w14:textId="09451761" w:rsidR="00733D9A" w:rsidRPr="00733D9A" w:rsidRDefault="00733D9A" w:rsidP="00733D9A">
      <w:pPr>
        <w:pStyle w:val="SMHeading"/>
        <w:rPr>
          <w:b w:val="0"/>
        </w:rPr>
      </w:pPr>
      <w:r w:rsidRPr="00D000A7">
        <w:t xml:space="preserve">Figure </w:t>
      </w:r>
      <w:r w:rsidR="00DF280A">
        <w:t>S</w:t>
      </w:r>
      <w:r w:rsidR="00DD0F4D">
        <w:t>4</w:t>
      </w:r>
      <w:r w:rsidRPr="00733D9A">
        <w:rPr>
          <w:b w:val="0"/>
        </w:rPr>
        <w:t xml:space="preserve">. Annual Definition Impacts Annual Totals. </w:t>
      </w:r>
      <w:r>
        <w:rPr>
          <w:b w:val="0"/>
        </w:rPr>
        <w:t>a</w:t>
      </w:r>
      <w:r w:rsidRPr="00733D9A">
        <w:rPr>
          <w:b w:val="0"/>
        </w:rPr>
        <w:t xml:space="preserve">) Average percent contribution of winter and summer seasons to annual precipitation. </w:t>
      </w:r>
      <w:r>
        <w:rPr>
          <w:b w:val="0"/>
        </w:rPr>
        <w:t>b</w:t>
      </w:r>
      <w:r w:rsidRPr="00733D9A">
        <w:rPr>
          <w:b w:val="0"/>
        </w:rPr>
        <w:t xml:space="preserve">) correlation of annual totals using a January—December and June—May annual definitions. For locations with high percentages of annual rainfall in DJF, the correlation is poor. </w:t>
      </w:r>
      <w:r>
        <w:rPr>
          <w:b w:val="0"/>
        </w:rPr>
        <w:t>c</w:t>
      </w:r>
      <w:r w:rsidRPr="00733D9A">
        <w:rPr>
          <w:b w:val="0"/>
        </w:rPr>
        <w:t xml:space="preserve">) Annual mean trend for 1950—2016 using January—December and June—May annual definitions. The correlation between regression coefficients is r = 0.99. Change in annual definition does not significantly impact mean trend. </w:t>
      </w:r>
    </w:p>
    <w:p w14:paraId="247FF4AD" w14:textId="77777777" w:rsidR="00733D9A" w:rsidRDefault="00733D9A">
      <w:pPr>
        <w:rPr>
          <w:szCs w:val="24"/>
        </w:rPr>
      </w:pPr>
      <w:r>
        <w:rPr>
          <w:szCs w:val="24"/>
        </w:rPr>
        <w:br w:type="page"/>
      </w:r>
    </w:p>
    <w:p w14:paraId="32FCE8AE" w14:textId="4C60298D" w:rsidR="00733D9A" w:rsidRPr="00733D9A" w:rsidRDefault="00733D9A" w:rsidP="00383517">
      <w:pPr>
        <w:jc w:val="center"/>
        <w:rPr>
          <w:szCs w:val="24"/>
        </w:rPr>
      </w:pPr>
      <w:r>
        <w:rPr>
          <w:noProof/>
        </w:rPr>
        <w:lastRenderedPageBreak/>
        <w:drawing>
          <wp:inline distT="0" distB="0" distL="0" distR="0" wp14:anchorId="592B9051" wp14:editId="1F69B0D0">
            <wp:extent cx="4179306" cy="24968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5.png"/>
                    <pic:cNvPicPr/>
                  </pic:nvPicPr>
                  <pic:blipFill>
                    <a:blip r:embed="rId11">
                      <a:extLst>
                        <a:ext uri="{28A0092B-C50C-407E-A947-70E740481C1C}">
                          <a14:useLocalDpi xmlns:a14="http://schemas.microsoft.com/office/drawing/2010/main" val="0"/>
                        </a:ext>
                      </a:extLst>
                    </a:blip>
                    <a:stretch>
                      <a:fillRect/>
                    </a:stretch>
                  </pic:blipFill>
                  <pic:spPr>
                    <a:xfrm>
                      <a:off x="0" y="0"/>
                      <a:ext cx="4196629" cy="2507216"/>
                    </a:xfrm>
                    <a:prstGeom prst="rect">
                      <a:avLst/>
                    </a:prstGeom>
                  </pic:spPr>
                </pic:pic>
              </a:graphicData>
            </a:graphic>
          </wp:inline>
        </w:drawing>
      </w:r>
    </w:p>
    <w:p w14:paraId="2B77253E" w14:textId="77777777" w:rsidR="00733D9A" w:rsidRDefault="00733D9A" w:rsidP="00733D9A">
      <w:pPr>
        <w:rPr>
          <w:szCs w:val="24"/>
        </w:rPr>
      </w:pPr>
    </w:p>
    <w:p w14:paraId="14DC80AF" w14:textId="3A9E99BD" w:rsidR="00733D9A" w:rsidRPr="00F131B0" w:rsidRDefault="00733D9A" w:rsidP="00733D9A">
      <w:pPr>
        <w:spacing w:before="100" w:beforeAutospacing="1" w:after="100" w:afterAutospacing="1"/>
        <w:rPr>
          <w:szCs w:val="24"/>
        </w:rPr>
      </w:pPr>
      <w:r w:rsidRPr="00D000A7">
        <w:rPr>
          <w:b/>
          <w:szCs w:val="24"/>
        </w:rPr>
        <w:t xml:space="preserve">Figure </w:t>
      </w:r>
      <w:r w:rsidR="00DF280A">
        <w:rPr>
          <w:b/>
          <w:szCs w:val="24"/>
        </w:rPr>
        <w:t>S</w:t>
      </w:r>
      <w:r w:rsidR="00DD0F4D">
        <w:rPr>
          <w:b/>
          <w:szCs w:val="24"/>
        </w:rPr>
        <w:t>5</w:t>
      </w:r>
      <w:r w:rsidRPr="00D000A7">
        <w:rPr>
          <w:b/>
          <w:szCs w:val="24"/>
        </w:rPr>
        <w:t>.</w:t>
      </w:r>
      <w:r>
        <w:rPr>
          <w:szCs w:val="24"/>
        </w:rPr>
        <w:t xml:space="preserve"> </w:t>
      </w:r>
      <w:r w:rsidRPr="00F131B0">
        <w:rPr>
          <w:szCs w:val="24"/>
        </w:rPr>
        <w:t>Correlation coefficient of annual precipitation time-series (1950 – 2011) NOAA PREC/L and CRU TS 4.01 datasets at 0.5º</w:t>
      </w:r>
      <w:r w:rsidRPr="00F131B0">
        <w:rPr>
          <w:position w:val="8"/>
          <w:szCs w:val="24"/>
        </w:rPr>
        <w:t xml:space="preserve"> </w:t>
      </w:r>
      <w:r w:rsidRPr="00F131B0">
        <w:rPr>
          <w:szCs w:val="24"/>
        </w:rPr>
        <w:t>x 0.5º</w:t>
      </w:r>
      <w:r w:rsidRPr="00F131B0">
        <w:rPr>
          <w:position w:val="8"/>
          <w:szCs w:val="24"/>
        </w:rPr>
        <w:t xml:space="preserve"> </w:t>
      </w:r>
      <w:r w:rsidRPr="00F131B0">
        <w:rPr>
          <w:szCs w:val="24"/>
        </w:rPr>
        <w:t xml:space="preserve">resolution. Correlation of mean annual precipitation between the two datasets is r = 0.95 </w:t>
      </w:r>
    </w:p>
    <w:p w14:paraId="6A418626" w14:textId="77777777" w:rsidR="00733D9A" w:rsidRDefault="00733D9A">
      <w:pPr>
        <w:rPr>
          <w:szCs w:val="24"/>
        </w:rPr>
      </w:pPr>
      <w:r>
        <w:rPr>
          <w:szCs w:val="24"/>
        </w:rPr>
        <w:br w:type="page"/>
      </w:r>
    </w:p>
    <w:p w14:paraId="6EC45211" w14:textId="77777777" w:rsidR="00733D9A" w:rsidRDefault="00733D9A" w:rsidP="00733D9A">
      <w:pPr>
        <w:tabs>
          <w:tab w:val="left" w:pos="5135"/>
        </w:tabs>
        <w:rPr>
          <w:szCs w:val="24"/>
        </w:rPr>
      </w:pPr>
      <w:r>
        <w:rPr>
          <w:noProof/>
          <w:szCs w:val="24"/>
        </w:rPr>
        <w:lastRenderedPageBreak/>
        <w:drawing>
          <wp:inline distT="0" distB="0" distL="0" distR="0" wp14:anchorId="469E8B78" wp14:editId="4B594BE4">
            <wp:extent cx="5943600" cy="28835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4.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2883535"/>
                    </a:xfrm>
                    <a:prstGeom prst="rect">
                      <a:avLst/>
                    </a:prstGeom>
                  </pic:spPr>
                </pic:pic>
              </a:graphicData>
            </a:graphic>
          </wp:inline>
        </w:drawing>
      </w:r>
    </w:p>
    <w:p w14:paraId="7C8D5673" w14:textId="77777777" w:rsidR="00733D9A" w:rsidRDefault="00733D9A" w:rsidP="00733D9A">
      <w:pPr>
        <w:rPr>
          <w:szCs w:val="24"/>
        </w:rPr>
      </w:pPr>
    </w:p>
    <w:p w14:paraId="3F386600" w14:textId="717CB5A8" w:rsidR="00733D9A" w:rsidRDefault="00733D9A" w:rsidP="00611C61">
      <w:pPr>
        <w:pStyle w:val="SMcaption"/>
      </w:pPr>
      <w:r w:rsidRPr="00D000A7">
        <w:rPr>
          <w:b/>
        </w:rPr>
        <w:t xml:space="preserve">Figure </w:t>
      </w:r>
      <w:r w:rsidR="00DF280A">
        <w:rPr>
          <w:b/>
        </w:rPr>
        <w:t>S</w:t>
      </w:r>
      <w:r w:rsidR="00DD0F4D">
        <w:rPr>
          <w:b/>
        </w:rPr>
        <w:t>6</w:t>
      </w:r>
      <w:r>
        <w:t xml:space="preserve">. </w:t>
      </w:r>
      <w:r>
        <w:rPr>
          <w:szCs w:val="24"/>
        </w:rPr>
        <w:t>a</w:t>
      </w:r>
      <w:r w:rsidRPr="005C01B7">
        <w:rPr>
          <w:szCs w:val="24"/>
        </w:rPr>
        <w:t xml:space="preserve">) Autocorrelation of annual precipitation (1950 – 2016) at </w:t>
      </w:r>
      <w:proofErr w:type="gramStart"/>
      <w:r w:rsidRPr="005C01B7">
        <w:rPr>
          <w:szCs w:val="24"/>
        </w:rPr>
        <w:t>lag(</w:t>
      </w:r>
      <w:proofErr w:type="gramEnd"/>
      <w:r w:rsidRPr="005C01B7">
        <w:rPr>
          <w:szCs w:val="24"/>
        </w:rPr>
        <w:t>1) at a 90% confidence interval (±</w:t>
      </w:r>
      <w:r>
        <w:rPr>
          <w:szCs w:val="24"/>
        </w:rPr>
        <w:t xml:space="preserve"> </w:t>
      </w:r>
      <w:r w:rsidRPr="005C01B7">
        <w:rPr>
          <w:szCs w:val="24"/>
        </w:rPr>
        <w:t xml:space="preserve">0.2). </w:t>
      </w:r>
      <w:r>
        <w:rPr>
          <w:szCs w:val="24"/>
        </w:rPr>
        <w:t>b</w:t>
      </w:r>
      <w:r w:rsidRPr="005C01B7">
        <w:rPr>
          <w:szCs w:val="24"/>
        </w:rPr>
        <w:t>) lag (1) autocorrelation at a 95% confidence interval (±</w:t>
      </w:r>
      <w:r>
        <w:rPr>
          <w:szCs w:val="24"/>
        </w:rPr>
        <w:t xml:space="preserve"> </w:t>
      </w:r>
      <w:r w:rsidRPr="005C01B7">
        <w:rPr>
          <w:szCs w:val="24"/>
        </w:rPr>
        <w:t xml:space="preserve">0.244). </w:t>
      </w:r>
      <w:r>
        <w:rPr>
          <w:szCs w:val="24"/>
        </w:rPr>
        <w:t>C</w:t>
      </w:r>
      <w:r w:rsidRPr="005C01B7">
        <w:rPr>
          <w:szCs w:val="24"/>
        </w:rPr>
        <w:t xml:space="preserve">) Autocorrelation is only evaluated for grids with at least 1 station (27.0% of total grids) </w:t>
      </w:r>
      <w:r>
        <w:rPr>
          <w:szCs w:val="24"/>
        </w:rPr>
        <w:t>D</w:t>
      </w:r>
      <w:r w:rsidRPr="005C01B7">
        <w:rPr>
          <w:szCs w:val="24"/>
        </w:rPr>
        <w:t xml:space="preserve">) The percentage of land area grids (excluding Antarctica) with significant lag 1 autocorrelation at 90% and 95% confidence intervals (CI). </w:t>
      </w:r>
    </w:p>
    <w:p w14:paraId="3BB89CF6" w14:textId="346A5C3D" w:rsidR="00611C61" w:rsidRDefault="00611C61" w:rsidP="00611C61">
      <w:pPr>
        <w:pStyle w:val="SMcaption"/>
      </w:pPr>
    </w:p>
    <w:p w14:paraId="6F6165F3" w14:textId="06911AA9" w:rsidR="00611C61" w:rsidRDefault="00611C61">
      <w:r>
        <w:br w:type="page"/>
      </w:r>
    </w:p>
    <w:p w14:paraId="07B870C8" w14:textId="51B39145" w:rsidR="00611C61" w:rsidRDefault="00611C61" w:rsidP="00611C61">
      <w:pPr>
        <w:pStyle w:val="SMcaption"/>
        <w:rPr>
          <w:szCs w:val="24"/>
        </w:rPr>
      </w:pPr>
      <w:r>
        <w:rPr>
          <w:noProof/>
        </w:rPr>
        <w:lastRenderedPageBreak/>
        <w:drawing>
          <wp:inline distT="0" distB="0" distL="0" distR="0" wp14:anchorId="3A2E6702" wp14:editId="5ADC54F1">
            <wp:extent cx="5943600" cy="4392930"/>
            <wp:effectExtent l="0" t="0" r="0" b="1270"/>
            <wp:docPr id="12" name="Picture 12" descr="file:///var/folders/dr/pm6l603n25n43pl_s0g9fb980000gn/T/com.microsoft.Word/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392930"/>
                    </a:xfrm>
                    <a:prstGeom prst="rect">
                      <a:avLst/>
                    </a:prstGeom>
                  </pic:spPr>
                </pic:pic>
              </a:graphicData>
            </a:graphic>
          </wp:inline>
        </w:drawing>
      </w:r>
    </w:p>
    <w:p w14:paraId="322B5485" w14:textId="2DA3B804" w:rsidR="00611C61" w:rsidRDefault="00DF280A" w:rsidP="00611C61">
      <w:pPr>
        <w:pStyle w:val="SMHeading"/>
        <w:rPr>
          <w:b w:val="0"/>
        </w:rPr>
      </w:pPr>
      <w:r>
        <w:t>Table S1</w:t>
      </w:r>
      <w:r w:rsidR="00611C61">
        <w:t xml:space="preserve">. </w:t>
      </w:r>
      <w:r w:rsidR="00611C61" w:rsidRPr="00611C61">
        <w:rPr>
          <w:b w:val="0"/>
        </w:rPr>
        <w:t>Global significant precipitation trend patterns across quantiles for positive, negative, and non-significant trends in LR.</w:t>
      </w:r>
      <w:r w:rsidR="00611C61" w:rsidRPr="005C01B7">
        <w:t xml:space="preserve"> </w:t>
      </w:r>
      <w:r w:rsidR="00611C61">
        <w:t xml:space="preserve">+ </w:t>
      </w:r>
      <w:r w:rsidR="00611C61">
        <w:rPr>
          <w:b w:val="0"/>
        </w:rPr>
        <w:t xml:space="preserve">and – indicate positive and negative significant responses. Blank spaces indicate no significant response. </w:t>
      </w:r>
      <w:r w:rsidR="00A26266">
        <w:rPr>
          <w:b w:val="0"/>
        </w:rPr>
        <w:t xml:space="preserve">Percent of grids contributing the positive, negative, and non-significant slope coefficients from LR are shown in parentheses. Percent of Group column refers to the percentage of grids in each LR sub-group. Trends are significant at </w:t>
      </w:r>
      <w:proofErr w:type="gramStart"/>
      <w:r w:rsidR="00A26266">
        <w:rPr>
          <w:rFonts w:ascii="Cambria Math" w:hAnsi="Cambria Math"/>
          <w:b w:val="0"/>
        </w:rPr>
        <w:t xml:space="preserve">𝛼 </w:t>
      </w:r>
      <w:r w:rsidR="00A26266">
        <w:rPr>
          <w:b w:val="0"/>
        </w:rPr>
        <w:t xml:space="preserve"> =</w:t>
      </w:r>
      <w:proofErr w:type="gramEnd"/>
      <w:r w:rsidR="00A26266">
        <w:rPr>
          <w:b w:val="0"/>
        </w:rPr>
        <w:t xml:space="preserve"> 0.05.</w:t>
      </w:r>
    </w:p>
    <w:p w14:paraId="70D8D73C" w14:textId="7B2E0460" w:rsidR="00A26266" w:rsidRDefault="00A26266">
      <w:pPr>
        <w:rPr>
          <w:szCs w:val="24"/>
        </w:rPr>
      </w:pPr>
      <w:r>
        <w:rPr>
          <w:szCs w:val="24"/>
        </w:rPr>
        <w:br w:type="page"/>
      </w:r>
    </w:p>
    <w:p w14:paraId="6833F26F" w14:textId="77777777" w:rsidR="00A26266" w:rsidRDefault="00A26266" w:rsidP="00A26266">
      <w:pPr>
        <w:pStyle w:val="SMcaption"/>
      </w:pPr>
      <w:r>
        <w:rPr>
          <w:noProof/>
        </w:rPr>
        <w:lastRenderedPageBreak/>
        <w:drawing>
          <wp:inline distT="0" distB="0" distL="0" distR="0" wp14:anchorId="0CBC4117" wp14:editId="2D19C4DB">
            <wp:extent cx="5943600" cy="1889125"/>
            <wp:effectExtent l="0" t="0" r="0" b="3175"/>
            <wp:docPr id="15" name="Picture 15" descr="file:///var/folders/dr/pm6l603n25n43pl_s0g9fb980000gn/T/com.microsoft.Word/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1889125"/>
                    </a:xfrm>
                    <a:prstGeom prst="rect">
                      <a:avLst/>
                    </a:prstGeom>
                  </pic:spPr>
                </pic:pic>
              </a:graphicData>
            </a:graphic>
          </wp:inline>
        </w:drawing>
      </w:r>
    </w:p>
    <w:p w14:paraId="12A63141" w14:textId="6939DBE2" w:rsidR="00A26266" w:rsidRPr="00A26266" w:rsidRDefault="00A26266" w:rsidP="00A26266">
      <w:pPr>
        <w:pStyle w:val="SMHeading"/>
        <w:rPr>
          <w:b w:val="0"/>
        </w:rPr>
      </w:pPr>
      <w:r>
        <w:t xml:space="preserve">Table </w:t>
      </w:r>
      <w:r w:rsidR="00DF280A">
        <w:t>S</w:t>
      </w:r>
      <w:r>
        <w:t xml:space="preserve">2. </w:t>
      </w:r>
      <w:r w:rsidRPr="00A26266">
        <w:rPr>
          <w:b w:val="0"/>
        </w:rPr>
        <w:t>Rainfed land types across regions. Percentage of regional area constituted by rainfed land types</w:t>
      </w:r>
      <w:r w:rsidRPr="00A26266">
        <w:rPr>
          <w:b w:val="0"/>
          <w:position w:val="8"/>
        </w:rPr>
        <w:t xml:space="preserve"> </w:t>
      </w:r>
      <w:r w:rsidRPr="00A26266">
        <w:rPr>
          <w:b w:val="0"/>
        </w:rPr>
        <w:t xml:space="preserve">sensitive to precipitation. 21.4% of total land area excluding Antarctica and Greenland </w:t>
      </w:r>
      <w:r>
        <w:rPr>
          <w:b w:val="0"/>
        </w:rPr>
        <w:t>is</w:t>
      </w:r>
      <w:r w:rsidRPr="00A26266">
        <w:rPr>
          <w:b w:val="0"/>
        </w:rPr>
        <w:t xml:space="preserve"> comprised of rainfed land types. </w:t>
      </w:r>
    </w:p>
    <w:p w14:paraId="2F6AC938" w14:textId="3ECAE3E3" w:rsidR="00611C61" w:rsidRDefault="00611C61" w:rsidP="00611C61">
      <w:pPr>
        <w:pStyle w:val="SMcaption"/>
        <w:rPr>
          <w:szCs w:val="24"/>
        </w:rPr>
      </w:pPr>
    </w:p>
    <w:p w14:paraId="08954D71" w14:textId="77777777" w:rsidR="00A26266" w:rsidRDefault="00A26266" w:rsidP="00611C61">
      <w:pPr>
        <w:pStyle w:val="SMcaption"/>
        <w:rPr>
          <w:szCs w:val="24"/>
        </w:rPr>
      </w:pPr>
    </w:p>
    <w:p w14:paraId="416DE6E0" w14:textId="303EEFD9" w:rsidR="00F466EF" w:rsidRDefault="00F466EF" w:rsidP="00733D9A">
      <w:pPr>
        <w:rPr>
          <w:szCs w:val="24"/>
        </w:rPr>
      </w:pPr>
    </w:p>
    <w:p w14:paraId="798434D1" w14:textId="2890B8D7" w:rsidR="00F466EF" w:rsidRPr="00A26266" w:rsidRDefault="00F466EF" w:rsidP="00733D9A">
      <w:pPr>
        <w:rPr>
          <w:b/>
          <w:szCs w:val="24"/>
        </w:rPr>
      </w:pPr>
      <w:r w:rsidRPr="00A26266">
        <w:rPr>
          <w:b/>
          <w:szCs w:val="24"/>
        </w:rPr>
        <w:t>References</w:t>
      </w:r>
    </w:p>
    <w:p w14:paraId="530FE765" w14:textId="1E95366F" w:rsidR="00F466EF" w:rsidRDefault="00F466EF" w:rsidP="00733D9A">
      <w:pPr>
        <w:rPr>
          <w:szCs w:val="24"/>
        </w:rPr>
      </w:pPr>
    </w:p>
    <w:p w14:paraId="29345D14" w14:textId="766C087E" w:rsidR="00F466EF" w:rsidRPr="00BA1D74" w:rsidRDefault="00F466EF" w:rsidP="00F466EF">
      <w:pPr>
        <w:pStyle w:val="NormalWeb"/>
        <w:numPr>
          <w:ilvl w:val="0"/>
          <w:numId w:val="1"/>
        </w:numPr>
        <w:spacing w:line="480" w:lineRule="auto"/>
        <w:rPr>
          <w:color w:val="000000" w:themeColor="text1"/>
        </w:rPr>
      </w:pPr>
      <w:r w:rsidRPr="00352167">
        <w:t>Box, G. E. P., Jenkins, G</w:t>
      </w:r>
      <w:r w:rsidRPr="00352167">
        <w:rPr>
          <w:color w:val="000000" w:themeColor="text1"/>
        </w:rPr>
        <w:t xml:space="preserve">. M., </w:t>
      </w:r>
      <w:proofErr w:type="spellStart"/>
      <w:r w:rsidRPr="00352167">
        <w:rPr>
          <w:color w:val="000000" w:themeColor="text1"/>
          <w:shd w:val="clear" w:color="auto" w:fill="FFFFFF"/>
        </w:rPr>
        <w:t>Reinsel</w:t>
      </w:r>
      <w:proofErr w:type="spellEnd"/>
      <w:r w:rsidRPr="00352167">
        <w:rPr>
          <w:color w:val="000000" w:themeColor="text1"/>
          <w:shd w:val="clear" w:color="auto" w:fill="FFFFFF"/>
        </w:rPr>
        <w:t xml:space="preserve">, G. C. &amp; </w:t>
      </w:r>
      <w:proofErr w:type="spellStart"/>
      <w:r w:rsidRPr="00352167">
        <w:rPr>
          <w:color w:val="000000" w:themeColor="text1"/>
          <w:shd w:val="clear" w:color="auto" w:fill="FFFFFF"/>
        </w:rPr>
        <w:t>Ljung</w:t>
      </w:r>
      <w:proofErr w:type="spellEnd"/>
      <w:r w:rsidRPr="00352167">
        <w:rPr>
          <w:color w:val="000000" w:themeColor="text1"/>
          <w:shd w:val="clear" w:color="auto" w:fill="FFFFFF"/>
        </w:rPr>
        <w:t xml:space="preserve">, G. M. </w:t>
      </w:r>
      <w:r w:rsidRPr="00352167">
        <w:rPr>
          <w:i/>
          <w:iCs/>
          <w:color w:val="000000" w:themeColor="text1"/>
        </w:rPr>
        <w:t>Time series analysis: Forecasting and control</w:t>
      </w:r>
      <w:r w:rsidRPr="00352167">
        <w:rPr>
          <w:iCs/>
          <w:color w:val="000000" w:themeColor="text1"/>
        </w:rPr>
        <w:t xml:space="preserve"> 5</w:t>
      </w:r>
      <w:r w:rsidRPr="00352167">
        <w:rPr>
          <w:iCs/>
          <w:color w:val="000000" w:themeColor="text1"/>
          <w:vertAlign w:val="superscript"/>
        </w:rPr>
        <w:t>th</w:t>
      </w:r>
      <w:r w:rsidRPr="00352167">
        <w:rPr>
          <w:iCs/>
          <w:color w:val="000000" w:themeColor="text1"/>
        </w:rPr>
        <w:t xml:space="preserve"> </w:t>
      </w:r>
      <w:proofErr w:type="spellStart"/>
      <w:r w:rsidRPr="00352167">
        <w:rPr>
          <w:iCs/>
          <w:color w:val="000000" w:themeColor="text1"/>
        </w:rPr>
        <w:t>edn</w:t>
      </w:r>
      <w:proofErr w:type="spellEnd"/>
      <w:r w:rsidRPr="00352167">
        <w:rPr>
          <w:iCs/>
          <w:color w:val="000000" w:themeColor="text1"/>
        </w:rPr>
        <w:t xml:space="preserve"> (John Wiley &amp; Sons Inc., New York, 2015). </w:t>
      </w:r>
    </w:p>
    <w:p w14:paraId="4B013C9A" w14:textId="5C739849" w:rsidR="00F466EF" w:rsidRPr="00BA1D74" w:rsidRDefault="00F466EF" w:rsidP="00BA1D74">
      <w:pPr>
        <w:pStyle w:val="ListParagraph"/>
        <w:numPr>
          <w:ilvl w:val="0"/>
          <w:numId w:val="1"/>
        </w:numPr>
        <w:spacing w:line="480" w:lineRule="auto"/>
        <w:rPr>
          <w:color w:val="000000"/>
          <w:u w:color="000000"/>
        </w:rPr>
      </w:pPr>
      <w:r w:rsidRPr="00352167">
        <w:rPr>
          <w:color w:val="000000"/>
          <w:u w:color="000000"/>
        </w:rPr>
        <w:t xml:space="preserve">NOAA Precipitation Reconstruction over Land (PREC/L) dataset (Earth System Research Laboratory Physical Sciences Division, accessed 2 August 2017) </w:t>
      </w:r>
      <w:r w:rsidRPr="00BA1D74">
        <w:rPr>
          <w:color w:val="000000"/>
          <w:u w:color="000000"/>
        </w:rPr>
        <w:t>https://www.esrl.noaa.gov/psd/data/gridded/data.precl.html</w:t>
      </w:r>
    </w:p>
    <w:p w14:paraId="4603E3A6" w14:textId="77777777" w:rsidR="00F466EF" w:rsidRPr="00352167" w:rsidRDefault="00F466EF" w:rsidP="00F466EF">
      <w:pPr>
        <w:pStyle w:val="NormalWeb"/>
        <w:numPr>
          <w:ilvl w:val="0"/>
          <w:numId w:val="1"/>
        </w:numPr>
        <w:spacing w:line="480" w:lineRule="auto"/>
      </w:pPr>
      <w:r w:rsidRPr="00352167">
        <w:rPr>
          <w:color w:val="000000"/>
          <w:shd w:val="clear" w:color="auto" w:fill="FFFFFF"/>
        </w:rPr>
        <w:t xml:space="preserve">Harris, I.C.; Jones, P.D. CRU TS 4.01: Climatic Research Unit (CRU) Time-Series (TS) version 4.01 of high-resolution gridded data of month-by-month variation in climate (Jan. 1901- Dec. 2016) (Centre for Environmental Data Analysis, accessed 1 March 2018), </w:t>
      </w:r>
      <w:r w:rsidRPr="00352167">
        <w:t>http://dx.doi.org/10.5285/58a8802721c94c66ae45c3baa4d814d0</w:t>
      </w:r>
    </w:p>
    <w:p w14:paraId="246BA2E3" w14:textId="27969855" w:rsidR="00F466EF" w:rsidRPr="00BA1D74" w:rsidRDefault="00BA1D74" w:rsidP="00BA1D74">
      <w:pPr>
        <w:pStyle w:val="ListParagraph"/>
        <w:numPr>
          <w:ilvl w:val="0"/>
          <w:numId w:val="1"/>
        </w:numPr>
        <w:spacing w:line="480" w:lineRule="auto"/>
      </w:pPr>
      <w:r w:rsidRPr="00352167">
        <w:t xml:space="preserve">Sun, F., Roderick, M. L. &amp; Farquhar, G. D. Rainfall statistics, stationarity, and climate change. </w:t>
      </w:r>
      <w:r w:rsidRPr="00352167">
        <w:rPr>
          <w:i/>
        </w:rPr>
        <w:t xml:space="preserve">Proc. Natl. Acad. Sci. U.S.A. </w:t>
      </w:r>
      <w:r w:rsidRPr="00352167">
        <w:rPr>
          <w:b/>
        </w:rPr>
        <w:t>115,</w:t>
      </w:r>
      <w:r w:rsidRPr="00352167">
        <w:t xml:space="preserve"> 2305-2310 (2018).</w:t>
      </w:r>
    </w:p>
    <w:p w14:paraId="3406F7D8" w14:textId="77777777" w:rsidR="00F466EF" w:rsidRDefault="00F466EF" w:rsidP="00F466EF">
      <w:pPr>
        <w:pStyle w:val="ListParagraph"/>
        <w:numPr>
          <w:ilvl w:val="0"/>
          <w:numId w:val="1"/>
        </w:numPr>
        <w:spacing w:line="480" w:lineRule="auto"/>
        <w:rPr>
          <w:color w:val="000000"/>
          <w:u w:color="000000"/>
        </w:rPr>
      </w:pPr>
      <w:r w:rsidRPr="00352167">
        <w:rPr>
          <w:color w:val="000000"/>
          <w:u w:color="000000"/>
        </w:rPr>
        <w:lastRenderedPageBreak/>
        <w:t xml:space="preserve">Chen, M., </w:t>
      </w:r>
      <w:proofErr w:type="spellStart"/>
      <w:r w:rsidRPr="00352167">
        <w:rPr>
          <w:color w:val="000000"/>
          <w:u w:color="000000"/>
        </w:rPr>
        <w:t>Xie</w:t>
      </w:r>
      <w:proofErr w:type="spellEnd"/>
      <w:r w:rsidRPr="00352167">
        <w:rPr>
          <w:color w:val="000000"/>
          <w:u w:color="000000"/>
        </w:rPr>
        <w:t xml:space="preserve">, P., </w:t>
      </w:r>
      <w:proofErr w:type="spellStart"/>
      <w:r w:rsidRPr="00352167">
        <w:rPr>
          <w:color w:val="000000"/>
          <w:u w:color="000000"/>
        </w:rPr>
        <w:t>Janowiak</w:t>
      </w:r>
      <w:proofErr w:type="spellEnd"/>
      <w:r w:rsidRPr="00352167">
        <w:rPr>
          <w:color w:val="000000"/>
          <w:u w:color="000000"/>
        </w:rPr>
        <w:t xml:space="preserve">, J. E. &amp; Arkin, P. A. Global Land Precipitation: A 50-yr Monthly Analysis Based on Gauge Observations. </w:t>
      </w:r>
      <w:r w:rsidRPr="00352167">
        <w:rPr>
          <w:i/>
          <w:color w:val="000000"/>
          <w:u w:color="000000"/>
        </w:rPr>
        <w:t xml:space="preserve">J. of </w:t>
      </w:r>
      <w:proofErr w:type="spellStart"/>
      <w:r w:rsidRPr="00352167">
        <w:rPr>
          <w:i/>
          <w:color w:val="000000"/>
          <w:u w:color="000000"/>
        </w:rPr>
        <w:t>Hydrometeorol</w:t>
      </w:r>
      <w:proofErr w:type="spellEnd"/>
      <w:r w:rsidRPr="00352167">
        <w:rPr>
          <w:i/>
          <w:color w:val="000000"/>
          <w:u w:color="000000"/>
        </w:rPr>
        <w:t>.</w:t>
      </w:r>
      <w:r w:rsidRPr="00352167">
        <w:rPr>
          <w:color w:val="000000"/>
          <w:u w:color="000000"/>
        </w:rPr>
        <w:t xml:space="preserve"> </w:t>
      </w:r>
      <w:r w:rsidRPr="00352167">
        <w:rPr>
          <w:b/>
          <w:color w:val="000000"/>
          <w:u w:color="000000"/>
        </w:rPr>
        <w:t>3,</w:t>
      </w:r>
      <w:r w:rsidRPr="00352167">
        <w:rPr>
          <w:color w:val="000000"/>
          <w:u w:color="000000"/>
        </w:rPr>
        <w:t xml:space="preserve"> 249-266 (2002).</w:t>
      </w:r>
    </w:p>
    <w:p w14:paraId="3B48662E" w14:textId="77777777" w:rsidR="00F466EF" w:rsidRPr="00BA1D74" w:rsidRDefault="00F466EF" w:rsidP="00BA1D74">
      <w:pPr>
        <w:spacing w:line="480" w:lineRule="auto"/>
        <w:ind w:left="360"/>
        <w:rPr>
          <w:color w:val="000000"/>
          <w:u w:color="000000"/>
        </w:rPr>
      </w:pPr>
    </w:p>
    <w:p w14:paraId="5D5610DF" w14:textId="6C1EFDBE" w:rsidR="00F466EF" w:rsidRPr="00733D9A" w:rsidRDefault="00F466EF" w:rsidP="00733D9A">
      <w:pPr>
        <w:rPr>
          <w:szCs w:val="24"/>
        </w:rPr>
      </w:pPr>
    </w:p>
    <w:sectPr w:rsidR="00F466EF" w:rsidRPr="00733D9A" w:rsidSect="00A72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2BA05" w14:textId="77777777" w:rsidR="00DE1A07" w:rsidRDefault="00DE1A07" w:rsidP="00B92058">
      <w:r>
        <w:separator/>
      </w:r>
    </w:p>
  </w:endnote>
  <w:endnote w:type="continuationSeparator" w:id="0">
    <w:p w14:paraId="0CFD49DE" w14:textId="77777777" w:rsidR="00DE1A07" w:rsidRDefault="00DE1A07" w:rsidP="00B92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21407" w14:textId="77777777" w:rsidR="00DE1A07" w:rsidRDefault="00DE1A07" w:rsidP="00B92058">
      <w:r>
        <w:separator/>
      </w:r>
    </w:p>
  </w:footnote>
  <w:footnote w:type="continuationSeparator" w:id="0">
    <w:p w14:paraId="565D3234" w14:textId="77777777" w:rsidR="00DE1A07" w:rsidRDefault="00DE1A07" w:rsidP="00B92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C0A9D"/>
    <w:multiLevelType w:val="multilevel"/>
    <w:tmpl w:val="502C0142"/>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D9A"/>
    <w:rsid w:val="00040132"/>
    <w:rsid w:val="000567B4"/>
    <w:rsid w:val="00074419"/>
    <w:rsid w:val="00091A87"/>
    <w:rsid w:val="000A67DE"/>
    <w:rsid w:val="00102CDF"/>
    <w:rsid w:val="00132D19"/>
    <w:rsid w:val="00195278"/>
    <w:rsid w:val="00265C87"/>
    <w:rsid w:val="002B4F22"/>
    <w:rsid w:val="002D12FD"/>
    <w:rsid w:val="002D272B"/>
    <w:rsid w:val="002F6513"/>
    <w:rsid w:val="00382A3E"/>
    <w:rsid w:val="00383517"/>
    <w:rsid w:val="00386BE8"/>
    <w:rsid w:val="003A33FA"/>
    <w:rsid w:val="004134CD"/>
    <w:rsid w:val="0049480B"/>
    <w:rsid w:val="004C1C9D"/>
    <w:rsid w:val="004F13A6"/>
    <w:rsid w:val="00541652"/>
    <w:rsid w:val="005D075E"/>
    <w:rsid w:val="00611C61"/>
    <w:rsid w:val="00662C78"/>
    <w:rsid w:val="0070673C"/>
    <w:rsid w:val="00733D9A"/>
    <w:rsid w:val="00734706"/>
    <w:rsid w:val="00743782"/>
    <w:rsid w:val="00834F85"/>
    <w:rsid w:val="00894D5C"/>
    <w:rsid w:val="008B668C"/>
    <w:rsid w:val="008D7C77"/>
    <w:rsid w:val="00920020"/>
    <w:rsid w:val="00930317"/>
    <w:rsid w:val="00A26266"/>
    <w:rsid w:val="00A360E2"/>
    <w:rsid w:val="00A46E76"/>
    <w:rsid w:val="00A72D17"/>
    <w:rsid w:val="00A77A60"/>
    <w:rsid w:val="00A9743B"/>
    <w:rsid w:val="00B216FF"/>
    <w:rsid w:val="00B50B67"/>
    <w:rsid w:val="00B92058"/>
    <w:rsid w:val="00BA0925"/>
    <w:rsid w:val="00BA1D74"/>
    <w:rsid w:val="00BF5B0A"/>
    <w:rsid w:val="00C1355F"/>
    <w:rsid w:val="00C25C9D"/>
    <w:rsid w:val="00C85469"/>
    <w:rsid w:val="00D000A7"/>
    <w:rsid w:val="00D254C4"/>
    <w:rsid w:val="00D34FFF"/>
    <w:rsid w:val="00D47D9F"/>
    <w:rsid w:val="00DD0F4D"/>
    <w:rsid w:val="00DE1A07"/>
    <w:rsid w:val="00DF280A"/>
    <w:rsid w:val="00E43E9D"/>
    <w:rsid w:val="00E508B4"/>
    <w:rsid w:val="00E64067"/>
    <w:rsid w:val="00EA0D21"/>
    <w:rsid w:val="00EA427A"/>
    <w:rsid w:val="00F11AB2"/>
    <w:rsid w:val="00F2331D"/>
    <w:rsid w:val="00F40D5B"/>
    <w:rsid w:val="00F466EF"/>
    <w:rsid w:val="00F71C05"/>
    <w:rsid w:val="00F751AE"/>
    <w:rsid w:val="00F82051"/>
    <w:rsid w:val="00F85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C3A37F"/>
  <w14:defaultImageDpi w14:val="32767"/>
  <w15:docId w15:val="{AC01BCD4-0F7E-C142-94A4-934F2555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D9A"/>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733D9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3D9A"/>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NormalWeb">
    <w:name w:val="Normal (Web)"/>
    <w:basedOn w:val="Normal"/>
    <w:uiPriority w:val="99"/>
    <w:unhideWhenUsed/>
    <w:rsid w:val="00733D9A"/>
    <w:pPr>
      <w:spacing w:before="100" w:beforeAutospacing="1" w:after="100" w:afterAutospacing="1"/>
    </w:pPr>
    <w:rPr>
      <w:szCs w:val="24"/>
    </w:rPr>
  </w:style>
  <w:style w:type="paragraph" w:customStyle="1" w:styleId="SMHeading">
    <w:name w:val="SM Heading"/>
    <w:basedOn w:val="Heading1"/>
    <w:qFormat/>
    <w:rsid w:val="00733D9A"/>
    <w:pPr>
      <w:keepLines w:val="0"/>
      <w:spacing w:after="60"/>
    </w:pPr>
    <w:rPr>
      <w:rFonts w:ascii="Times New Roman" w:eastAsia="Times New Roman" w:hAnsi="Times New Roman" w:cs="Times New Roman"/>
      <w:b/>
      <w:bCs/>
      <w:color w:val="auto"/>
      <w:kern w:val="32"/>
      <w:sz w:val="24"/>
      <w:szCs w:val="24"/>
    </w:rPr>
  </w:style>
  <w:style w:type="character" w:customStyle="1" w:styleId="Heading1Char">
    <w:name w:val="Heading 1 Char"/>
    <w:basedOn w:val="DefaultParagraphFont"/>
    <w:link w:val="Heading1"/>
    <w:uiPriority w:val="9"/>
    <w:rsid w:val="00733D9A"/>
    <w:rPr>
      <w:rFonts w:asciiTheme="majorHAnsi" w:eastAsiaTheme="majorEastAsia" w:hAnsiTheme="majorHAnsi" w:cstheme="majorBidi"/>
      <w:color w:val="2F5496" w:themeColor="accent1" w:themeShade="BF"/>
      <w:sz w:val="32"/>
      <w:szCs w:val="32"/>
    </w:rPr>
  </w:style>
  <w:style w:type="paragraph" w:customStyle="1" w:styleId="SMcaption">
    <w:name w:val="SM caption"/>
    <w:basedOn w:val="Normal"/>
    <w:qFormat/>
    <w:rsid w:val="00733D9A"/>
  </w:style>
  <w:style w:type="paragraph" w:styleId="BalloonText">
    <w:name w:val="Balloon Text"/>
    <w:basedOn w:val="Normal"/>
    <w:link w:val="BalloonTextChar"/>
    <w:uiPriority w:val="99"/>
    <w:semiHidden/>
    <w:unhideWhenUsed/>
    <w:rsid w:val="00382A3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2A3E"/>
    <w:rPr>
      <w:rFonts w:ascii="Lucida Grande" w:eastAsia="Times New Roman" w:hAnsi="Lucida Grande" w:cs="Lucida Grande"/>
      <w:sz w:val="18"/>
      <w:szCs w:val="18"/>
    </w:rPr>
  </w:style>
  <w:style w:type="paragraph" w:styleId="ListParagraph">
    <w:name w:val="List Paragraph"/>
    <w:basedOn w:val="Normal"/>
    <w:uiPriority w:val="34"/>
    <w:qFormat/>
    <w:rsid w:val="00F466EF"/>
    <w:pPr>
      <w:ind w:left="720"/>
      <w:contextualSpacing/>
    </w:pPr>
    <w:rPr>
      <w:szCs w:val="24"/>
    </w:rPr>
  </w:style>
  <w:style w:type="character" w:styleId="Hyperlink">
    <w:name w:val="Hyperlink"/>
    <w:basedOn w:val="DefaultParagraphFont"/>
    <w:uiPriority w:val="99"/>
    <w:unhideWhenUsed/>
    <w:rsid w:val="00F466EF"/>
    <w:rPr>
      <w:color w:val="0563C1" w:themeColor="hyperlink"/>
      <w:u w:val="single"/>
    </w:rPr>
  </w:style>
  <w:style w:type="character" w:styleId="UnresolvedMention">
    <w:name w:val="Unresolved Mention"/>
    <w:basedOn w:val="DefaultParagraphFont"/>
    <w:uiPriority w:val="99"/>
    <w:semiHidden/>
    <w:unhideWhenUsed/>
    <w:rsid w:val="00F466EF"/>
    <w:rPr>
      <w:color w:val="808080"/>
      <w:shd w:val="clear" w:color="auto" w:fill="E6E6E6"/>
    </w:rPr>
  </w:style>
  <w:style w:type="character" w:styleId="FollowedHyperlink">
    <w:name w:val="FollowedHyperlink"/>
    <w:basedOn w:val="DefaultParagraphFont"/>
    <w:uiPriority w:val="99"/>
    <w:semiHidden/>
    <w:unhideWhenUsed/>
    <w:rsid w:val="00BA1D74"/>
    <w:rPr>
      <w:color w:val="954F72" w:themeColor="followedHyperlink"/>
      <w:u w:val="single"/>
    </w:rPr>
  </w:style>
  <w:style w:type="paragraph" w:styleId="Header">
    <w:name w:val="header"/>
    <w:basedOn w:val="Normal"/>
    <w:link w:val="HeaderChar"/>
    <w:uiPriority w:val="99"/>
    <w:unhideWhenUsed/>
    <w:rsid w:val="00B92058"/>
    <w:pPr>
      <w:tabs>
        <w:tab w:val="center" w:pos="4680"/>
        <w:tab w:val="right" w:pos="9360"/>
      </w:tabs>
    </w:pPr>
  </w:style>
  <w:style w:type="character" w:customStyle="1" w:styleId="HeaderChar">
    <w:name w:val="Header Char"/>
    <w:basedOn w:val="DefaultParagraphFont"/>
    <w:link w:val="Header"/>
    <w:uiPriority w:val="99"/>
    <w:rsid w:val="00B92058"/>
    <w:rPr>
      <w:rFonts w:ascii="Times New Roman" w:eastAsia="Times New Roman" w:hAnsi="Times New Roman" w:cs="Times New Roman"/>
      <w:szCs w:val="20"/>
    </w:rPr>
  </w:style>
  <w:style w:type="paragraph" w:styleId="Footer">
    <w:name w:val="footer"/>
    <w:basedOn w:val="Normal"/>
    <w:link w:val="FooterChar"/>
    <w:uiPriority w:val="99"/>
    <w:unhideWhenUsed/>
    <w:rsid w:val="00B92058"/>
    <w:pPr>
      <w:tabs>
        <w:tab w:val="center" w:pos="4680"/>
        <w:tab w:val="right" w:pos="9360"/>
      </w:tabs>
    </w:pPr>
  </w:style>
  <w:style w:type="character" w:customStyle="1" w:styleId="FooterChar">
    <w:name w:val="Footer Char"/>
    <w:basedOn w:val="DefaultParagraphFont"/>
    <w:link w:val="Footer"/>
    <w:uiPriority w:val="99"/>
    <w:rsid w:val="00B92058"/>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1502225">
      <w:bodyDiv w:val="1"/>
      <w:marLeft w:val="0"/>
      <w:marRight w:val="0"/>
      <w:marTop w:val="0"/>
      <w:marBottom w:val="0"/>
      <w:divBdr>
        <w:top w:val="none" w:sz="0" w:space="0" w:color="auto"/>
        <w:left w:val="none" w:sz="0" w:space="0" w:color="auto"/>
        <w:bottom w:val="none" w:sz="0" w:space="0" w:color="auto"/>
        <w:right w:val="none" w:sz="0" w:space="0" w:color="auto"/>
      </w:divBdr>
      <w:divsChild>
        <w:div w:id="2082287389">
          <w:marLeft w:val="0"/>
          <w:marRight w:val="0"/>
          <w:marTop w:val="0"/>
          <w:marBottom w:val="0"/>
          <w:divBdr>
            <w:top w:val="none" w:sz="0" w:space="0" w:color="auto"/>
            <w:left w:val="none" w:sz="0" w:space="0" w:color="auto"/>
            <w:bottom w:val="none" w:sz="0" w:space="0" w:color="auto"/>
            <w:right w:val="none" w:sz="0" w:space="0" w:color="auto"/>
          </w:divBdr>
          <w:divsChild>
            <w:div w:id="663702483">
              <w:marLeft w:val="0"/>
              <w:marRight w:val="0"/>
              <w:marTop w:val="0"/>
              <w:marBottom w:val="0"/>
              <w:divBdr>
                <w:top w:val="none" w:sz="0" w:space="0" w:color="auto"/>
                <w:left w:val="none" w:sz="0" w:space="0" w:color="auto"/>
                <w:bottom w:val="none" w:sz="0" w:space="0" w:color="auto"/>
                <w:right w:val="none" w:sz="0" w:space="0" w:color="auto"/>
              </w:divBdr>
              <w:divsChild>
                <w:div w:id="56958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Lausier</dc:creator>
  <cp:keywords/>
  <dc:description/>
  <cp:lastModifiedBy>Anne Lausier</cp:lastModifiedBy>
  <cp:revision>3</cp:revision>
  <dcterms:created xsi:type="dcterms:W3CDTF">2018-10-17T20:13:00Z</dcterms:created>
  <dcterms:modified xsi:type="dcterms:W3CDTF">2018-10-18T18:41:00Z</dcterms:modified>
</cp:coreProperties>
</file>