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00F" w:rsidRPr="00CD2CDD" w:rsidRDefault="0008500F" w:rsidP="00CD2CDD">
      <w:pPr>
        <w:pStyle w:val="Tableofcontents"/>
      </w:pPr>
    </w:p>
    <w:p w:rsidR="00294D2A" w:rsidRDefault="00294D2A" w:rsidP="00294D2A">
      <w:pPr>
        <w:pStyle w:val="Title2"/>
        <w:rPr>
          <w:b w:val="0"/>
          <w:color w:val="000000"/>
          <w:sz w:val="32"/>
          <w:szCs w:val="32"/>
        </w:rPr>
      </w:pPr>
      <w:r>
        <w:rPr>
          <w:b w:val="0"/>
          <w:color w:val="000000"/>
          <w:sz w:val="32"/>
          <w:szCs w:val="32"/>
        </w:rPr>
        <w:t xml:space="preserve">Supporting Information </w:t>
      </w:r>
    </w:p>
    <w:p w:rsidR="00294D2A" w:rsidRDefault="00294D2A" w:rsidP="00294D2A">
      <w:pPr>
        <w:pStyle w:val="Tableofcontents"/>
      </w:pPr>
    </w:p>
    <w:p w:rsidR="00294D2A" w:rsidRDefault="00294D2A" w:rsidP="00294D2A">
      <w:pPr>
        <w:pStyle w:val="Tableofcontents"/>
      </w:pPr>
    </w:p>
    <w:p w:rsidR="00857668" w:rsidRDefault="00857668" w:rsidP="00857668">
      <w:pPr>
        <w:spacing w:after="0" w:line="480" w:lineRule="auto"/>
        <w:jc w:val="left"/>
        <w:rPr>
          <w:rFonts w:ascii="Times New Roman" w:hAnsi="Times New Roman" w:cs="Times New Roman"/>
          <w:b/>
          <w:sz w:val="29"/>
          <w:szCs w:val="29"/>
        </w:rPr>
      </w:pPr>
      <w:r>
        <w:rPr>
          <w:rFonts w:ascii="Times New Roman" w:hAnsi="Times New Roman" w:cs="Times New Roman"/>
          <w:b/>
          <w:sz w:val="29"/>
          <w:szCs w:val="29"/>
        </w:rPr>
        <w:t>Self-Transforming Configuration Based on Atmospheric-Adaptive Materials for Solid Oxide Cells</w:t>
      </w:r>
    </w:p>
    <w:p w:rsidR="00E2029E" w:rsidRPr="00857668" w:rsidRDefault="00E2029E" w:rsidP="00294D2A">
      <w:pPr>
        <w:pStyle w:val="Title2"/>
        <w:rPr>
          <w:b w:val="0"/>
          <w:color w:val="FF0000"/>
        </w:rPr>
      </w:pPr>
    </w:p>
    <w:p w:rsidR="00294D2A" w:rsidRDefault="00294D2A" w:rsidP="00294D2A">
      <w:pPr>
        <w:pStyle w:val="AuthorsFull"/>
      </w:pPr>
      <w:r w:rsidRPr="00294D2A">
        <w:t xml:space="preserve">Seona Kim, </w:t>
      </w:r>
      <w:proofErr w:type="spellStart"/>
      <w:r w:rsidR="00E2029E">
        <w:t>Seungtae</w:t>
      </w:r>
      <w:proofErr w:type="spellEnd"/>
      <w:r w:rsidR="00FF66E9">
        <w:t xml:space="preserve"> L</w:t>
      </w:r>
      <w:r w:rsidR="00E2029E">
        <w:t xml:space="preserve">ee, </w:t>
      </w:r>
      <w:proofErr w:type="spellStart"/>
      <w:r w:rsidR="00E2029E">
        <w:t>Junyoung</w:t>
      </w:r>
      <w:proofErr w:type="spellEnd"/>
      <w:r w:rsidR="00E2029E">
        <w:t xml:space="preserve"> Kim</w:t>
      </w:r>
      <w:r w:rsidRPr="00294D2A">
        <w:t xml:space="preserve">, </w:t>
      </w:r>
      <w:proofErr w:type="spellStart"/>
      <w:r w:rsidRPr="00294D2A">
        <w:t>Jeeyoung</w:t>
      </w:r>
      <w:proofErr w:type="spellEnd"/>
      <w:r w:rsidRPr="00294D2A">
        <w:t xml:space="preserve"> Shin*, and Guntae Kim* </w:t>
      </w:r>
      <w:r>
        <w:t xml:space="preserve"> </w:t>
      </w:r>
    </w:p>
    <w:p w:rsidR="00A93248" w:rsidRDefault="00A93248" w:rsidP="00A93248">
      <w:pPr>
        <w:spacing w:line="480" w:lineRule="auto"/>
        <w:jc w:val="center"/>
        <w:rPr>
          <w:rFonts w:ascii="Times New Roman" w:hAnsi="Times New Roman" w:cs="Times New Roman"/>
          <w:sz w:val="24"/>
          <w:szCs w:val="20"/>
        </w:rPr>
      </w:pPr>
    </w:p>
    <w:p w:rsidR="00952C57" w:rsidRDefault="00952C57" w:rsidP="00952C57">
      <w:pPr>
        <w:spacing w:line="480" w:lineRule="auto"/>
        <w:jc w:val="center"/>
        <w:rPr>
          <w:rFonts w:ascii="Times New Roman" w:hAnsi="Times New Roman" w:cs="Times New Roman"/>
          <w:b/>
          <w:sz w:val="24"/>
          <w:szCs w:val="20"/>
        </w:rPr>
      </w:pPr>
    </w:p>
    <w:p w:rsidR="00F36A12" w:rsidRDefault="00F36A12" w:rsidP="00952C57">
      <w:pPr>
        <w:spacing w:line="480" w:lineRule="auto"/>
        <w:jc w:val="center"/>
        <w:rPr>
          <w:rFonts w:ascii="Times New Roman" w:hAnsi="Times New Roman" w:cs="Times New Roman"/>
          <w:b/>
          <w:sz w:val="24"/>
          <w:szCs w:val="20"/>
        </w:rPr>
      </w:pPr>
    </w:p>
    <w:p w:rsidR="00C12B2B" w:rsidRDefault="00C12B2B" w:rsidP="00A93248">
      <w:pPr>
        <w:spacing w:line="480" w:lineRule="auto"/>
        <w:rPr>
          <w:rFonts w:ascii="Times New Roman" w:hAnsi="Times New Roman" w:cs="Times New Roman"/>
          <w:sz w:val="24"/>
          <w:szCs w:val="20"/>
        </w:rPr>
      </w:pPr>
    </w:p>
    <w:p w:rsidR="00C12B2B" w:rsidRPr="00A15CD9" w:rsidRDefault="00C12B2B" w:rsidP="00A93248">
      <w:pPr>
        <w:spacing w:line="480" w:lineRule="auto"/>
        <w:rPr>
          <w:rFonts w:ascii="Times New Roman" w:hAnsi="Times New Roman" w:cs="Times New Roman"/>
          <w:sz w:val="24"/>
          <w:szCs w:val="20"/>
        </w:rPr>
      </w:pPr>
    </w:p>
    <w:p w:rsidR="00FE2BED" w:rsidRDefault="000C7FBA" w:rsidP="00E73D95">
      <w:pPr>
        <w:spacing w:line="480" w:lineRule="auto"/>
        <w:rPr>
          <w:rFonts w:ascii="Times New Roman" w:hAnsi="Times New Roman" w:cs="Times New Roman"/>
          <w:sz w:val="24"/>
          <w:szCs w:val="24"/>
        </w:rPr>
      </w:pPr>
      <w:bookmarkStart w:id="0" w:name="OLE_LINK7"/>
      <w:r>
        <w:rPr>
          <w:rFonts w:ascii="Times New Roman" w:hAnsi="Times New Roman" w:cs="Times New Roman"/>
          <w:sz w:val="24"/>
          <w:szCs w:val="20"/>
        </w:rPr>
        <w:t>.</w:t>
      </w:r>
    </w:p>
    <w:bookmarkEnd w:id="0"/>
    <w:p w:rsidR="00FE2BED" w:rsidRDefault="00FE2BED" w:rsidP="00E73D95">
      <w:pPr>
        <w:spacing w:line="480" w:lineRule="auto"/>
        <w:jc w:val="center"/>
        <w:rPr>
          <w:rFonts w:ascii="Times New Roman" w:hAnsi="Times New Roman" w:cs="Times New Roman"/>
          <w:sz w:val="24"/>
          <w:szCs w:val="24"/>
        </w:rPr>
      </w:pPr>
    </w:p>
    <w:p w:rsidR="00FE2BED" w:rsidRDefault="00036E4C" w:rsidP="00E73D95">
      <w:pPr>
        <w:spacing w:line="480" w:lineRule="auto"/>
        <w:jc w:val="center"/>
        <w:rPr>
          <w:rFonts w:ascii="Times New Roman" w:hAnsi="Times New Roman" w:cs="Times New Roman"/>
          <w:sz w:val="24"/>
          <w:szCs w:val="24"/>
        </w:rPr>
      </w:pPr>
      <w:r>
        <w:rPr>
          <w:noProof/>
        </w:rPr>
        <w:lastRenderedPageBreak/>
        <w:drawing>
          <wp:inline distT="0" distB="0" distL="0" distR="0">
            <wp:extent cx="3124862" cy="4686467"/>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4034" cy="4700222"/>
                    </a:xfrm>
                    <a:prstGeom prst="rect">
                      <a:avLst/>
                    </a:prstGeom>
                    <a:noFill/>
                    <a:ln>
                      <a:noFill/>
                    </a:ln>
                  </pic:spPr>
                </pic:pic>
              </a:graphicData>
            </a:graphic>
          </wp:inline>
        </w:drawing>
      </w:r>
    </w:p>
    <w:p w:rsidR="003009A4" w:rsidRDefault="003009A4" w:rsidP="00E73D95">
      <w:pPr>
        <w:spacing w:line="480" w:lineRule="auto"/>
        <w:rPr>
          <w:rFonts w:ascii="Times New Roman" w:hAnsi="Times New Roman" w:cs="Times New Roman"/>
          <w:sz w:val="24"/>
          <w:szCs w:val="24"/>
        </w:rPr>
      </w:pPr>
      <w:bookmarkStart w:id="1" w:name="OLE_LINK11"/>
      <w:r w:rsidRPr="009B003C">
        <w:rPr>
          <w:rFonts w:ascii="Times New Roman" w:hAnsi="Times New Roman" w:cs="Times New Roman"/>
          <w:b/>
          <w:sz w:val="24"/>
          <w:szCs w:val="24"/>
        </w:rPr>
        <w:t>Figure S</w:t>
      </w:r>
      <w:r w:rsidR="00A6765B">
        <w:rPr>
          <w:rFonts w:ascii="Times New Roman" w:hAnsi="Times New Roman" w:cs="Times New Roman"/>
          <w:b/>
          <w:sz w:val="24"/>
          <w:szCs w:val="24"/>
        </w:rPr>
        <w:t>1</w:t>
      </w:r>
      <w:r w:rsidRPr="009B003C">
        <w:rPr>
          <w:rFonts w:ascii="Times New Roman" w:hAnsi="Times New Roman" w:cs="Times New Roman"/>
          <w:b/>
          <w:sz w:val="24"/>
          <w:szCs w:val="24"/>
        </w:rPr>
        <w:t>.</w:t>
      </w:r>
      <w:r w:rsidRPr="00E214DF">
        <w:rPr>
          <w:rFonts w:ascii="Times New Roman" w:hAnsi="Times New Roman" w:cs="Times New Roman"/>
          <w:sz w:val="24"/>
          <w:szCs w:val="24"/>
        </w:rPr>
        <w:t xml:space="preserve"> X</w:t>
      </w:r>
      <w:r w:rsidR="00A94C82">
        <w:rPr>
          <w:rFonts w:ascii="Times New Roman" w:hAnsi="Times New Roman" w:cs="Times New Roman"/>
          <w:sz w:val="24"/>
          <w:szCs w:val="24"/>
        </w:rPr>
        <w:t xml:space="preserve">PS </w:t>
      </w:r>
      <w:r w:rsidR="00F13690">
        <w:rPr>
          <w:rFonts w:ascii="Times New Roman" w:hAnsi="Times New Roman" w:cs="Times New Roman"/>
          <w:sz w:val="24"/>
          <w:szCs w:val="24"/>
        </w:rPr>
        <w:t>spectra</w:t>
      </w:r>
      <w:r w:rsidR="00A94C82">
        <w:rPr>
          <w:rFonts w:ascii="Times New Roman" w:hAnsi="Times New Roman" w:cs="Times New Roman"/>
          <w:sz w:val="24"/>
          <w:szCs w:val="24"/>
        </w:rPr>
        <w:t xml:space="preserve"> of the Ba 3d peaks for </w:t>
      </w:r>
      <w:r w:rsidR="00036E4C">
        <w:rPr>
          <w:rFonts w:ascii="Times New Roman" w:hAnsi="Times New Roman" w:cs="Times New Roman"/>
          <w:sz w:val="24"/>
          <w:szCs w:val="24"/>
        </w:rPr>
        <w:t>(a) Pr</w:t>
      </w:r>
      <w:r w:rsidR="00036E4C" w:rsidRPr="00036E4C">
        <w:rPr>
          <w:rFonts w:ascii="Times New Roman" w:hAnsi="Times New Roman" w:cs="Times New Roman"/>
          <w:sz w:val="24"/>
          <w:szCs w:val="24"/>
          <w:vertAlign w:val="subscript"/>
        </w:rPr>
        <w:t>0.5</w:t>
      </w:r>
      <w:r w:rsidR="00036E4C">
        <w:rPr>
          <w:rFonts w:ascii="Times New Roman" w:hAnsi="Times New Roman" w:cs="Times New Roman"/>
          <w:sz w:val="24"/>
          <w:szCs w:val="24"/>
        </w:rPr>
        <w:t>Ba</w:t>
      </w:r>
      <w:r w:rsidR="00036E4C" w:rsidRPr="00036E4C">
        <w:rPr>
          <w:rFonts w:ascii="Times New Roman" w:hAnsi="Times New Roman" w:cs="Times New Roman"/>
          <w:sz w:val="24"/>
          <w:szCs w:val="24"/>
          <w:vertAlign w:val="subscript"/>
        </w:rPr>
        <w:t>0.</w:t>
      </w:r>
      <w:r w:rsidR="003C36A9">
        <w:rPr>
          <w:rFonts w:ascii="Times New Roman" w:hAnsi="Times New Roman" w:cs="Times New Roman"/>
          <w:sz w:val="24"/>
          <w:szCs w:val="24"/>
          <w:vertAlign w:val="subscript"/>
        </w:rPr>
        <w:t>5</w:t>
      </w:r>
      <w:r w:rsidR="00036E4C">
        <w:rPr>
          <w:rFonts w:ascii="Times New Roman" w:hAnsi="Times New Roman" w:cs="Times New Roman"/>
          <w:sz w:val="24"/>
          <w:szCs w:val="24"/>
        </w:rPr>
        <w:t>MnO</w:t>
      </w:r>
      <w:r w:rsidR="00036E4C" w:rsidRPr="00036E4C">
        <w:rPr>
          <w:rFonts w:ascii="Times New Roman" w:hAnsi="Times New Roman" w:cs="Times New Roman"/>
          <w:sz w:val="24"/>
          <w:szCs w:val="24"/>
          <w:vertAlign w:val="subscript"/>
        </w:rPr>
        <w:t>3</w:t>
      </w:r>
      <w:r w:rsidR="00036E4C">
        <w:rPr>
          <w:rFonts w:ascii="Times New Roman" w:hAnsi="Times New Roman" w:cs="Times New Roman"/>
          <w:sz w:val="24"/>
          <w:szCs w:val="24"/>
        </w:rPr>
        <w:t>(before reduction) (b) PrBaMn</w:t>
      </w:r>
      <w:r w:rsidR="00036E4C" w:rsidRPr="00036E4C">
        <w:rPr>
          <w:rFonts w:ascii="Times New Roman" w:hAnsi="Times New Roman" w:cs="Times New Roman"/>
          <w:sz w:val="24"/>
          <w:szCs w:val="24"/>
          <w:vertAlign w:val="subscript"/>
        </w:rPr>
        <w:t>2</w:t>
      </w:r>
      <w:r w:rsidR="00036E4C">
        <w:rPr>
          <w:rFonts w:ascii="Times New Roman" w:hAnsi="Times New Roman" w:cs="Times New Roman"/>
          <w:sz w:val="24"/>
          <w:szCs w:val="24"/>
        </w:rPr>
        <w:t>O</w:t>
      </w:r>
      <w:r w:rsidR="00036E4C" w:rsidRPr="00036E4C">
        <w:rPr>
          <w:rFonts w:ascii="Times New Roman" w:hAnsi="Times New Roman" w:cs="Times New Roman"/>
          <w:sz w:val="24"/>
          <w:szCs w:val="24"/>
          <w:vertAlign w:val="subscript"/>
        </w:rPr>
        <w:t>5</w:t>
      </w:r>
      <w:r w:rsidR="00036E4C">
        <w:rPr>
          <w:rFonts w:ascii="Times New Roman" w:hAnsi="Times New Roman" w:cs="Times New Roman"/>
          <w:sz w:val="24"/>
          <w:szCs w:val="24"/>
        </w:rPr>
        <w:t xml:space="preserve"> (after reduction).  </w:t>
      </w:r>
    </w:p>
    <w:bookmarkEnd w:id="1"/>
    <w:p w:rsidR="00171753" w:rsidRPr="00E214DF" w:rsidRDefault="00171753" w:rsidP="00E73D95">
      <w:pPr>
        <w:spacing w:line="480" w:lineRule="auto"/>
        <w:rPr>
          <w:rFonts w:ascii="Times New Roman" w:hAnsi="Times New Roman" w:cs="Times New Roman"/>
          <w:sz w:val="24"/>
          <w:szCs w:val="24"/>
        </w:rPr>
      </w:pPr>
    </w:p>
    <w:p w:rsidR="003009A4" w:rsidRDefault="003009A4"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F14228" w:rsidRDefault="00F14228" w:rsidP="00F14228">
      <w:pPr>
        <w:spacing w:line="480" w:lineRule="auto"/>
        <w:jc w:val="center"/>
        <w:rPr>
          <w:rFonts w:ascii="Times New Roman" w:hAnsi="Times New Roman" w:cs="Times New Roman"/>
          <w:sz w:val="24"/>
          <w:szCs w:val="24"/>
        </w:rPr>
      </w:pPr>
      <w:r>
        <w:rPr>
          <w:noProof/>
        </w:rPr>
        <w:lastRenderedPageBreak/>
        <w:drawing>
          <wp:inline distT="0" distB="0" distL="0" distR="0" wp14:anchorId="0C44F035" wp14:editId="4BBFEAD5">
            <wp:extent cx="5706962" cy="2327563"/>
            <wp:effectExtent l="0" t="0" r="825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5138" cy="2334976"/>
                    </a:xfrm>
                    <a:prstGeom prst="rect">
                      <a:avLst/>
                    </a:prstGeom>
                    <a:noFill/>
                    <a:ln>
                      <a:noFill/>
                    </a:ln>
                  </pic:spPr>
                </pic:pic>
              </a:graphicData>
            </a:graphic>
          </wp:inline>
        </w:drawing>
      </w:r>
    </w:p>
    <w:p w:rsidR="00F14228" w:rsidRDefault="00F14228" w:rsidP="00F14228">
      <w:pPr>
        <w:spacing w:line="480" w:lineRule="auto"/>
        <w:rPr>
          <w:rFonts w:ascii="Times New Roman" w:hAnsi="Times New Roman" w:cs="Times New Roman"/>
          <w:sz w:val="24"/>
          <w:szCs w:val="24"/>
        </w:rPr>
      </w:pPr>
      <w:r w:rsidRPr="009B003C">
        <w:rPr>
          <w:rFonts w:ascii="Times New Roman" w:hAnsi="Times New Roman" w:cs="Times New Roman"/>
          <w:b/>
          <w:sz w:val="24"/>
          <w:szCs w:val="24"/>
        </w:rPr>
        <w:t>Figure S</w:t>
      </w:r>
      <w:r w:rsidR="003F16EF">
        <w:rPr>
          <w:rFonts w:ascii="Times New Roman" w:hAnsi="Times New Roman" w:cs="Times New Roman"/>
          <w:b/>
          <w:sz w:val="24"/>
          <w:szCs w:val="24"/>
        </w:rPr>
        <w:t>2</w:t>
      </w:r>
      <w:r w:rsidRPr="009B003C">
        <w:rPr>
          <w:rFonts w:ascii="Times New Roman" w:hAnsi="Times New Roman" w:cs="Times New Roman"/>
          <w:b/>
          <w:sz w:val="24"/>
          <w:szCs w:val="24"/>
        </w:rPr>
        <w:t>.</w:t>
      </w:r>
      <w:r w:rsidRPr="00E214DF">
        <w:rPr>
          <w:rFonts w:ascii="Times New Roman" w:hAnsi="Times New Roman" w:cs="Times New Roman"/>
          <w:sz w:val="24"/>
          <w:szCs w:val="24"/>
        </w:rPr>
        <w:t xml:space="preserve"> X</w:t>
      </w:r>
      <w:r>
        <w:rPr>
          <w:rFonts w:ascii="Times New Roman" w:hAnsi="Times New Roman" w:cs="Times New Roman"/>
          <w:sz w:val="24"/>
          <w:szCs w:val="24"/>
        </w:rPr>
        <w:t xml:space="preserve">PS spectra of the </w:t>
      </w:r>
      <w:r w:rsidR="00BF5E1D">
        <w:rPr>
          <w:rFonts w:ascii="Times New Roman" w:hAnsi="Times New Roman" w:cs="Times New Roman"/>
          <w:sz w:val="24"/>
          <w:szCs w:val="24"/>
        </w:rPr>
        <w:t>Mn</w:t>
      </w:r>
      <w:r>
        <w:rPr>
          <w:rFonts w:ascii="Times New Roman" w:hAnsi="Times New Roman" w:cs="Times New Roman"/>
          <w:sz w:val="24"/>
          <w:szCs w:val="24"/>
        </w:rPr>
        <w:t xml:space="preserve"> </w:t>
      </w:r>
      <w:r w:rsidR="00BF5E1D">
        <w:rPr>
          <w:rFonts w:ascii="Times New Roman" w:hAnsi="Times New Roman" w:cs="Times New Roman"/>
          <w:sz w:val="24"/>
          <w:szCs w:val="24"/>
        </w:rPr>
        <w:t>2p</w:t>
      </w:r>
      <w:r w:rsidR="00BF5E1D" w:rsidRPr="00BF5E1D">
        <w:rPr>
          <w:rFonts w:ascii="Times New Roman" w:hAnsi="Times New Roman" w:cs="Times New Roman"/>
          <w:sz w:val="24"/>
          <w:szCs w:val="24"/>
          <w:vertAlign w:val="subscript"/>
        </w:rPr>
        <w:t>3/2</w:t>
      </w:r>
      <w:r>
        <w:rPr>
          <w:rFonts w:ascii="Times New Roman" w:hAnsi="Times New Roman" w:cs="Times New Roman"/>
          <w:sz w:val="24"/>
          <w:szCs w:val="24"/>
        </w:rPr>
        <w:t xml:space="preserve"> peaks for (a) Pr</w:t>
      </w:r>
      <w:r w:rsidRPr="00036E4C">
        <w:rPr>
          <w:rFonts w:ascii="Times New Roman" w:hAnsi="Times New Roman" w:cs="Times New Roman"/>
          <w:sz w:val="24"/>
          <w:szCs w:val="24"/>
          <w:vertAlign w:val="subscript"/>
        </w:rPr>
        <w:t>0.5</w:t>
      </w:r>
      <w:r>
        <w:rPr>
          <w:rFonts w:ascii="Times New Roman" w:hAnsi="Times New Roman" w:cs="Times New Roman"/>
          <w:sz w:val="24"/>
          <w:szCs w:val="24"/>
        </w:rPr>
        <w:t>Ba</w:t>
      </w:r>
      <w:r w:rsidRPr="00036E4C">
        <w:rPr>
          <w:rFonts w:ascii="Times New Roman" w:hAnsi="Times New Roman" w:cs="Times New Roman"/>
          <w:sz w:val="24"/>
          <w:szCs w:val="24"/>
          <w:vertAlign w:val="subscript"/>
        </w:rPr>
        <w:t>0.</w:t>
      </w:r>
      <w:r w:rsidR="006E3046">
        <w:rPr>
          <w:rFonts w:ascii="Times New Roman" w:hAnsi="Times New Roman" w:cs="Times New Roman"/>
          <w:sz w:val="24"/>
          <w:szCs w:val="24"/>
          <w:vertAlign w:val="subscript"/>
        </w:rPr>
        <w:t>5</w:t>
      </w:r>
      <w:r>
        <w:rPr>
          <w:rFonts w:ascii="Times New Roman" w:hAnsi="Times New Roman" w:cs="Times New Roman"/>
          <w:sz w:val="24"/>
          <w:szCs w:val="24"/>
        </w:rPr>
        <w:t>Mn</w:t>
      </w:r>
      <w:r w:rsidR="006E3046" w:rsidRPr="006E3046">
        <w:rPr>
          <w:rFonts w:ascii="Times New Roman" w:hAnsi="Times New Roman" w:cs="Times New Roman"/>
          <w:sz w:val="24"/>
          <w:szCs w:val="24"/>
          <w:vertAlign w:val="subscript"/>
        </w:rPr>
        <w:t>0.</w:t>
      </w:r>
      <w:r w:rsidR="006E3046">
        <w:rPr>
          <w:rFonts w:ascii="Times New Roman" w:hAnsi="Times New Roman" w:cs="Times New Roman"/>
          <w:sz w:val="24"/>
          <w:szCs w:val="24"/>
          <w:vertAlign w:val="subscript"/>
        </w:rPr>
        <w:t>85</w:t>
      </w:r>
      <w:r w:rsidR="006E3046">
        <w:rPr>
          <w:rFonts w:ascii="Times New Roman" w:hAnsi="Times New Roman" w:cs="Times New Roman"/>
          <w:sz w:val="24"/>
          <w:szCs w:val="24"/>
        </w:rPr>
        <w:t>Co</w:t>
      </w:r>
      <w:r w:rsidR="006E3046" w:rsidRPr="006E3046">
        <w:rPr>
          <w:rFonts w:ascii="Times New Roman" w:hAnsi="Times New Roman" w:cs="Times New Roman"/>
          <w:sz w:val="24"/>
          <w:szCs w:val="24"/>
          <w:vertAlign w:val="subscript"/>
        </w:rPr>
        <w:t>0.</w:t>
      </w:r>
      <w:r w:rsidR="006E3046">
        <w:rPr>
          <w:rFonts w:ascii="Times New Roman" w:hAnsi="Times New Roman" w:cs="Times New Roman"/>
          <w:sz w:val="24"/>
          <w:szCs w:val="24"/>
          <w:vertAlign w:val="subscript"/>
        </w:rPr>
        <w:t>15</w:t>
      </w:r>
      <w:r>
        <w:rPr>
          <w:rFonts w:ascii="Times New Roman" w:hAnsi="Times New Roman" w:cs="Times New Roman"/>
          <w:sz w:val="24"/>
          <w:szCs w:val="24"/>
        </w:rPr>
        <w:t>O</w:t>
      </w:r>
      <w:r w:rsidRPr="00036E4C">
        <w:rPr>
          <w:rFonts w:ascii="Times New Roman" w:hAnsi="Times New Roman" w:cs="Times New Roman"/>
          <w:sz w:val="24"/>
          <w:szCs w:val="24"/>
          <w:vertAlign w:val="subscript"/>
        </w:rPr>
        <w:t>3</w:t>
      </w:r>
      <w:r>
        <w:rPr>
          <w:rFonts w:ascii="Times New Roman" w:hAnsi="Times New Roman" w:cs="Times New Roman"/>
          <w:sz w:val="24"/>
          <w:szCs w:val="24"/>
        </w:rPr>
        <w:t>(before reduction) (b) PrBaMn</w:t>
      </w:r>
      <w:r w:rsidR="006E3046">
        <w:rPr>
          <w:rFonts w:ascii="Times New Roman" w:hAnsi="Times New Roman" w:cs="Times New Roman"/>
          <w:sz w:val="24"/>
          <w:szCs w:val="24"/>
          <w:vertAlign w:val="subscript"/>
        </w:rPr>
        <w:t>1.7</w:t>
      </w:r>
      <w:r w:rsidR="006E3046" w:rsidRPr="006E3046">
        <w:rPr>
          <w:rFonts w:ascii="Times New Roman" w:hAnsi="Times New Roman" w:cs="Times New Roman"/>
          <w:sz w:val="24"/>
          <w:szCs w:val="24"/>
        </w:rPr>
        <w:t>Ba</w:t>
      </w:r>
      <w:r w:rsidR="006E3046">
        <w:rPr>
          <w:rFonts w:ascii="Times New Roman" w:hAnsi="Times New Roman" w:cs="Times New Roman"/>
          <w:sz w:val="24"/>
          <w:szCs w:val="24"/>
          <w:vertAlign w:val="subscript"/>
        </w:rPr>
        <w:t>0.3</w:t>
      </w:r>
      <w:r>
        <w:rPr>
          <w:rFonts w:ascii="Times New Roman" w:hAnsi="Times New Roman" w:cs="Times New Roman"/>
          <w:sz w:val="24"/>
          <w:szCs w:val="24"/>
        </w:rPr>
        <w:t>O</w:t>
      </w:r>
      <w:r w:rsidRPr="00036E4C">
        <w:rPr>
          <w:rFonts w:ascii="Times New Roman" w:hAnsi="Times New Roman" w:cs="Times New Roman"/>
          <w:sz w:val="24"/>
          <w:szCs w:val="24"/>
          <w:vertAlign w:val="subscript"/>
        </w:rPr>
        <w:t>5</w:t>
      </w:r>
      <w:r>
        <w:rPr>
          <w:rFonts w:ascii="Times New Roman" w:hAnsi="Times New Roman" w:cs="Times New Roman"/>
          <w:sz w:val="24"/>
          <w:szCs w:val="24"/>
        </w:rPr>
        <w:t xml:space="preserve"> (after reduction).  </w:t>
      </w:r>
    </w:p>
    <w:p w:rsidR="00F14228" w:rsidRDefault="00F14228"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F14228" w:rsidRDefault="00F14228" w:rsidP="00E73D95">
      <w:pPr>
        <w:spacing w:line="480" w:lineRule="auto"/>
        <w:rPr>
          <w:rFonts w:ascii="Times New Roman" w:hAnsi="Times New Roman" w:cs="Times New Roman"/>
          <w:sz w:val="24"/>
          <w:szCs w:val="24"/>
        </w:rPr>
      </w:pPr>
    </w:p>
    <w:p w:rsidR="003F16EF" w:rsidRDefault="003F16EF" w:rsidP="00E73D95">
      <w:pPr>
        <w:spacing w:line="480" w:lineRule="auto"/>
        <w:rPr>
          <w:rFonts w:ascii="Times New Roman" w:hAnsi="Times New Roman" w:cs="Times New Roman"/>
          <w:sz w:val="24"/>
          <w:szCs w:val="24"/>
        </w:rPr>
      </w:pPr>
    </w:p>
    <w:p w:rsidR="003F16EF" w:rsidRDefault="003F16EF" w:rsidP="00E73D95">
      <w:pPr>
        <w:spacing w:line="480" w:lineRule="auto"/>
        <w:rPr>
          <w:rFonts w:ascii="Times New Roman" w:hAnsi="Times New Roman" w:cs="Times New Roman"/>
          <w:sz w:val="24"/>
          <w:szCs w:val="24"/>
        </w:rPr>
      </w:pPr>
    </w:p>
    <w:p w:rsidR="003F16EF" w:rsidRDefault="003F16EF" w:rsidP="00E73D95">
      <w:pPr>
        <w:spacing w:line="480" w:lineRule="auto"/>
        <w:rPr>
          <w:rFonts w:ascii="Times New Roman" w:hAnsi="Times New Roman" w:cs="Times New Roman"/>
          <w:sz w:val="24"/>
          <w:szCs w:val="24"/>
        </w:rPr>
      </w:pPr>
    </w:p>
    <w:p w:rsidR="003F16EF" w:rsidRDefault="003F16EF" w:rsidP="00E73D95">
      <w:pPr>
        <w:spacing w:line="480" w:lineRule="auto"/>
        <w:rPr>
          <w:rFonts w:ascii="Times New Roman" w:hAnsi="Times New Roman" w:cs="Times New Roman"/>
          <w:sz w:val="24"/>
          <w:szCs w:val="24"/>
        </w:rPr>
      </w:pPr>
    </w:p>
    <w:p w:rsidR="003F16EF" w:rsidRDefault="003F16EF" w:rsidP="00E73D95">
      <w:pPr>
        <w:spacing w:line="480" w:lineRule="auto"/>
        <w:rPr>
          <w:rFonts w:ascii="Times New Roman" w:hAnsi="Times New Roman" w:cs="Times New Roman"/>
          <w:sz w:val="24"/>
          <w:szCs w:val="24"/>
        </w:rPr>
      </w:pPr>
    </w:p>
    <w:p w:rsidR="003F16EF" w:rsidRDefault="003F16EF" w:rsidP="00E73D95">
      <w:pPr>
        <w:spacing w:line="480" w:lineRule="auto"/>
        <w:rPr>
          <w:rFonts w:ascii="Times New Roman" w:hAnsi="Times New Roman" w:cs="Times New Roman"/>
          <w:sz w:val="24"/>
          <w:szCs w:val="24"/>
        </w:rPr>
      </w:pPr>
    </w:p>
    <w:p w:rsidR="003F16EF" w:rsidRDefault="003F16EF" w:rsidP="003F16EF">
      <w:pPr>
        <w:spacing w:line="480" w:lineRule="auto"/>
        <w:jc w:val="center"/>
        <w:rPr>
          <w:rFonts w:ascii="Times New Roman" w:hAnsi="Times New Roman" w:cs="Times New Roman"/>
          <w:sz w:val="24"/>
          <w:szCs w:val="24"/>
        </w:rPr>
      </w:pPr>
      <w:r>
        <w:rPr>
          <w:noProof/>
        </w:rPr>
        <w:lastRenderedPageBreak/>
        <w:drawing>
          <wp:inline distT="0" distB="0" distL="0" distR="0" wp14:anchorId="3A615D13" wp14:editId="443C65F0">
            <wp:extent cx="3283099" cy="3070746"/>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297800" cy="3084496"/>
                    </a:xfrm>
                    <a:prstGeom prst="rect">
                      <a:avLst/>
                    </a:prstGeom>
                    <a:noFill/>
                    <a:ln>
                      <a:noFill/>
                    </a:ln>
                  </pic:spPr>
                </pic:pic>
              </a:graphicData>
            </a:graphic>
          </wp:inline>
        </w:drawing>
      </w:r>
    </w:p>
    <w:p w:rsidR="003F16EF" w:rsidRDefault="003F16EF" w:rsidP="003F16EF">
      <w:pPr>
        <w:spacing w:line="480" w:lineRule="auto"/>
        <w:rPr>
          <w:rFonts w:ascii="Times New Roman" w:hAnsi="Times New Roman" w:cs="Times New Roman"/>
          <w:sz w:val="24"/>
          <w:szCs w:val="24"/>
        </w:rPr>
      </w:pPr>
      <w:r w:rsidRPr="009B003C">
        <w:rPr>
          <w:rFonts w:ascii="Times New Roman" w:hAnsi="Times New Roman" w:cs="Times New Roman"/>
          <w:b/>
          <w:sz w:val="24"/>
          <w:szCs w:val="24"/>
        </w:rPr>
        <w:t>Figure S</w:t>
      </w:r>
      <w:r>
        <w:rPr>
          <w:rFonts w:ascii="Times New Roman" w:hAnsi="Times New Roman" w:cs="Times New Roman"/>
          <w:b/>
          <w:sz w:val="24"/>
          <w:szCs w:val="24"/>
        </w:rPr>
        <w:t>3</w:t>
      </w:r>
      <w:r w:rsidRPr="009B003C">
        <w:rPr>
          <w:rFonts w:ascii="Times New Roman" w:hAnsi="Times New Roman" w:cs="Times New Roman"/>
          <w:b/>
          <w:sz w:val="24"/>
          <w:szCs w:val="24"/>
        </w:rPr>
        <w:t>.</w:t>
      </w:r>
      <w:r w:rsidRPr="00E214DF">
        <w:rPr>
          <w:rFonts w:ascii="Times New Roman" w:hAnsi="Times New Roman" w:cs="Times New Roman"/>
          <w:sz w:val="24"/>
          <w:szCs w:val="24"/>
        </w:rPr>
        <w:t xml:space="preserve"> </w:t>
      </w:r>
      <w:r>
        <w:rPr>
          <w:rFonts w:ascii="Times New Roman" w:hAnsi="Times New Roman" w:cs="Times New Roman"/>
          <w:sz w:val="24"/>
          <w:szCs w:val="24"/>
        </w:rPr>
        <w:t xml:space="preserve">Cross sectional scanning electron microscopy (SEM) image of </w:t>
      </w:r>
      <w:proofErr w:type="spellStart"/>
      <w:r>
        <w:rPr>
          <w:rFonts w:ascii="Times New Roman" w:hAnsi="Times New Roman" w:cs="Times New Roman"/>
          <w:sz w:val="24"/>
          <w:szCs w:val="24"/>
        </w:rPr>
        <w:t>trple</w:t>
      </w:r>
      <w:proofErr w:type="spellEnd"/>
      <w:r>
        <w:rPr>
          <w:rFonts w:ascii="Times New Roman" w:hAnsi="Times New Roman" w:cs="Times New Roman"/>
          <w:sz w:val="24"/>
          <w:szCs w:val="24"/>
        </w:rPr>
        <w:t>-layer LSGM electrolyte-supported cell with the configuration of porous LSGM | dense LSGM | porous LSGM).</w:t>
      </w:r>
    </w:p>
    <w:p w:rsidR="003F16EF" w:rsidRDefault="003F16EF" w:rsidP="003F16EF">
      <w:pPr>
        <w:spacing w:line="480" w:lineRule="auto"/>
        <w:rPr>
          <w:rFonts w:ascii="Times New Roman" w:hAnsi="Times New Roman" w:cs="Times New Roman"/>
          <w:sz w:val="24"/>
          <w:szCs w:val="24"/>
        </w:rPr>
      </w:pPr>
    </w:p>
    <w:p w:rsidR="003F16EF" w:rsidRDefault="003F16EF" w:rsidP="003F16EF">
      <w:pPr>
        <w:spacing w:line="480" w:lineRule="auto"/>
        <w:rPr>
          <w:rFonts w:ascii="Times New Roman" w:hAnsi="Times New Roman" w:cs="Times New Roman"/>
          <w:sz w:val="24"/>
          <w:szCs w:val="24"/>
        </w:rPr>
      </w:pPr>
    </w:p>
    <w:p w:rsidR="003F16EF" w:rsidRDefault="003F16EF" w:rsidP="003F16EF">
      <w:pPr>
        <w:spacing w:line="480" w:lineRule="auto"/>
        <w:rPr>
          <w:rFonts w:ascii="Times New Roman" w:hAnsi="Times New Roman" w:cs="Times New Roman"/>
          <w:sz w:val="24"/>
          <w:szCs w:val="24"/>
        </w:rPr>
      </w:pPr>
    </w:p>
    <w:p w:rsidR="003F16EF" w:rsidRDefault="003F16EF" w:rsidP="003F16EF">
      <w:pPr>
        <w:spacing w:line="480" w:lineRule="auto"/>
        <w:rPr>
          <w:rFonts w:ascii="Times New Roman" w:hAnsi="Times New Roman" w:cs="Times New Roman"/>
          <w:sz w:val="24"/>
          <w:szCs w:val="24"/>
        </w:rPr>
      </w:pPr>
    </w:p>
    <w:p w:rsidR="003F16EF" w:rsidRDefault="003F16EF" w:rsidP="003F16EF">
      <w:pPr>
        <w:spacing w:line="480" w:lineRule="auto"/>
        <w:rPr>
          <w:rFonts w:ascii="Times New Roman" w:hAnsi="Times New Roman" w:cs="Times New Roman" w:hint="eastAsia"/>
          <w:sz w:val="24"/>
          <w:szCs w:val="24"/>
        </w:rPr>
      </w:pPr>
    </w:p>
    <w:p w:rsidR="003F16EF" w:rsidRPr="003F16EF" w:rsidRDefault="003F16EF" w:rsidP="00E73D95">
      <w:pPr>
        <w:spacing w:line="480" w:lineRule="auto"/>
        <w:rPr>
          <w:rFonts w:ascii="Times New Roman" w:hAnsi="Times New Roman" w:cs="Times New Roman" w:hint="eastAsia"/>
          <w:sz w:val="24"/>
          <w:szCs w:val="24"/>
        </w:rPr>
      </w:pPr>
    </w:p>
    <w:p w:rsidR="00A6765B" w:rsidRDefault="00A6765B" w:rsidP="00A6765B">
      <w:pPr>
        <w:spacing w:line="480" w:lineRule="auto"/>
        <w:jc w:val="center"/>
        <w:rPr>
          <w:rFonts w:ascii="Times New Roman" w:hAnsi="Times New Roman" w:cs="Times New Roman"/>
          <w:b/>
          <w:sz w:val="24"/>
          <w:szCs w:val="20"/>
        </w:rPr>
      </w:pPr>
      <w:r>
        <w:rPr>
          <w:noProof/>
        </w:rPr>
        <w:lastRenderedPageBreak/>
        <w:drawing>
          <wp:inline distT="0" distB="0" distL="0" distR="0" wp14:anchorId="777B615A" wp14:editId="5352AC7C">
            <wp:extent cx="3599179" cy="2675766"/>
            <wp:effectExtent l="0" t="0" r="1905"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599179" cy="2675766"/>
                    </a:xfrm>
                    <a:prstGeom prst="rect">
                      <a:avLst/>
                    </a:prstGeom>
                    <a:noFill/>
                    <a:ln>
                      <a:noFill/>
                    </a:ln>
                  </pic:spPr>
                </pic:pic>
              </a:graphicData>
            </a:graphic>
          </wp:inline>
        </w:drawing>
      </w:r>
    </w:p>
    <w:p w:rsidR="00A6765B" w:rsidRDefault="00A6765B" w:rsidP="00A6765B">
      <w:pPr>
        <w:spacing w:line="480" w:lineRule="auto"/>
        <w:rPr>
          <w:rFonts w:ascii="Times New Roman" w:hAnsi="Times New Roman" w:cs="Times New Roman"/>
          <w:sz w:val="24"/>
          <w:szCs w:val="20"/>
        </w:rPr>
      </w:pPr>
      <w:r w:rsidRPr="00765167">
        <w:rPr>
          <w:rFonts w:ascii="Times New Roman" w:hAnsi="Times New Roman" w:cs="Times New Roman"/>
          <w:b/>
          <w:sz w:val="24"/>
          <w:szCs w:val="20"/>
        </w:rPr>
        <w:t xml:space="preserve">Figure </w:t>
      </w:r>
      <w:r>
        <w:rPr>
          <w:rFonts w:ascii="Times New Roman" w:hAnsi="Times New Roman" w:cs="Times New Roman" w:hint="eastAsia"/>
          <w:b/>
          <w:sz w:val="24"/>
          <w:szCs w:val="20"/>
        </w:rPr>
        <w:t>S</w:t>
      </w:r>
      <w:r w:rsidR="001F4364">
        <w:rPr>
          <w:rFonts w:ascii="Times New Roman" w:hAnsi="Times New Roman" w:cs="Times New Roman"/>
          <w:b/>
          <w:sz w:val="24"/>
          <w:szCs w:val="20"/>
        </w:rPr>
        <w:t>4</w:t>
      </w:r>
      <w:r w:rsidRPr="00A15CD9">
        <w:rPr>
          <w:rFonts w:ascii="Times New Roman" w:hAnsi="Times New Roman" w:cs="Times New Roman"/>
          <w:sz w:val="24"/>
          <w:szCs w:val="20"/>
        </w:rPr>
        <w:t xml:space="preserve">. </w:t>
      </w:r>
      <w:r>
        <w:rPr>
          <w:rFonts w:ascii="Times New Roman" w:hAnsi="Times New Roman" w:cs="Times New Roman"/>
          <w:sz w:val="24"/>
          <w:szCs w:val="20"/>
        </w:rPr>
        <w:t xml:space="preserve">Impedance spectra of the transforming cell with the configuration of </w:t>
      </w:r>
      <w:r w:rsidRPr="0005139B">
        <w:rPr>
          <w:rFonts w:ascii="Times New Roman" w:hAnsi="Times New Roman" w:cs="Times New Roman"/>
          <w:noProof/>
          <w:sz w:val="24"/>
          <w:szCs w:val="20"/>
        </w:rPr>
        <w:t>PBMCo</w:t>
      </w:r>
      <w:r>
        <w:rPr>
          <w:rFonts w:ascii="Times New Roman" w:hAnsi="Times New Roman" w:cs="Times New Roman"/>
          <w:sz w:val="24"/>
          <w:szCs w:val="20"/>
        </w:rPr>
        <w:t>-LSGM/LSGM/S-PBMCo-LSGM using H</w:t>
      </w:r>
      <w:r w:rsidRPr="005A5C86">
        <w:rPr>
          <w:rFonts w:ascii="Times New Roman" w:hAnsi="Times New Roman" w:cs="Times New Roman"/>
          <w:sz w:val="24"/>
          <w:szCs w:val="20"/>
          <w:vertAlign w:val="subscript"/>
        </w:rPr>
        <w:t>2</w:t>
      </w:r>
      <w:r>
        <w:rPr>
          <w:rFonts w:ascii="Times New Roman" w:hAnsi="Times New Roman" w:cs="Times New Roman"/>
          <w:sz w:val="24"/>
          <w:szCs w:val="20"/>
        </w:rPr>
        <w:t xml:space="preserve"> as fuel and air as </w:t>
      </w:r>
      <w:r w:rsidR="0005139B">
        <w:rPr>
          <w:rFonts w:ascii="Times New Roman" w:hAnsi="Times New Roman" w:cs="Times New Roman"/>
          <w:sz w:val="24"/>
          <w:szCs w:val="20"/>
        </w:rPr>
        <w:t xml:space="preserve">the </w:t>
      </w:r>
      <w:r w:rsidRPr="0005139B">
        <w:rPr>
          <w:rFonts w:ascii="Times New Roman" w:hAnsi="Times New Roman" w:cs="Times New Roman"/>
          <w:noProof/>
          <w:sz w:val="24"/>
          <w:szCs w:val="20"/>
        </w:rPr>
        <w:t>oxidant</w:t>
      </w:r>
      <w:r>
        <w:rPr>
          <w:rFonts w:ascii="Times New Roman" w:hAnsi="Times New Roman" w:cs="Times New Roman"/>
          <w:sz w:val="24"/>
          <w:szCs w:val="20"/>
        </w:rPr>
        <w:t>.</w:t>
      </w:r>
    </w:p>
    <w:p w:rsidR="007039EB" w:rsidRDefault="007039EB" w:rsidP="00E73D95">
      <w:pPr>
        <w:spacing w:line="480" w:lineRule="auto"/>
        <w:rPr>
          <w:rFonts w:ascii="Times New Roman" w:hAnsi="Times New Roman" w:cs="Times New Roman"/>
          <w:sz w:val="24"/>
          <w:szCs w:val="24"/>
        </w:rPr>
      </w:pPr>
    </w:p>
    <w:p w:rsidR="0005139B" w:rsidRDefault="0005139B" w:rsidP="00E73D95">
      <w:pPr>
        <w:spacing w:line="480" w:lineRule="auto"/>
        <w:rPr>
          <w:rFonts w:ascii="Times New Roman" w:hAnsi="Times New Roman" w:cs="Times New Roman"/>
          <w:sz w:val="24"/>
          <w:szCs w:val="24"/>
        </w:rPr>
      </w:pPr>
    </w:p>
    <w:p w:rsidR="0005139B" w:rsidRDefault="0005139B" w:rsidP="00E73D95">
      <w:pPr>
        <w:spacing w:line="480" w:lineRule="auto"/>
        <w:rPr>
          <w:rFonts w:ascii="Times New Roman" w:hAnsi="Times New Roman" w:cs="Times New Roman"/>
          <w:sz w:val="24"/>
          <w:szCs w:val="24"/>
        </w:rPr>
      </w:pPr>
    </w:p>
    <w:p w:rsidR="0005139B" w:rsidRDefault="0005139B" w:rsidP="00E73D95">
      <w:pPr>
        <w:spacing w:line="480" w:lineRule="auto"/>
        <w:rPr>
          <w:rFonts w:ascii="Times New Roman" w:hAnsi="Times New Roman" w:cs="Times New Roman"/>
          <w:sz w:val="24"/>
          <w:szCs w:val="24"/>
        </w:rPr>
      </w:pPr>
    </w:p>
    <w:p w:rsidR="0005139B" w:rsidRDefault="0005139B" w:rsidP="00E73D95">
      <w:pPr>
        <w:spacing w:line="480" w:lineRule="auto"/>
        <w:rPr>
          <w:rFonts w:ascii="Times New Roman" w:hAnsi="Times New Roman" w:cs="Times New Roman"/>
          <w:sz w:val="24"/>
          <w:szCs w:val="24"/>
        </w:rPr>
      </w:pPr>
    </w:p>
    <w:p w:rsidR="0005139B" w:rsidRDefault="0005139B" w:rsidP="00E73D95">
      <w:pPr>
        <w:spacing w:line="480" w:lineRule="auto"/>
        <w:rPr>
          <w:rFonts w:ascii="Times New Roman" w:hAnsi="Times New Roman" w:cs="Times New Roman"/>
          <w:sz w:val="24"/>
          <w:szCs w:val="24"/>
        </w:rPr>
      </w:pPr>
    </w:p>
    <w:p w:rsidR="0005139B" w:rsidRPr="0005139B" w:rsidRDefault="0005139B" w:rsidP="00E73D95">
      <w:pPr>
        <w:spacing w:line="480" w:lineRule="auto"/>
        <w:rPr>
          <w:rFonts w:ascii="Times New Roman" w:hAnsi="Times New Roman" w:cs="Times New Roman"/>
          <w:sz w:val="24"/>
          <w:szCs w:val="24"/>
        </w:rPr>
      </w:pPr>
    </w:p>
    <w:p w:rsidR="000C1BE7" w:rsidRDefault="000C1BE7" w:rsidP="000C1BE7">
      <w:pPr>
        <w:spacing w:line="480" w:lineRule="auto"/>
        <w:jc w:val="center"/>
        <w:rPr>
          <w:rFonts w:ascii="Times New Roman" w:hAnsi="Times New Roman" w:cs="Times New Roman"/>
          <w:sz w:val="24"/>
          <w:szCs w:val="24"/>
        </w:rPr>
      </w:pPr>
    </w:p>
    <w:p w:rsidR="00965383" w:rsidRDefault="00EE6F65" w:rsidP="000C1BE7">
      <w:pPr>
        <w:spacing w:line="480" w:lineRule="auto"/>
        <w:jc w:val="center"/>
        <w:rPr>
          <w:rFonts w:ascii="Times New Roman" w:hAnsi="Times New Roman" w:cs="Times New Roman"/>
          <w:sz w:val="24"/>
          <w:szCs w:val="24"/>
        </w:rPr>
      </w:pPr>
      <w:r>
        <w:rPr>
          <w:noProof/>
        </w:rPr>
        <w:lastRenderedPageBreak/>
        <w:drawing>
          <wp:inline distT="0" distB="0" distL="0" distR="0">
            <wp:extent cx="5731507" cy="2091538"/>
            <wp:effectExtent l="0" t="0" r="3175" b="444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1507" cy="2091538"/>
                    </a:xfrm>
                    <a:prstGeom prst="rect">
                      <a:avLst/>
                    </a:prstGeom>
                    <a:noFill/>
                    <a:ln>
                      <a:noFill/>
                    </a:ln>
                  </pic:spPr>
                </pic:pic>
              </a:graphicData>
            </a:graphic>
          </wp:inline>
        </w:drawing>
      </w:r>
    </w:p>
    <w:p w:rsidR="007039EB" w:rsidRPr="00E214DF" w:rsidRDefault="000C1BE7" w:rsidP="000C1BE7">
      <w:pPr>
        <w:spacing w:line="480" w:lineRule="auto"/>
        <w:rPr>
          <w:rFonts w:ascii="Times New Roman" w:hAnsi="Times New Roman" w:cs="Times New Roman"/>
          <w:sz w:val="24"/>
          <w:szCs w:val="24"/>
        </w:rPr>
      </w:pPr>
      <w:r w:rsidRPr="009B003C">
        <w:rPr>
          <w:rFonts w:ascii="Times New Roman" w:hAnsi="Times New Roman" w:cs="Times New Roman"/>
          <w:b/>
          <w:sz w:val="24"/>
          <w:szCs w:val="24"/>
        </w:rPr>
        <w:t>Figure S</w:t>
      </w:r>
      <w:r w:rsidR="00A01D89">
        <w:rPr>
          <w:rFonts w:ascii="Times New Roman" w:hAnsi="Times New Roman" w:cs="Times New Roman"/>
          <w:b/>
          <w:sz w:val="24"/>
          <w:szCs w:val="24"/>
        </w:rPr>
        <w:t>5</w:t>
      </w:r>
      <w:r w:rsidRPr="009B003C">
        <w:rPr>
          <w:rFonts w:ascii="Times New Roman" w:hAnsi="Times New Roman" w:cs="Times New Roman"/>
          <w:b/>
          <w:sz w:val="24"/>
          <w:szCs w:val="24"/>
        </w:rPr>
        <w:t>.</w:t>
      </w:r>
      <w:r w:rsidRPr="00E214DF">
        <w:rPr>
          <w:rFonts w:ascii="Times New Roman" w:hAnsi="Times New Roman" w:cs="Times New Roman"/>
          <w:sz w:val="24"/>
          <w:szCs w:val="24"/>
        </w:rPr>
        <w:t xml:space="preserve"> </w:t>
      </w:r>
      <w:r>
        <w:rPr>
          <w:rFonts w:ascii="Times New Roman" w:hAnsi="Times New Roman" w:cs="Times New Roman"/>
          <w:sz w:val="24"/>
          <w:szCs w:val="20"/>
        </w:rPr>
        <w:t xml:space="preserve">(a) Experimental and simulated Nyquist plots of </w:t>
      </w:r>
      <w:r w:rsidRPr="0005139B">
        <w:rPr>
          <w:rFonts w:ascii="Times New Roman" w:hAnsi="Times New Roman" w:cs="Times New Roman"/>
          <w:noProof/>
          <w:sz w:val="24"/>
          <w:szCs w:val="20"/>
        </w:rPr>
        <w:t>PBMCo</w:t>
      </w:r>
      <w:r>
        <w:rPr>
          <w:rFonts w:ascii="Times New Roman" w:hAnsi="Times New Roman" w:cs="Times New Roman"/>
          <w:sz w:val="24"/>
          <w:szCs w:val="20"/>
        </w:rPr>
        <w:t xml:space="preserve">-LSGM composite on </w:t>
      </w:r>
      <w:r w:rsidRPr="0005139B">
        <w:rPr>
          <w:rFonts w:ascii="Times New Roman" w:hAnsi="Times New Roman" w:cs="Times New Roman"/>
          <w:noProof/>
          <w:sz w:val="24"/>
          <w:szCs w:val="20"/>
        </w:rPr>
        <w:t>a LSGM</w:t>
      </w:r>
      <w:r>
        <w:rPr>
          <w:rFonts w:ascii="Times New Roman" w:hAnsi="Times New Roman" w:cs="Times New Roman"/>
          <w:sz w:val="24"/>
          <w:szCs w:val="20"/>
        </w:rPr>
        <w:t xml:space="preserve"> symmetric cell. (b) Comparison of R</w:t>
      </w:r>
      <w:r w:rsidRPr="000D46C2">
        <w:rPr>
          <w:rFonts w:ascii="Times New Roman" w:hAnsi="Times New Roman" w:cs="Times New Roman"/>
          <w:sz w:val="24"/>
          <w:szCs w:val="20"/>
          <w:vertAlign w:val="subscript"/>
        </w:rPr>
        <w:t>2</w:t>
      </w:r>
      <w:r>
        <w:rPr>
          <w:rFonts w:ascii="Times New Roman" w:hAnsi="Times New Roman" w:cs="Times New Roman"/>
          <w:sz w:val="24"/>
          <w:szCs w:val="20"/>
        </w:rPr>
        <w:t>, R</w:t>
      </w:r>
      <w:r w:rsidRPr="000D46C2">
        <w:rPr>
          <w:rFonts w:ascii="Times New Roman" w:hAnsi="Times New Roman" w:cs="Times New Roman"/>
          <w:sz w:val="24"/>
          <w:szCs w:val="20"/>
          <w:vertAlign w:val="subscript"/>
        </w:rPr>
        <w:t>3</w:t>
      </w:r>
      <w:r>
        <w:rPr>
          <w:rFonts w:ascii="Times New Roman" w:hAnsi="Times New Roman" w:cs="Times New Roman"/>
          <w:sz w:val="24"/>
          <w:szCs w:val="20"/>
        </w:rPr>
        <w:t xml:space="preserve">, and </w:t>
      </w:r>
      <w:proofErr w:type="spellStart"/>
      <w:r>
        <w:rPr>
          <w:rFonts w:ascii="Times New Roman" w:hAnsi="Times New Roman" w:cs="Times New Roman"/>
          <w:sz w:val="24"/>
          <w:szCs w:val="20"/>
        </w:rPr>
        <w:t>R</w:t>
      </w:r>
      <w:r w:rsidRPr="000D46C2">
        <w:rPr>
          <w:rFonts w:ascii="Times New Roman" w:hAnsi="Times New Roman" w:cs="Times New Roman"/>
          <w:sz w:val="24"/>
          <w:szCs w:val="20"/>
          <w:vertAlign w:val="subscript"/>
        </w:rPr>
        <w:t>p</w:t>
      </w:r>
      <w:proofErr w:type="spellEnd"/>
      <w:r>
        <w:rPr>
          <w:rFonts w:ascii="Times New Roman" w:hAnsi="Times New Roman" w:cs="Times New Roman"/>
          <w:sz w:val="24"/>
          <w:szCs w:val="20"/>
        </w:rPr>
        <w:t xml:space="preserve"> for </w:t>
      </w:r>
      <w:r w:rsidRPr="0005139B">
        <w:rPr>
          <w:rFonts w:ascii="Times New Roman" w:hAnsi="Times New Roman" w:cs="Times New Roman"/>
          <w:noProof/>
          <w:sz w:val="24"/>
          <w:szCs w:val="20"/>
        </w:rPr>
        <w:t>PBMCo</w:t>
      </w:r>
      <w:r>
        <w:rPr>
          <w:rFonts w:ascii="Times New Roman" w:hAnsi="Times New Roman" w:cs="Times New Roman"/>
          <w:sz w:val="24"/>
          <w:szCs w:val="20"/>
        </w:rPr>
        <w:t xml:space="preserve">-LSGM composites on </w:t>
      </w:r>
      <w:r w:rsidRPr="0005139B">
        <w:rPr>
          <w:rFonts w:ascii="Times New Roman" w:hAnsi="Times New Roman" w:cs="Times New Roman"/>
          <w:noProof/>
          <w:sz w:val="24"/>
          <w:szCs w:val="20"/>
        </w:rPr>
        <w:t>a LSGM</w:t>
      </w:r>
      <w:r>
        <w:rPr>
          <w:rFonts w:ascii="Times New Roman" w:hAnsi="Times New Roman" w:cs="Times New Roman"/>
          <w:sz w:val="24"/>
          <w:szCs w:val="20"/>
        </w:rPr>
        <w:t xml:space="preserve"> symmetric cell based on the fitting result by the equivalent circuit shown as an inset</w:t>
      </w:r>
    </w:p>
    <w:p w:rsidR="00D64D6D" w:rsidRDefault="00D64D6D" w:rsidP="00D64D6D">
      <w:pPr>
        <w:spacing w:line="480" w:lineRule="auto"/>
        <w:rPr>
          <w:rFonts w:ascii="Times New Roman" w:hAnsi="Times New Roman" w:cs="Times New Roman"/>
          <w:b/>
          <w:sz w:val="24"/>
          <w:szCs w:val="20"/>
        </w:rPr>
      </w:pPr>
    </w:p>
    <w:p w:rsidR="00D64D6D" w:rsidRDefault="00D64D6D" w:rsidP="00D64D6D">
      <w:pPr>
        <w:spacing w:line="480" w:lineRule="auto"/>
        <w:rPr>
          <w:rFonts w:ascii="Times New Roman" w:hAnsi="Times New Roman" w:cs="Times New Roman"/>
          <w:sz w:val="24"/>
          <w:szCs w:val="20"/>
        </w:rPr>
      </w:pPr>
      <w:r>
        <w:rPr>
          <w:rFonts w:ascii="Times New Roman" w:hAnsi="Times New Roman" w:cs="Times New Roman"/>
          <w:b/>
          <w:sz w:val="24"/>
          <w:szCs w:val="20"/>
        </w:rPr>
        <w:t>Table S1.</w:t>
      </w:r>
      <w:r>
        <w:rPr>
          <w:rFonts w:ascii="Times New Roman" w:hAnsi="Times New Roman" w:cs="Times New Roman"/>
          <w:sz w:val="24"/>
          <w:szCs w:val="20"/>
        </w:rPr>
        <w:t xml:space="preserve"> </w:t>
      </w:r>
      <w:r w:rsidRPr="00D64D6D">
        <w:rPr>
          <w:rFonts w:ascii="Times New Roman" w:hAnsi="Times New Roman" w:cs="Times New Roman"/>
          <w:sz w:val="22"/>
          <w:szCs w:val="20"/>
        </w:rPr>
        <w:t>Electrochemical impedance spectroscopy fitting results of PBMCo-LSGM measured at various temperature in air</w:t>
      </w:r>
    </w:p>
    <w:tbl>
      <w:tblPr>
        <w:tblStyle w:val="a6"/>
        <w:tblW w:w="0" w:type="auto"/>
        <w:tblLook w:val="04A0" w:firstRow="1" w:lastRow="0" w:firstColumn="1" w:lastColumn="0" w:noHBand="0" w:noVBand="1"/>
      </w:tblPr>
      <w:tblGrid>
        <w:gridCol w:w="1388"/>
        <w:gridCol w:w="2191"/>
        <w:gridCol w:w="1820"/>
        <w:gridCol w:w="1820"/>
        <w:gridCol w:w="1797"/>
      </w:tblGrid>
      <w:tr w:rsidR="005F49B3" w:rsidTr="00FA0423">
        <w:tc>
          <w:tcPr>
            <w:tcW w:w="1388" w:type="dxa"/>
            <w:vMerge w:val="restart"/>
            <w:vAlign w:val="center"/>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sz w:val="24"/>
                <w:szCs w:val="20"/>
              </w:rPr>
              <w:t>Temp. [</w:t>
            </w:r>
            <w:r>
              <w:rPr>
                <w:rFonts w:ascii="Times New Roman" w:hAnsi="Times New Roman" w:cs="Times New Roman"/>
                <w:sz w:val="24"/>
                <w:szCs w:val="20"/>
                <w:vertAlign w:val="superscript"/>
              </w:rPr>
              <w:t>o</w:t>
            </w:r>
            <w:r>
              <w:rPr>
                <w:rFonts w:ascii="Times New Roman" w:hAnsi="Times New Roman" w:cs="Times New Roman"/>
                <w:sz w:val="24"/>
                <w:szCs w:val="20"/>
              </w:rPr>
              <w:t>C]</w:t>
            </w:r>
          </w:p>
        </w:tc>
        <w:tc>
          <w:tcPr>
            <w:tcW w:w="7628" w:type="dxa"/>
            <w:gridSpan w:val="4"/>
            <w:vAlign w:val="center"/>
          </w:tcPr>
          <w:p w:rsidR="005F49B3" w:rsidRDefault="005F49B3" w:rsidP="00745251">
            <w:pPr>
              <w:jc w:val="center"/>
              <w:rPr>
                <w:rFonts w:ascii="Times New Roman" w:hAnsi="Times New Roman" w:cs="Times New Roman"/>
                <w:sz w:val="24"/>
                <w:szCs w:val="20"/>
              </w:rPr>
            </w:pPr>
            <w:r>
              <w:rPr>
                <w:rFonts w:ascii="Times New Roman" w:hAnsi="Times New Roman" w:cs="Times New Roman"/>
                <w:sz w:val="24"/>
                <w:szCs w:val="20"/>
              </w:rPr>
              <w:t xml:space="preserve">Half-cell test </w:t>
            </w:r>
            <w:r w:rsidRPr="00163D47">
              <w:rPr>
                <w:rFonts w:ascii="Times New Roman" w:hAnsi="Times New Roman" w:cs="Times New Roman"/>
                <w:sz w:val="24"/>
                <w:szCs w:val="20"/>
              </w:rPr>
              <w:t>[</w:t>
            </w:r>
            <w:r w:rsidRPr="00163D47">
              <w:rPr>
                <w:rFonts w:ascii="Symbol" w:hAnsi="Symbol" w:cs="Times New Roman"/>
                <w:sz w:val="24"/>
                <w:szCs w:val="20"/>
              </w:rPr>
              <w:t></w:t>
            </w:r>
            <w:r w:rsidRPr="00163D47">
              <w:rPr>
                <w:rFonts w:ascii="Times New Roman" w:hAnsi="Times New Roman" w:cs="Times New Roman"/>
                <w:sz w:val="24"/>
                <w:szCs w:val="20"/>
              </w:rPr>
              <w:t xml:space="preserve"> cm</w:t>
            </w:r>
            <w:r w:rsidRPr="00163D47">
              <w:rPr>
                <w:rFonts w:ascii="Times New Roman" w:hAnsi="Times New Roman" w:cs="Times New Roman"/>
                <w:sz w:val="24"/>
                <w:szCs w:val="20"/>
                <w:vertAlign w:val="superscript"/>
              </w:rPr>
              <w:t>2</w:t>
            </w:r>
            <w:r w:rsidRPr="00163D47">
              <w:rPr>
                <w:rFonts w:ascii="Times New Roman" w:hAnsi="Times New Roman" w:cs="Times New Roman"/>
                <w:sz w:val="24"/>
                <w:szCs w:val="20"/>
              </w:rPr>
              <w:t>]</w:t>
            </w:r>
          </w:p>
        </w:tc>
      </w:tr>
      <w:tr w:rsidR="005F49B3" w:rsidTr="00904EB0">
        <w:tc>
          <w:tcPr>
            <w:tcW w:w="1388" w:type="dxa"/>
            <w:vMerge/>
            <w:vAlign w:val="center"/>
          </w:tcPr>
          <w:p w:rsidR="005F49B3" w:rsidRDefault="005F49B3" w:rsidP="00745251">
            <w:pPr>
              <w:adjustRightInd w:val="0"/>
              <w:jc w:val="center"/>
              <w:rPr>
                <w:rFonts w:ascii="Times New Roman" w:hAnsi="Times New Roman" w:cs="Times New Roman"/>
                <w:sz w:val="24"/>
                <w:szCs w:val="20"/>
              </w:rPr>
            </w:pPr>
          </w:p>
        </w:tc>
        <w:tc>
          <w:tcPr>
            <w:tcW w:w="2191" w:type="dxa"/>
            <w:vAlign w:val="center"/>
          </w:tcPr>
          <w:p w:rsidR="005F49B3" w:rsidRDefault="005F49B3" w:rsidP="00745251">
            <w:pPr>
              <w:jc w:val="center"/>
              <w:rPr>
                <w:rFonts w:ascii="Times New Roman" w:hAnsi="Times New Roman" w:cs="Times New Roman"/>
                <w:sz w:val="24"/>
                <w:szCs w:val="20"/>
              </w:rPr>
            </w:pPr>
            <w:r>
              <w:rPr>
                <w:rFonts w:ascii="Times New Roman" w:hAnsi="Times New Roman" w:cs="Times New Roman" w:hint="eastAsia"/>
                <w:sz w:val="24"/>
                <w:szCs w:val="20"/>
              </w:rPr>
              <w:t>M</w:t>
            </w:r>
            <w:r>
              <w:rPr>
                <w:rFonts w:ascii="Times New Roman" w:hAnsi="Times New Roman" w:cs="Times New Roman"/>
                <w:sz w:val="24"/>
                <w:szCs w:val="20"/>
              </w:rPr>
              <w:t>easured</w:t>
            </w:r>
          </w:p>
        </w:tc>
        <w:tc>
          <w:tcPr>
            <w:tcW w:w="5437" w:type="dxa"/>
            <w:gridSpan w:val="3"/>
            <w:vAlign w:val="center"/>
          </w:tcPr>
          <w:p w:rsidR="005F49B3" w:rsidRDefault="005F49B3" w:rsidP="00745251">
            <w:pPr>
              <w:jc w:val="center"/>
              <w:rPr>
                <w:rFonts w:ascii="Times New Roman" w:hAnsi="Times New Roman" w:cs="Times New Roman"/>
                <w:sz w:val="24"/>
                <w:szCs w:val="20"/>
              </w:rPr>
            </w:pPr>
            <w:r>
              <w:rPr>
                <w:rFonts w:ascii="Times New Roman" w:hAnsi="Times New Roman" w:cs="Times New Roman" w:hint="eastAsia"/>
                <w:sz w:val="24"/>
                <w:szCs w:val="20"/>
              </w:rPr>
              <w:t>F</w:t>
            </w:r>
            <w:r>
              <w:rPr>
                <w:rFonts w:ascii="Times New Roman" w:hAnsi="Times New Roman" w:cs="Times New Roman"/>
                <w:sz w:val="24"/>
                <w:szCs w:val="20"/>
              </w:rPr>
              <w:t>itted</w:t>
            </w:r>
          </w:p>
        </w:tc>
      </w:tr>
      <w:tr w:rsidR="005F49B3" w:rsidTr="005F49B3">
        <w:tc>
          <w:tcPr>
            <w:tcW w:w="1388" w:type="dxa"/>
            <w:vMerge/>
            <w:vAlign w:val="center"/>
          </w:tcPr>
          <w:p w:rsidR="005F49B3" w:rsidRDefault="005F49B3" w:rsidP="00745251">
            <w:pPr>
              <w:adjustRightInd w:val="0"/>
              <w:jc w:val="center"/>
              <w:rPr>
                <w:rFonts w:ascii="Times New Roman" w:hAnsi="Times New Roman" w:cs="Times New Roman"/>
                <w:b/>
                <w:sz w:val="24"/>
                <w:szCs w:val="20"/>
              </w:rPr>
            </w:pPr>
          </w:p>
        </w:tc>
        <w:tc>
          <w:tcPr>
            <w:tcW w:w="2191" w:type="dxa"/>
            <w:vAlign w:val="center"/>
          </w:tcPr>
          <w:p w:rsidR="005F49B3" w:rsidRPr="00163D47" w:rsidRDefault="005F49B3" w:rsidP="005F49B3">
            <w:pPr>
              <w:jc w:val="center"/>
              <w:rPr>
                <w:rFonts w:ascii="Times New Roman" w:hAnsi="Times New Roman" w:cs="Times New Roman"/>
                <w:sz w:val="24"/>
                <w:szCs w:val="20"/>
              </w:rPr>
            </w:pPr>
            <w:r w:rsidRPr="00163D47">
              <w:rPr>
                <w:rFonts w:ascii="Times New Roman" w:hAnsi="Times New Roman" w:cs="Times New Roman" w:hint="eastAsia"/>
                <w:sz w:val="24"/>
                <w:szCs w:val="20"/>
              </w:rPr>
              <w:t>C</w:t>
            </w:r>
            <w:r w:rsidRPr="00163D47">
              <w:rPr>
                <w:rFonts w:ascii="Times New Roman" w:hAnsi="Times New Roman" w:cs="Times New Roman"/>
                <w:sz w:val="24"/>
                <w:szCs w:val="20"/>
              </w:rPr>
              <w:t>athodic loss</w:t>
            </w:r>
            <w:r>
              <w:rPr>
                <w:rFonts w:ascii="Times New Roman" w:hAnsi="Times New Roman" w:cs="Times New Roman"/>
                <w:sz w:val="24"/>
                <w:szCs w:val="20"/>
              </w:rPr>
              <w:t xml:space="preserve"> (</w:t>
            </w:r>
            <w:proofErr w:type="spellStart"/>
            <w:r>
              <w:rPr>
                <w:rFonts w:ascii="Times New Roman" w:hAnsi="Times New Roman" w:cs="Times New Roman" w:hint="eastAsia"/>
                <w:sz w:val="24"/>
                <w:szCs w:val="20"/>
              </w:rPr>
              <w:t>R</w:t>
            </w:r>
            <w:r w:rsidRPr="008005DB">
              <w:rPr>
                <w:rFonts w:ascii="Times New Roman" w:hAnsi="Times New Roman" w:cs="Times New Roman"/>
                <w:sz w:val="24"/>
                <w:szCs w:val="20"/>
                <w:vertAlign w:val="subscript"/>
              </w:rPr>
              <w:t>p</w:t>
            </w:r>
            <w:proofErr w:type="spellEnd"/>
            <w:r>
              <w:rPr>
                <w:rFonts w:ascii="Times New Roman" w:hAnsi="Times New Roman" w:cs="Times New Roman" w:hint="eastAsia"/>
                <w:sz w:val="24"/>
                <w:szCs w:val="20"/>
              </w:rPr>
              <w:t>)</w:t>
            </w:r>
            <w:r w:rsidRPr="00163D47">
              <w:rPr>
                <w:rFonts w:ascii="Times New Roman" w:hAnsi="Times New Roman" w:cs="Times New Roman"/>
                <w:sz w:val="24"/>
                <w:szCs w:val="20"/>
              </w:rPr>
              <w:t xml:space="preserve"> </w:t>
            </w:r>
          </w:p>
        </w:tc>
        <w:tc>
          <w:tcPr>
            <w:tcW w:w="1820" w:type="dxa"/>
          </w:tcPr>
          <w:p w:rsidR="005F49B3" w:rsidRPr="005F49B3" w:rsidRDefault="005F49B3" w:rsidP="005F49B3">
            <w:pPr>
              <w:jc w:val="center"/>
              <w:rPr>
                <w:rFonts w:ascii="Times New Roman" w:hAnsi="Times New Roman" w:cs="Times New Roman"/>
                <w:sz w:val="24"/>
                <w:szCs w:val="20"/>
                <w:vertAlign w:val="subscript"/>
              </w:rPr>
            </w:pPr>
            <w:r>
              <w:rPr>
                <w:rFonts w:ascii="Times New Roman" w:hAnsi="Times New Roman" w:cs="Times New Roman" w:hint="eastAsia"/>
                <w:sz w:val="24"/>
                <w:szCs w:val="20"/>
              </w:rPr>
              <w:t>R</w:t>
            </w:r>
            <w:r w:rsidRPr="0075150E">
              <w:rPr>
                <w:rFonts w:ascii="Times New Roman" w:hAnsi="Times New Roman" w:cs="Times New Roman"/>
                <w:sz w:val="24"/>
                <w:szCs w:val="20"/>
                <w:vertAlign w:val="subscript"/>
              </w:rPr>
              <w:t>2</w:t>
            </w:r>
          </w:p>
        </w:tc>
        <w:tc>
          <w:tcPr>
            <w:tcW w:w="1820" w:type="dxa"/>
          </w:tcPr>
          <w:p w:rsidR="005F49B3" w:rsidRPr="005F49B3" w:rsidRDefault="005F49B3" w:rsidP="005F49B3">
            <w:pPr>
              <w:jc w:val="center"/>
              <w:rPr>
                <w:rFonts w:ascii="Times New Roman" w:hAnsi="Times New Roman" w:cs="Times New Roman"/>
                <w:sz w:val="24"/>
                <w:szCs w:val="20"/>
                <w:vertAlign w:val="subscript"/>
              </w:rPr>
            </w:pPr>
            <w:r>
              <w:rPr>
                <w:rFonts w:ascii="Times New Roman" w:hAnsi="Times New Roman" w:cs="Times New Roman" w:hint="eastAsia"/>
                <w:sz w:val="24"/>
                <w:szCs w:val="20"/>
              </w:rPr>
              <w:t>R</w:t>
            </w:r>
            <w:r w:rsidRPr="0075150E">
              <w:rPr>
                <w:rFonts w:ascii="Times New Roman" w:hAnsi="Times New Roman" w:cs="Times New Roman"/>
                <w:sz w:val="24"/>
                <w:szCs w:val="20"/>
                <w:vertAlign w:val="subscript"/>
              </w:rPr>
              <w:t>3</w:t>
            </w:r>
          </w:p>
        </w:tc>
        <w:tc>
          <w:tcPr>
            <w:tcW w:w="1797" w:type="dxa"/>
          </w:tcPr>
          <w:p w:rsidR="005F49B3" w:rsidRDefault="005F49B3" w:rsidP="005F49B3">
            <w:pPr>
              <w:jc w:val="center"/>
              <w:rPr>
                <w:rFonts w:ascii="Times New Roman" w:hAnsi="Times New Roman" w:cs="Times New Roman"/>
                <w:sz w:val="24"/>
                <w:szCs w:val="20"/>
              </w:rPr>
            </w:pPr>
            <w:proofErr w:type="spellStart"/>
            <w:r>
              <w:rPr>
                <w:rFonts w:ascii="Times New Roman" w:hAnsi="Times New Roman" w:cs="Times New Roman" w:hint="eastAsia"/>
                <w:sz w:val="24"/>
                <w:szCs w:val="20"/>
              </w:rPr>
              <w:t>R</w:t>
            </w:r>
            <w:r w:rsidRPr="008005DB">
              <w:rPr>
                <w:rFonts w:ascii="Times New Roman" w:hAnsi="Times New Roman" w:cs="Times New Roman"/>
                <w:sz w:val="24"/>
                <w:szCs w:val="20"/>
                <w:vertAlign w:val="subscript"/>
              </w:rPr>
              <w:t>p</w:t>
            </w:r>
            <w:proofErr w:type="spellEnd"/>
          </w:p>
        </w:tc>
      </w:tr>
      <w:tr w:rsidR="005F49B3" w:rsidTr="005F49B3">
        <w:tc>
          <w:tcPr>
            <w:tcW w:w="1388" w:type="dxa"/>
            <w:vAlign w:val="center"/>
          </w:tcPr>
          <w:p w:rsidR="005F49B3" w:rsidRPr="00163D47" w:rsidRDefault="005F49B3" w:rsidP="00745251">
            <w:pPr>
              <w:adjustRightInd w:val="0"/>
              <w:jc w:val="center"/>
              <w:rPr>
                <w:rFonts w:ascii="Times New Roman" w:hAnsi="Times New Roman" w:cs="Times New Roman"/>
                <w:sz w:val="24"/>
                <w:szCs w:val="20"/>
              </w:rPr>
            </w:pPr>
            <w:r w:rsidRPr="00163D47">
              <w:rPr>
                <w:rFonts w:ascii="Times New Roman" w:hAnsi="Times New Roman" w:cs="Times New Roman" w:hint="eastAsia"/>
                <w:sz w:val="24"/>
                <w:szCs w:val="20"/>
              </w:rPr>
              <w:t>8</w:t>
            </w:r>
            <w:r w:rsidRPr="00163D47">
              <w:rPr>
                <w:rFonts w:ascii="Times New Roman" w:hAnsi="Times New Roman" w:cs="Times New Roman"/>
                <w:sz w:val="24"/>
                <w:szCs w:val="20"/>
              </w:rPr>
              <w:t>00</w:t>
            </w:r>
          </w:p>
        </w:tc>
        <w:tc>
          <w:tcPr>
            <w:tcW w:w="2191" w:type="dxa"/>
            <w:vAlign w:val="center"/>
          </w:tcPr>
          <w:p w:rsidR="005F49B3" w:rsidRPr="00163D47"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.033</w:t>
            </w:r>
          </w:p>
        </w:tc>
        <w:tc>
          <w:tcPr>
            <w:tcW w:w="1820"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.031</w:t>
            </w:r>
          </w:p>
        </w:tc>
        <w:tc>
          <w:tcPr>
            <w:tcW w:w="1820"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.002</w:t>
            </w:r>
          </w:p>
        </w:tc>
        <w:tc>
          <w:tcPr>
            <w:tcW w:w="1797"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.033</w:t>
            </w:r>
          </w:p>
        </w:tc>
      </w:tr>
      <w:tr w:rsidR="005F49B3" w:rsidTr="005F49B3">
        <w:tc>
          <w:tcPr>
            <w:tcW w:w="1388" w:type="dxa"/>
            <w:vAlign w:val="center"/>
          </w:tcPr>
          <w:p w:rsidR="005F49B3" w:rsidRPr="00163D47" w:rsidRDefault="005F49B3" w:rsidP="00745251">
            <w:pPr>
              <w:adjustRightInd w:val="0"/>
              <w:jc w:val="center"/>
              <w:rPr>
                <w:rFonts w:ascii="Times New Roman" w:hAnsi="Times New Roman" w:cs="Times New Roman"/>
                <w:sz w:val="24"/>
                <w:szCs w:val="20"/>
              </w:rPr>
            </w:pPr>
            <w:r w:rsidRPr="00163D47">
              <w:rPr>
                <w:rFonts w:ascii="Times New Roman" w:hAnsi="Times New Roman" w:cs="Times New Roman" w:hint="eastAsia"/>
                <w:sz w:val="24"/>
                <w:szCs w:val="20"/>
              </w:rPr>
              <w:t>7</w:t>
            </w:r>
            <w:r w:rsidRPr="00163D47">
              <w:rPr>
                <w:rFonts w:ascii="Times New Roman" w:hAnsi="Times New Roman" w:cs="Times New Roman"/>
                <w:sz w:val="24"/>
                <w:szCs w:val="20"/>
              </w:rPr>
              <w:t>50</w:t>
            </w:r>
          </w:p>
        </w:tc>
        <w:tc>
          <w:tcPr>
            <w:tcW w:w="2191" w:type="dxa"/>
            <w:vAlign w:val="center"/>
          </w:tcPr>
          <w:p w:rsidR="005F49B3" w:rsidRPr="00163D47"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.073</w:t>
            </w:r>
          </w:p>
        </w:tc>
        <w:tc>
          <w:tcPr>
            <w:tcW w:w="1820"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.036</w:t>
            </w:r>
          </w:p>
        </w:tc>
        <w:tc>
          <w:tcPr>
            <w:tcW w:w="1820"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.036</w:t>
            </w:r>
          </w:p>
        </w:tc>
        <w:tc>
          <w:tcPr>
            <w:tcW w:w="1797"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.072</w:t>
            </w:r>
          </w:p>
        </w:tc>
      </w:tr>
      <w:tr w:rsidR="005F49B3" w:rsidTr="005F49B3">
        <w:tc>
          <w:tcPr>
            <w:tcW w:w="1388" w:type="dxa"/>
            <w:vAlign w:val="center"/>
          </w:tcPr>
          <w:p w:rsidR="005F49B3" w:rsidRPr="00163D47" w:rsidRDefault="005F49B3" w:rsidP="00745251">
            <w:pPr>
              <w:adjustRightInd w:val="0"/>
              <w:jc w:val="center"/>
              <w:rPr>
                <w:rFonts w:ascii="Times New Roman" w:hAnsi="Times New Roman" w:cs="Times New Roman"/>
                <w:sz w:val="24"/>
                <w:szCs w:val="20"/>
              </w:rPr>
            </w:pPr>
            <w:r w:rsidRPr="00163D47">
              <w:rPr>
                <w:rFonts w:ascii="Times New Roman" w:hAnsi="Times New Roman" w:cs="Times New Roman" w:hint="eastAsia"/>
                <w:sz w:val="24"/>
                <w:szCs w:val="20"/>
              </w:rPr>
              <w:t>7</w:t>
            </w:r>
            <w:r w:rsidRPr="00163D47">
              <w:rPr>
                <w:rFonts w:ascii="Times New Roman" w:hAnsi="Times New Roman" w:cs="Times New Roman"/>
                <w:sz w:val="24"/>
                <w:szCs w:val="20"/>
              </w:rPr>
              <w:t>00</w:t>
            </w:r>
          </w:p>
        </w:tc>
        <w:tc>
          <w:tcPr>
            <w:tcW w:w="2191" w:type="dxa"/>
            <w:vAlign w:val="center"/>
          </w:tcPr>
          <w:p w:rsidR="005F49B3" w:rsidRPr="00163D47"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.189</w:t>
            </w:r>
          </w:p>
        </w:tc>
        <w:tc>
          <w:tcPr>
            <w:tcW w:w="1820"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.071</w:t>
            </w:r>
          </w:p>
        </w:tc>
        <w:tc>
          <w:tcPr>
            <w:tcW w:w="1820"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.118</w:t>
            </w:r>
          </w:p>
        </w:tc>
        <w:tc>
          <w:tcPr>
            <w:tcW w:w="1797" w:type="dxa"/>
          </w:tcPr>
          <w:p w:rsidR="005F49B3" w:rsidRDefault="005F49B3" w:rsidP="00745251">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.189</w:t>
            </w:r>
          </w:p>
        </w:tc>
      </w:tr>
    </w:tbl>
    <w:p w:rsidR="00F22401" w:rsidRDefault="00F22401" w:rsidP="00E73D95">
      <w:pPr>
        <w:spacing w:line="480" w:lineRule="auto"/>
        <w:rPr>
          <w:rFonts w:ascii="Times New Roman" w:hAnsi="Times New Roman" w:cs="Times New Roman" w:hint="eastAsia"/>
          <w:sz w:val="24"/>
          <w:szCs w:val="20"/>
        </w:rPr>
      </w:pPr>
    </w:p>
    <w:p w:rsidR="00DE3530" w:rsidRDefault="00DE3530" w:rsidP="00DE3530">
      <w:pPr>
        <w:spacing w:line="480" w:lineRule="auto"/>
        <w:rPr>
          <w:rFonts w:ascii="Times New Roman" w:hAnsi="Times New Roman" w:cs="Times New Roman"/>
          <w:sz w:val="24"/>
          <w:szCs w:val="20"/>
        </w:rPr>
      </w:pPr>
      <w:r>
        <w:rPr>
          <w:rFonts w:ascii="Times New Roman" w:hAnsi="Times New Roman" w:cs="Times New Roman"/>
          <w:b/>
          <w:sz w:val="24"/>
          <w:szCs w:val="20"/>
        </w:rPr>
        <w:t xml:space="preserve">Table </w:t>
      </w:r>
      <w:r w:rsidR="00367F88">
        <w:rPr>
          <w:rFonts w:ascii="Times New Roman" w:hAnsi="Times New Roman" w:cs="Times New Roman"/>
          <w:b/>
          <w:sz w:val="24"/>
          <w:szCs w:val="20"/>
        </w:rPr>
        <w:t>S</w:t>
      </w:r>
      <w:r w:rsidR="00A01D89">
        <w:rPr>
          <w:rFonts w:ascii="Times New Roman" w:hAnsi="Times New Roman" w:cs="Times New Roman"/>
          <w:b/>
          <w:sz w:val="24"/>
          <w:szCs w:val="20"/>
        </w:rPr>
        <w:t>2</w:t>
      </w:r>
      <w:r>
        <w:rPr>
          <w:rFonts w:ascii="Times New Roman" w:hAnsi="Times New Roman" w:cs="Times New Roman"/>
          <w:b/>
          <w:sz w:val="24"/>
          <w:szCs w:val="20"/>
        </w:rPr>
        <w:t>.</w:t>
      </w:r>
      <w:r>
        <w:rPr>
          <w:rFonts w:ascii="Times New Roman" w:hAnsi="Times New Roman" w:cs="Times New Roman"/>
          <w:sz w:val="24"/>
          <w:szCs w:val="20"/>
        </w:rPr>
        <w:t xml:space="preserve"> </w:t>
      </w:r>
      <w:r>
        <w:rPr>
          <w:rFonts w:ascii="Times New Roman" w:hAnsi="Times New Roman" w:cs="Times New Roman"/>
          <w:sz w:val="22"/>
          <w:szCs w:val="20"/>
        </w:rPr>
        <w:t>Electrochemical impedance spectroscopy results</w:t>
      </w:r>
    </w:p>
    <w:tbl>
      <w:tblPr>
        <w:tblStyle w:val="a6"/>
        <w:tblW w:w="0" w:type="auto"/>
        <w:tblLook w:val="04A0" w:firstRow="1" w:lastRow="0" w:firstColumn="1" w:lastColumn="0" w:noHBand="0" w:noVBand="1"/>
      </w:tblPr>
      <w:tblGrid>
        <w:gridCol w:w="1782"/>
        <w:gridCol w:w="1585"/>
        <w:gridCol w:w="1965"/>
        <w:gridCol w:w="1868"/>
      </w:tblGrid>
      <w:tr w:rsidR="00DE3530" w:rsidTr="00BE301C">
        <w:tc>
          <w:tcPr>
            <w:tcW w:w="1782" w:type="dxa"/>
            <w:vMerge w:val="restart"/>
            <w:vAlign w:val="center"/>
          </w:tcPr>
          <w:p w:rsidR="00DE3530" w:rsidRDefault="00DE3530" w:rsidP="002D599E">
            <w:pPr>
              <w:adjustRightInd w:val="0"/>
              <w:jc w:val="center"/>
              <w:rPr>
                <w:rFonts w:ascii="Times New Roman" w:hAnsi="Times New Roman" w:cs="Times New Roman"/>
                <w:sz w:val="24"/>
                <w:szCs w:val="20"/>
              </w:rPr>
            </w:pPr>
            <w:r>
              <w:rPr>
                <w:rFonts w:ascii="Times New Roman" w:hAnsi="Times New Roman" w:cs="Times New Roman"/>
                <w:sz w:val="24"/>
                <w:szCs w:val="20"/>
              </w:rPr>
              <w:t>Temp. [</w:t>
            </w:r>
            <w:r>
              <w:rPr>
                <w:rFonts w:ascii="Times New Roman" w:hAnsi="Times New Roman" w:cs="Times New Roman"/>
                <w:sz w:val="24"/>
                <w:szCs w:val="20"/>
                <w:vertAlign w:val="superscript"/>
              </w:rPr>
              <w:t>o</w:t>
            </w:r>
            <w:r>
              <w:rPr>
                <w:rFonts w:ascii="Times New Roman" w:hAnsi="Times New Roman" w:cs="Times New Roman"/>
                <w:sz w:val="24"/>
                <w:szCs w:val="20"/>
              </w:rPr>
              <w:t>C]</w:t>
            </w:r>
          </w:p>
        </w:tc>
        <w:tc>
          <w:tcPr>
            <w:tcW w:w="3550" w:type="dxa"/>
            <w:gridSpan w:val="2"/>
            <w:vAlign w:val="center"/>
          </w:tcPr>
          <w:p w:rsidR="00DE3530" w:rsidRPr="00163D47" w:rsidRDefault="00DE3530" w:rsidP="002D599E">
            <w:pPr>
              <w:adjustRightInd w:val="0"/>
              <w:jc w:val="center"/>
              <w:rPr>
                <w:rFonts w:ascii="Times New Roman" w:hAnsi="Times New Roman" w:cs="Times New Roman"/>
                <w:sz w:val="24"/>
                <w:szCs w:val="20"/>
              </w:rPr>
            </w:pPr>
            <w:r>
              <w:rPr>
                <w:rFonts w:ascii="Times New Roman" w:hAnsi="Times New Roman" w:cs="Times New Roman"/>
                <w:sz w:val="24"/>
                <w:szCs w:val="20"/>
              </w:rPr>
              <w:t>Transforming cell test</w:t>
            </w:r>
          </w:p>
        </w:tc>
        <w:tc>
          <w:tcPr>
            <w:tcW w:w="1868" w:type="dxa"/>
            <w:vAlign w:val="center"/>
          </w:tcPr>
          <w:p w:rsidR="00DE3530" w:rsidRPr="00163D47" w:rsidRDefault="00DE3530" w:rsidP="002D599E">
            <w:pPr>
              <w:jc w:val="center"/>
              <w:rPr>
                <w:rFonts w:ascii="Times New Roman" w:hAnsi="Times New Roman" w:cs="Times New Roman"/>
                <w:sz w:val="24"/>
                <w:szCs w:val="20"/>
              </w:rPr>
            </w:pPr>
            <w:r>
              <w:rPr>
                <w:rFonts w:ascii="Times New Roman" w:hAnsi="Times New Roman" w:cs="Times New Roman"/>
                <w:sz w:val="24"/>
                <w:szCs w:val="20"/>
              </w:rPr>
              <w:t>Half-cell test</w:t>
            </w:r>
          </w:p>
        </w:tc>
      </w:tr>
      <w:tr w:rsidR="00DE3530" w:rsidTr="002D599E">
        <w:tc>
          <w:tcPr>
            <w:tcW w:w="1782" w:type="dxa"/>
            <w:vMerge/>
            <w:vAlign w:val="center"/>
          </w:tcPr>
          <w:p w:rsidR="00DE3530" w:rsidRDefault="00DE3530" w:rsidP="002D599E">
            <w:pPr>
              <w:adjustRightInd w:val="0"/>
              <w:jc w:val="center"/>
              <w:rPr>
                <w:rFonts w:ascii="Times New Roman" w:hAnsi="Times New Roman" w:cs="Times New Roman"/>
                <w:b/>
                <w:sz w:val="24"/>
                <w:szCs w:val="20"/>
              </w:rPr>
            </w:pPr>
          </w:p>
        </w:tc>
        <w:tc>
          <w:tcPr>
            <w:tcW w:w="1585" w:type="dxa"/>
            <w:vAlign w:val="center"/>
          </w:tcPr>
          <w:p w:rsidR="00DE3530" w:rsidRDefault="00DE3530" w:rsidP="002D599E">
            <w:pPr>
              <w:adjustRightInd w:val="0"/>
              <w:jc w:val="center"/>
              <w:rPr>
                <w:rFonts w:ascii="Times New Roman" w:hAnsi="Times New Roman" w:cs="Times New Roman"/>
                <w:sz w:val="24"/>
                <w:szCs w:val="20"/>
              </w:rPr>
            </w:pPr>
            <w:r>
              <w:rPr>
                <w:rFonts w:ascii="Times New Roman" w:hAnsi="Times New Roman" w:cs="Times New Roman"/>
                <w:sz w:val="24"/>
                <w:szCs w:val="20"/>
              </w:rPr>
              <w:t>Ohmic</w:t>
            </w:r>
            <w:r w:rsidRPr="00163D47">
              <w:rPr>
                <w:rFonts w:ascii="Times New Roman" w:hAnsi="Times New Roman" w:cs="Times New Roman"/>
                <w:sz w:val="24"/>
                <w:szCs w:val="20"/>
              </w:rPr>
              <w:t xml:space="preserve"> resistance </w:t>
            </w:r>
          </w:p>
          <w:p w:rsidR="00DE3530" w:rsidRPr="00163D47" w:rsidRDefault="00DE3530" w:rsidP="002D599E">
            <w:pPr>
              <w:adjustRightInd w:val="0"/>
              <w:jc w:val="center"/>
              <w:rPr>
                <w:rFonts w:ascii="Times New Roman" w:hAnsi="Times New Roman" w:cs="Times New Roman"/>
                <w:sz w:val="24"/>
                <w:szCs w:val="20"/>
              </w:rPr>
            </w:pPr>
            <w:r w:rsidRPr="00163D47">
              <w:rPr>
                <w:rFonts w:ascii="Times New Roman" w:hAnsi="Times New Roman" w:cs="Times New Roman"/>
                <w:sz w:val="24"/>
                <w:szCs w:val="20"/>
              </w:rPr>
              <w:t>[</w:t>
            </w:r>
            <w:r w:rsidRPr="00163D47">
              <w:rPr>
                <w:rFonts w:ascii="Symbol" w:hAnsi="Symbol" w:cs="Times New Roman"/>
                <w:sz w:val="24"/>
                <w:szCs w:val="20"/>
              </w:rPr>
              <w:t></w:t>
            </w:r>
            <w:r w:rsidRPr="00163D47">
              <w:rPr>
                <w:rFonts w:ascii="Times New Roman" w:hAnsi="Times New Roman" w:cs="Times New Roman"/>
                <w:sz w:val="24"/>
                <w:szCs w:val="20"/>
              </w:rPr>
              <w:t xml:space="preserve"> cm</w:t>
            </w:r>
            <w:r w:rsidRPr="00163D47">
              <w:rPr>
                <w:rFonts w:ascii="Times New Roman" w:hAnsi="Times New Roman" w:cs="Times New Roman"/>
                <w:sz w:val="24"/>
                <w:szCs w:val="20"/>
                <w:vertAlign w:val="superscript"/>
              </w:rPr>
              <w:t>2</w:t>
            </w:r>
            <w:r w:rsidRPr="00163D47">
              <w:rPr>
                <w:rFonts w:ascii="Times New Roman" w:hAnsi="Times New Roman" w:cs="Times New Roman"/>
                <w:sz w:val="24"/>
                <w:szCs w:val="20"/>
              </w:rPr>
              <w:t>]</w:t>
            </w:r>
          </w:p>
        </w:tc>
        <w:tc>
          <w:tcPr>
            <w:tcW w:w="1965" w:type="dxa"/>
            <w:vAlign w:val="center"/>
          </w:tcPr>
          <w:p w:rsidR="00DE3530" w:rsidRDefault="00DE3530" w:rsidP="002D599E">
            <w:pPr>
              <w:adjustRightInd w:val="0"/>
              <w:jc w:val="center"/>
              <w:rPr>
                <w:rFonts w:ascii="Times New Roman" w:hAnsi="Times New Roman" w:cs="Times New Roman"/>
                <w:sz w:val="24"/>
                <w:szCs w:val="20"/>
              </w:rPr>
            </w:pPr>
            <w:r w:rsidRPr="00163D47">
              <w:rPr>
                <w:rFonts w:ascii="Times New Roman" w:hAnsi="Times New Roman" w:cs="Times New Roman" w:hint="eastAsia"/>
                <w:sz w:val="24"/>
                <w:szCs w:val="20"/>
              </w:rPr>
              <w:t>P</w:t>
            </w:r>
            <w:r w:rsidRPr="00163D47">
              <w:rPr>
                <w:rFonts w:ascii="Times New Roman" w:hAnsi="Times New Roman" w:cs="Times New Roman"/>
                <w:sz w:val="24"/>
                <w:szCs w:val="20"/>
              </w:rPr>
              <w:t xml:space="preserve">olarization resistance </w:t>
            </w:r>
          </w:p>
          <w:p w:rsidR="00DE3530" w:rsidRPr="00163D47" w:rsidRDefault="00DE3530" w:rsidP="002D599E">
            <w:pPr>
              <w:adjustRightInd w:val="0"/>
              <w:jc w:val="center"/>
              <w:rPr>
                <w:rFonts w:ascii="Times New Roman" w:hAnsi="Times New Roman" w:cs="Times New Roman"/>
                <w:sz w:val="24"/>
                <w:szCs w:val="20"/>
              </w:rPr>
            </w:pPr>
            <w:r w:rsidRPr="00163D47">
              <w:rPr>
                <w:rFonts w:ascii="Times New Roman" w:hAnsi="Times New Roman" w:cs="Times New Roman"/>
                <w:sz w:val="24"/>
                <w:szCs w:val="20"/>
              </w:rPr>
              <w:t>[</w:t>
            </w:r>
            <w:r w:rsidRPr="00163D47">
              <w:rPr>
                <w:rFonts w:ascii="Symbol" w:hAnsi="Symbol" w:cs="Times New Roman"/>
                <w:sz w:val="24"/>
                <w:szCs w:val="20"/>
              </w:rPr>
              <w:t></w:t>
            </w:r>
            <w:r w:rsidRPr="00163D47">
              <w:rPr>
                <w:rFonts w:ascii="Times New Roman" w:hAnsi="Times New Roman" w:cs="Times New Roman"/>
                <w:sz w:val="24"/>
                <w:szCs w:val="20"/>
              </w:rPr>
              <w:t xml:space="preserve"> cm</w:t>
            </w:r>
            <w:r w:rsidRPr="00163D47">
              <w:rPr>
                <w:rFonts w:ascii="Times New Roman" w:hAnsi="Times New Roman" w:cs="Times New Roman"/>
                <w:sz w:val="24"/>
                <w:szCs w:val="20"/>
                <w:vertAlign w:val="superscript"/>
              </w:rPr>
              <w:t>2</w:t>
            </w:r>
            <w:r w:rsidRPr="00163D47">
              <w:rPr>
                <w:rFonts w:ascii="Times New Roman" w:hAnsi="Times New Roman" w:cs="Times New Roman"/>
                <w:sz w:val="24"/>
                <w:szCs w:val="20"/>
              </w:rPr>
              <w:t>]</w:t>
            </w:r>
          </w:p>
        </w:tc>
        <w:tc>
          <w:tcPr>
            <w:tcW w:w="1868" w:type="dxa"/>
            <w:vAlign w:val="center"/>
          </w:tcPr>
          <w:p w:rsidR="00DE3530" w:rsidRDefault="00DE3530" w:rsidP="002D599E">
            <w:pPr>
              <w:jc w:val="center"/>
              <w:rPr>
                <w:rFonts w:ascii="Times New Roman" w:hAnsi="Times New Roman" w:cs="Times New Roman"/>
                <w:sz w:val="24"/>
                <w:szCs w:val="20"/>
              </w:rPr>
            </w:pPr>
            <w:r w:rsidRPr="00163D47">
              <w:rPr>
                <w:rFonts w:ascii="Times New Roman" w:hAnsi="Times New Roman" w:cs="Times New Roman" w:hint="eastAsia"/>
                <w:sz w:val="24"/>
                <w:szCs w:val="20"/>
              </w:rPr>
              <w:t>C</w:t>
            </w:r>
            <w:r w:rsidRPr="00163D47">
              <w:rPr>
                <w:rFonts w:ascii="Times New Roman" w:hAnsi="Times New Roman" w:cs="Times New Roman"/>
                <w:sz w:val="24"/>
                <w:szCs w:val="20"/>
              </w:rPr>
              <w:t xml:space="preserve">athodic loss </w:t>
            </w:r>
          </w:p>
          <w:p w:rsidR="00DE3530" w:rsidRPr="00163D47" w:rsidRDefault="00DE3530" w:rsidP="00DE3530">
            <w:pPr>
              <w:jc w:val="center"/>
              <w:rPr>
                <w:rFonts w:ascii="Times New Roman" w:hAnsi="Times New Roman" w:cs="Times New Roman"/>
                <w:sz w:val="24"/>
                <w:szCs w:val="20"/>
              </w:rPr>
            </w:pPr>
            <w:r w:rsidRPr="00163D47">
              <w:rPr>
                <w:rFonts w:ascii="Times New Roman" w:hAnsi="Times New Roman" w:cs="Times New Roman"/>
                <w:sz w:val="24"/>
                <w:szCs w:val="20"/>
              </w:rPr>
              <w:t>[</w:t>
            </w:r>
            <w:r w:rsidRPr="00163D47">
              <w:rPr>
                <w:rFonts w:ascii="Symbol" w:hAnsi="Symbol" w:cs="Times New Roman"/>
                <w:sz w:val="24"/>
                <w:szCs w:val="20"/>
              </w:rPr>
              <w:t></w:t>
            </w:r>
            <w:r w:rsidRPr="00163D47">
              <w:rPr>
                <w:rFonts w:ascii="Times New Roman" w:hAnsi="Times New Roman" w:cs="Times New Roman"/>
                <w:sz w:val="24"/>
                <w:szCs w:val="20"/>
              </w:rPr>
              <w:t xml:space="preserve"> cm</w:t>
            </w:r>
            <w:r w:rsidRPr="00163D47">
              <w:rPr>
                <w:rFonts w:ascii="Times New Roman" w:hAnsi="Times New Roman" w:cs="Times New Roman"/>
                <w:sz w:val="24"/>
                <w:szCs w:val="20"/>
                <w:vertAlign w:val="superscript"/>
              </w:rPr>
              <w:t>2</w:t>
            </w:r>
            <w:r w:rsidRPr="00163D47">
              <w:rPr>
                <w:rFonts w:ascii="Times New Roman" w:hAnsi="Times New Roman" w:cs="Times New Roman"/>
                <w:sz w:val="24"/>
                <w:szCs w:val="20"/>
              </w:rPr>
              <w:t>]</w:t>
            </w:r>
          </w:p>
        </w:tc>
      </w:tr>
      <w:tr w:rsidR="00DE3530" w:rsidTr="002D599E">
        <w:tc>
          <w:tcPr>
            <w:tcW w:w="1782" w:type="dxa"/>
            <w:vAlign w:val="center"/>
          </w:tcPr>
          <w:p w:rsidR="00DE3530" w:rsidRPr="00163D47" w:rsidRDefault="00DE3530" w:rsidP="002D599E">
            <w:pPr>
              <w:adjustRightInd w:val="0"/>
              <w:jc w:val="center"/>
              <w:rPr>
                <w:rFonts w:ascii="Times New Roman" w:hAnsi="Times New Roman" w:cs="Times New Roman"/>
                <w:sz w:val="24"/>
                <w:szCs w:val="20"/>
              </w:rPr>
            </w:pPr>
            <w:r w:rsidRPr="00163D47">
              <w:rPr>
                <w:rFonts w:ascii="Times New Roman" w:hAnsi="Times New Roman" w:cs="Times New Roman" w:hint="eastAsia"/>
                <w:sz w:val="24"/>
                <w:szCs w:val="20"/>
              </w:rPr>
              <w:t>8</w:t>
            </w:r>
            <w:r w:rsidRPr="00163D47">
              <w:rPr>
                <w:rFonts w:ascii="Times New Roman" w:hAnsi="Times New Roman" w:cs="Times New Roman"/>
                <w:sz w:val="24"/>
                <w:szCs w:val="20"/>
              </w:rPr>
              <w:t>00</w:t>
            </w:r>
          </w:p>
        </w:tc>
        <w:tc>
          <w:tcPr>
            <w:tcW w:w="1585" w:type="dxa"/>
          </w:tcPr>
          <w:p w:rsidR="00DE3530" w:rsidRPr="00163D47" w:rsidRDefault="00DE353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.147</w:t>
            </w:r>
          </w:p>
        </w:tc>
        <w:tc>
          <w:tcPr>
            <w:tcW w:w="1965" w:type="dxa"/>
            <w:vAlign w:val="center"/>
          </w:tcPr>
          <w:p w:rsidR="00DE3530" w:rsidRPr="00163D47" w:rsidRDefault="00DE353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.139</w:t>
            </w:r>
          </w:p>
        </w:tc>
        <w:tc>
          <w:tcPr>
            <w:tcW w:w="1868" w:type="dxa"/>
            <w:vAlign w:val="center"/>
          </w:tcPr>
          <w:p w:rsidR="00DE3530" w:rsidRPr="00163D47" w:rsidRDefault="00197343"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.033</w:t>
            </w:r>
          </w:p>
        </w:tc>
      </w:tr>
      <w:tr w:rsidR="00DE3530" w:rsidTr="002D599E">
        <w:tc>
          <w:tcPr>
            <w:tcW w:w="1782" w:type="dxa"/>
            <w:vAlign w:val="center"/>
          </w:tcPr>
          <w:p w:rsidR="00DE3530" w:rsidRPr="00163D47" w:rsidRDefault="00DE3530" w:rsidP="002D599E">
            <w:pPr>
              <w:adjustRightInd w:val="0"/>
              <w:jc w:val="center"/>
              <w:rPr>
                <w:rFonts w:ascii="Times New Roman" w:hAnsi="Times New Roman" w:cs="Times New Roman"/>
                <w:sz w:val="24"/>
                <w:szCs w:val="20"/>
              </w:rPr>
            </w:pPr>
            <w:r w:rsidRPr="00163D47">
              <w:rPr>
                <w:rFonts w:ascii="Times New Roman" w:hAnsi="Times New Roman" w:cs="Times New Roman" w:hint="eastAsia"/>
                <w:sz w:val="24"/>
                <w:szCs w:val="20"/>
              </w:rPr>
              <w:t>7</w:t>
            </w:r>
            <w:r w:rsidRPr="00163D47">
              <w:rPr>
                <w:rFonts w:ascii="Times New Roman" w:hAnsi="Times New Roman" w:cs="Times New Roman"/>
                <w:sz w:val="24"/>
                <w:szCs w:val="20"/>
              </w:rPr>
              <w:t>50</w:t>
            </w:r>
          </w:p>
        </w:tc>
        <w:tc>
          <w:tcPr>
            <w:tcW w:w="1585" w:type="dxa"/>
          </w:tcPr>
          <w:p w:rsidR="00DE3530" w:rsidRPr="00163D47" w:rsidRDefault="00DE353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.187</w:t>
            </w:r>
          </w:p>
        </w:tc>
        <w:tc>
          <w:tcPr>
            <w:tcW w:w="1965" w:type="dxa"/>
            <w:vAlign w:val="center"/>
          </w:tcPr>
          <w:p w:rsidR="00DE3530" w:rsidRPr="00163D47" w:rsidRDefault="00DE353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.273</w:t>
            </w:r>
          </w:p>
        </w:tc>
        <w:tc>
          <w:tcPr>
            <w:tcW w:w="1868" w:type="dxa"/>
            <w:vAlign w:val="center"/>
          </w:tcPr>
          <w:p w:rsidR="00DE3530" w:rsidRPr="00163D47" w:rsidRDefault="00197343"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.073</w:t>
            </w:r>
          </w:p>
        </w:tc>
      </w:tr>
      <w:tr w:rsidR="00DE3530" w:rsidTr="002D599E">
        <w:tc>
          <w:tcPr>
            <w:tcW w:w="1782" w:type="dxa"/>
            <w:vAlign w:val="center"/>
          </w:tcPr>
          <w:p w:rsidR="00DE3530" w:rsidRPr="00163D47" w:rsidRDefault="00DE3530" w:rsidP="002D599E">
            <w:pPr>
              <w:adjustRightInd w:val="0"/>
              <w:jc w:val="center"/>
              <w:rPr>
                <w:rFonts w:ascii="Times New Roman" w:hAnsi="Times New Roman" w:cs="Times New Roman"/>
                <w:sz w:val="24"/>
                <w:szCs w:val="20"/>
              </w:rPr>
            </w:pPr>
            <w:r w:rsidRPr="00163D47">
              <w:rPr>
                <w:rFonts w:ascii="Times New Roman" w:hAnsi="Times New Roman" w:cs="Times New Roman" w:hint="eastAsia"/>
                <w:sz w:val="24"/>
                <w:szCs w:val="20"/>
              </w:rPr>
              <w:t>7</w:t>
            </w:r>
            <w:r w:rsidRPr="00163D47">
              <w:rPr>
                <w:rFonts w:ascii="Times New Roman" w:hAnsi="Times New Roman" w:cs="Times New Roman"/>
                <w:sz w:val="24"/>
                <w:szCs w:val="20"/>
              </w:rPr>
              <w:t>00</w:t>
            </w:r>
          </w:p>
        </w:tc>
        <w:tc>
          <w:tcPr>
            <w:tcW w:w="1585" w:type="dxa"/>
          </w:tcPr>
          <w:p w:rsidR="00DE3530" w:rsidRPr="00163D47" w:rsidRDefault="00DE353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.244</w:t>
            </w:r>
          </w:p>
        </w:tc>
        <w:tc>
          <w:tcPr>
            <w:tcW w:w="1965" w:type="dxa"/>
            <w:vAlign w:val="center"/>
          </w:tcPr>
          <w:p w:rsidR="00DE3530" w:rsidRPr="00163D47" w:rsidRDefault="00DE353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.530</w:t>
            </w:r>
          </w:p>
        </w:tc>
        <w:tc>
          <w:tcPr>
            <w:tcW w:w="1868" w:type="dxa"/>
            <w:vAlign w:val="center"/>
          </w:tcPr>
          <w:p w:rsidR="00DE3530" w:rsidRPr="00163D47" w:rsidRDefault="00197343"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.189</w:t>
            </w:r>
          </w:p>
        </w:tc>
      </w:tr>
    </w:tbl>
    <w:p w:rsidR="00DE3530" w:rsidRPr="000C09B3" w:rsidRDefault="00DE3530" w:rsidP="00DE3530">
      <w:pPr>
        <w:spacing w:line="480" w:lineRule="auto"/>
        <w:rPr>
          <w:rFonts w:ascii="Times New Roman" w:hAnsi="Times New Roman" w:cs="Times New Roman"/>
          <w:b/>
          <w:sz w:val="24"/>
          <w:szCs w:val="20"/>
        </w:rPr>
      </w:pPr>
    </w:p>
    <w:p w:rsidR="002A64B2" w:rsidRDefault="002A64B2" w:rsidP="00E73D95">
      <w:pPr>
        <w:spacing w:line="480" w:lineRule="auto"/>
        <w:rPr>
          <w:rFonts w:ascii="Times New Roman" w:hAnsi="Times New Roman" w:cs="Times New Roman"/>
          <w:sz w:val="22"/>
        </w:rPr>
        <w:sectPr w:rsidR="002A64B2">
          <w:pgSz w:w="11906" w:h="16838"/>
          <w:pgMar w:top="1701" w:right="1440" w:bottom="1440" w:left="1440" w:header="851" w:footer="992" w:gutter="0"/>
          <w:cols w:space="425"/>
          <w:docGrid w:linePitch="360"/>
        </w:sectPr>
      </w:pPr>
    </w:p>
    <w:p w:rsidR="002A64B2" w:rsidRDefault="002A64B2" w:rsidP="002E3327">
      <w:pPr>
        <w:spacing w:after="0" w:line="480" w:lineRule="auto"/>
        <w:rPr>
          <w:rFonts w:ascii="Times New Roman" w:hAnsi="Times New Roman" w:cs="Times New Roman"/>
          <w:sz w:val="24"/>
          <w:szCs w:val="20"/>
        </w:rPr>
      </w:pPr>
      <w:r>
        <w:rPr>
          <w:rFonts w:ascii="Times New Roman" w:hAnsi="Times New Roman" w:cs="Times New Roman"/>
          <w:b/>
          <w:sz w:val="24"/>
          <w:szCs w:val="20"/>
        </w:rPr>
        <w:lastRenderedPageBreak/>
        <w:t xml:space="preserve">Table </w:t>
      </w:r>
      <w:r w:rsidR="00367F88">
        <w:rPr>
          <w:rFonts w:ascii="Times New Roman" w:hAnsi="Times New Roman" w:cs="Times New Roman"/>
          <w:b/>
          <w:sz w:val="24"/>
          <w:szCs w:val="20"/>
        </w:rPr>
        <w:t>S</w:t>
      </w:r>
      <w:r w:rsidR="00A01D89">
        <w:rPr>
          <w:rFonts w:ascii="Times New Roman" w:hAnsi="Times New Roman" w:cs="Times New Roman"/>
          <w:b/>
          <w:sz w:val="24"/>
          <w:szCs w:val="20"/>
        </w:rPr>
        <w:t>3</w:t>
      </w:r>
      <w:bookmarkStart w:id="2" w:name="_GoBack"/>
      <w:bookmarkEnd w:id="2"/>
      <w:r>
        <w:rPr>
          <w:rFonts w:ascii="Times New Roman" w:hAnsi="Times New Roman" w:cs="Times New Roman"/>
          <w:b/>
          <w:sz w:val="24"/>
          <w:szCs w:val="20"/>
        </w:rPr>
        <w:t>.</w:t>
      </w:r>
      <w:r>
        <w:rPr>
          <w:rFonts w:ascii="Times New Roman" w:hAnsi="Times New Roman" w:cs="Times New Roman"/>
          <w:sz w:val="24"/>
          <w:szCs w:val="20"/>
        </w:rPr>
        <w:t xml:space="preserve"> </w:t>
      </w:r>
      <w:r>
        <w:rPr>
          <w:rFonts w:ascii="Times New Roman" w:hAnsi="Times New Roman" w:cs="Times New Roman"/>
          <w:sz w:val="22"/>
          <w:szCs w:val="20"/>
        </w:rPr>
        <w:t>Summary of the electrochemical performances of SSOFC system with H</w:t>
      </w:r>
      <w:r w:rsidRPr="00EF6BCA">
        <w:rPr>
          <w:rFonts w:ascii="Times New Roman" w:hAnsi="Times New Roman" w:cs="Times New Roman"/>
          <w:sz w:val="22"/>
          <w:szCs w:val="20"/>
          <w:vertAlign w:val="subscript"/>
        </w:rPr>
        <w:t>2</w:t>
      </w:r>
      <w:r>
        <w:rPr>
          <w:rFonts w:ascii="Times New Roman" w:hAnsi="Times New Roman" w:cs="Times New Roman"/>
          <w:sz w:val="22"/>
          <w:szCs w:val="20"/>
        </w:rPr>
        <w:t xml:space="preserve"> fuel.</w:t>
      </w:r>
    </w:p>
    <w:tbl>
      <w:tblPr>
        <w:tblStyle w:val="a6"/>
        <w:tblW w:w="13687" w:type="dxa"/>
        <w:jc w:val="center"/>
        <w:tblLook w:val="04A0" w:firstRow="1" w:lastRow="0" w:firstColumn="1" w:lastColumn="0" w:noHBand="0" w:noVBand="1"/>
      </w:tblPr>
      <w:tblGrid>
        <w:gridCol w:w="2150"/>
        <w:gridCol w:w="2712"/>
        <w:gridCol w:w="1585"/>
        <w:gridCol w:w="2232"/>
        <w:gridCol w:w="1610"/>
        <w:gridCol w:w="1738"/>
        <w:gridCol w:w="885"/>
        <w:gridCol w:w="775"/>
      </w:tblGrid>
      <w:tr w:rsidR="00B40900" w:rsidTr="00B40900">
        <w:trPr>
          <w:trHeight w:val="501"/>
          <w:jc w:val="center"/>
        </w:trPr>
        <w:tc>
          <w:tcPr>
            <w:tcW w:w="6447" w:type="dxa"/>
            <w:gridSpan w:val="3"/>
            <w:tcBorders>
              <w:top w:val="single" w:sz="4" w:space="0" w:color="auto"/>
              <w:left w:val="single" w:sz="4" w:space="0" w:color="auto"/>
              <w:bottom w:val="single" w:sz="4" w:space="0" w:color="auto"/>
              <w:right w:val="single" w:sz="4" w:space="0" w:color="auto"/>
            </w:tcBorders>
            <w:vAlign w:val="center"/>
          </w:tcPr>
          <w:p w:rsidR="00B40900" w:rsidRDefault="00B40900" w:rsidP="002D599E">
            <w:pPr>
              <w:adjustRightInd w:val="0"/>
              <w:snapToGrid w:val="0"/>
              <w:jc w:val="center"/>
              <w:rPr>
                <w:rFonts w:ascii="Times New Roman" w:hAnsi="Times New Roman" w:cs="Times New Roman"/>
                <w:sz w:val="24"/>
                <w:szCs w:val="20"/>
              </w:rPr>
            </w:pPr>
            <w:r>
              <w:rPr>
                <w:rFonts w:ascii="Times New Roman" w:hAnsi="Times New Roman" w:cs="Times New Roman"/>
                <w:sz w:val="24"/>
                <w:szCs w:val="20"/>
              </w:rPr>
              <w:t>Material</w:t>
            </w:r>
          </w:p>
        </w:tc>
        <w:tc>
          <w:tcPr>
            <w:tcW w:w="2232" w:type="dxa"/>
            <w:vMerge w:val="restart"/>
            <w:tcBorders>
              <w:top w:val="single" w:sz="4" w:space="0" w:color="auto"/>
              <w:left w:val="single" w:sz="4" w:space="0" w:color="auto"/>
              <w:right w:val="single" w:sz="4" w:space="0" w:color="auto"/>
            </w:tcBorders>
            <w:vAlign w:val="center"/>
            <w:hideMark/>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Fabrication</w:t>
            </w:r>
          </w:p>
        </w:tc>
        <w:tc>
          <w:tcPr>
            <w:tcW w:w="4233" w:type="dxa"/>
            <w:gridSpan w:val="3"/>
            <w:tcBorders>
              <w:top w:val="single" w:sz="4" w:space="0" w:color="auto"/>
              <w:left w:val="single" w:sz="4" w:space="0" w:color="auto"/>
              <w:bottom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SSOFC system</w:t>
            </w:r>
          </w:p>
        </w:tc>
        <w:tc>
          <w:tcPr>
            <w:tcW w:w="775" w:type="dxa"/>
            <w:vMerge w:val="restart"/>
            <w:tcBorders>
              <w:top w:val="single" w:sz="4" w:space="0" w:color="auto"/>
              <w:left w:val="single" w:sz="4" w:space="0" w:color="auto"/>
              <w:right w:val="single" w:sz="4" w:space="0" w:color="auto"/>
            </w:tcBorders>
            <w:vAlign w:val="center"/>
            <w:hideMark/>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Ref.</w:t>
            </w:r>
          </w:p>
        </w:tc>
      </w:tr>
      <w:tr w:rsidR="00B40900" w:rsidTr="00B40900">
        <w:trPr>
          <w:trHeight w:val="464"/>
          <w:jc w:val="center"/>
        </w:trPr>
        <w:tc>
          <w:tcPr>
            <w:tcW w:w="4862" w:type="dxa"/>
            <w:gridSpan w:val="2"/>
            <w:tcBorders>
              <w:top w:val="single" w:sz="4" w:space="0" w:color="auto"/>
              <w:left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Electrode</w:t>
            </w:r>
          </w:p>
        </w:tc>
        <w:tc>
          <w:tcPr>
            <w:tcW w:w="1585" w:type="dxa"/>
            <w:vMerge w:val="restart"/>
            <w:tcBorders>
              <w:top w:val="single" w:sz="4" w:space="0" w:color="auto"/>
              <w:left w:val="single" w:sz="4" w:space="0" w:color="auto"/>
              <w:right w:val="single" w:sz="4" w:space="0" w:color="auto"/>
            </w:tcBorders>
            <w:vAlign w:val="center"/>
            <w:hideMark/>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Electrolyte</w:t>
            </w:r>
          </w:p>
        </w:tc>
        <w:tc>
          <w:tcPr>
            <w:tcW w:w="0" w:type="auto"/>
            <w:vMerge/>
            <w:tcBorders>
              <w:left w:val="single" w:sz="4" w:space="0" w:color="auto"/>
              <w:right w:val="single" w:sz="4" w:space="0" w:color="auto"/>
            </w:tcBorders>
            <w:vAlign w:val="center"/>
            <w:hideMark/>
          </w:tcPr>
          <w:p w:rsidR="00B40900" w:rsidRDefault="00B40900" w:rsidP="002D599E">
            <w:pPr>
              <w:jc w:val="center"/>
              <w:rPr>
                <w:rFonts w:ascii="Times New Roman" w:hAnsi="Times New Roman" w:cs="Times New Roman"/>
                <w:sz w:val="24"/>
                <w:szCs w:val="20"/>
              </w:rPr>
            </w:pPr>
          </w:p>
        </w:tc>
        <w:tc>
          <w:tcPr>
            <w:tcW w:w="1610" w:type="dxa"/>
            <w:vMerge w:val="restart"/>
            <w:tcBorders>
              <w:top w:val="single" w:sz="4" w:space="0" w:color="auto"/>
              <w:left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Maximum power density</w:t>
            </w:r>
          </w:p>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(W cm</w:t>
            </w:r>
            <w:r>
              <w:rPr>
                <w:rFonts w:ascii="Times New Roman" w:hAnsi="Times New Roman" w:cs="Times New Roman"/>
                <w:sz w:val="24"/>
                <w:szCs w:val="20"/>
                <w:vertAlign w:val="superscript"/>
              </w:rPr>
              <w:t>-2</w:t>
            </w:r>
            <w:r>
              <w:rPr>
                <w:rFonts w:ascii="Times New Roman" w:hAnsi="Times New Roman" w:cs="Times New Roman"/>
                <w:sz w:val="24"/>
                <w:szCs w:val="20"/>
              </w:rPr>
              <w:t>)</w:t>
            </w:r>
          </w:p>
        </w:tc>
        <w:tc>
          <w:tcPr>
            <w:tcW w:w="1738" w:type="dxa"/>
            <w:vMerge w:val="restart"/>
            <w:tcBorders>
              <w:top w:val="single" w:sz="4" w:space="0" w:color="auto"/>
              <w:left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P</w:t>
            </w:r>
            <w:r>
              <w:rPr>
                <w:rFonts w:ascii="Times New Roman" w:hAnsi="Times New Roman" w:cs="Times New Roman"/>
                <w:sz w:val="24"/>
                <w:szCs w:val="20"/>
              </w:rPr>
              <w:t>olarization resistance</w:t>
            </w:r>
          </w:p>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w:t>
            </w:r>
            <w:r w:rsidRPr="00EF6BCA">
              <w:rPr>
                <w:rFonts w:ascii="Symbol" w:hAnsi="Symbol" w:cs="Times New Roman"/>
                <w:sz w:val="24"/>
                <w:szCs w:val="20"/>
              </w:rPr>
              <w:t></w:t>
            </w:r>
            <w:r>
              <w:rPr>
                <w:rFonts w:ascii="Times New Roman" w:hAnsi="Times New Roman" w:cs="Times New Roman"/>
                <w:sz w:val="24"/>
                <w:szCs w:val="20"/>
              </w:rPr>
              <w:t xml:space="preserve"> cm</w:t>
            </w:r>
            <w:r w:rsidRPr="00EF6BCA">
              <w:rPr>
                <w:rFonts w:ascii="Times New Roman" w:hAnsi="Times New Roman" w:cs="Times New Roman"/>
                <w:sz w:val="24"/>
                <w:szCs w:val="20"/>
                <w:vertAlign w:val="superscript"/>
              </w:rPr>
              <w:t>2</w:t>
            </w:r>
            <w:r>
              <w:rPr>
                <w:rFonts w:ascii="Times New Roman" w:hAnsi="Times New Roman" w:cs="Times New Roman"/>
                <w:sz w:val="24"/>
                <w:szCs w:val="20"/>
              </w:rPr>
              <w:t>)</w:t>
            </w:r>
          </w:p>
        </w:tc>
        <w:tc>
          <w:tcPr>
            <w:tcW w:w="885" w:type="dxa"/>
            <w:vMerge w:val="restart"/>
            <w:tcBorders>
              <w:top w:val="single" w:sz="4" w:space="0" w:color="auto"/>
              <w:left w:val="single" w:sz="4" w:space="0" w:color="auto"/>
              <w:right w:val="single" w:sz="4" w:space="0" w:color="auto"/>
            </w:tcBorders>
            <w:vAlign w:val="center"/>
            <w:hideMark/>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Temp.</w:t>
            </w:r>
          </w:p>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sz w:val="24"/>
                <w:szCs w:val="20"/>
              </w:rPr>
              <w:t>(</w:t>
            </w:r>
            <w:r>
              <w:rPr>
                <w:rFonts w:ascii="Times New Roman" w:hAnsi="Times New Roman" w:cs="Times New Roman"/>
                <w:sz w:val="24"/>
                <w:szCs w:val="20"/>
                <w:vertAlign w:val="superscript"/>
              </w:rPr>
              <w:t>o</w:t>
            </w:r>
            <w:r>
              <w:rPr>
                <w:rFonts w:ascii="Times New Roman" w:hAnsi="Times New Roman" w:cs="Times New Roman"/>
                <w:sz w:val="24"/>
                <w:szCs w:val="20"/>
              </w:rPr>
              <w:t>C)</w:t>
            </w:r>
          </w:p>
        </w:tc>
        <w:tc>
          <w:tcPr>
            <w:tcW w:w="0" w:type="auto"/>
            <w:vMerge/>
            <w:tcBorders>
              <w:left w:val="single" w:sz="4" w:space="0" w:color="auto"/>
              <w:right w:val="single" w:sz="4" w:space="0" w:color="auto"/>
            </w:tcBorders>
            <w:vAlign w:val="center"/>
            <w:hideMark/>
          </w:tcPr>
          <w:p w:rsidR="00B40900" w:rsidRDefault="00B40900" w:rsidP="002D599E">
            <w:pPr>
              <w:jc w:val="center"/>
              <w:rPr>
                <w:rFonts w:ascii="Times New Roman" w:hAnsi="Times New Roman" w:cs="Times New Roman"/>
                <w:sz w:val="24"/>
                <w:szCs w:val="20"/>
              </w:rPr>
            </w:pPr>
          </w:p>
        </w:tc>
      </w:tr>
      <w:tr w:rsidR="00B40900" w:rsidTr="00B40900">
        <w:trPr>
          <w:trHeight w:val="463"/>
          <w:jc w:val="center"/>
        </w:trPr>
        <w:tc>
          <w:tcPr>
            <w:tcW w:w="2150" w:type="dxa"/>
            <w:tcBorders>
              <w:left w:val="single" w:sz="4" w:space="0" w:color="auto"/>
              <w:bottom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A</w:t>
            </w:r>
            <w:r>
              <w:rPr>
                <w:rFonts w:ascii="Times New Roman" w:hAnsi="Times New Roman" w:cs="Times New Roman"/>
                <w:sz w:val="24"/>
                <w:szCs w:val="20"/>
              </w:rPr>
              <w:t>ir side</w:t>
            </w:r>
          </w:p>
        </w:tc>
        <w:tc>
          <w:tcPr>
            <w:tcW w:w="2712" w:type="dxa"/>
            <w:tcBorders>
              <w:top w:val="single" w:sz="4" w:space="0" w:color="auto"/>
              <w:left w:val="single" w:sz="4" w:space="0" w:color="auto"/>
              <w:bottom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F</w:t>
            </w:r>
            <w:r>
              <w:rPr>
                <w:rFonts w:ascii="Times New Roman" w:hAnsi="Times New Roman" w:cs="Times New Roman"/>
                <w:sz w:val="24"/>
                <w:szCs w:val="20"/>
              </w:rPr>
              <w:t>uel side</w:t>
            </w:r>
          </w:p>
        </w:tc>
        <w:tc>
          <w:tcPr>
            <w:tcW w:w="1585" w:type="dxa"/>
            <w:vMerge/>
            <w:tcBorders>
              <w:left w:val="single" w:sz="4" w:space="0" w:color="auto"/>
              <w:bottom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p>
        </w:tc>
        <w:tc>
          <w:tcPr>
            <w:tcW w:w="0" w:type="auto"/>
            <w:vMerge/>
            <w:tcBorders>
              <w:left w:val="single" w:sz="4" w:space="0" w:color="auto"/>
              <w:bottom w:val="single" w:sz="4" w:space="0" w:color="auto"/>
              <w:right w:val="single" w:sz="4" w:space="0" w:color="auto"/>
            </w:tcBorders>
            <w:vAlign w:val="center"/>
          </w:tcPr>
          <w:p w:rsidR="00B40900" w:rsidRDefault="00B40900" w:rsidP="002D599E">
            <w:pPr>
              <w:jc w:val="center"/>
              <w:rPr>
                <w:rFonts w:ascii="Times New Roman" w:hAnsi="Times New Roman" w:cs="Times New Roman"/>
                <w:sz w:val="24"/>
                <w:szCs w:val="20"/>
              </w:rPr>
            </w:pPr>
          </w:p>
        </w:tc>
        <w:tc>
          <w:tcPr>
            <w:tcW w:w="1610" w:type="dxa"/>
            <w:vMerge/>
            <w:tcBorders>
              <w:left w:val="single" w:sz="4" w:space="0" w:color="auto"/>
              <w:bottom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p>
        </w:tc>
        <w:tc>
          <w:tcPr>
            <w:tcW w:w="1738" w:type="dxa"/>
            <w:vMerge/>
            <w:tcBorders>
              <w:left w:val="single" w:sz="4" w:space="0" w:color="auto"/>
              <w:bottom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p>
        </w:tc>
        <w:tc>
          <w:tcPr>
            <w:tcW w:w="885" w:type="dxa"/>
            <w:vMerge/>
            <w:tcBorders>
              <w:left w:val="single" w:sz="4" w:space="0" w:color="auto"/>
              <w:bottom w:val="single" w:sz="4" w:space="0" w:color="auto"/>
              <w:right w:val="single" w:sz="4" w:space="0" w:color="auto"/>
            </w:tcBorders>
            <w:vAlign w:val="center"/>
          </w:tcPr>
          <w:p w:rsidR="00B40900" w:rsidRDefault="00B40900" w:rsidP="002D599E">
            <w:pPr>
              <w:adjustRightInd w:val="0"/>
              <w:jc w:val="center"/>
              <w:rPr>
                <w:rFonts w:ascii="Times New Roman" w:hAnsi="Times New Roman" w:cs="Times New Roman"/>
                <w:sz w:val="24"/>
                <w:szCs w:val="20"/>
              </w:rPr>
            </w:pPr>
          </w:p>
        </w:tc>
        <w:tc>
          <w:tcPr>
            <w:tcW w:w="0" w:type="auto"/>
            <w:vMerge/>
            <w:tcBorders>
              <w:left w:val="single" w:sz="4" w:space="0" w:color="auto"/>
              <w:bottom w:val="single" w:sz="4" w:space="0" w:color="auto"/>
              <w:right w:val="single" w:sz="4" w:space="0" w:color="auto"/>
            </w:tcBorders>
            <w:vAlign w:val="center"/>
          </w:tcPr>
          <w:p w:rsidR="00B40900" w:rsidRDefault="00B40900" w:rsidP="002D599E">
            <w:pPr>
              <w:jc w:val="center"/>
              <w:rPr>
                <w:rFonts w:ascii="Times New Roman" w:hAnsi="Times New Roman" w:cs="Times New Roman"/>
                <w:sz w:val="24"/>
                <w:szCs w:val="20"/>
              </w:rPr>
            </w:pPr>
          </w:p>
        </w:tc>
      </w:tr>
      <w:tr w:rsidR="000D7C41" w:rsidTr="00B40900">
        <w:trPr>
          <w:trHeight w:val="481"/>
          <w:jc w:val="center"/>
        </w:trPr>
        <w:tc>
          <w:tcPr>
            <w:tcW w:w="48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sz w:val="24"/>
                <w:szCs w:val="20"/>
              </w:rPr>
              <w:t>PBMCo-</w:t>
            </w:r>
            <w:proofErr w:type="spellStart"/>
            <w:r w:rsidR="00857668" w:rsidRPr="00857668">
              <w:rPr>
                <w:rFonts w:ascii="Times New Roman" w:hAnsi="Times New Roman" w:cs="Times New Roman"/>
                <w:sz w:val="24"/>
                <w:szCs w:val="20"/>
                <w:vertAlign w:val="superscript"/>
              </w:rPr>
              <w:t>a</w:t>
            </w:r>
            <w:r>
              <w:rPr>
                <w:rFonts w:ascii="Times New Roman" w:hAnsi="Times New Roman" w:cs="Times New Roman"/>
                <w:sz w:val="24"/>
                <w:szCs w:val="20"/>
              </w:rPr>
              <w:t>LSGM</w:t>
            </w:r>
            <w:proofErr w:type="spellEnd"/>
          </w:p>
        </w:tc>
        <w:tc>
          <w:tcPr>
            <w:tcW w:w="1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sz w:val="24"/>
                <w:szCs w:val="20"/>
              </w:rPr>
              <w:t>LSGM</w:t>
            </w:r>
          </w:p>
        </w:tc>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sz w:val="24"/>
                <w:szCs w:val="20"/>
              </w:rPr>
              <w:t>Infiltration</w:t>
            </w:r>
          </w:p>
        </w:tc>
        <w:tc>
          <w:tcPr>
            <w:tcW w:w="16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1</w:t>
            </w:r>
            <w:r>
              <w:rPr>
                <w:rFonts w:ascii="Times New Roman" w:hAnsi="Times New Roman" w:cs="Times New Roman"/>
                <w:sz w:val="24"/>
                <w:szCs w:val="20"/>
              </w:rPr>
              <w:t>.10</w:t>
            </w:r>
          </w:p>
        </w:tc>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.14</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8</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T</w:t>
            </w:r>
            <w:r>
              <w:rPr>
                <w:rFonts w:ascii="Times New Roman" w:hAnsi="Times New Roman" w:cs="Times New Roman"/>
                <w:sz w:val="24"/>
                <w:szCs w:val="20"/>
              </w:rPr>
              <w:t>his work</w:t>
            </w:r>
          </w:p>
        </w:tc>
      </w:tr>
      <w:tr w:rsidR="00A34FCB" w:rsidTr="00DB4B57">
        <w:trPr>
          <w:trHeight w:val="501"/>
          <w:jc w:val="center"/>
        </w:trPr>
        <w:tc>
          <w:tcPr>
            <w:tcW w:w="4862" w:type="dxa"/>
            <w:gridSpan w:val="2"/>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La</w:t>
            </w:r>
            <w:r>
              <w:rPr>
                <w:rFonts w:ascii="Times New Roman" w:hAnsi="Times New Roman" w:cs="Times New Roman"/>
                <w:sz w:val="24"/>
                <w:szCs w:val="20"/>
                <w:vertAlign w:val="subscript"/>
              </w:rPr>
              <w:t>0.7</w:t>
            </w:r>
            <w:r>
              <w:rPr>
                <w:rFonts w:ascii="Times New Roman" w:hAnsi="Times New Roman" w:cs="Times New Roman"/>
                <w:sz w:val="24"/>
                <w:szCs w:val="20"/>
              </w:rPr>
              <w:t>Ca</w:t>
            </w:r>
            <w:r>
              <w:rPr>
                <w:rFonts w:ascii="Times New Roman" w:hAnsi="Times New Roman" w:cs="Times New Roman"/>
                <w:sz w:val="24"/>
                <w:szCs w:val="20"/>
                <w:vertAlign w:val="subscript"/>
              </w:rPr>
              <w:t>0.3</w:t>
            </w:r>
            <w:r>
              <w:rPr>
                <w:rFonts w:ascii="Times New Roman" w:hAnsi="Times New Roman" w:cs="Times New Roman"/>
                <w:sz w:val="24"/>
                <w:szCs w:val="20"/>
              </w:rPr>
              <w:t>Cr</w:t>
            </w:r>
            <w:r>
              <w:rPr>
                <w:rFonts w:ascii="Times New Roman" w:hAnsi="Times New Roman" w:cs="Times New Roman"/>
                <w:sz w:val="24"/>
                <w:szCs w:val="20"/>
                <w:vertAlign w:val="subscript"/>
              </w:rPr>
              <w:t>0.97</w:t>
            </w:r>
            <w:r>
              <w:rPr>
                <w:rFonts w:ascii="Times New Roman" w:hAnsi="Times New Roman" w:cs="Times New Roman"/>
                <w:sz w:val="24"/>
                <w:szCs w:val="20"/>
              </w:rPr>
              <w:t>O</w:t>
            </w:r>
            <w:r>
              <w:rPr>
                <w:rFonts w:ascii="Times New Roman" w:hAnsi="Times New Roman" w:cs="Times New Roman"/>
                <w:sz w:val="24"/>
                <w:szCs w:val="20"/>
                <w:vertAlign w:val="subscript"/>
              </w:rPr>
              <w:t>3-</w:t>
            </w:r>
            <w:r>
              <w:rPr>
                <w:rFonts w:ascii="Symbol" w:hAnsi="Symbol" w:cs="Times New Roman"/>
                <w:i/>
                <w:sz w:val="24"/>
                <w:szCs w:val="20"/>
                <w:vertAlign w:val="subscript"/>
              </w:rPr>
              <w:t></w:t>
            </w:r>
            <w:r>
              <w:rPr>
                <w:rFonts w:ascii="Symbol" w:hAnsi="Symbol" w:cs="Times New Roman"/>
                <w:i/>
                <w:sz w:val="24"/>
                <w:szCs w:val="20"/>
                <w:vertAlign w:val="subscript"/>
              </w:rPr>
              <w:t></w:t>
            </w:r>
            <w:r>
              <w:rPr>
                <w:rFonts w:ascii="Times New Roman" w:hAnsi="Times New Roman" w:cs="Times New Roman"/>
                <w:sz w:val="24"/>
                <w:szCs w:val="20"/>
              </w:rPr>
              <w:t>-</w:t>
            </w:r>
            <w:proofErr w:type="spellStart"/>
            <w:r w:rsidR="00857668" w:rsidRPr="00857668">
              <w:rPr>
                <w:rFonts w:ascii="Times New Roman" w:hAnsi="Times New Roman" w:cs="Times New Roman"/>
                <w:sz w:val="24"/>
                <w:szCs w:val="20"/>
                <w:vertAlign w:val="superscript"/>
              </w:rPr>
              <w:t>b</w:t>
            </w:r>
            <w:r>
              <w:rPr>
                <w:rFonts w:ascii="Times New Roman" w:hAnsi="Times New Roman" w:cs="Times New Roman"/>
                <w:sz w:val="24"/>
                <w:szCs w:val="20"/>
              </w:rPr>
              <w:t>YSZ</w:t>
            </w:r>
            <w:proofErr w:type="spellEnd"/>
          </w:p>
        </w:tc>
        <w:tc>
          <w:tcPr>
            <w:tcW w:w="15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Y</w:t>
            </w:r>
            <w:r>
              <w:rPr>
                <w:rFonts w:ascii="Times New Roman" w:hAnsi="Times New Roman" w:cs="Times New Roman"/>
                <w:sz w:val="24"/>
                <w:szCs w:val="20"/>
              </w:rPr>
              <w:t>SZ</w:t>
            </w:r>
          </w:p>
        </w:tc>
        <w:tc>
          <w:tcPr>
            <w:tcW w:w="2232"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Pechini</w:t>
            </w:r>
          </w:p>
        </w:tc>
        <w:tc>
          <w:tcPr>
            <w:tcW w:w="1610"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.05</w:t>
            </w:r>
          </w:p>
        </w:tc>
        <w:tc>
          <w:tcPr>
            <w:tcW w:w="1738"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.3</w:t>
            </w:r>
          </w:p>
        </w:tc>
        <w:tc>
          <w:tcPr>
            <w:tcW w:w="8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8</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vAlign w:val="center"/>
          </w:tcPr>
          <w:p w:rsidR="00A34FCB" w:rsidRPr="00B40900" w:rsidRDefault="00A34FCB"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 "citationItems" : [ { "id" : "ITEM-1", "itemData" : { "DOI" : "10.1016/j.jallcom.2009.09.111", "ISSN" : "09258388", "abstract" : "A new concept of solid oxide fuel cells (SOFCs), the simple SOFCs, that is simply composed of an electronic conductor and an ionic conductor is investigated, which evidently simplifies the assembly and further maintenance of the cell system. High-performance interconnect material chromium deficient lanthanum calcium chromites La0.7Ca0.3Cr0.97O3-\u03b4 (LCC97) perovskite oxides are prepared by a modified Pechini method and examined as both anode and cathode materials for SOFCs based on the state-of-the-art YSZ electrolyte. Chemical compatibility, sintering character, electrical conductivity and thermal expansion are investigated to characterize the compatibilities of LCC97 with YSZ. The XRD analysis indicates LCC97 chemically compatible with YSZ. The LCC97 sintered at 1250 \u00b0C have the conductivity of 62.0 S cm-1 at 850 \u00b0C in air, which is about 2.6 times as high as that of La0.7Ca0.3CrO3-\u03b4 with no chromium deficiency. At 850 \u00b0C, the ASRs is only 0.15 \u03a9 cm2 for LCC97-YSZ composite cathode. LCC97-based simple SOFCs (LCC97-YSZ/YSZ/LCC97-YSZ) offer promising performance using H2 as fuel and thick YSZ electrolytes. An open-circuit potential of 1.06 V, a maximum power density of 92.1 mW cm-2, and a polarization resistance of the electrodes of 2.17 \u03a9 cm2 are achieved at 850 \u00b0C. \u00a9 2009.", "author" : [ { "dropping-particle" : "", "family" : "Lin", "given" : "Bin", "non-dropping-particle" : "", "parse-names" : false, "suffix" : "" }, { "dropping-particle" : "", "family" : "Wang", "given" : "Songlin", "non-dropping-particle" : "", "parse-names" : false, "suffix" : "" }, { "dropping-particle" : "", "family" : "Liu", "given" : "Xingqin", "non-dropping-particle" : "", "parse-names" : false, "suffix" : "" }, { "dropping-particle" : "", "family" : "Meng", "given" : "Guangyao", "non-dropping-particle" : "", "parse-names" : false, "suffix" : "" } ], "container-title" : "Journal of Alloys and Compounds", "id" : "ITEM-1", "issue" : "1-2", "issued" : { "date-parts" : [ [ "2010" ] ] }, "page" : "214-222", "title" : "Simple solid oxide fuel cells", "type" : "article-journal", "volume" : "490" }, "uris" : [ "http://www.mendeley.com/documents/?uuid=e4906ef8-6378-4299-b0df-d4e460ada606" ] } ], "mendeley" : { "formattedCitation" : "&lt;sup&gt;1&lt;/sup&gt;", "plainTextFormattedCitation" : "1", "previouslyFormattedCitation" : "&lt;sup&gt;1&lt;/sup&gt;"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Pr="00B40900">
              <w:rPr>
                <w:rFonts w:ascii="Times New Roman" w:hAnsi="Times New Roman" w:cs="Times New Roman"/>
                <w:noProof/>
                <w:sz w:val="24"/>
                <w:szCs w:val="20"/>
              </w:rPr>
              <w:t>1</w:t>
            </w:r>
            <w:r w:rsidRPr="00B40900">
              <w:rPr>
                <w:rFonts w:ascii="Times New Roman" w:hAnsi="Times New Roman" w:cs="Times New Roman"/>
                <w:sz w:val="24"/>
                <w:szCs w:val="20"/>
              </w:rPr>
              <w:fldChar w:fldCharType="end"/>
            </w:r>
          </w:p>
        </w:tc>
      </w:tr>
      <w:tr w:rsidR="00A34FCB" w:rsidTr="00AF3D6E">
        <w:trPr>
          <w:trHeight w:val="501"/>
          <w:jc w:val="center"/>
        </w:trPr>
        <w:tc>
          <w:tcPr>
            <w:tcW w:w="4862" w:type="dxa"/>
            <w:gridSpan w:val="2"/>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La</w:t>
            </w:r>
            <w:r>
              <w:rPr>
                <w:rFonts w:ascii="Times New Roman" w:hAnsi="Times New Roman" w:cs="Times New Roman"/>
                <w:sz w:val="24"/>
                <w:szCs w:val="20"/>
                <w:vertAlign w:val="subscript"/>
              </w:rPr>
              <w:t>0.7</w:t>
            </w:r>
            <w:r>
              <w:rPr>
                <w:rFonts w:ascii="Times New Roman" w:hAnsi="Times New Roman" w:cs="Times New Roman"/>
                <w:sz w:val="24"/>
                <w:szCs w:val="20"/>
              </w:rPr>
              <w:t>Ca</w:t>
            </w:r>
            <w:r>
              <w:rPr>
                <w:rFonts w:ascii="Times New Roman" w:hAnsi="Times New Roman" w:cs="Times New Roman"/>
                <w:sz w:val="24"/>
                <w:szCs w:val="20"/>
                <w:vertAlign w:val="subscript"/>
              </w:rPr>
              <w:t>0.3</w:t>
            </w:r>
            <w:r>
              <w:rPr>
                <w:rFonts w:ascii="Times New Roman" w:hAnsi="Times New Roman" w:cs="Times New Roman"/>
                <w:sz w:val="24"/>
                <w:szCs w:val="20"/>
              </w:rPr>
              <w:t>Cr</w:t>
            </w:r>
            <w:r>
              <w:rPr>
                <w:rFonts w:ascii="Times New Roman" w:hAnsi="Times New Roman" w:cs="Times New Roman"/>
                <w:sz w:val="24"/>
                <w:szCs w:val="20"/>
                <w:vertAlign w:val="subscript"/>
              </w:rPr>
              <w:t>0.97</w:t>
            </w:r>
            <w:r>
              <w:rPr>
                <w:rFonts w:ascii="Times New Roman" w:hAnsi="Times New Roman" w:cs="Times New Roman"/>
                <w:sz w:val="24"/>
                <w:szCs w:val="20"/>
              </w:rPr>
              <w:t>O</w:t>
            </w:r>
            <w:r>
              <w:rPr>
                <w:rFonts w:ascii="Times New Roman" w:hAnsi="Times New Roman" w:cs="Times New Roman"/>
                <w:sz w:val="24"/>
                <w:szCs w:val="20"/>
                <w:vertAlign w:val="subscript"/>
              </w:rPr>
              <w:t>3-</w:t>
            </w:r>
            <w:r>
              <w:rPr>
                <w:rFonts w:ascii="Symbol" w:hAnsi="Symbol" w:cs="Times New Roman"/>
                <w:i/>
                <w:sz w:val="24"/>
                <w:szCs w:val="20"/>
                <w:vertAlign w:val="subscript"/>
              </w:rPr>
              <w:t></w:t>
            </w:r>
            <w:r>
              <w:rPr>
                <w:rFonts w:ascii="Symbol" w:hAnsi="Symbol" w:cs="Times New Roman"/>
                <w:i/>
                <w:sz w:val="24"/>
                <w:szCs w:val="20"/>
                <w:vertAlign w:val="subscript"/>
              </w:rPr>
              <w:t></w:t>
            </w:r>
            <w:r>
              <w:rPr>
                <w:rFonts w:ascii="Times New Roman" w:hAnsi="Times New Roman" w:cs="Times New Roman"/>
                <w:sz w:val="24"/>
                <w:szCs w:val="20"/>
              </w:rPr>
              <w:t>-</w:t>
            </w:r>
            <w:proofErr w:type="spellStart"/>
            <w:r w:rsidR="00857668" w:rsidRPr="00857668">
              <w:rPr>
                <w:rFonts w:ascii="Times New Roman" w:hAnsi="Times New Roman" w:cs="Times New Roman"/>
                <w:sz w:val="24"/>
                <w:szCs w:val="20"/>
                <w:vertAlign w:val="superscript"/>
              </w:rPr>
              <w:t>c</w:t>
            </w:r>
            <w:r>
              <w:rPr>
                <w:rFonts w:ascii="Times New Roman" w:hAnsi="Times New Roman" w:cs="Times New Roman"/>
                <w:sz w:val="24"/>
                <w:szCs w:val="20"/>
              </w:rPr>
              <w:t>GDC</w:t>
            </w:r>
            <w:proofErr w:type="spellEnd"/>
          </w:p>
        </w:tc>
        <w:tc>
          <w:tcPr>
            <w:tcW w:w="15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L</w:t>
            </w:r>
            <w:r>
              <w:rPr>
                <w:rFonts w:ascii="Times New Roman" w:hAnsi="Times New Roman" w:cs="Times New Roman"/>
                <w:sz w:val="24"/>
                <w:szCs w:val="20"/>
              </w:rPr>
              <w:t>SGM</w:t>
            </w:r>
          </w:p>
        </w:tc>
        <w:tc>
          <w:tcPr>
            <w:tcW w:w="2232" w:type="dxa"/>
            <w:tcBorders>
              <w:top w:val="single" w:sz="4" w:space="0" w:color="auto"/>
              <w:left w:val="single" w:sz="4" w:space="0" w:color="auto"/>
              <w:bottom w:val="single" w:sz="4" w:space="0" w:color="auto"/>
              <w:right w:val="single" w:sz="4" w:space="0" w:color="auto"/>
            </w:tcBorders>
            <w:vAlign w:val="center"/>
          </w:tcPr>
          <w:p w:rsidR="00A34FCB" w:rsidRDefault="00857668" w:rsidP="002D599E">
            <w:pPr>
              <w:adjustRightInd w:val="0"/>
              <w:jc w:val="center"/>
              <w:rPr>
                <w:rFonts w:ascii="Times New Roman" w:hAnsi="Times New Roman" w:cs="Times New Roman"/>
                <w:sz w:val="24"/>
                <w:szCs w:val="20"/>
              </w:rPr>
            </w:pPr>
            <w:proofErr w:type="spellStart"/>
            <w:r>
              <w:rPr>
                <w:rFonts w:ascii="Times New Roman" w:hAnsi="Times New Roman" w:cs="Times New Roman"/>
                <w:sz w:val="24"/>
                <w:szCs w:val="20"/>
                <w:vertAlign w:val="superscript"/>
              </w:rPr>
              <w:t>d</w:t>
            </w:r>
            <w:r w:rsidR="00A34FCB">
              <w:rPr>
                <w:rFonts w:ascii="Times New Roman" w:hAnsi="Times New Roman" w:cs="Times New Roman"/>
                <w:sz w:val="24"/>
                <w:szCs w:val="20"/>
              </w:rPr>
              <w:t>GNP</w:t>
            </w:r>
            <w:proofErr w:type="spellEnd"/>
          </w:p>
        </w:tc>
        <w:tc>
          <w:tcPr>
            <w:tcW w:w="1610"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.21</w:t>
            </w:r>
          </w:p>
        </w:tc>
        <w:tc>
          <w:tcPr>
            <w:tcW w:w="1738"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w:t>
            </w:r>
          </w:p>
        </w:tc>
        <w:tc>
          <w:tcPr>
            <w:tcW w:w="8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8</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vAlign w:val="center"/>
          </w:tcPr>
          <w:p w:rsidR="00A34FCB" w:rsidRPr="00B40900" w:rsidRDefault="00A34FCB"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 "citationItems" : [ { "id" : "ITEM-1", "itemData" : { "DOI" : "10.1016/j.jpowsour.2010.07.035", "ISBN" : "0378-7753", "ISSN" : "03787753", "abstract" : "La0.7Ca0.3CrO3 (LCC)-Ce 0.8Gd0.2O1.9 (GDC) composites have been investigated as symmetrical electrodes for solid-oxide fuel cells (SOFCs) on La0.9Sr0.1Ga0.8Mg0.2O 3-?? (LSGM) electrolyte, where there is no interlayer between anode and electrolyte. LCC oxide is chemically compatible with GDC and LSGM electrolyte at temperatures up to 1200 ??C. The electrical conductivity of the LCC-GDC composites decreases with increasing GDC content. The best electrical conductivities of 18.64 S cm-1 in air and 1.86 S cm -1 in H2 at 850 ??C are achieved for an 80 wt% LCC-20 wt% GDC (LCC-GDC20) composite. The thermal expansion coefficients of the LCC-GDC composites increase with increasing GDC content, and are very close to that of the LSGM electrolyte. A cell with a 0.3 mm thick LSGM electrolyte and LCC-GDC20 symmetrical electrodes displays the highest electrochemical performance. The maximum power density is 573 mW cm-2 in dry H2 and 333 mW cm-2 in humidified commercial city gas containing H2S at 900 ??C, respectively. These results suggest that the LCC-GDC20 composite can potentially serve as an electrode for symmetrical SOFCs operated on H 2 and commercial city gas containing H2S. ?? 2010 Elsevier B.V.", "author" : [ { "dropping-particle" : "", "family" : "Zhang", "given" : "Yingchun", "non-dropping-particle" : "", "parse-names" : false, "suffix" : "" }, { "dropping-particle" : "", "family" : "Zhou", "given" : "Qingjun", "non-dropping-particle" : "", "parse-names" : false, "suffix" : "" }, { "dropping-particle" : "", "family" : "He", "given" : "Tianmin", "non-dropping-particle" : "", "parse-names" : false, "suffix" : "" } ], "container-title" : "Journal of Power Sources", "id" : "ITEM-1", "issue" : "1", "issued" : { "date-parts" : [ [ "2011" ] ] }, "page" : "76-83", "publisher" : "Elsevier B.V.", "title" : "La0.7Ca0.3CrO3-Ce0.8Gd 0.2O1.9 composites as symmetrical electrodes for solid-oxide fuel cells", "type" : "article-journal", "volume" : "196" }, "uris" : [ "http://www.mendeley.com/documents/?uuid=c8120ca0-b12f-474c-a2dc-94c87fe02dcf" ] } ], "mendeley" : { "formattedCitation" : "&lt;sup&gt;2&lt;/sup&gt;", "plainTextFormattedCitation" : "2", "previouslyFormattedCitation" : "&lt;sup&gt;2&lt;/sup&gt;"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Pr="00B40900">
              <w:rPr>
                <w:rFonts w:ascii="Times New Roman" w:hAnsi="Times New Roman" w:cs="Times New Roman"/>
                <w:noProof/>
                <w:sz w:val="24"/>
                <w:szCs w:val="20"/>
              </w:rPr>
              <w:t>2</w:t>
            </w:r>
            <w:r w:rsidRPr="00B40900">
              <w:rPr>
                <w:rFonts w:ascii="Times New Roman" w:hAnsi="Times New Roman" w:cs="Times New Roman"/>
                <w:sz w:val="24"/>
                <w:szCs w:val="20"/>
              </w:rPr>
              <w:fldChar w:fldCharType="end"/>
            </w:r>
          </w:p>
        </w:tc>
      </w:tr>
      <w:tr w:rsidR="00A34FCB" w:rsidTr="000F62D5">
        <w:trPr>
          <w:trHeight w:val="501"/>
          <w:jc w:val="center"/>
        </w:trPr>
        <w:tc>
          <w:tcPr>
            <w:tcW w:w="4862" w:type="dxa"/>
            <w:gridSpan w:val="2"/>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La</w:t>
            </w:r>
            <w:r>
              <w:rPr>
                <w:rFonts w:ascii="Times New Roman" w:hAnsi="Times New Roman" w:cs="Times New Roman"/>
                <w:sz w:val="24"/>
                <w:szCs w:val="20"/>
                <w:vertAlign w:val="subscript"/>
              </w:rPr>
              <w:t>0.75</w:t>
            </w:r>
            <w:r>
              <w:rPr>
                <w:rFonts w:ascii="Times New Roman" w:hAnsi="Times New Roman" w:cs="Times New Roman"/>
                <w:sz w:val="24"/>
                <w:szCs w:val="20"/>
              </w:rPr>
              <w:t>Sr</w:t>
            </w:r>
            <w:r>
              <w:rPr>
                <w:rFonts w:ascii="Times New Roman" w:hAnsi="Times New Roman" w:cs="Times New Roman"/>
                <w:sz w:val="24"/>
                <w:szCs w:val="20"/>
                <w:vertAlign w:val="subscript"/>
              </w:rPr>
              <w:t>0.25</w:t>
            </w:r>
            <w:r>
              <w:rPr>
                <w:rFonts w:ascii="Times New Roman" w:hAnsi="Times New Roman" w:cs="Times New Roman"/>
                <w:sz w:val="24"/>
                <w:szCs w:val="20"/>
              </w:rPr>
              <w:t>Cr</w:t>
            </w:r>
            <w:r>
              <w:rPr>
                <w:rFonts w:ascii="Times New Roman" w:hAnsi="Times New Roman" w:cs="Times New Roman"/>
                <w:sz w:val="24"/>
                <w:szCs w:val="20"/>
                <w:vertAlign w:val="subscript"/>
              </w:rPr>
              <w:t>0.5</w:t>
            </w:r>
            <w:r w:rsidRPr="006C695C">
              <w:rPr>
                <w:rFonts w:ascii="Times New Roman" w:hAnsi="Times New Roman" w:cs="Times New Roman"/>
                <w:sz w:val="24"/>
                <w:szCs w:val="20"/>
              </w:rPr>
              <w:t>Mn</w:t>
            </w:r>
            <w:r>
              <w:rPr>
                <w:rFonts w:ascii="Times New Roman" w:hAnsi="Times New Roman" w:cs="Times New Roman"/>
                <w:sz w:val="24"/>
                <w:szCs w:val="20"/>
                <w:vertAlign w:val="subscript"/>
              </w:rPr>
              <w:t>0.5</w:t>
            </w:r>
            <w:r>
              <w:rPr>
                <w:rFonts w:ascii="Times New Roman" w:hAnsi="Times New Roman" w:cs="Times New Roman"/>
                <w:sz w:val="24"/>
                <w:szCs w:val="20"/>
              </w:rPr>
              <w:t>O</w:t>
            </w:r>
            <w:r>
              <w:rPr>
                <w:rFonts w:ascii="Times New Roman" w:hAnsi="Times New Roman" w:cs="Times New Roman"/>
                <w:sz w:val="24"/>
                <w:szCs w:val="20"/>
                <w:vertAlign w:val="subscript"/>
              </w:rPr>
              <w:t>3-</w:t>
            </w:r>
            <w:r>
              <w:rPr>
                <w:rFonts w:ascii="Symbol" w:hAnsi="Symbol" w:cs="Times New Roman"/>
                <w:i/>
                <w:sz w:val="24"/>
                <w:szCs w:val="20"/>
                <w:vertAlign w:val="subscript"/>
              </w:rPr>
              <w:t></w:t>
            </w:r>
            <w:r>
              <w:rPr>
                <w:rFonts w:ascii="Symbol" w:hAnsi="Symbol" w:cs="Times New Roman"/>
                <w:i/>
                <w:sz w:val="24"/>
                <w:szCs w:val="20"/>
                <w:vertAlign w:val="subscript"/>
              </w:rPr>
              <w:t></w:t>
            </w:r>
            <w:r>
              <w:rPr>
                <w:rFonts w:ascii="Times New Roman" w:hAnsi="Times New Roman" w:cs="Times New Roman"/>
                <w:sz w:val="24"/>
                <w:szCs w:val="20"/>
              </w:rPr>
              <w:t>-YSZ</w:t>
            </w:r>
          </w:p>
        </w:tc>
        <w:tc>
          <w:tcPr>
            <w:tcW w:w="15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Y</w:t>
            </w:r>
            <w:r>
              <w:rPr>
                <w:rFonts w:ascii="Times New Roman" w:hAnsi="Times New Roman" w:cs="Times New Roman"/>
                <w:sz w:val="24"/>
                <w:szCs w:val="20"/>
              </w:rPr>
              <w:t>SZ</w:t>
            </w:r>
          </w:p>
        </w:tc>
        <w:tc>
          <w:tcPr>
            <w:tcW w:w="2232"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Solid state reaction</w:t>
            </w:r>
          </w:p>
        </w:tc>
        <w:tc>
          <w:tcPr>
            <w:tcW w:w="1610"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.55</w:t>
            </w:r>
          </w:p>
        </w:tc>
        <w:tc>
          <w:tcPr>
            <w:tcW w:w="1738"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.18</w:t>
            </w:r>
          </w:p>
        </w:tc>
        <w:tc>
          <w:tcPr>
            <w:tcW w:w="8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950</w:t>
            </w:r>
          </w:p>
        </w:tc>
        <w:tc>
          <w:tcPr>
            <w:tcW w:w="775" w:type="dxa"/>
            <w:tcBorders>
              <w:top w:val="single" w:sz="4" w:space="0" w:color="auto"/>
              <w:left w:val="single" w:sz="4" w:space="0" w:color="auto"/>
              <w:bottom w:val="single" w:sz="4" w:space="0" w:color="auto"/>
              <w:right w:val="single" w:sz="4" w:space="0" w:color="auto"/>
            </w:tcBorders>
            <w:vAlign w:val="center"/>
          </w:tcPr>
          <w:p w:rsidR="00A34FCB" w:rsidRPr="00B40900" w:rsidRDefault="00A34FCB"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 "citationItems" : [ { "id" : "ITEM-1", "itemData" : { "DOI" : "10.1016/j.electacta.2006.05.006", "ISSN" : "00134686", "abstract" : "A new concept of a solid oxide fuel cell (SOFC) using simultaneously the same electrode material at the anode and cathode sides with improved microstructure is proposed. We have found that La0.75Sr0.25Cr0.5Mn0.5O3-?? (LSCM) can be considered as a good candidate for such configuration, symmetrical fuel cells (SFCs), due to its enhanced electrochemical properties in both reducing and oxidising conditions. LSCM-based SFCs offer promising performances, e.g., 0.5 and 0.3 W cm-2 at 950 ??C using H2 and CH4, respectively as fuels. Finally, the optimisation of the microstructure has been achieved via a novel facile procedure, using poly(methyl methacrylate) PMMA microspheres as templates. ?? 2006 Elsevier Ltd. All rights reserved.", "author" : [ { "dropping-particle" : "", "family" : "Ruiz-Morales", "given" : "Juan Carlos", "non-dropping-particle" : "", "parse-names" : false, "suffix" : "" }, { "dropping-particle" : "", "family" : "Canales-V\u00e1zquez", "given" : "Jes\u00fas", "non-dropping-particle" : "", "parse-names" : false, "suffix" : "" }, { "dropping-particle" : "", "family" : "Pe\u00f1a-Mart\u00ednez", "given" : "Juan", "non-dropping-particle" : "", "parse-names" : false, "suffix" : "" }, { "dropping-particle" : "", "family" : "L\u00f3pez", "given" : "David Marrero", "non-dropping-particle" : "", "parse-names" : false, "suffix" : "" }, { "dropping-particle" : "", "family" : "N\u00fa\u00f1ez", "given" : "Pedro", "non-dropping-particle" : "", "parse-names" : false, "suffix" : "" } ], "container-title" : "Electrochimica Acta", "id" : "ITEM-1", "issue" : "1", "issued" : { "date-parts" : [ [ "2006" ] ] }, "page" : "278-284", "title" : "On the simultaneous use of La0.75Sr0.25Cr0.5Mn0.5O3-?? as both anode and cathode material with improved microstructure in solid oxide fuel cells", "type" : "article-journal", "volume" : "52" }, "uris" : [ "http://www.mendeley.com/documents/?uuid=3a2b9d61-7f15-4eff-9ac2-0a939cd7d07c" ] } ], "mendeley" : { "formattedCitation" : "&lt;sup&gt;3&lt;/sup&gt;", "plainTextFormattedCitation" : "3", "previouslyFormattedCitation" : "&lt;sup&gt;3&lt;/sup&gt;"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Pr="00B40900">
              <w:rPr>
                <w:rFonts w:ascii="Times New Roman" w:hAnsi="Times New Roman" w:cs="Times New Roman"/>
                <w:noProof/>
                <w:sz w:val="24"/>
                <w:szCs w:val="20"/>
              </w:rPr>
              <w:t>3</w:t>
            </w:r>
            <w:r w:rsidRPr="00B40900">
              <w:rPr>
                <w:rFonts w:ascii="Times New Roman" w:hAnsi="Times New Roman" w:cs="Times New Roman"/>
                <w:sz w:val="24"/>
                <w:szCs w:val="20"/>
              </w:rPr>
              <w:fldChar w:fldCharType="end"/>
            </w:r>
          </w:p>
        </w:tc>
      </w:tr>
      <w:tr w:rsidR="00A34FCB" w:rsidTr="005438AF">
        <w:trPr>
          <w:trHeight w:val="501"/>
          <w:jc w:val="center"/>
        </w:trPr>
        <w:tc>
          <w:tcPr>
            <w:tcW w:w="4862" w:type="dxa"/>
            <w:gridSpan w:val="2"/>
            <w:tcBorders>
              <w:top w:val="single" w:sz="4" w:space="0" w:color="auto"/>
              <w:left w:val="single" w:sz="4" w:space="0" w:color="auto"/>
              <w:bottom w:val="single" w:sz="4" w:space="0" w:color="auto"/>
              <w:right w:val="single" w:sz="4" w:space="0" w:color="auto"/>
            </w:tcBorders>
            <w:vAlign w:val="center"/>
          </w:tcPr>
          <w:p w:rsidR="00A34FCB" w:rsidRDefault="00857668" w:rsidP="002D599E">
            <w:pPr>
              <w:adjustRightInd w:val="0"/>
              <w:jc w:val="center"/>
              <w:rPr>
                <w:rFonts w:ascii="Times New Roman" w:hAnsi="Times New Roman" w:cs="Times New Roman"/>
                <w:sz w:val="24"/>
                <w:szCs w:val="20"/>
              </w:rPr>
            </w:pPr>
            <w:r>
              <w:rPr>
                <w:rFonts w:ascii="Times New Roman" w:hAnsi="Times New Roman" w:cs="Times New Roman"/>
                <w:sz w:val="24"/>
                <w:szCs w:val="20"/>
              </w:rPr>
              <w:t>La</w:t>
            </w:r>
            <w:r>
              <w:rPr>
                <w:rFonts w:ascii="Times New Roman" w:hAnsi="Times New Roman" w:cs="Times New Roman"/>
                <w:sz w:val="24"/>
                <w:szCs w:val="20"/>
                <w:vertAlign w:val="subscript"/>
              </w:rPr>
              <w:t>0.75</w:t>
            </w:r>
            <w:r>
              <w:rPr>
                <w:rFonts w:ascii="Times New Roman" w:hAnsi="Times New Roman" w:cs="Times New Roman"/>
                <w:sz w:val="24"/>
                <w:szCs w:val="20"/>
              </w:rPr>
              <w:t>Sr</w:t>
            </w:r>
            <w:r>
              <w:rPr>
                <w:rFonts w:ascii="Times New Roman" w:hAnsi="Times New Roman" w:cs="Times New Roman"/>
                <w:sz w:val="24"/>
                <w:szCs w:val="20"/>
                <w:vertAlign w:val="subscript"/>
              </w:rPr>
              <w:t>0.25</w:t>
            </w:r>
            <w:r>
              <w:rPr>
                <w:rFonts w:ascii="Times New Roman" w:hAnsi="Times New Roman" w:cs="Times New Roman"/>
                <w:sz w:val="24"/>
                <w:szCs w:val="20"/>
              </w:rPr>
              <w:t>Cr</w:t>
            </w:r>
            <w:r>
              <w:rPr>
                <w:rFonts w:ascii="Times New Roman" w:hAnsi="Times New Roman" w:cs="Times New Roman"/>
                <w:sz w:val="24"/>
                <w:szCs w:val="20"/>
                <w:vertAlign w:val="subscript"/>
              </w:rPr>
              <w:t>0.5</w:t>
            </w:r>
            <w:r w:rsidRPr="006C695C">
              <w:rPr>
                <w:rFonts w:ascii="Times New Roman" w:hAnsi="Times New Roman" w:cs="Times New Roman"/>
                <w:sz w:val="24"/>
                <w:szCs w:val="20"/>
              </w:rPr>
              <w:t>Mn</w:t>
            </w:r>
            <w:r>
              <w:rPr>
                <w:rFonts w:ascii="Times New Roman" w:hAnsi="Times New Roman" w:cs="Times New Roman"/>
                <w:sz w:val="24"/>
                <w:szCs w:val="20"/>
                <w:vertAlign w:val="subscript"/>
              </w:rPr>
              <w:t>0.5</w:t>
            </w:r>
            <w:r>
              <w:rPr>
                <w:rFonts w:ascii="Times New Roman" w:hAnsi="Times New Roman" w:cs="Times New Roman"/>
                <w:sz w:val="24"/>
                <w:szCs w:val="20"/>
              </w:rPr>
              <w:t>O</w:t>
            </w:r>
            <w:r>
              <w:rPr>
                <w:rFonts w:ascii="Times New Roman" w:hAnsi="Times New Roman" w:cs="Times New Roman"/>
                <w:sz w:val="24"/>
                <w:szCs w:val="20"/>
                <w:vertAlign w:val="subscript"/>
              </w:rPr>
              <w:t>3-</w:t>
            </w:r>
            <w:r>
              <w:rPr>
                <w:rFonts w:ascii="Symbol" w:hAnsi="Symbol" w:cs="Times New Roman"/>
                <w:i/>
                <w:sz w:val="24"/>
                <w:szCs w:val="20"/>
                <w:vertAlign w:val="subscript"/>
              </w:rPr>
              <w:t></w:t>
            </w:r>
            <w:r>
              <w:rPr>
                <w:rFonts w:ascii="Symbol" w:hAnsi="Symbol" w:cs="Times New Roman"/>
                <w:i/>
                <w:sz w:val="24"/>
                <w:szCs w:val="20"/>
                <w:vertAlign w:val="subscript"/>
              </w:rPr>
              <w:t></w:t>
            </w:r>
            <w:r>
              <w:rPr>
                <w:rFonts w:ascii="Times New Roman" w:hAnsi="Times New Roman" w:cs="Times New Roman"/>
                <w:sz w:val="24"/>
                <w:szCs w:val="20"/>
              </w:rPr>
              <w:t>-</w:t>
            </w:r>
            <w:r w:rsidR="00A34FCB">
              <w:rPr>
                <w:rFonts w:ascii="Times New Roman" w:hAnsi="Times New Roman" w:cs="Times New Roman"/>
                <w:sz w:val="24"/>
                <w:szCs w:val="20"/>
              </w:rPr>
              <w:t>YSZ-GDC</w:t>
            </w:r>
          </w:p>
        </w:tc>
        <w:tc>
          <w:tcPr>
            <w:tcW w:w="15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Y</w:t>
            </w:r>
            <w:r>
              <w:rPr>
                <w:rFonts w:ascii="Times New Roman" w:hAnsi="Times New Roman" w:cs="Times New Roman"/>
                <w:sz w:val="24"/>
                <w:szCs w:val="20"/>
              </w:rPr>
              <w:t>SZ</w:t>
            </w:r>
          </w:p>
        </w:tc>
        <w:tc>
          <w:tcPr>
            <w:tcW w:w="2232"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C</w:t>
            </w:r>
            <w:r>
              <w:rPr>
                <w:rFonts w:ascii="Times New Roman" w:hAnsi="Times New Roman" w:cs="Times New Roman"/>
                <w:sz w:val="24"/>
                <w:szCs w:val="20"/>
              </w:rPr>
              <w:t>ombustion synthesis</w:t>
            </w:r>
          </w:p>
        </w:tc>
        <w:tc>
          <w:tcPr>
            <w:tcW w:w="1610"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.40</w:t>
            </w:r>
          </w:p>
        </w:tc>
        <w:tc>
          <w:tcPr>
            <w:tcW w:w="1738"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0.49</w:t>
            </w:r>
          </w:p>
        </w:tc>
        <w:tc>
          <w:tcPr>
            <w:tcW w:w="8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9</w:t>
            </w:r>
            <w:r>
              <w:rPr>
                <w:rFonts w:ascii="Times New Roman" w:hAnsi="Times New Roman" w:cs="Times New Roman"/>
                <w:sz w:val="24"/>
                <w:szCs w:val="20"/>
              </w:rPr>
              <w:t>50</w:t>
            </w:r>
          </w:p>
        </w:tc>
        <w:tc>
          <w:tcPr>
            <w:tcW w:w="775" w:type="dxa"/>
            <w:tcBorders>
              <w:top w:val="single" w:sz="4" w:space="0" w:color="auto"/>
              <w:left w:val="single" w:sz="4" w:space="0" w:color="auto"/>
              <w:bottom w:val="single" w:sz="4" w:space="0" w:color="auto"/>
              <w:right w:val="single" w:sz="4" w:space="0" w:color="auto"/>
            </w:tcBorders>
            <w:vAlign w:val="center"/>
          </w:tcPr>
          <w:p w:rsidR="00A34FCB" w:rsidRPr="00B40900" w:rsidRDefault="00A34FCB"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 "citationItems" : [ { "id" : "ITEM-1", "itemData" : { "DOI" : "10.1016/j.jeurceramsoc.2007.02.117", "ISBN" : "09552219", "ISSN" : "09552219", "abstract" : "A new concept of solid oxide fuel cell (SOFC), recently proposed, using simultaneously the same material (La0.75Sr0.25Cr0.5Mn0.5O3-??, LSCM), as both, anode and cathode, has been verified. The performance of such new design, symmetrical fuel cells (SFCs), could be improved by using a YSZ/CGO-based composite. The optimum ratio to minimise the series and the polarisation resistances (Rp) under reducing conductions was 1:1. This composition renders improved Rp values by a factor of 2 at 950 ??C in flowing H2 in comparison to LSCM-YSZ composites. Thus, the use of a mixed composite (YSZ-CGO) will allow to extend the applicability of LSCM at temperatures lower than 850 ??C. LSCM-(YSZ-CGO) based SFCs offer promising performances, e.g., 0.4 W cm-2 at 950 ??C using humidified H2 as fuel. ?? 2007 Elsevier Ltd. All rights reserved.", "author" : [ { "dropping-particle" : "", "family" : "Ruiz-Morales", "given" : "Juan Carlos", "non-dropping-particle" : "", "parse-names" : false, "suffix" : "" }, { "dropping-particle" : "", "family" : "Canales-V\u00e1zquez", "given" : "Jes\u00fas", "non-dropping-particle" : "", "parse-names" : false, "suffix" : "" }, { "dropping-particle" : "", "family" : "Ballesteros-P\u00e9rez", "given" : "Bel\u00e9n", "non-dropping-particle" : "", "parse-names" : false, "suffix" : "" }, { "dropping-particle" : "", "family" : "Pe\u00f1a-Mart\u00ednez", "given" : "Juan", "non-dropping-particle" : "", "parse-names" : false, "suffix" : "" }, { "dropping-particle" : "", "family" : "Marrero-L\u00f3pez", "given" : "David", "non-dropping-particle" : "", "parse-names" : false, "suffix" : "" }, { "dropping-particle" : "", "family" : "Irvine", "given" : "John T S", "non-dropping-particle" : "", "parse-names" : false, "suffix" : "" }, { "dropping-particle" : "", "family" : "N\u00fa\u00f1ez", "given" : "Pedro", "non-dropping-particle" : "", "parse-names" : false, "suffix" : "" } ], "container-title" : "Journal of the European Ceramic Society", "id" : "ITEM-1", "issue" : "13-15", "issued" : { "date-parts" : [ [ "2007" ] ] }, "page" : "4223-4227", "title" : "LSCM-(YSZ-CGO) composites as improved symmetrical electrodes for solid oxide fuel cells", "type" : "article-journal", "volume" : "27" }, "uris" : [ "http://www.mendeley.com/documents/?uuid=d0a16901-d70b-4988-9d44-d91177ee6a47" ] } ], "mendeley" : { "formattedCitation" : "&lt;sup&gt;4&lt;/sup&gt;", "plainTextFormattedCitation" : "4", "previouslyFormattedCitation" : "&lt;sup&gt;4&lt;/sup&gt;"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Pr="00B40900">
              <w:rPr>
                <w:rFonts w:ascii="Times New Roman" w:hAnsi="Times New Roman" w:cs="Times New Roman"/>
                <w:noProof/>
                <w:sz w:val="24"/>
                <w:szCs w:val="20"/>
              </w:rPr>
              <w:t>4</w:t>
            </w:r>
            <w:r w:rsidRPr="00B40900">
              <w:rPr>
                <w:rFonts w:ascii="Times New Roman" w:hAnsi="Times New Roman" w:cs="Times New Roman"/>
                <w:sz w:val="24"/>
                <w:szCs w:val="20"/>
              </w:rPr>
              <w:fldChar w:fldCharType="end"/>
            </w:r>
          </w:p>
        </w:tc>
      </w:tr>
      <w:tr w:rsidR="00A34FCB" w:rsidTr="001A42D2">
        <w:trPr>
          <w:trHeight w:val="481"/>
          <w:jc w:val="center"/>
        </w:trPr>
        <w:tc>
          <w:tcPr>
            <w:tcW w:w="4862" w:type="dxa"/>
            <w:gridSpan w:val="2"/>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sidRPr="001D0AD8">
              <w:rPr>
                <w:rFonts w:ascii="Times New Roman" w:hAnsi="Times New Roman" w:cs="Times New Roman"/>
                <w:sz w:val="24"/>
                <w:szCs w:val="20"/>
              </w:rPr>
              <w:t>Pr</w:t>
            </w:r>
            <w:r>
              <w:rPr>
                <w:rFonts w:ascii="Times New Roman" w:hAnsi="Times New Roman" w:cs="Times New Roman"/>
                <w:sz w:val="24"/>
                <w:szCs w:val="20"/>
                <w:vertAlign w:val="subscript"/>
              </w:rPr>
              <w:t>0.75</w:t>
            </w:r>
            <w:r>
              <w:rPr>
                <w:rFonts w:ascii="Times New Roman" w:hAnsi="Times New Roman" w:cs="Times New Roman"/>
                <w:sz w:val="24"/>
                <w:szCs w:val="20"/>
              </w:rPr>
              <w:t>Ca</w:t>
            </w:r>
            <w:r>
              <w:rPr>
                <w:rFonts w:ascii="Times New Roman" w:hAnsi="Times New Roman" w:cs="Times New Roman"/>
                <w:sz w:val="24"/>
                <w:szCs w:val="20"/>
                <w:vertAlign w:val="subscript"/>
              </w:rPr>
              <w:t>0.3</w:t>
            </w:r>
            <w:r>
              <w:rPr>
                <w:rFonts w:ascii="Times New Roman" w:hAnsi="Times New Roman" w:cs="Times New Roman"/>
                <w:sz w:val="24"/>
                <w:szCs w:val="20"/>
              </w:rPr>
              <w:t>Cr</w:t>
            </w:r>
            <w:r>
              <w:rPr>
                <w:rFonts w:ascii="Times New Roman" w:hAnsi="Times New Roman" w:cs="Times New Roman"/>
                <w:sz w:val="24"/>
                <w:szCs w:val="20"/>
                <w:vertAlign w:val="subscript"/>
              </w:rPr>
              <w:t>0.6</w:t>
            </w:r>
            <w:r w:rsidRPr="006C695C">
              <w:rPr>
                <w:rFonts w:ascii="Times New Roman" w:hAnsi="Times New Roman" w:cs="Times New Roman"/>
                <w:sz w:val="24"/>
                <w:szCs w:val="20"/>
              </w:rPr>
              <w:t>Mn</w:t>
            </w:r>
            <w:r>
              <w:rPr>
                <w:rFonts w:ascii="Times New Roman" w:hAnsi="Times New Roman" w:cs="Times New Roman"/>
                <w:sz w:val="24"/>
                <w:szCs w:val="20"/>
                <w:vertAlign w:val="subscript"/>
              </w:rPr>
              <w:t>0.4</w:t>
            </w:r>
            <w:r>
              <w:rPr>
                <w:rFonts w:ascii="Times New Roman" w:hAnsi="Times New Roman" w:cs="Times New Roman"/>
                <w:sz w:val="24"/>
                <w:szCs w:val="20"/>
              </w:rPr>
              <w:t>O</w:t>
            </w:r>
            <w:r>
              <w:rPr>
                <w:rFonts w:ascii="Times New Roman" w:hAnsi="Times New Roman" w:cs="Times New Roman"/>
                <w:sz w:val="24"/>
                <w:szCs w:val="20"/>
                <w:vertAlign w:val="subscript"/>
              </w:rPr>
              <w:t>3-</w:t>
            </w:r>
            <w:r>
              <w:rPr>
                <w:rFonts w:ascii="Symbol" w:hAnsi="Symbol" w:cs="Times New Roman"/>
                <w:i/>
                <w:sz w:val="24"/>
                <w:szCs w:val="20"/>
                <w:vertAlign w:val="subscript"/>
              </w:rPr>
              <w:t></w:t>
            </w:r>
            <w:r>
              <w:rPr>
                <w:rFonts w:ascii="Symbol" w:hAnsi="Symbol" w:cs="Times New Roman"/>
                <w:i/>
                <w:sz w:val="24"/>
                <w:szCs w:val="20"/>
                <w:vertAlign w:val="subscript"/>
              </w:rPr>
              <w:t></w:t>
            </w:r>
          </w:p>
        </w:tc>
        <w:tc>
          <w:tcPr>
            <w:tcW w:w="15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Y</w:t>
            </w:r>
            <w:r>
              <w:rPr>
                <w:rFonts w:ascii="Times New Roman" w:hAnsi="Times New Roman" w:cs="Times New Roman"/>
                <w:sz w:val="24"/>
                <w:szCs w:val="20"/>
              </w:rPr>
              <w:t>SZ</w:t>
            </w:r>
          </w:p>
        </w:tc>
        <w:tc>
          <w:tcPr>
            <w:tcW w:w="2232"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Freeze-dried method</w:t>
            </w:r>
          </w:p>
        </w:tc>
        <w:tc>
          <w:tcPr>
            <w:tcW w:w="1610"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.25</w:t>
            </w:r>
          </w:p>
        </w:tc>
        <w:tc>
          <w:tcPr>
            <w:tcW w:w="1738"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w:t>
            </w:r>
          </w:p>
        </w:tc>
        <w:tc>
          <w:tcPr>
            <w:tcW w:w="8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9</w:t>
            </w:r>
            <w:r>
              <w:rPr>
                <w:rFonts w:ascii="Times New Roman" w:hAnsi="Times New Roman" w:cs="Times New Roman"/>
                <w:sz w:val="24"/>
                <w:szCs w:val="20"/>
              </w:rPr>
              <w:t>50</w:t>
            </w:r>
          </w:p>
        </w:tc>
        <w:tc>
          <w:tcPr>
            <w:tcW w:w="775" w:type="dxa"/>
            <w:tcBorders>
              <w:top w:val="single" w:sz="4" w:space="0" w:color="auto"/>
              <w:left w:val="single" w:sz="4" w:space="0" w:color="auto"/>
              <w:bottom w:val="single" w:sz="4" w:space="0" w:color="auto"/>
              <w:right w:val="single" w:sz="4" w:space="0" w:color="auto"/>
            </w:tcBorders>
            <w:vAlign w:val="center"/>
          </w:tcPr>
          <w:p w:rsidR="00A34FCB" w:rsidRPr="00B40900" w:rsidRDefault="00A34FCB"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 "citationItems" : [ { "id" : "ITEM-1", "itemData" : { "DOI" : "10.1016/j.jpowsour.2008.11.050", "ISBN" : "03787753", "ISSN" : "03787753", "abstract" : "A series of compounds with composition Pr0.7Ca0.3Cr1-yMnyO3-\u03b4 (y = 0.2, 0.4, 0.6, 0.8) were prepared from an alternative freeze-drying precursor method to obtain polycrystalline powders at relatively low temperature. These perovskite-type materials were tested simultaneously as both anode and cathode in a symmetrical SOFC. The effect of the ratio Mn/Cr on the structure, microstructure and electrochemical properties was studied. The performance is rather modest at low temperature and only interesting values were obtained at high temperatures. An assembled symmetrical SOFC rendered performances of 250 and 160 mW cm-2, at 950 \u00b0C, under humidified H2 and CH4 respectively. \u00a9 2008 Elsevier B.V. All rights reserved.", "author" : [ { "dropping-particle" : "", "family" : "El-Himri", "given" : "Abdelouhad", "non-dropping-particle" : "", "parse-names" : false, "suffix" : "" }, { "dropping-particle" : "", "family" : "Marrero-L\u00f3pez", "given" : "David", "non-dropping-particle" : "", "parse-names" : false, "suffix" : "" }, { "dropping-particle" : "", "family" : "Ruiz-Morales", "given" : "Juan Carlos", "non-dropping-particle" : "", "parse-names" : false, "suffix" : "" }, { "dropping-particle" : "", "family" : "Pe\u00f1a-Mart\u00ednez", "given" : "Juan", "non-dropping-particle" : "", "parse-names" : false, "suffix" : "" }, { "dropping-particle" : "", "family" : "N\u00fa\u00f1ez", "given" : "Pedro", "non-dropping-particle" : "", "parse-names" : false, "suffix" : "" } ], "container-title" : "Journal of Power Sources", "id" : "ITEM-1", "issue" : "1", "issued" : { "date-parts" : [ [ "2009" ] ] }, "page" : "230-237", "title" : "Structural and electrochemical characterisation of Pr0.7Ca0.3Cr1\u2212yMnyO3\u2212\u03b4 as symmetrical solid oxide fuel cell electrodes", "type" : "article-journal", "volume" : "188" }, "uris" : [ "http://www.mendeley.com/documents/?uuid=79864e5c-7c63-48f9-bffa-dbdd39b9de19" ] } ], "mendeley" : { "formattedCitation" : "&lt;sup&gt;5&lt;/sup&gt;", "plainTextFormattedCitation" : "5", "previouslyFormattedCitation" : "&lt;sup&gt;5&lt;/sup&gt;"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Pr="00B40900">
              <w:rPr>
                <w:rFonts w:ascii="Times New Roman" w:hAnsi="Times New Roman" w:cs="Times New Roman"/>
                <w:noProof/>
                <w:sz w:val="24"/>
                <w:szCs w:val="20"/>
              </w:rPr>
              <w:t>5</w:t>
            </w:r>
            <w:r w:rsidRPr="00B40900">
              <w:rPr>
                <w:rFonts w:ascii="Times New Roman" w:hAnsi="Times New Roman" w:cs="Times New Roman"/>
                <w:sz w:val="24"/>
                <w:szCs w:val="20"/>
              </w:rPr>
              <w:fldChar w:fldCharType="end"/>
            </w:r>
          </w:p>
        </w:tc>
      </w:tr>
      <w:tr w:rsidR="00A34FCB" w:rsidTr="003719C4">
        <w:trPr>
          <w:trHeight w:val="481"/>
          <w:jc w:val="center"/>
        </w:trPr>
        <w:tc>
          <w:tcPr>
            <w:tcW w:w="4862" w:type="dxa"/>
            <w:gridSpan w:val="2"/>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Sr</w:t>
            </w:r>
            <w:r>
              <w:rPr>
                <w:rFonts w:ascii="Times New Roman" w:hAnsi="Times New Roman" w:cs="Times New Roman"/>
                <w:sz w:val="24"/>
                <w:szCs w:val="20"/>
                <w:vertAlign w:val="subscript"/>
              </w:rPr>
              <w:t>2</w:t>
            </w:r>
            <w:r>
              <w:rPr>
                <w:rFonts w:ascii="Times New Roman" w:hAnsi="Times New Roman" w:cs="Times New Roman"/>
                <w:sz w:val="24"/>
                <w:szCs w:val="20"/>
              </w:rPr>
              <w:t>Fe</w:t>
            </w:r>
            <w:r>
              <w:rPr>
                <w:rFonts w:ascii="Times New Roman" w:hAnsi="Times New Roman" w:cs="Times New Roman"/>
                <w:sz w:val="24"/>
                <w:szCs w:val="20"/>
                <w:vertAlign w:val="subscript"/>
              </w:rPr>
              <w:t>1.5</w:t>
            </w:r>
            <w:r>
              <w:rPr>
                <w:rFonts w:ascii="Times New Roman" w:hAnsi="Times New Roman" w:cs="Times New Roman"/>
                <w:sz w:val="24"/>
                <w:szCs w:val="20"/>
              </w:rPr>
              <w:t>Mo</w:t>
            </w:r>
            <w:r>
              <w:rPr>
                <w:rFonts w:ascii="Times New Roman" w:hAnsi="Times New Roman" w:cs="Times New Roman"/>
                <w:sz w:val="24"/>
                <w:szCs w:val="20"/>
                <w:vertAlign w:val="subscript"/>
              </w:rPr>
              <w:t>0.5</w:t>
            </w:r>
            <w:r>
              <w:rPr>
                <w:rFonts w:ascii="Times New Roman" w:hAnsi="Times New Roman" w:cs="Times New Roman"/>
                <w:sz w:val="24"/>
                <w:szCs w:val="20"/>
              </w:rPr>
              <w:t>O</w:t>
            </w:r>
            <w:r>
              <w:rPr>
                <w:rFonts w:ascii="Times New Roman" w:hAnsi="Times New Roman" w:cs="Times New Roman"/>
                <w:sz w:val="24"/>
                <w:szCs w:val="20"/>
                <w:vertAlign w:val="subscript"/>
              </w:rPr>
              <w:t>6-</w:t>
            </w:r>
            <w:r>
              <w:rPr>
                <w:rFonts w:ascii="Symbol" w:hAnsi="Symbol" w:cs="Times New Roman"/>
                <w:i/>
                <w:sz w:val="24"/>
                <w:szCs w:val="20"/>
                <w:vertAlign w:val="subscript"/>
              </w:rPr>
              <w:t></w:t>
            </w:r>
          </w:p>
        </w:tc>
        <w:tc>
          <w:tcPr>
            <w:tcW w:w="15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L</w:t>
            </w:r>
            <w:r>
              <w:rPr>
                <w:rFonts w:ascii="Times New Roman" w:hAnsi="Times New Roman" w:cs="Times New Roman"/>
                <w:sz w:val="24"/>
                <w:szCs w:val="20"/>
              </w:rPr>
              <w:t>SGM</w:t>
            </w:r>
          </w:p>
        </w:tc>
        <w:tc>
          <w:tcPr>
            <w:tcW w:w="2232"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G</w:t>
            </w:r>
            <w:r>
              <w:rPr>
                <w:rFonts w:ascii="Times New Roman" w:hAnsi="Times New Roman" w:cs="Times New Roman"/>
                <w:sz w:val="24"/>
                <w:szCs w:val="20"/>
              </w:rPr>
              <w:t>NP</w:t>
            </w:r>
          </w:p>
        </w:tc>
        <w:tc>
          <w:tcPr>
            <w:tcW w:w="1610"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0.62</w:t>
            </w:r>
          </w:p>
        </w:tc>
        <w:tc>
          <w:tcPr>
            <w:tcW w:w="1738"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0.45</w:t>
            </w:r>
          </w:p>
        </w:tc>
        <w:tc>
          <w:tcPr>
            <w:tcW w:w="8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8</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vAlign w:val="center"/>
          </w:tcPr>
          <w:p w:rsidR="00A34FCB" w:rsidRPr="00B40900" w:rsidRDefault="00A34FCB"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 "citationItems" : [ { "id" : "ITEM-1", "itemData" : { "DOI" : "10.1002/adma.201001044", "ISBN" : "1521-4095", "ISSN" : "09359648", "PMID" : "20941791", "abstract" : "Solid oxide fuel cells (SOFCs) are electrochemical energy conversion\\ndevices that have demonstrated very high energy conversion efficiency\\nwith fuel flexibility.[1] However, the development and widespread\\nadoption of the SOFC technology are hampered since the state-of-art\\nanode (Ni/YSZ) catalysts are deactivated during operation because\\nof sulfur species or amorphous carbon binding to the surface of the\\nanode.[2,3] No effective solution to prevent anode deactivation has\\nbeen achieved so far, especially for the sulfur poisoning effect.[4]\\nRecently, a symmetrical SOFC using a redox (reduction-oxidation)\\nstable material as both the anode and cathode has been reported.[5]\\nThe application of this new SOFC configuration leads to a number\\nof advantages. Possible sulfur poisoning or coke formation on the\\nsurface of the anode can be potentially eliminated by operating the\\nanode as a cathode; oxidant (typically air) will flush any sulfur\\nor carbon species absorbed on the electrode, thereby regenerating\\nthe electrode from sulfur or coke deactivation. In addition, a redox\\nstable cathode is also expected to enhance the cathode durability\\nsince O2 partial pressure at the cathode triple phase boundary region\\ncan be quite low, especially when SOFCs are operated at a low cell\\nvoltage (e.g., to achieve very high current density).", "author" : [ { "dropping-particle" : "", "family" : "Liu", "given" : "Qiang", "non-dropping-particle" : "", "parse-names" : false, "suffix" : "" }, { "dropping-particle" : "", "family" : "Dong", "given" : "Xihui", "non-dropping-particle" : "", "parse-names" : false, "suffix" : "" }, { "dropping-particle" : "", "family" : "Xiao", "given" : "Guoliang", "non-dropping-particle" : "", "parse-names" : false, "suffix" : "" }, { "dropping-particle" : "", "family" : "Zhao", "given" : "Fei", "non-dropping-particle" : "", "parse-names" : false, "suffix" : "" }, { "dropping-particle" : "", "family" : "Chen", "given" : "Fanglin", "non-dropping-particle" : "", "parse-names" : false, "suffix" : "" } ], "container-title" : "Advanced Materials", "id" : "ITEM-1", "issue" : "48", "issued" : { "date-parts" : [ [ "2010" ] ] }, "page" : "5478-5482", "title" : "A novel electrode material for symmetrical SOFCs", "type" : "article-journal", "volume" : "22" }, "uris" : [ "http://www.mendeley.com/documents/?uuid=631baf0a-69ae-4090-866f-28bd5f577b04" ] } ], "mendeley" : { "formattedCitation" : "&lt;sup&gt;6&lt;/sup&gt;", "plainTextFormattedCitation" : "6", "previouslyFormattedCitation" : "&lt;sup&gt;6&lt;/sup&gt;"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Pr="00B40900">
              <w:rPr>
                <w:rFonts w:ascii="Times New Roman" w:hAnsi="Times New Roman" w:cs="Times New Roman"/>
                <w:noProof/>
                <w:sz w:val="24"/>
                <w:szCs w:val="20"/>
              </w:rPr>
              <w:t>6</w:t>
            </w:r>
            <w:r w:rsidRPr="00B40900">
              <w:rPr>
                <w:rFonts w:ascii="Times New Roman" w:hAnsi="Times New Roman" w:cs="Times New Roman"/>
                <w:sz w:val="24"/>
                <w:szCs w:val="20"/>
              </w:rPr>
              <w:fldChar w:fldCharType="end"/>
            </w:r>
          </w:p>
        </w:tc>
      </w:tr>
      <w:tr w:rsidR="00A34FCB" w:rsidTr="00A94B3E">
        <w:trPr>
          <w:trHeight w:val="481"/>
          <w:jc w:val="center"/>
        </w:trPr>
        <w:tc>
          <w:tcPr>
            <w:tcW w:w="4862" w:type="dxa"/>
            <w:gridSpan w:val="2"/>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vertAlign w:val="subscript"/>
              </w:rPr>
            </w:pPr>
            <w:r>
              <w:rPr>
                <w:rFonts w:ascii="Times New Roman" w:hAnsi="Times New Roman" w:cs="Times New Roman" w:hint="eastAsia"/>
                <w:sz w:val="24"/>
                <w:szCs w:val="20"/>
              </w:rPr>
              <w:t>P</w:t>
            </w:r>
            <w:r>
              <w:rPr>
                <w:rFonts w:ascii="Times New Roman" w:hAnsi="Times New Roman" w:cs="Times New Roman"/>
                <w:sz w:val="24"/>
                <w:szCs w:val="20"/>
              </w:rPr>
              <w:t>r</w:t>
            </w:r>
            <w:r w:rsidRPr="00503B1C">
              <w:rPr>
                <w:rFonts w:ascii="Times New Roman" w:hAnsi="Times New Roman" w:cs="Times New Roman"/>
                <w:sz w:val="24"/>
                <w:szCs w:val="20"/>
                <w:vertAlign w:val="subscript"/>
              </w:rPr>
              <w:t>0.5</w:t>
            </w:r>
            <w:r>
              <w:rPr>
                <w:rFonts w:ascii="Times New Roman" w:hAnsi="Times New Roman" w:cs="Times New Roman"/>
                <w:sz w:val="24"/>
                <w:szCs w:val="20"/>
              </w:rPr>
              <w:t>Ba</w:t>
            </w:r>
            <w:r w:rsidRPr="00503B1C">
              <w:rPr>
                <w:rFonts w:ascii="Times New Roman" w:hAnsi="Times New Roman" w:cs="Times New Roman"/>
                <w:sz w:val="24"/>
                <w:szCs w:val="20"/>
                <w:vertAlign w:val="subscript"/>
              </w:rPr>
              <w:t>0.4</w:t>
            </w:r>
            <w:r>
              <w:rPr>
                <w:rFonts w:ascii="Times New Roman" w:hAnsi="Times New Roman" w:cs="Times New Roman"/>
                <w:sz w:val="24"/>
                <w:szCs w:val="20"/>
              </w:rPr>
              <w:t>Ca</w:t>
            </w:r>
            <w:r w:rsidRPr="00503B1C">
              <w:rPr>
                <w:rFonts w:ascii="Times New Roman" w:hAnsi="Times New Roman" w:cs="Times New Roman"/>
                <w:sz w:val="24"/>
                <w:szCs w:val="20"/>
                <w:vertAlign w:val="subscript"/>
              </w:rPr>
              <w:t>0.1</w:t>
            </w:r>
            <w:r>
              <w:rPr>
                <w:rFonts w:ascii="Times New Roman" w:hAnsi="Times New Roman" w:cs="Times New Roman"/>
                <w:sz w:val="24"/>
                <w:szCs w:val="20"/>
              </w:rPr>
              <w:t>MnO</w:t>
            </w:r>
            <w:r w:rsidRPr="00503B1C">
              <w:rPr>
                <w:rFonts w:ascii="Times New Roman" w:hAnsi="Times New Roman" w:cs="Times New Roman"/>
                <w:sz w:val="24"/>
                <w:szCs w:val="20"/>
                <w:vertAlign w:val="subscript"/>
              </w:rPr>
              <w:t>3</w:t>
            </w:r>
          </w:p>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sz w:val="24"/>
                <w:szCs w:val="20"/>
              </w:rPr>
              <w:t>+</w:t>
            </w:r>
            <w:r w:rsidRPr="009C285F">
              <w:rPr>
                <w:rFonts w:ascii="Times New Roman" w:hAnsi="Times New Roman" w:cs="Times New Roman"/>
                <w:sz w:val="24"/>
                <w:szCs w:val="20"/>
              </w:rPr>
              <w:t>Co-Fe (catalyst)</w:t>
            </w:r>
          </w:p>
        </w:tc>
        <w:tc>
          <w:tcPr>
            <w:tcW w:w="15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proofErr w:type="spellStart"/>
            <w:r>
              <w:rPr>
                <w:rFonts w:ascii="Times New Roman" w:hAnsi="Times New Roman" w:cs="Times New Roman" w:hint="eastAsia"/>
                <w:sz w:val="24"/>
                <w:szCs w:val="20"/>
              </w:rPr>
              <w:t>L</w:t>
            </w:r>
            <w:r>
              <w:rPr>
                <w:rFonts w:ascii="Times New Roman" w:hAnsi="Times New Roman" w:cs="Times New Roman"/>
                <w:sz w:val="24"/>
                <w:szCs w:val="20"/>
              </w:rPr>
              <w:t>SGM+</w:t>
            </w:r>
            <w:r w:rsidR="0082412F">
              <w:rPr>
                <w:rFonts w:ascii="Times New Roman" w:hAnsi="Times New Roman" w:cs="Times New Roman"/>
                <w:sz w:val="24"/>
                <w:szCs w:val="20"/>
                <w:vertAlign w:val="superscript"/>
              </w:rPr>
              <w:t>e</w:t>
            </w:r>
            <w:r>
              <w:rPr>
                <w:rFonts w:ascii="Times New Roman" w:hAnsi="Times New Roman" w:cs="Times New Roman"/>
                <w:sz w:val="24"/>
                <w:szCs w:val="20"/>
              </w:rPr>
              <w:t>LDC</w:t>
            </w:r>
            <w:proofErr w:type="spellEnd"/>
            <w:r>
              <w:rPr>
                <w:rFonts w:ascii="Times New Roman" w:hAnsi="Times New Roman" w:cs="Times New Roman"/>
                <w:sz w:val="24"/>
                <w:szCs w:val="20"/>
              </w:rPr>
              <w:t xml:space="preserve"> (buffer layer)</w:t>
            </w:r>
          </w:p>
        </w:tc>
        <w:tc>
          <w:tcPr>
            <w:tcW w:w="2232"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proofErr w:type="spellStart"/>
            <w:r>
              <w:rPr>
                <w:rFonts w:ascii="Times New Roman" w:hAnsi="Times New Roman" w:cs="Times New Roman" w:hint="eastAsia"/>
                <w:sz w:val="24"/>
                <w:szCs w:val="20"/>
              </w:rPr>
              <w:t>P</w:t>
            </w:r>
            <w:r>
              <w:rPr>
                <w:rFonts w:ascii="Times New Roman" w:hAnsi="Times New Roman" w:cs="Times New Roman"/>
                <w:sz w:val="24"/>
                <w:szCs w:val="20"/>
              </w:rPr>
              <w:t>echini+Infiltration</w:t>
            </w:r>
            <w:proofErr w:type="spellEnd"/>
          </w:p>
        </w:tc>
        <w:tc>
          <w:tcPr>
            <w:tcW w:w="1610"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1</w:t>
            </w:r>
            <w:r>
              <w:rPr>
                <w:rFonts w:ascii="Times New Roman" w:hAnsi="Times New Roman" w:cs="Times New Roman"/>
                <w:sz w:val="24"/>
                <w:szCs w:val="20"/>
              </w:rPr>
              <w:t>.10</w:t>
            </w:r>
          </w:p>
        </w:tc>
        <w:tc>
          <w:tcPr>
            <w:tcW w:w="1738"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w:t>
            </w:r>
          </w:p>
        </w:tc>
        <w:tc>
          <w:tcPr>
            <w:tcW w:w="885" w:type="dxa"/>
            <w:tcBorders>
              <w:top w:val="single" w:sz="4" w:space="0" w:color="auto"/>
              <w:left w:val="single" w:sz="4" w:space="0" w:color="auto"/>
              <w:bottom w:val="single" w:sz="4" w:space="0" w:color="auto"/>
              <w:right w:val="single" w:sz="4" w:space="0" w:color="auto"/>
            </w:tcBorders>
            <w:vAlign w:val="center"/>
          </w:tcPr>
          <w:p w:rsidR="00A34FCB" w:rsidRDefault="00A34FCB"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8</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vAlign w:val="center"/>
          </w:tcPr>
          <w:p w:rsidR="00A34FCB" w:rsidRPr="00B40900" w:rsidRDefault="00A34FCB"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 "citationItems" : [ { "id" : "ITEM-1", "itemData" : { "DOI" : "10.1039/C5TA08878J", "ISBN" : "0-7803-3213-X", "ISSN" : "2050-7488", "PMID" : "17255001", "abstract" : "Symmetrical solid oxide fuel cells (SOFCs), where the same material is used as both the anode and the cathode, have gained increasing attention due to a number of attractive benefits compared to the conventional SOFC such as a simplified fabrication procedure, reduced processing costs, minimized compatibility issues, as well as enhanced stability and reliability. Since the anode is in a reducing environment while the cathode is in an oxidizing environment, the symmetrical SOFC electrode should be chemically and structurally stable in both environments. Herein, we propose a highly stable symmetrical SOFC electrode, a layered perovskite Ca doped PrBaMn2O5+\u03b4 (PBCMO). The electrical conductivity of this electrode is very high in a reducing atmosphere and suitable in an oxidizing atmosphere. Furthermore, the PBCMO symmetrical electrode demonstrates excellent electrochemical performance and durability in various hydrocarbon fuels as well as hydrogen.", "author" : [ { "dropping-particle" : "", "family" : "Choi", "given" : "S.", "non-dropping-particle" : "", "parse-names" : false, "suffix" : "" }, { "dropping-particle" : "", "family" : "Sengodan", "given" : "S.", "non-dropping-particle" : "", "parse-names" : false, "suffix" : "" }, { "dropping-particle" : "", "family" : "Park", "given" : "S.", "non-dropping-particle" : "", "parse-names" : false, "suffix" : "" }, { "dropping-particle" : "", "family" : "Ju", "given" : "Y.-W.", "non-dropping-particle" : "", "parse-names" : false, "suffix" : "" }, { "dropping-particle" : "", "family" : "Kim", "given" : "J.", "non-dropping-particle" : "", "parse-names" : false, "suffix" : "" }, { "dropping-particle" : "", "family" : "Hyodo", "given" : "J.", "non-dropping-particle" : "", "parse-names" : false, "suffix" : "" }, { "dropping-particle" : "", "family" : "Jeong", "given" : "H. Y.", "non-dropping-particle" : "", "parse-names" : false, "suffix" : "" }, { "dropping-particle" : "", "family" : "Ishihara", "given" : "T.", "non-dropping-particle" : "", "parse-names" : false, "suffix" : "" }, { "dropping-particle" : "", "family" : "Shin", "given" : "J.", "non-dropping-particle" : "", "parse-names" : false, "suffix" : "" }, { "dropping-particle" : "", "family" : "Kim", "given" : "G.", "non-dropping-particle" : "", "parse-names" : false, "suffix" : "" } ], "container-title" : "J. Mater. Chem. A", "id" : "ITEM-1", "issue" : "5", "issued" : { "date-parts" : [ [ "2016" ] ] }, "page" : "1747-1753", "title" : "A robust symmetrical electrode with layered perovskite structure for direct hydrocarbon solid oxide fuel cells: PrBa &lt;sub&gt;0.8&lt;/sub&gt; Ca &lt;sub&gt;0.2&lt;/sub&gt; Mn &lt;sub&gt;2&lt;/sub&gt; O &lt;sub&gt;5+\u03b4&lt;/sub&gt;", "type" : "article-journal", "volume" : "4" }, "uris" : [ "http://www.mendeley.com/documents/?uuid=61acad12-f086-4d31-b152-27d10e436784" ] } ], "mendeley" : { "formattedCitation" : "&lt;sup&gt;7&lt;/sup&gt;", "plainTextFormattedCitation" : "7", "previouslyFormattedCitation" : "&lt;sup&gt;7&lt;/sup&gt;"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Pr="00B40900">
              <w:rPr>
                <w:rFonts w:ascii="Times New Roman" w:hAnsi="Times New Roman" w:cs="Times New Roman"/>
                <w:noProof/>
                <w:sz w:val="24"/>
                <w:szCs w:val="20"/>
              </w:rPr>
              <w:t>7</w:t>
            </w:r>
            <w:r w:rsidRPr="00B40900">
              <w:rPr>
                <w:rFonts w:ascii="Times New Roman" w:hAnsi="Times New Roman" w:cs="Times New Roman"/>
                <w:sz w:val="24"/>
                <w:szCs w:val="20"/>
              </w:rPr>
              <w:fldChar w:fldCharType="end"/>
            </w:r>
          </w:p>
        </w:tc>
      </w:tr>
      <w:tr w:rsidR="000D7C41" w:rsidTr="00B40900">
        <w:trPr>
          <w:trHeight w:val="481"/>
          <w:jc w:val="center"/>
        </w:trPr>
        <w:tc>
          <w:tcPr>
            <w:tcW w:w="2150" w:type="dxa"/>
            <w:tcBorders>
              <w:top w:val="single" w:sz="4" w:space="0" w:color="auto"/>
              <w:left w:val="single" w:sz="4" w:space="0" w:color="auto"/>
              <w:bottom w:val="single" w:sz="4" w:space="0" w:color="auto"/>
              <w:right w:val="single" w:sz="4" w:space="0" w:color="auto"/>
            </w:tcBorders>
            <w:vAlign w:val="center"/>
          </w:tcPr>
          <w:p w:rsidR="002A64B2" w:rsidRDefault="0082412F" w:rsidP="002D599E">
            <w:pPr>
              <w:adjustRightInd w:val="0"/>
              <w:jc w:val="center"/>
              <w:rPr>
                <w:rFonts w:ascii="Times New Roman" w:hAnsi="Times New Roman" w:cs="Times New Roman"/>
                <w:sz w:val="24"/>
                <w:szCs w:val="20"/>
              </w:rPr>
            </w:pPr>
            <w:proofErr w:type="spellStart"/>
            <w:r>
              <w:rPr>
                <w:rFonts w:ascii="Times New Roman" w:hAnsi="Times New Roman" w:cs="Times New Roman"/>
                <w:sz w:val="24"/>
                <w:szCs w:val="20"/>
                <w:vertAlign w:val="superscript"/>
              </w:rPr>
              <w:t>f</w:t>
            </w:r>
            <w:r w:rsidR="002A64B2">
              <w:rPr>
                <w:rFonts w:ascii="Times New Roman" w:hAnsi="Times New Roman" w:cs="Times New Roman" w:hint="eastAsia"/>
                <w:sz w:val="24"/>
                <w:szCs w:val="20"/>
              </w:rPr>
              <w:t>N</w:t>
            </w:r>
            <w:r w:rsidR="002A64B2">
              <w:rPr>
                <w:rFonts w:ascii="Times New Roman" w:hAnsi="Times New Roman" w:cs="Times New Roman"/>
                <w:sz w:val="24"/>
                <w:szCs w:val="20"/>
              </w:rPr>
              <w:t>BSCF</w:t>
            </w:r>
            <w:proofErr w:type="spellEnd"/>
            <w:r w:rsidR="002A64B2">
              <w:rPr>
                <w:rFonts w:ascii="Times New Roman" w:hAnsi="Times New Roman" w:cs="Times New Roman"/>
                <w:sz w:val="24"/>
                <w:szCs w:val="20"/>
              </w:rPr>
              <w:t>-</w:t>
            </w:r>
            <w:r w:rsidR="00857668">
              <w:rPr>
                <w:rFonts w:ascii="Times New Roman" w:hAnsi="Times New Roman" w:cs="Times New Roman"/>
                <w:sz w:val="24"/>
                <w:szCs w:val="20"/>
              </w:rPr>
              <w:t>+</w:t>
            </w:r>
            <w:r w:rsidR="002A64B2">
              <w:rPr>
                <w:rFonts w:ascii="Times New Roman" w:hAnsi="Times New Roman" w:cs="Times New Roman"/>
                <w:sz w:val="24"/>
                <w:szCs w:val="20"/>
              </w:rPr>
              <w:t>GDC</w:t>
            </w:r>
          </w:p>
        </w:tc>
        <w:tc>
          <w:tcPr>
            <w:tcW w:w="2712"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P</w:t>
            </w:r>
            <w:r>
              <w:rPr>
                <w:rFonts w:ascii="Times New Roman" w:hAnsi="Times New Roman" w:cs="Times New Roman"/>
                <w:sz w:val="24"/>
                <w:szCs w:val="20"/>
              </w:rPr>
              <w:t>rBaMn</w:t>
            </w:r>
            <w:r w:rsidRPr="00A119BC">
              <w:rPr>
                <w:rFonts w:ascii="Times New Roman" w:hAnsi="Times New Roman" w:cs="Times New Roman"/>
                <w:sz w:val="24"/>
                <w:szCs w:val="20"/>
                <w:vertAlign w:val="subscript"/>
              </w:rPr>
              <w:t>2</w:t>
            </w:r>
            <w:r>
              <w:rPr>
                <w:rFonts w:ascii="Times New Roman" w:hAnsi="Times New Roman" w:cs="Times New Roman"/>
                <w:sz w:val="24"/>
                <w:szCs w:val="20"/>
              </w:rPr>
              <w:t>O</w:t>
            </w:r>
            <w:r w:rsidRPr="00A119BC">
              <w:rPr>
                <w:rFonts w:ascii="Times New Roman" w:hAnsi="Times New Roman" w:cs="Times New Roman"/>
                <w:sz w:val="24"/>
                <w:szCs w:val="20"/>
                <w:vertAlign w:val="subscript"/>
              </w:rPr>
              <w:t>5</w:t>
            </w:r>
          </w:p>
        </w:tc>
        <w:tc>
          <w:tcPr>
            <w:tcW w:w="1585"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L</w:t>
            </w:r>
            <w:r>
              <w:rPr>
                <w:rFonts w:ascii="Times New Roman" w:hAnsi="Times New Roman" w:cs="Times New Roman"/>
                <w:sz w:val="24"/>
                <w:szCs w:val="20"/>
              </w:rPr>
              <w:t>SGM+LDC (buffer layer)</w:t>
            </w:r>
          </w:p>
        </w:tc>
        <w:tc>
          <w:tcPr>
            <w:tcW w:w="2232"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P</w:t>
            </w:r>
            <w:r>
              <w:rPr>
                <w:rFonts w:ascii="Times New Roman" w:hAnsi="Times New Roman" w:cs="Times New Roman"/>
                <w:sz w:val="24"/>
                <w:szCs w:val="20"/>
              </w:rPr>
              <w:t>echini</w:t>
            </w:r>
          </w:p>
        </w:tc>
        <w:tc>
          <w:tcPr>
            <w:tcW w:w="1610"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.45</w:t>
            </w:r>
          </w:p>
        </w:tc>
        <w:tc>
          <w:tcPr>
            <w:tcW w:w="1738"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w:t>
            </w:r>
          </w:p>
        </w:tc>
        <w:tc>
          <w:tcPr>
            <w:tcW w:w="885"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8</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vAlign w:val="center"/>
          </w:tcPr>
          <w:p w:rsidR="002A64B2" w:rsidRPr="00B40900" w:rsidRDefault="002A64B2"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sidR="00A34FCB">
              <w:rPr>
                <w:rFonts w:ascii="Times New Roman" w:hAnsi="Times New Roman" w:cs="Times New Roman"/>
                <w:sz w:val="24"/>
                <w:szCs w:val="20"/>
              </w:rPr>
              <w:instrText>ADDIN CSL_CITATION { "citationItems" : [ { "id" : "ITEM-1", "itemData" : { "DOI" : "10.1038/nmat4166", "ISSN" : "1476-1122", "author" : [ { "dropping-particle" : "", "family" : "Sengodan", "given" : "Sivaprakash", "non-dropping-particle" : "", "parse-names" : false, "suffix" : "" }, { "dropping-particle" : "", "family" : "Choi", "given" : "Sihyuk", "non-dropping-particle" : "", "parse-names" : false, "suffix" : "" }, { "dropping-particle" : "", "family" : "Jun", "given" : "Areum", "non-dropping-particle" : "", "parse-names" : false, "suffix" : "" }, { "dropping-particle" : "", "family" : "Shin", "given" : "Tae Ho", "non-dropping-particle" : "", "parse-names" : false, "suffix" : "" }, { "dropping-particle" : "", "family" : "Ju", "given" : "Young-Wan", "non-dropping-particle" : "", "parse-names" : false, "suffix" : "" }, { "dropping-particle" : "", "family" : "Jeong", "given" : "Hu Young", "non-dropping-particle" : "", "parse-names" : false, "suffix" : "" }, { "dropping-particle" : "", "family" : "Shin", "given" : "Jeeyoung", "non-dropping-particle" : "", "parse-names" : false, "suffix" : "" }, { "dropping-particle" : "", "family" : "Irvine", "given" : "John T. S.", "non-dropping-particle" : "", "parse-names" : false, "suffix" : "" }, { "dropping-particle" : "", "family" : "Kim", "given" : "Guntae", "non-dropping-particle" : "", "parse-names" : false, "suffix" : "" } ], "container-title" : "Nature Materials", "id" : "ITEM-1", "issue" : "2", "issued" : { "date-parts" : [ [ "2014" ] ] }, "page" : "205-209", "title" : "Layered oxygen-deficient double perovskite as an efficient and stable anode for direct hydrocarbon solid oxide fuel cells", "type" : "article-journal", "volume" : "14" }, "uris" : [ "http://www.mendeley.com/documents/?uuid=75f29c4f-57bf-4724-b76d-e026a15244c7" ] } ], "mendeley" : { "formattedCitation" : "&lt;sup&gt;8&lt;/sup&gt;", "plainTextFormattedCitation" : "8", "previouslyFormattedCitation" : "&lt;sup&gt;8&lt;/sup&gt;"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000D7C41" w:rsidRPr="00B40900">
              <w:rPr>
                <w:rFonts w:ascii="Times New Roman" w:hAnsi="Times New Roman" w:cs="Times New Roman"/>
                <w:noProof/>
                <w:sz w:val="24"/>
                <w:szCs w:val="20"/>
              </w:rPr>
              <w:t>8</w:t>
            </w:r>
            <w:r w:rsidRPr="00B40900">
              <w:rPr>
                <w:rFonts w:ascii="Times New Roman" w:hAnsi="Times New Roman" w:cs="Times New Roman"/>
                <w:sz w:val="24"/>
                <w:szCs w:val="20"/>
              </w:rPr>
              <w:fldChar w:fldCharType="end"/>
            </w:r>
          </w:p>
        </w:tc>
      </w:tr>
      <w:tr w:rsidR="000D7C41" w:rsidTr="00B40900">
        <w:trPr>
          <w:trHeight w:val="481"/>
          <w:jc w:val="center"/>
        </w:trPr>
        <w:tc>
          <w:tcPr>
            <w:tcW w:w="2150" w:type="dxa"/>
            <w:tcBorders>
              <w:top w:val="single" w:sz="4" w:space="0" w:color="auto"/>
              <w:left w:val="single" w:sz="4" w:space="0" w:color="auto"/>
              <w:bottom w:val="single" w:sz="4" w:space="0" w:color="auto"/>
              <w:right w:val="single" w:sz="4" w:space="0" w:color="auto"/>
            </w:tcBorders>
            <w:vAlign w:val="center"/>
          </w:tcPr>
          <w:p w:rsidR="002A64B2" w:rsidRDefault="0082412F" w:rsidP="002D599E">
            <w:pPr>
              <w:adjustRightInd w:val="0"/>
              <w:jc w:val="center"/>
              <w:rPr>
                <w:rFonts w:ascii="Times New Roman" w:hAnsi="Times New Roman" w:cs="Times New Roman"/>
                <w:sz w:val="24"/>
                <w:szCs w:val="20"/>
              </w:rPr>
            </w:pPr>
            <w:proofErr w:type="spellStart"/>
            <w:r>
              <w:rPr>
                <w:rFonts w:ascii="Times New Roman" w:hAnsi="Times New Roman" w:cs="Times New Roman"/>
                <w:sz w:val="24"/>
                <w:szCs w:val="20"/>
                <w:vertAlign w:val="superscript"/>
              </w:rPr>
              <w:t>g</w:t>
            </w:r>
            <w:r w:rsidR="002A64B2">
              <w:rPr>
                <w:rFonts w:ascii="Times New Roman" w:hAnsi="Times New Roman" w:cs="Times New Roman" w:hint="eastAsia"/>
                <w:sz w:val="24"/>
                <w:szCs w:val="20"/>
              </w:rPr>
              <w:t>G</w:t>
            </w:r>
            <w:r w:rsidR="002A64B2">
              <w:rPr>
                <w:rFonts w:ascii="Times New Roman" w:hAnsi="Times New Roman" w:cs="Times New Roman"/>
                <w:sz w:val="24"/>
                <w:szCs w:val="20"/>
              </w:rPr>
              <w:t>BSCF</w:t>
            </w:r>
            <w:proofErr w:type="spellEnd"/>
          </w:p>
        </w:tc>
        <w:tc>
          <w:tcPr>
            <w:tcW w:w="2712"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C</w:t>
            </w:r>
            <w:r>
              <w:rPr>
                <w:rFonts w:ascii="Times New Roman" w:hAnsi="Times New Roman" w:cs="Times New Roman"/>
                <w:sz w:val="24"/>
                <w:szCs w:val="20"/>
              </w:rPr>
              <w:t>e-Pd</w:t>
            </w:r>
          </w:p>
        </w:tc>
        <w:tc>
          <w:tcPr>
            <w:tcW w:w="1585"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Y</w:t>
            </w:r>
            <w:r>
              <w:rPr>
                <w:rFonts w:ascii="Times New Roman" w:hAnsi="Times New Roman" w:cs="Times New Roman"/>
                <w:sz w:val="24"/>
                <w:szCs w:val="20"/>
              </w:rPr>
              <w:t>SZ</w:t>
            </w:r>
          </w:p>
        </w:tc>
        <w:tc>
          <w:tcPr>
            <w:tcW w:w="2232"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I</w:t>
            </w:r>
            <w:r>
              <w:rPr>
                <w:rFonts w:ascii="Times New Roman" w:hAnsi="Times New Roman" w:cs="Times New Roman"/>
                <w:sz w:val="24"/>
                <w:szCs w:val="20"/>
              </w:rPr>
              <w:t>nfiltration</w:t>
            </w:r>
          </w:p>
        </w:tc>
        <w:tc>
          <w:tcPr>
            <w:tcW w:w="1610"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.6</w:t>
            </w:r>
          </w:p>
        </w:tc>
        <w:tc>
          <w:tcPr>
            <w:tcW w:w="1738"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.134</w:t>
            </w:r>
          </w:p>
        </w:tc>
        <w:tc>
          <w:tcPr>
            <w:tcW w:w="885"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7</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vAlign w:val="center"/>
          </w:tcPr>
          <w:p w:rsidR="002A64B2" w:rsidRPr="00B40900" w:rsidRDefault="002A64B2"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sidR="00A34FCB">
              <w:rPr>
                <w:rFonts w:ascii="Times New Roman" w:hAnsi="Times New Roman" w:cs="Times New Roman"/>
                <w:sz w:val="24"/>
                <w:szCs w:val="20"/>
              </w:rPr>
              <w:instrText>ADDIN CSL_CITATION { "citationItems" : [ { "id" : "ITEM-1", "itemData" : { "DOI" : "10.1002/cssc.201500509", "ISSN" : "18645631", "author" : [ { "dropping-particle" : "", "family" : "Kim", "given" : "Seona", "non-dropping-particle" : "", "parse-names" : false, "suffix" : "" }, { "dropping-particle" : "", "family" : "Jun", "given" : "Areum", "non-dropping-particle" : "", "parse-names" : false, "suffix" : "" }, { "dropping-particle" : "", "family" : "Kwon", "given" : "Ohhun", "non-dropping-particle" : "", "parse-names" : false, "suffix" : "" }, { "dropping-particle" : "", "family" : "Kim", "given" : "Junyoung", "non-dropping-particle" : "", "parse-names" : false, "suffix" : "" }, { "dropping-particle" : "", "family" : "Yoo", "given" : "Seonyoung", "non-dropping-particle" : "", "parse-names" : false, "suffix" : "" }, { "dropping-particle" : "", "family" : "Jeong", "given" : "Hu Young", "non-dropping-particle" : "", "parse-names" : false, "suffix" : "" }, { "dropping-particle" : "", "family" : "Shin", "given" : "Jeeyoung", "non-dropping-particle" : "", "parse-names" : false, "suffix" : "" }, { "dropping-particle" : "", "family" : "Kim", "given" : "Guntae", "non-dropping-particle" : "", "parse-names" : false, "suffix" : "" } ], "container-title" : "ChemSusChem", "id" : "ITEM-1", "issue" : "18", "issued" : { "date-parts" : [ [ "2015" ] ] }, "page" : "3153-3158", "title" : "Nanostructured Double Perovskite Cathode With Low Sintering Temperature For Intermediate Temperature Solid Oxide Fuel Cells", "type" : "article-journal", "volume" : "8" }, "uris" : [ "http://www.mendeley.com/documents/?uuid=b92210c0-54ca-400c-95ca-fed2f17a6134" ] } ], "mendeley" : { "formattedCitation" : "&lt;sup&gt;9&lt;/sup&gt;", "plainTextFormattedCitation" : "9", "previouslyFormattedCitation" : "&lt;sup&gt;9&lt;/sup&gt;"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000D7C41" w:rsidRPr="00B40900">
              <w:rPr>
                <w:rFonts w:ascii="Times New Roman" w:hAnsi="Times New Roman" w:cs="Times New Roman"/>
                <w:noProof/>
                <w:sz w:val="24"/>
                <w:szCs w:val="20"/>
              </w:rPr>
              <w:t>9</w:t>
            </w:r>
            <w:r w:rsidRPr="00B40900">
              <w:rPr>
                <w:rFonts w:ascii="Times New Roman" w:hAnsi="Times New Roman" w:cs="Times New Roman"/>
                <w:sz w:val="24"/>
                <w:szCs w:val="20"/>
              </w:rPr>
              <w:fldChar w:fldCharType="end"/>
            </w:r>
          </w:p>
        </w:tc>
      </w:tr>
      <w:tr w:rsidR="000D7C41" w:rsidTr="00B40900">
        <w:trPr>
          <w:trHeight w:val="481"/>
          <w:jc w:val="center"/>
        </w:trPr>
        <w:tc>
          <w:tcPr>
            <w:tcW w:w="2150"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G</w:t>
            </w:r>
            <w:r>
              <w:rPr>
                <w:rFonts w:ascii="Times New Roman" w:hAnsi="Times New Roman" w:cs="Times New Roman"/>
                <w:sz w:val="24"/>
                <w:szCs w:val="20"/>
              </w:rPr>
              <w:t>BSCF</w:t>
            </w:r>
          </w:p>
        </w:tc>
        <w:tc>
          <w:tcPr>
            <w:tcW w:w="2712"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P</w:t>
            </w:r>
            <w:r>
              <w:rPr>
                <w:rFonts w:ascii="Times New Roman" w:hAnsi="Times New Roman" w:cs="Times New Roman"/>
                <w:sz w:val="24"/>
                <w:szCs w:val="20"/>
              </w:rPr>
              <w:t>rBaMn</w:t>
            </w:r>
            <w:r w:rsidRPr="007C7082">
              <w:rPr>
                <w:rFonts w:ascii="Times New Roman" w:hAnsi="Times New Roman" w:cs="Times New Roman"/>
                <w:sz w:val="24"/>
                <w:szCs w:val="20"/>
                <w:vertAlign w:val="subscript"/>
              </w:rPr>
              <w:t>2</w:t>
            </w:r>
            <w:r>
              <w:rPr>
                <w:rFonts w:ascii="Times New Roman" w:hAnsi="Times New Roman" w:cs="Times New Roman"/>
                <w:sz w:val="24"/>
                <w:szCs w:val="20"/>
              </w:rPr>
              <w:t>O</w:t>
            </w:r>
            <w:r w:rsidRPr="007C7082">
              <w:rPr>
                <w:rFonts w:ascii="Times New Roman" w:hAnsi="Times New Roman" w:cs="Times New Roman"/>
                <w:sz w:val="24"/>
                <w:szCs w:val="20"/>
                <w:vertAlign w:val="subscript"/>
              </w:rPr>
              <w:t>5</w:t>
            </w:r>
          </w:p>
        </w:tc>
        <w:tc>
          <w:tcPr>
            <w:tcW w:w="1585"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Y</w:t>
            </w:r>
            <w:r>
              <w:rPr>
                <w:rFonts w:ascii="Times New Roman" w:hAnsi="Times New Roman" w:cs="Times New Roman"/>
                <w:sz w:val="24"/>
                <w:szCs w:val="20"/>
              </w:rPr>
              <w:t>SZ</w:t>
            </w:r>
          </w:p>
        </w:tc>
        <w:tc>
          <w:tcPr>
            <w:tcW w:w="2232"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I</w:t>
            </w:r>
            <w:r>
              <w:rPr>
                <w:rFonts w:ascii="Times New Roman" w:hAnsi="Times New Roman" w:cs="Times New Roman"/>
                <w:sz w:val="24"/>
                <w:szCs w:val="20"/>
              </w:rPr>
              <w:t>nfiltration</w:t>
            </w:r>
          </w:p>
        </w:tc>
        <w:tc>
          <w:tcPr>
            <w:tcW w:w="1610"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.53</w:t>
            </w:r>
          </w:p>
        </w:tc>
        <w:tc>
          <w:tcPr>
            <w:tcW w:w="1738"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.20</w:t>
            </w:r>
          </w:p>
        </w:tc>
        <w:tc>
          <w:tcPr>
            <w:tcW w:w="885"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7</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vAlign w:val="center"/>
          </w:tcPr>
          <w:p w:rsidR="002A64B2" w:rsidRPr="00B40900" w:rsidRDefault="002A64B2"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sidR="00A34FCB">
              <w:rPr>
                <w:rFonts w:ascii="Times New Roman" w:hAnsi="Times New Roman" w:cs="Times New Roman"/>
                <w:sz w:val="24"/>
                <w:szCs w:val="20"/>
              </w:rPr>
              <w:instrText>ADDIN CSL_CITATION { "citationItems" : [ { "id" : "ITEM-1", "itemData" : { "DOI" : "10.1016/j.electacta.2016.12.178", "ISSN" : "00134686", "abstract" : "\u00a9 2016 Elsevier Ltd There is increasing demand for versatile catalysts for direct hydrocarbon utilization with the coming of hydrocarbon economy. The catalysts are required to possess both high catalytic activities and excellent carbon coking tolerance for the hydrocarbon oxidation process. In this regard, we considered Ni-based alloy catalysts, e.g. Ni-Co, Ni-Cu, and Ni-Fe, which are expected to provide synergistic effects from the high catalytic activities of Ni and the high carbon coking tolerance of transition metals. We conduct a systematic investigation of catalytic effects on the electrochemical properties and the carbon coking tolerance of the candidates. Moreover, the binding strengths of H, O, and C species with each alloy catalyst were examined via density functional theory (DFT) calculations, providing insight into the trend of catalytic activity and carbon coking tolerance. In this study, the single cell for the solid oxide fuel cell with Ni-Fe catalyst shows the best electrochemical performance, 0.81 and 0.30\u00a0W\u00a0cm \u22122 at 700\u00a0\u00b0C under H 2 and C 3 H 8 , respectively, with excellent tolerance against carbon deposition.", "author" : [ { "dropping-particle" : "", "family" : "Kim", "given" : "Seona", "non-dropping-particle" : "", "parse-names" : false, "suffix" : "" }, { "dropping-particle" : "", "family" : "Kim", "given" : "Chanseok", "non-dropping-particle" : "", "parse-names" : false, "suffix" : "" }, { "dropping-particle" : "", "family" : "Lee", "given" : "Jun Hee J.H.", "non-dropping-particle" : "", "parse-names" : false, "suffix" : "" }, { "dropping-particle" : "", "family" : "Shin", "given" : "Jeeyoung", "non-dropping-particle" : "", "parse-names" : false, "suffix" : "" }, { "dropping-particle" : "", "family" : "Lim", "given" : "T.-H. Tak-Hyoung", "non-dropping-particle" : "", "parse-names" : false, "suffix" : "" }, { "dropping-particle" : "", "family" : "Kim", "given" : "Guntae", "non-dropping-particle" : "", "parse-names" : false, "suffix" : "" } ], "container-title" : "Electrochimica Acta", "id" : "ITEM-1", "issued" : { "date-parts" : [ [ "2017", "1" ] ] }, "page" : "399-406", "publisher" : "Elsevier Ltd", "title" : "Tailoring Ni-based catalyst by alloying with transition metals (M=Ni, Co, Cu, and Fe) for direct hydrocarbon utilization of energy conversion devices.", "type" : "article-journal", "volume" : "225" }, "uris" : [ "http://www.mendeley.com/documents/?uuid=10dbb90e-8bba-48a5-a03b-03acfc318f47" ] } ], "mendeley" : { "formattedCitation" : "&lt;sup&gt;10&lt;/sup&gt;", "plainTextFormattedCitation" : "10", "previouslyFormattedCitation" : "&lt;sup&gt;10&lt;/sup&gt;"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000D7C41" w:rsidRPr="00B40900">
              <w:rPr>
                <w:rFonts w:ascii="Times New Roman" w:hAnsi="Times New Roman" w:cs="Times New Roman"/>
                <w:noProof/>
                <w:sz w:val="24"/>
                <w:szCs w:val="20"/>
              </w:rPr>
              <w:t>10</w:t>
            </w:r>
            <w:r w:rsidRPr="00B40900">
              <w:rPr>
                <w:rFonts w:ascii="Times New Roman" w:hAnsi="Times New Roman" w:cs="Times New Roman"/>
                <w:sz w:val="24"/>
                <w:szCs w:val="20"/>
              </w:rPr>
              <w:fldChar w:fldCharType="end"/>
            </w:r>
          </w:p>
        </w:tc>
      </w:tr>
      <w:tr w:rsidR="000D7C41" w:rsidTr="00B40900">
        <w:trPr>
          <w:trHeight w:val="481"/>
          <w:jc w:val="center"/>
        </w:trPr>
        <w:tc>
          <w:tcPr>
            <w:tcW w:w="2150"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sidRPr="004B5373">
              <w:rPr>
                <w:rFonts w:ascii="Times New Roman" w:hAnsi="Times New Roman" w:cs="Times New Roman"/>
                <w:sz w:val="24"/>
                <w:szCs w:val="20"/>
              </w:rPr>
              <w:t>SrCo</w:t>
            </w:r>
            <w:r w:rsidRPr="003F620E">
              <w:rPr>
                <w:rFonts w:ascii="Times New Roman" w:hAnsi="Times New Roman" w:cs="Times New Roman"/>
                <w:sz w:val="24"/>
                <w:szCs w:val="20"/>
                <w:vertAlign w:val="subscript"/>
              </w:rPr>
              <w:t>0.8</w:t>
            </w:r>
            <w:r w:rsidRPr="004B5373">
              <w:rPr>
                <w:rFonts w:ascii="Times New Roman" w:hAnsi="Times New Roman" w:cs="Times New Roman"/>
                <w:sz w:val="24"/>
                <w:szCs w:val="20"/>
              </w:rPr>
              <w:t>Fe</w:t>
            </w:r>
            <w:r w:rsidRPr="003F620E">
              <w:rPr>
                <w:rFonts w:ascii="Times New Roman" w:hAnsi="Times New Roman" w:cs="Times New Roman"/>
                <w:sz w:val="24"/>
                <w:szCs w:val="20"/>
                <w:vertAlign w:val="subscript"/>
              </w:rPr>
              <w:t>0.2</w:t>
            </w:r>
            <w:r w:rsidRPr="004B5373">
              <w:rPr>
                <w:rFonts w:ascii="Times New Roman" w:hAnsi="Times New Roman" w:cs="Times New Roman"/>
                <w:sz w:val="24"/>
                <w:szCs w:val="20"/>
              </w:rPr>
              <w:t>O</w:t>
            </w:r>
            <w:r w:rsidRPr="003F620E">
              <w:rPr>
                <w:rFonts w:ascii="Times New Roman" w:hAnsi="Times New Roman" w:cs="Times New Roman"/>
                <w:sz w:val="24"/>
                <w:szCs w:val="20"/>
                <w:vertAlign w:val="subscript"/>
              </w:rPr>
              <w:t>3-</w:t>
            </w:r>
            <w:r w:rsidRPr="003F620E">
              <w:rPr>
                <w:rFonts w:ascii="Symbol" w:hAnsi="Symbol" w:cs="Times New Roman"/>
                <w:i/>
                <w:sz w:val="24"/>
                <w:szCs w:val="20"/>
                <w:vertAlign w:val="subscript"/>
              </w:rPr>
              <w:t></w:t>
            </w:r>
            <w:r w:rsidRPr="004B5373">
              <w:rPr>
                <w:rFonts w:ascii="Times New Roman" w:hAnsi="Times New Roman" w:cs="Times New Roman"/>
                <w:sz w:val="24"/>
                <w:szCs w:val="20"/>
              </w:rPr>
              <w:t xml:space="preserve"> (SCF) </w:t>
            </w:r>
          </w:p>
        </w:tc>
        <w:tc>
          <w:tcPr>
            <w:tcW w:w="2712"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sidRPr="004B5373">
              <w:rPr>
                <w:rFonts w:ascii="Times New Roman" w:hAnsi="Times New Roman" w:cs="Times New Roman"/>
                <w:sz w:val="24"/>
                <w:szCs w:val="20"/>
              </w:rPr>
              <w:t>Sr</w:t>
            </w:r>
            <w:r w:rsidRPr="0082412F">
              <w:rPr>
                <w:rFonts w:ascii="Times New Roman" w:hAnsi="Times New Roman" w:cs="Times New Roman"/>
                <w:sz w:val="24"/>
                <w:szCs w:val="20"/>
                <w:vertAlign w:val="subscript"/>
              </w:rPr>
              <w:t>2</w:t>
            </w:r>
            <w:r w:rsidRPr="004B5373">
              <w:rPr>
                <w:rFonts w:ascii="Times New Roman" w:hAnsi="Times New Roman" w:cs="Times New Roman"/>
                <w:sz w:val="24"/>
                <w:szCs w:val="20"/>
              </w:rPr>
              <w:t>MgMoO</w:t>
            </w:r>
            <w:r w:rsidRPr="0082412F">
              <w:rPr>
                <w:rFonts w:ascii="Times New Roman" w:hAnsi="Times New Roman" w:cs="Times New Roman"/>
                <w:sz w:val="24"/>
                <w:szCs w:val="20"/>
                <w:vertAlign w:val="subscript"/>
              </w:rPr>
              <w:t>6-</w:t>
            </w:r>
            <w:r w:rsidRPr="0082412F">
              <w:rPr>
                <w:rFonts w:ascii="Symbol" w:hAnsi="Symbol" w:cs="Times New Roman"/>
                <w:i/>
                <w:sz w:val="24"/>
                <w:szCs w:val="20"/>
                <w:vertAlign w:val="subscript"/>
              </w:rPr>
              <w:t></w:t>
            </w:r>
            <w:r w:rsidRPr="004B5373">
              <w:rPr>
                <w:rFonts w:ascii="Times New Roman" w:hAnsi="Times New Roman" w:cs="Times New Roman"/>
                <w:sz w:val="24"/>
                <w:szCs w:val="20"/>
              </w:rPr>
              <w:t xml:space="preserve"> </w:t>
            </w:r>
          </w:p>
        </w:tc>
        <w:tc>
          <w:tcPr>
            <w:tcW w:w="1585"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sz w:val="24"/>
                <w:szCs w:val="20"/>
              </w:rPr>
              <w:t>LSGM+LDC</w:t>
            </w:r>
          </w:p>
        </w:tc>
        <w:tc>
          <w:tcPr>
            <w:tcW w:w="2232"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C</w:t>
            </w:r>
            <w:r>
              <w:rPr>
                <w:rFonts w:ascii="Times New Roman" w:hAnsi="Times New Roman" w:cs="Times New Roman"/>
                <w:sz w:val="24"/>
                <w:szCs w:val="20"/>
              </w:rPr>
              <w:t>ombustion synthesis</w:t>
            </w:r>
          </w:p>
        </w:tc>
        <w:tc>
          <w:tcPr>
            <w:tcW w:w="1610"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0</w:t>
            </w:r>
            <w:r>
              <w:rPr>
                <w:rFonts w:ascii="Times New Roman" w:hAnsi="Times New Roman" w:cs="Times New Roman"/>
                <w:sz w:val="24"/>
                <w:szCs w:val="20"/>
              </w:rPr>
              <w:t>.84</w:t>
            </w:r>
          </w:p>
        </w:tc>
        <w:tc>
          <w:tcPr>
            <w:tcW w:w="1738"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p>
        </w:tc>
        <w:tc>
          <w:tcPr>
            <w:tcW w:w="885" w:type="dxa"/>
            <w:tcBorders>
              <w:top w:val="single" w:sz="4" w:space="0" w:color="auto"/>
              <w:left w:val="single" w:sz="4" w:space="0" w:color="auto"/>
              <w:bottom w:val="single" w:sz="4" w:space="0" w:color="auto"/>
              <w:right w:val="single" w:sz="4" w:space="0" w:color="auto"/>
            </w:tcBorders>
            <w:vAlign w:val="center"/>
          </w:tcPr>
          <w:p w:rsidR="002A64B2" w:rsidRDefault="002A64B2" w:rsidP="002D599E">
            <w:pPr>
              <w:adjustRightInd w:val="0"/>
              <w:jc w:val="center"/>
              <w:rPr>
                <w:rFonts w:ascii="Times New Roman" w:hAnsi="Times New Roman" w:cs="Times New Roman"/>
                <w:sz w:val="24"/>
                <w:szCs w:val="20"/>
              </w:rPr>
            </w:pPr>
            <w:r>
              <w:rPr>
                <w:rFonts w:ascii="Times New Roman" w:hAnsi="Times New Roman" w:cs="Times New Roman" w:hint="eastAsia"/>
                <w:sz w:val="24"/>
                <w:szCs w:val="20"/>
              </w:rPr>
              <w:t>8</w:t>
            </w:r>
            <w:r>
              <w:rPr>
                <w:rFonts w:ascii="Times New Roman" w:hAnsi="Times New Roman" w:cs="Times New Roman"/>
                <w:sz w:val="24"/>
                <w:szCs w:val="20"/>
              </w:rPr>
              <w:t>00</w:t>
            </w:r>
          </w:p>
        </w:tc>
        <w:tc>
          <w:tcPr>
            <w:tcW w:w="775" w:type="dxa"/>
            <w:tcBorders>
              <w:top w:val="single" w:sz="4" w:space="0" w:color="auto"/>
              <w:left w:val="single" w:sz="4" w:space="0" w:color="auto"/>
              <w:bottom w:val="single" w:sz="4" w:space="0" w:color="auto"/>
              <w:right w:val="single" w:sz="4" w:space="0" w:color="auto"/>
            </w:tcBorders>
            <w:vAlign w:val="center"/>
          </w:tcPr>
          <w:p w:rsidR="002A64B2" w:rsidRPr="00B40900" w:rsidRDefault="002A64B2" w:rsidP="002D599E">
            <w:pPr>
              <w:adjustRightInd w:val="0"/>
              <w:jc w:val="center"/>
              <w:rPr>
                <w:rFonts w:ascii="Times New Roman" w:hAnsi="Times New Roman" w:cs="Times New Roman"/>
                <w:sz w:val="24"/>
                <w:szCs w:val="20"/>
              </w:rPr>
            </w:pPr>
            <w:r w:rsidRPr="00B40900">
              <w:rPr>
                <w:rFonts w:ascii="Times New Roman" w:hAnsi="Times New Roman" w:cs="Times New Roman"/>
                <w:sz w:val="24"/>
                <w:szCs w:val="20"/>
              </w:rPr>
              <w:fldChar w:fldCharType="begin" w:fldLock="1"/>
            </w:r>
            <w:r w:rsidR="00A34FCB">
              <w:rPr>
                <w:rFonts w:ascii="Times New Roman" w:hAnsi="Times New Roman" w:cs="Times New Roman"/>
                <w:sz w:val="24"/>
                <w:szCs w:val="20"/>
              </w:rPr>
              <w:instrText>ADDIN CSL_CITATION { "citationItems" : [ { "id" : "ITEM-1", "itemData" : { "DOI" : "10.1126/science.1125877", "author" : [ { "dropping-particle" : "", "family" : "Scribe", "given" : "P", "non-dropping-particle" : "", "parse-names" : false, "suffix" : "" }, { "dropping-particle" : "", "family" : "Breliere", "given" : "C", "non-dropping-particle" : "", "parse-names" : false, "suffix" : "" }, { "dropping-particle" : "", "family" : "Kusukawa", "given" : "T", "non-dropping-particle" : "", "parse-names" : false, "suffix" : "" }, { "dropping-particle" : "", "family" : "Biradha", "given" : "K", "non-dropping-particle" : "", "parse-names" : false, "suffix" : "" }, { "dropping-particle" : "", "family" : "Fujita", "given" : "M", "non-dropping-particle" : "", "parse-names" : false, "suffix" : "" }, { "dropping-particle" : "", "family" : "Yoshizawa", "given" : "M", "non-dropping-particle" : "", "parse-names" : false, "suffix" : "" }, { "dropping-particle" : "", "family" : "Fujita", "given" : "M", "non-dropping-particle" : "", "parse-names" : false, "suffix" : "" }, { "dropping-particle" : "", "family" : "Fujita", "given" : "M", "non-dropping-particle" : "", "parse-names" : false, "suffix" : "" }, { "dropping-particle" : "", "family" : "Tamura", "given" : "M", "non-dropping-particle" : "", "parse-names" : false, "suffix" : "" }, { "dropping-particle" : "", "family" : "Fujita", "given" : "M", "non-dropping-particle" : "", "parse-names" : false, "suffix" : "" }, { "dropping-particle" : "", "family" : "Kusukawa", "given" : "T", "non-dropping-particle" : "", "parse-names" : false, "suffix" : "" }, { "dropping-particle" : "", "family" : "Sakamoto", "given" : "S", "non-dropping-particle" : "", "parse-names" : false, "suffix" : "" }, { "dropping-particle" : "", "family" : "Yamaguchi", "given" : "K", "non-dropping-particle" : "", "parse-names" : false, "suffix" : "" }, { "dropping-particle" : "", "family" : "Fujita", "given" : "M", "non-dropping-particle" : "", "parse-names" : false, "suffix" : "" } ], "container-title" : "Science", "id" : "ITEM-1", "issue" : "April", "issued" : { "date-parts" : [ [ "2006" ] ] }, "page" : "254-258", "title" : "Double Perovskites as Anode", "type" : "article-journal", "volume" : "2" }, "uris" : [ "http://www.mendeley.com/documents/?uuid=cf54d4f4-3952-4868-9776-e33af4ab80f3" ] } ], "mendeley" : { "formattedCitation" : "&lt;sup&gt;11&lt;/sup&gt;", "plainTextFormattedCitation" : "11", "previouslyFormattedCitation" : "&lt;sup&gt;11&lt;/sup&gt;" }, "properties" : { "noteIndex" : 0 }, "schema" : "https://github.com/citation-style-language/schema/raw/master/csl-citation.json" }</w:instrText>
            </w:r>
            <w:r w:rsidRPr="00B40900">
              <w:rPr>
                <w:rFonts w:ascii="Times New Roman" w:hAnsi="Times New Roman" w:cs="Times New Roman"/>
                <w:sz w:val="24"/>
                <w:szCs w:val="20"/>
              </w:rPr>
              <w:fldChar w:fldCharType="separate"/>
            </w:r>
            <w:r w:rsidR="000D7C41" w:rsidRPr="00B40900">
              <w:rPr>
                <w:rFonts w:ascii="Times New Roman" w:hAnsi="Times New Roman" w:cs="Times New Roman"/>
                <w:noProof/>
                <w:sz w:val="24"/>
                <w:szCs w:val="20"/>
              </w:rPr>
              <w:t>11</w:t>
            </w:r>
            <w:r w:rsidRPr="00B40900">
              <w:rPr>
                <w:rFonts w:ascii="Times New Roman" w:hAnsi="Times New Roman" w:cs="Times New Roman"/>
                <w:sz w:val="24"/>
                <w:szCs w:val="20"/>
              </w:rPr>
              <w:fldChar w:fldCharType="end"/>
            </w:r>
          </w:p>
        </w:tc>
      </w:tr>
      <w:tr w:rsidR="002A64B2" w:rsidTr="002D599E">
        <w:trPr>
          <w:trHeight w:val="481"/>
          <w:jc w:val="center"/>
        </w:trPr>
        <w:tc>
          <w:tcPr>
            <w:tcW w:w="13687" w:type="dxa"/>
            <w:gridSpan w:val="8"/>
            <w:tcBorders>
              <w:top w:val="single" w:sz="4" w:space="0" w:color="auto"/>
              <w:left w:val="single" w:sz="4" w:space="0" w:color="auto"/>
              <w:bottom w:val="single" w:sz="4" w:space="0" w:color="auto"/>
              <w:right w:val="single" w:sz="4" w:space="0" w:color="auto"/>
            </w:tcBorders>
          </w:tcPr>
          <w:p w:rsidR="00967395" w:rsidRDefault="002A64B2" w:rsidP="00967395">
            <w:pPr>
              <w:adjustRightInd w:val="0"/>
              <w:jc w:val="center"/>
              <w:rPr>
                <w:rFonts w:ascii="Times New Roman" w:hAnsi="Times New Roman" w:cs="Times New Roman"/>
                <w:sz w:val="24"/>
                <w:szCs w:val="20"/>
              </w:rPr>
            </w:pPr>
            <w:r>
              <w:rPr>
                <w:rFonts w:ascii="Times New Roman" w:hAnsi="Times New Roman" w:cs="Times New Roman"/>
                <w:sz w:val="24"/>
                <w:szCs w:val="20"/>
                <w:vertAlign w:val="superscript"/>
              </w:rPr>
              <w:t>a</w:t>
            </w:r>
            <w:r w:rsidR="00967395">
              <w:rPr>
                <w:rFonts w:ascii="Times New Roman" w:hAnsi="Times New Roman" w:cs="Times New Roman"/>
                <w:sz w:val="24"/>
                <w:szCs w:val="20"/>
                <w:vertAlign w:val="superscript"/>
              </w:rPr>
              <w:t xml:space="preserve"> </w:t>
            </w:r>
            <w:r w:rsidR="00967395">
              <w:rPr>
                <w:rFonts w:ascii="Times New Roman" w:hAnsi="Times New Roman" w:cs="Times New Roman"/>
                <w:sz w:val="24"/>
                <w:szCs w:val="24"/>
              </w:rPr>
              <w:t>La</w:t>
            </w:r>
            <w:r w:rsidR="00967395">
              <w:rPr>
                <w:rFonts w:ascii="Times New Roman" w:hAnsi="Times New Roman" w:cs="Times New Roman"/>
                <w:sz w:val="24"/>
                <w:szCs w:val="24"/>
                <w:vertAlign w:val="subscript"/>
              </w:rPr>
              <w:t>1-x</w:t>
            </w:r>
            <w:r w:rsidR="00967395">
              <w:rPr>
                <w:rFonts w:ascii="Times New Roman" w:hAnsi="Times New Roman" w:cs="Times New Roman"/>
                <w:sz w:val="24"/>
                <w:szCs w:val="24"/>
              </w:rPr>
              <w:t>Sr</w:t>
            </w:r>
            <w:r w:rsidR="00967395">
              <w:rPr>
                <w:rFonts w:ascii="Times New Roman" w:hAnsi="Times New Roman" w:cs="Times New Roman"/>
                <w:sz w:val="24"/>
                <w:szCs w:val="24"/>
                <w:vertAlign w:val="subscript"/>
              </w:rPr>
              <w:t>x</w:t>
            </w:r>
            <w:r w:rsidR="00967395">
              <w:rPr>
                <w:rFonts w:ascii="Times New Roman" w:hAnsi="Times New Roman" w:cs="Times New Roman"/>
                <w:sz w:val="24"/>
                <w:szCs w:val="24"/>
              </w:rPr>
              <w:t>Ga</w:t>
            </w:r>
            <w:r w:rsidR="00967395">
              <w:rPr>
                <w:rFonts w:ascii="Times New Roman" w:hAnsi="Times New Roman" w:cs="Times New Roman"/>
                <w:sz w:val="24"/>
                <w:szCs w:val="24"/>
                <w:vertAlign w:val="subscript"/>
              </w:rPr>
              <w:t>1-y</w:t>
            </w:r>
            <w:r w:rsidR="00967395">
              <w:rPr>
                <w:rFonts w:ascii="Times New Roman" w:hAnsi="Times New Roman" w:cs="Times New Roman"/>
                <w:sz w:val="24"/>
                <w:szCs w:val="24"/>
              </w:rPr>
              <w:t>Mg</w:t>
            </w:r>
            <w:r w:rsidR="00967395">
              <w:rPr>
                <w:rFonts w:ascii="Times New Roman" w:hAnsi="Times New Roman" w:cs="Times New Roman"/>
                <w:sz w:val="24"/>
                <w:szCs w:val="24"/>
                <w:vertAlign w:val="subscript"/>
              </w:rPr>
              <w:t>y</w:t>
            </w:r>
            <w:r w:rsidR="00967395">
              <w:rPr>
                <w:rFonts w:ascii="Times New Roman" w:hAnsi="Times New Roman" w:cs="Times New Roman"/>
                <w:sz w:val="24"/>
                <w:szCs w:val="24"/>
              </w:rPr>
              <w:t>O</w:t>
            </w:r>
            <w:r w:rsidR="00967395">
              <w:rPr>
                <w:rFonts w:ascii="Times New Roman" w:hAnsi="Times New Roman" w:cs="Times New Roman"/>
                <w:sz w:val="24"/>
                <w:szCs w:val="24"/>
                <w:vertAlign w:val="subscript"/>
              </w:rPr>
              <w:t>3-</w:t>
            </w:r>
            <w:r w:rsidR="00967395">
              <w:rPr>
                <w:rFonts w:ascii="Symbol" w:hAnsi="Symbol" w:cs="Times New Roman"/>
                <w:i/>
                <w:sz w:val="24"/>
                <w:szCs w:val="24"/>
                <w:vertAlign w:val="subscript"/>
              </w:rPr>
              <w:t></w:t>
            </w:r>
            <w:r w:rsidR="00967395">
              <w:rPr>
                <w:rFonts w:ascii="Times New Roman" w:hAnsi="Times New Roman" w:cs="Times New Roman"/>
                <w:sz w:val="24"/>
                <w:szCs w:val="24"/>
              </w:rPr>
              <w:t xml:space="preserve">, </w:t>
            </w:r>
            <w:r w:rsidR="00967395" w:rsidRPr="00967395">
              <w:rPr>
                <w:rFonts w:ascii="Times New Roman" w:hAnsi="Times New Roman" w:cs="Times New Roman"/>
                <w:sz w:val="24"/>
                <w:szCs w:val="24"/>
                <w:vertAlign w:val="superscript"/>
              </w:rPr>
              <w:t>b</w:t>
            </w:r>
            <w:r w:rsidR="00967395">
              <w:rPr>
                <w:rFonts w:ascii="Times New Roman" w:hAnsi="Times New Roman" w:cs="Times New Roman"/>
                <w:sz w:val="24"/>
                <w:szCs w:val="24"/>
                <w:vertAlign w:val="superscript"/>
              </w:rPr>
              <w:t xml:space="preserve"> </w:t>
            </w:r>
            <w:proofErr w:type="spellStart"/>
            <w:r w:rsidR="00857668">
              <w:rPr>
                <w:rFonts w:ascii="Times New Roman" w:hAnsi="Times New Roman" w:cs="Times New Roman"/>
                <w:sz w:val="24"/>
                <w:szCs w:val="20"/>
              </w:rPr>
              <w:t>Yittria</w:t>
            </w:r>
            <w:proofErr w:type="spellEnd"/>
            <w:r w:rsidR="00857668">
              <w:rPr>
                <w:rFonts w:ascii="Times New Roman" w:hAnsi="Times New Roman" w:cs="Times New Roman"/>
                <w:sz w:val="24"/>
                <w:szCs w:val="20"/>
              </w:rPr>
              <w:t>-stabilized zirconia</w:t>
            </w:r>
            <w:r w:rsidR="00967395">
              <w:rPr>
                <w:rFonts w:ascii="Times New Roman" w:hAnsi="Times New Roman" w:cs="Times New Roman"/>
                <w:sz w:val="24"/>
                <w:szCs w:val="20"/>
              </w:rPr>
              <w:t xml:space="preserve"> </w:t>
            </w:r>
            <w:r w:rsidR="00857668">
              <w:rPr>
                <w:rFonts w:ascii="Times New Roman" w:hAnsi="Times New Roman" w:cs="Times New Roman"/>
                <w:sz w:val="24"/>
                <w:szCs w:val="20"/>
              </w:rPr>
              <w:t>(YSZ),</w:t>
            </w:r>
            <w:r>
              <w:rPr>
                <w:rFonts w:ascii="Times New Roman" w:hAnsi="Times New Roman" w:cs="Times New Roman"/>
                <w:sz w:val="24"/>
                <w:szCs w:val="20"/>
              </w:rPr>
              <w:t xml:space="preserve"> </w:t>
            </w:r>
            <w:r w:rsidR="00967395">
              <w:rPr>
                <w:rFonts w:ascii="Times New Roman" w:hAnsi="Times New Roman" w:cs="Times New Roman"/>
                <w:sz w:val="24"/>
                <w:szCs w:val="20"/>
                <w:vertAlign w:val="superscript"/>
              </w:rPr>
              <w:t xml:space="preserve">c </w:t>
            </w:r>
            <w:r w:rsidR="00967395">
              <w:rPr>
                <w:rFonts w:ascii="Times New Roman" w:hAnsi="Times New Roman" w:cs="Times New Roman"/>
                <w:sz w:val="24"/>
                <w:szCs w:val="20"/>
              </w:rPr>
              <w:t>Gadolinium doped ceria (GDC),</w:t>
            </w:r>
            <w:r w:rsidR="00967395" w:rsidRPr="00857668">
              <w:rPr>
                <w:rFonts w:ascii="Times New Roman" w:hAnsi="Times New Roman" w:cs="Times New Roman"/>
                <w:sz w:val="24"/>
                <w:szCs w:val="20"/>
                <w:vertAlign w:val="superscript"/>
              </w:rPr>
              <w:t xml:space="preserve"> </w:t>
            </w:r>
            <w:r w:rsidR="00967395">
              <w:rPr>
                <w:rFonts w:ascii="Times New Roman" w:hAnsi="Times New Roman" w:cs="Times New Roman"/>
                <w:sz w:val="24"/>
                <w:szCs w:val="20"/>
                <w:vertAlign w:val="superscript"/>
              </w:rPr>
              <w:t xml:space="preserve">d </w:t>
            </w:r>
            <w:r>
              <w:rPr>
                <w:rFonts w:ascii="Times New Roman" w:hAnsi="Times New Roman" w:cs="Times New Roman"/>
                <w:sz w:val="24"/>
                <w:szCs w:val="20"/>
              </w:rPr>
              <w:t>Glycine-nitrate process (GNP)</w:t>
            </w:r>
            <w:r w:rsidR="00857668">
              <w:rPr>
                <w:rFonts w:ascii="Times New Roman" w:hAnsi="Times New Roman" w:cs="Times New Roman"/>
                <w:sz w:val="24"/>
                <w:szCs w:val="20"/>
              </w:rPr>
              <w:t>,</w:t>
            </w:r>
          </w:p>
          <w:p w:rsidR="002A64B2" w:rsidRDefault="00967395" w:rsidP="00967395">
            <w:pPr>
              <w:adjustRightInd w:val="0"/>
              <w:jc w:val="center"/>
              <w:rPr>
                <w:rFonts w:ascii="Times New Roman" w:hAnsi="Times New Roman" w:cs="Times New Roman"/>
                <w:sz w:val="24"/>
                <w:szCs w:val="20"/>
              </w:rPr>
            </w:pPr>
            <w:r>
              <w:rPr>
                <w:rFonts w:ascii="Times New Roman" w:hAnsi="Times New Roman" w:cs="Times New Roman"/>
                <w:sz w:val="24"/>
                <w:szCs w:val="20"/>
                <w:vertAlign w:val="superscript"/>
              </w:rPr>
              <w:t>e</w:t>
            </w:r>
            <w:r w:rsidR="00857668">
              <w:rPr>
                <w:rFonts w:ascii="Times New Roman" w:hAnsi="Times New Roman" w:cs="Times New Roman"/>
                <w:sz w:val="24"/>
                <w:szCs w:val="20"/>
              </w:rPr>
              <w:t xml:space="preserve"> L</w:t>
            </w:r>
            <w:r w:rsidR="00857668" w:rsidRPr="00815D1A">
              <w:rPr>
                <w:rFonts w:ascii="Times New Roman" w:hAnsi="Times New Roman" w:cs="Times New Roman"/>
                <w:sz w:val="24"/>
                <w:szCs w:val="20"/>
              </w:rPr>
              <w:t>anthanum doped ceria</w:t>
            </w:r>
            <w:r w:rsidR="00857668">
              <w:rPr>
                <w:rFonts w:ascii="Times New Roman" w:hAnsi="Times New Roman" w:cs="Times New Roman"/>
                <w:sz w:val="24"/>
                <w:szCs w:val="20"/>
              </w:rPr>
              <w:t xml:space="preserve"> (LDC), </w:t>
            </w:r>
            <w:r>
              <w:rPr>
                <w:rFonts w:ascii="Times New Roman" w:hAnsi="Times New Roman" w:cs="Times New Roman"/>
                <w:sz w:val="24"/>
                <w:szCs w:val="20"/>
                <w:vertAlign w:val="superscript"/>
              </w:rPr>
              <w:t>f</w:t>
            </w:r>
            <w:r w:rsidR="002A64B2">
              <w:rPr>
                <w:rFonts w:ascii="Times New Roman" w:hAnsi="Times New Roman" w:cs="Times New Roman"/>
                <w:sz w:val="24"/>
                <w:szCs w:val="20"/>
              </w:rPr>
              <w:t xml:space="preserve"> NdBa</w:t>
            </w:r>
            <w:r w:rsidR="002A64B2" w:rsidRPr="00815D1A">
              <w:rPr>
                <w:rFonts w:ascii="Times New Roman" w:hAnsi="Times New Roman" w:cs="Times New Roman"/>
                <w:sz w:val="24"/>
                <w:szCs w:val="20"/>
                <w:vertAlign w:val="subscript"/>
              </w:rPr>
              <w:t>0.5</w:t>
            </w:r>
            <w:r w:rsidR="002A64B2">
              <w:rPr>
                <w:rFonts w:ascii="Times New Roman" w:hAnsi="Times New Roman" w:cs="Times New Roman"/>
                <w:sz w:val="24"/>
                <w:szCs w:val="20"/>
              </w:rPr>
              <w:t>Sr</w:t>
            </w:r>
            <w:r w:rsidR="002A64B2" w:rsidRPr="00815D1A">
              <w:rPr>
                <w:rFonts w:ascii="Times New Roman" w:hAnsi="Times New Roman" w:cs="Times New Roman"/>
                <w:sz w:val="24"/>
                <w:szCs w:val="20"/>
                <w:vertAlign w:val="subscript"/>
              </w:rPr>
              <w:t>0.5</w:t>
            </w:r>
            <w:r w:rsidR="002A64B2">
              <w:rPr>
                <w:rFonts w:ascii="Times New Roman" w:hAnsi="Times New Roman" w:cs="Times New Roman"/>
                <w:sz w:val="24"/>
                <w:szCs w:val="20"/>
              </w:rPr>
              <w:t>Co</w:t>
            </w:r>
            <w:r w:rsidR="002A64B2" w:rsidRPr="00815D1A">
              <w:rPr>
                <w:rFonts w:ascii="Times New Roman" w:hAnsi="Times New Roman" w:cs="Times New Roman"/>
                <w:sz w:val="24"/>
                <w:szCs w:val="20"/>
                <w:vertAlign w:val="subscript"/>
              </w:rPr>
              <w:t>1.5</w:t>
            </w:r>
            <w:r w:rsidR="002A64B2">
              <w:rPr>
                <w:rFonts w:ascii="Times New Roman" w:hAnsi="Times New Roman" w:cs="Times New Roman"/>
                <w:sz w:val="24"/>
                <w:szCs w:val="20"/>
              </w:rPr>
              <w:t>Fe</w:t>
            </w:r>
            <w:r w:rsidR="002A64B2" w:rsidRPr="00815D1A">
              <w:rPr>
                <w:rFonts w:ascii="Times New Roman" w:hAnsi="Times New Roman" w:cs="Times New Roman"/>
                <w:sz w:val="24"/>
                <w:szCs w:val="20"/>
                <w:vertAlign w:val="subscript"/>
              </w:rPr>
              <w:t>0.5</w:t>
            </w:r>
            <w:r w:rsidR="002A64B2">
              <w:rPr>
                <w:rFonts w:ascii="Times New Roman" w:hAnsi="Times New Roman" w:cs="Times New Roman"/>
                <w:sz w:val="24"/>
                <w:szCs w:val="20"/>
              </w:rPr>
              <w:t>O</w:t>
            </w:r>
            <w:r w:rsidR="002A64B2" w:rsidRPr="00815D1A">
              <w:rPr>
                <w:rFonts w:ascii="Times New Roman" w:hAnsi="Times New Roman" w:cs="Times New Roman"/>
                <w:sz w:val="24"/>
                <w:szCs w:val="20"/>
                <w:vertAlign w:val="subscript"/>
              </w:rPr>
              <w:t>5+d</w:t>
            </w:r>
            <w:r w:rsidR="002A64B2">
              <w:rPr>
                <w:rFonts w:ascii="Times New Roman" w:hAnsi="Times New Roman" w:cs="Times New Roman"/>
                <w:sz w:val="24"/>
                <w:szCs w:val="20"/>
              </w:rPr>
              <w:t xml:space="preserve"> (NBSCF)</w:t>
            </w:r>
            <w:r w:rsidR="00857668">
              <w:rPr>
                <w:rFonts w:ascii="Times New Roman" w:hAnsi="Times New Roman" w:cs="Times New Roman"/>
                <w:sz w:val="24"/>
                <w:szCs w:val="20"/>
              </w:rPr>
              <w:t xml:space="preserve">, </w:t>
            </w:r>
            <w:r>
              <w:rPr>
                <w:rFonts w:ascii="Times New Roman" w:hAnsi="Times New Roman" w:cs="Times New Roman"/>
                <w:sz w:val="24"/>
                <w:szCs w:val="20"/>
                <w:vertAlign w:val="superscript"/>
              </w:rPr>
              <w:t>g</w:t>
            </w:r>
            <w:r w:rsidR="002A64B2">
              <w:rPr>
                <w:rFonts w:ascii="Times New Roman" w:hAnsi="Times New Roman" w:cs="Times New Roman"/>
                <w:sz w:val="24"/>
                <w:szCs w:val="20"/>
              </w:rPr>
              <w:t xml:space="preserve"> </w:t>
            </w:r>
            <w:r w:rsidR="00857668">
              <w:rPr>
                <w:rFonts w:ascii="Times New Roman" w:hAnsi="Times New Roman" w:cs="Times New Roman"/>
                <w:sz w:val="24"/>
                <w:szCs w:val="20"/>
              </w:rPr>
              <w:t>G</w:t>
            </w:r>
            <w:r w:rsidR="002A64B2">
              <w:rPr>
                <w:rFonts w:ascii="Times New Roman" w:hAnsi="Times New Roman" w:cs="Times New Roman"/>
                <w:sz w:val="24"/>
                <w:szCs w:val="20"/>
              </w:rPr>
              <w:t>dBa</w:t>
            </w:r>
            <w:r w:rsidR="002A64B2" w:rsidRPr="00815D1A">
              <w:rPr>
                <w:rFonts w:ascii="Times New Roman" w:hAnsi="Times New Roman" w:cs="Times New Roman"/>
                <w:sz w:val="24"/>
                <w:szCs w:val="20"/>
                <w:vertAlign w:val="subscript"/>
              </w:rPr>
              <w:t>0.5</w:t>
            </w:r>
            <w:r w:rsidR="002A64B2">
              <w:rPr>
                <w:rFonts w:ascii="Times New Roman" w:hAnsi="Times New Roman" w:cs="Times New Roman"/>
                <w:sz w:val="24"/>
                <w:szCs w:val="20"/>
              </w:rPr>
              <w:t>Sr</w:t>
            </w:r>
            <w:r w:rsidR="002A64B2" w:rsidRPr="00815D1A">
              <w:rPr>
                <w:rFonts w:ascii="Times New Roman" w:hAnsi="Times New Roman" w:cs="Times New Roman"/>
                <w:sz w:val="24"/>
                <w:szCs w:val="20"/>
                <w:vertAlign w:val="subscript"/>
              </w:rPr>
              <w:t>0.5</w:t>
            </w:r>
            <w:r w:rsidR="002A64B2">
              <w:rPr>
                <w:rFonts w:ascii="Times New Roman" w:hAnsi="Times New Roman" w:cs="Times New Roman"/>
                <w:sz w:val="24"/>
                <w:szCs w:val="20"/>
              </w:rPr>
              <w:t>CoFeO</w:t>
            </w:r>
            <w:r w:rsidR="002A64B2" w:rsidRPr="00815D1A">
              <w:rPr>
                <w:rFonts w:ascii="Times New Roman" w:hAnsi="Times New Roman" w:cs="Times New Roman"/>
                <w:sz w:val="24"/>
                <w:szCs w:val="20"/>
                <w:vertAlign w:val="subscript"/>
              </w:rPr>
              <w:t>5+d</w:t>
            </w:r>
            <w:r w:rsidR="002A64B2">
              <w:rPr>
                <w:rFonts w:ascii="Times New Roman" w:hAnsi="Times New Roman" w:cs="Times New Roman"/>
                <w:sz w:val="24"/>
                <w:szCs w:val="20"/>
              </w:rPr>
              <w:t xml:space="preserve"> (GBSCF)</w:t>
            </w:r>
          </w:p>
        </w:tc>
      </w:tr>
    </w:tbl>
    <w:p w:rsidR="00270E15" w:rsidRPr="00270E15" w:rsidRDefault="00270E15" w:rsidP="00A34FCB">
      <w:pPr>
        <w:wordWrap/>
        <w:adjustRightInd w:val="0"/>
        <w:spacing w:line="480" w:lineRule="auto"/>
        <w:jc w:val="left"/>
        <w:rPr>
          <w:rFonts w:ascii="Times New Roman" w:hAnsi="Times New Roman" w:cs="Times New Roman"/>
          <w:b/>
          <w:sz w:val="28"/>
          <w:szCs w:val="20"/>
        </w:rPr>
      </w:pPr>
      <w:r w:rsidRPr="00270E15">
        <w:rPr>
          <w:rFonts w:ascii="Times New Roman" w:hAnsi="Times New Roman" w:cs="Times New Roman" w:hint="eastAsia"/>
          <w:b/>
          <w:sz w:val="28"/>
          <w:szCs w:val="20"/>
        </w:rPr>
        <w:lastRenderedPageBreak/>
        <w:t>R</w:t>
      </w:r>
      <w:r w:rsidRPr="00270E15">
        <w:rPr>
          <w:rFonts w:ascii="Times New Roman" w:hAnsi="Times New Roman" w:cs="Times New Roman"/>
          <w:b/>
          <w:sz w:val="28"/>
          <w:szCs w:val="20"/>
        </w:rPr>
        <w:t>eference</w:t>
      </w:r>
    </w:p>
    <w:p w:rsidR="00A34FCB" w:rsidRPr="00A34FCB" w:rsidRDefault="002A64B2" w:rsidP="00A34FCB">
      <w:pPr>
        <w:wordWrap/>
        <w:adjustRightInd w:val="0"/>
        <w:spacing w:line="480" w:lineRule="auto"/>
        <w:jc w:val="left"/>
        <w:rPr>
          <w:rFonts w:ascii="Times New Roman" w:hAnsi="Times New Roman" w:cs="Times New Roman"/>
          <w:noProof/>
          <w:kern w:val="0"/>
          <w:sz w:val="24"/>
          <w:szCs w:val="24"/>
        </w:rPr>
      </w:pPr>
      <w:r>
        <w:rPr>
          <w:rFonts w:ascii="Times New Roman" w:hAnsi="Times New Roman" w:cs="Times New Roman"/>
          <w:sz w:val="24"/>
          <w:szCs w:val="20"/>
        </w:rPr>
        <w:fldChar w:fldCharType="begin" w:fldLock="1"/>
      </w:r>
      <w:r>
        <w:rPr>
          <w:rFonts w:ascii="Times New Roman" w:hAnsi="Times New Roman" w:cs="Times New Roman"/>
          <w:sz w:val="24"/>
          <w:szCs w:val="20"/>
        </w:rPr>
        <w:instrText xml:space="preserve">ADDIN Mendeley Bibliography CSL_BIBLIOGRAPHY </w:instrText>
      </w:r>
      <w:r>
        <w:rPr>
          <w:rFonts w:ascii="Times New Roman" w:hAnsi="Times New Roman" w:cs="Times New Roman"/>
          <w:sz w:val="24"/>
          <w:szCs w:val="20"/>
        </w:rPr>
        <w:fldChar w:fldCharType="separate"/>
      </w:r>
      <w:r w:rsidR="00A34FCB" w:rsidRPr="00A34FCB">
        <w:rPr>
          <w:rFonts w:ascii="Times New Roman" w:hAnsi="Times New Roman" w:cs="Times New Roman"/>
          <w:noProof/>
          <w:kern w:val="0"/>
          <w:sz w:val="24"/>
          <w:szCs w:val="24"/>
        </w:rPr>
        <w:t xml:space="preserve">1. B. Lin, S. Wang, X. Liu, and G. Meng, </w:t>
      </w:r>
      <w:r w:rsidR="00A34FCB" w:rsidRPr="00A34FCB">
        <w:rPr>
          <w:rFonts w:ascii="Times New Roman" w:hAnsi="Times New Roman" w:cs="Times New Roman"/>
          <w:i/>
          <w:iCs/>
          <w:noProof/>
          <w:kern w:val="0"/>
          <w:sz w:val="24"/>
          <w:szCs w:val="24"/>
        </w:rPr>
        <w:t>J. Alloys Compd.</w:t>
      </w:r>
      <w:r w:rsidR="00A34FCB" w:rsidRPr="00A34FCB">
        <w:rPr>
          <w:rFonts w:ascii="Times New Roman" w:hAnsi="Times New Roman" w:cs="Times New Roman"/>
          <w:noProof/>
          <w:kern w:val="0"/>
          <w:sz w:val="24"/>
          <w:szCs w:val="24"/>
        </w:rPr>
        <w:t xml:space="preserve">, </w:t>
      </w:r>
      <w:r w:rsidR="00A34FCB" w:rsidRPr="00A34FCB">
        <w:rPr>
          <w:rFonts w:ascii="Times New Roman" w:hAnsi="Times New Roman" w:cs="Times New Roman"/>
          <w:b/>
          <w:bCs/>
          <w:noProof/>
          <w:kern w:val="0"/>
          <w:sz w:val="24"/>
          <w:szCs w:val="24"/>
        </w:rPr>
        <w:t>490</w:t>
      </w:r>
      <w:r w:rsidR="00A34FCB" w:rsidRPr="00A34FCB">
        <w:rPr>
          <w:rFonts w:ascii="Times New Roman" w:hAnsi="Times New Roman" w:cs="Times New Roman"/>
          <w:noProof/>
          <w:kern w:val="0"/>
          <w:sz w:val="24"/>
          <w:szCs w:val="24"/>
        </w:rPr>
        <w:t>, 214–222 (2010).</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2. Y. Zhang, Q. Zhou, and T. He, </w:t>
      </w:r>
      <w:r w:rsidRPr="00A34FCB">
        <w:rPr>
          <w:rFonts w:ascii="Times New Roman" w:hAnsi="Times New Roman" w:cs="Times New Roman"/>
          <w:i/>
          <w:iCs/>
          <w:noProof/>
          <w:kern w:val="0"/>
          <w:sz w:val="24"/>
          <w:szCs w:val="24"/>
        </w:rPr>
        <w:t>J. Power Sources</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196</w:t>
      </w:r>
      <w:r w:rsidRPr="00A34FCB">
        <w:rPr>
          <w:rFonts w:ascii="Times New Roman" w:hAnsi="Times New Roman" w:cs="Times New Roman"/>
          <w:noProof/>
          <w:kern w:val="0"/>
          <w:sz w:val="24"/>
          <w:szCs w:val="24"/>
        </w:rPr>
        <w:t>, 76–83 (2011) http://dx.doi.org/10.1016/j.jpowsour.2010.07.035.</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3. J. C. Ruiz-Morales, J. Canales-Vázquez, J. Peña-Martínez, D. M. López, and P. Núñez, </w:t>
      </w:r>
      <w:r w:rsidRPr="00A34FCB">
        <w:rPr>
          <w:rFonts w:ascii="Times New Roman" w:hAnsi="Times New Roman" w:cs="Times New Roman"/>
          <w:i/>
          <w:iCs/>
          <w:noProof/>
          <w:kern w:val="0"/>
          <w:sz w:val="24"/>
          <w:szCs w:val="24"/>
        </w:rPr>
        <w:t>Electrochim. Acta</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52</w:t>
      </w:r>
      <w:r w:rsidRPr="00A34FCB">
        <w:rPr>
          <w:rFonts w:ascii="Times New Roman" w:hAnsi="Times New Roman" w:cs="Times New Roman"/>
          <w:noProof/>
          <w:kern w:val="0"/>
          <w:sz w:val="24"/>
          <w:szCs w:val="24"/>
        </w:rPr>
        <w:t>, 278–284 (2006).</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4. J. C. Ruiz-Morales et al., </w:t>
      </w:r>
      <w:r w:rsidRPr="00A34FCB">
        <w:rPr>
          <w:rFonts w:ascii="Times New Roman" w:hAnsi="Times New Roman" w:cs="Times New Roman"/>
          <w:i/>
          <w:iCs/>
          <w:noProof/>
          <w:kern w:val="0"/>
          <w:sz w:val="24"/>
          <w:szCs w:val="24"/>
        </w:rPr>
        <w:t>J. Eur. Ceram. Soc.</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27</w:t>
      </w:r>
      <w:r w:rsidRPr="00A34FCB">
        <w:rPr>
          <w:rFonts w:ascii="Times New Roman" w:hAnsi="Times New Roman" w:cs="Times New Roman"/>
          <w:noProof/>
          <w:kern w:val="0"/>
          <w:sz w:val="24"/>
          <w:szCs w:val="24"/>
        </w:rPr>
        <w:t>, 4223–4227 (2007).</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5. A. El-Himri, D. Marrero-López, J. C. Ruiz-Morales, J. Peña-Martínez, and P. Núñez, </w:t>
      </w:r>
      <w:r w:rsidRPr="00A34FCB">
        <w:rPr>
          <w:rFonts w:ascii="Times New Roman" w:hAnsi="Times New Roman" w:cs="Times New Roman"/>
          <w:i/>
          <w:iCs/>
          <w:noProof/>
          <w:kern w:val="0"/>
          <w:sz w:val="24"/>
          <w:szCs w:val="24"/>
        </w:rPr>
        <w:t>J. Power Sources</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188</w:t>
      </w:r>
      <w:r w:rsidRPr="00A34FCB">
        <w:rPr>
          <w:rFonts w:ascii="Times New Roman" w:hAnsi="Times New Roman" w:cs="Times New Roman"/>
          <w:noProof/>
          <w:kern w:val="0"/>
          <w:sz w:val="24"/>
          <w:szCs w:val="24"/>
        </w:rPr>
        <w:t>, 230–237 (2009) http://linkinghub.elsevier.com/retrieve/pii/S0378775308022027.</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6. Q. Liu, X. Dong, G. Xiao, F. Zhao, and F. Chen, </w:t>
      </w:r>
      <w:r w:rsidRPr="00A34FCB">
        <w:rPr>
          <w:rFonts w:ascii="Times New Roman" w:hAnsi="Times New Roman" w:cs="Times New Roman"/>
          <w:i/>
          <w:iCs/>
          <w:noProof/>
          <w:kern w:val="0"/>
          <w:sz w:val="24"/>
          <w:szCs w:val="24"/>
        </w:rPr>
        <w:t>Adv. Mater.</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22</w:t>
      </w:r>
      <w:r w:rsidRPr="00A34FCB">
        <w:rPr>
          <w:rFonts w:ascii="Times New Roman" w:hAnsi="Times New Roman" w:cs="Times New Roman"/>
          <w:noProof/>
          <w:kern w:val="0"/>
          <w:sz w:val="24"/>
          <w:szCs w:val="24"/>
        </w:rPr>
        <w:t>, 5478–5482 (2010).</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7. S. Choi et al., </w:t>
      </w:r>
      <w:r w:rsidRPr="00A34FCB">
        <w:rPr>
          <w:rFonts w:ascii="Times New Roman" w:hAnsi="Times New Roman" w:cs="Times New Roman"/>
          <w:i/>
          <w:iCs/>
          <w:noProof/>
          <w:kern w:val="0"/>
          <w:sz w:val="24"/>
          <w:szCs w:val="24"/>
        </w:rPr>
        <w:t>J. Mater. Chem. A</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4</w:t>
      </w:r>
      <w:r w:rsidRPr="00A34FCB">
        <w:rPr>
          <w:rFonts w:ascii="Times New Roman" w:hAnsi="Times New Roman" w:cs="Times New Roman"/>
          <w:noProof/>
          <w:kern w:val="0"/>
          <w:sz w:val="24"/>
          <w:szCs w:val="24"/>
        </w:rPr>
        <w:t>, 1747–1753 (2016) http://xlink.rsc.org/?DOI=C5TA08878J.</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8. S. Sengodan et al., </w:t>
      </w:r>
      <w:r w:rsidRPr="00A34FCB">
        <w:rPr>
          <w:rFonts w:ascii="Times New Roman" w:hAnsi="Times New Roman" w:cs="Times New Roman"/>
          <w:i/>
          <w:iCs/>
          <w:noProof/>
          <w:kern w:val="0"/>
          <w:sz w:val="24"/>
          <w:szCs w:val="24"/>
        </w:rPr>
        <w:t>Nat. Mater.</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14</w:t>
      </w:r>
      <w:r w:rsidRPr="00A34FCB">
        <w:rPr>
          <w:rFonts w:ascii="Times New Roman" w:hAnsi="Times New Roman" w:cs="Times New Roman"/>
          <w:noProof/>
          <w:kern w:val="0"/>
          <w:sz w:val="24"/>
          <w:szCs w:val="24"/>
        </w:rPr>
        <w:t>, 205–209 (2014) http://www.nature.com/doifinder/10.1038/nmat4166.</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9. S. Kim et al., </w:t>
      </w:r>
      <w:r w:rsidRPr="00A34FCB">
        <w:rPr>
          <w:rFonts w:ascii="Times New Roman" w:hAnsi="Times New Roman" w:cs="Times New Roman"/>
          <w:i/>
          <w:iCs/>
          <w:noProof/>
          <w:kern w:val="0"/>
          <w:sz w:val="24"/>
          <w:szCs w:val="24"/>
        </w:rPr>
        <w:t>ChemSusChem</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8</w:t>
      </w:r>
      <w:r w:rsidRPr="00A34FCB">
        <w:rPr>
          <w:rFonts w:ascii="Times New Roman" w:hAnsi="Times New Roman" w:cs="Times New Roman"/>
          <w:noProof/>
          <w:kern w:val="0"/>
          <w:sz w:val="24"/>
          <w:szCs w:val="24"/>
        </w:rPr>
        <w:t>, 3153–3158 (2015) http://doi.wiley.com/10.1002/cssc.201500509.</w:t>
      </w:r>
    </w:p>
    <w:p w:rsidR="00A34FCB" w:rsidRPr="00A34FCB" w:rsidRDefault="00A34FCB" w:rsidP="00A34FCB">
      <w:pPr>
        <w:wordWrap/>
        <w:adjustRightInd w:val="0"/>
        <w:spacing w:line="480" w:lineRule="auto"/>
        <w:jc w:val="left"/>
        <w:rPr>
          <w:rFonts w:ascii="Times New Roman" w:hAnsi="Times New Roman" w:cs="Times New Roman"/>
          <w:noProof/>
          <w:kern w:val="0"/>
          <w:sz w:val="24"/>
          <w:szCs w:val="24"/>
        </w:rPr>
      </w:pPr>
      <w:r w:rsidRPr="00A34FCB">
        <w:rPr>
          <w:rFonts w:ascii="Times New Roman" w:hAnsi="Times New Roman" w:cs="Times New Roman"/>
          <w:noProof/>
          <w:kern w:val="0"/>
          <w:sz w:val="24"/>
          <w:szCs w:val="24"/>
        </w:rPr>
        <w:t xml:space="preserve">10. S. Kim et al., </w:t>
      </w:r>
      <w:r w:rsidRPr="00A34FCB">
        <w:rPr>
          <w:rFonts w:ascii="Times New Roman" w:hAnsi="Times New Roman" w:cs="Times New Roman"/>
          <w:i/>
          <w:iCs/>
          <w:noProof/>
          <w:kern w:val="0"/>
          <w:sz w:val="24"/>
          <w:szCs w:val="24"/>
        </w:rPr>
        <w:t>Electrochim. Acta</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225</w:t>
      </w:r>
      <w:r w:rsidRPr="00A34FCB">
        <w:rPr>
          <w:rFonts w:ascii="Times New Roman" w:hAnsi="Times New Roman" w:cs="Times New Roman"/>
          <w:noProof/>
          <w:kern w:val="0"/>
          <w:sz w:val="24"/>
          <w:szCs w:val="24"/>
        </w:rPr>
        <w:t>, 399–406 (2017) http://linkinghub.elsevier.com/retrieve/pii/S0013468616327372.</w:t>
      </w:r>
    </w:p>
    <w:p w:rsidR="00D64D6D" w:rsidRPr="002A64B2" w:rsidRDefault="00A34FCB" w:rsidP="003E7E83">
      <w:pPr>
        <w:wordWrap/>
        <w:adjustRightInd w:val="0"/>
        <w:spacing w:line="480" w:lineRule="auto"/>
        <w:jc w:val="left"/>
        <w:rPr>
          <w:rFonts w:ascii="Times New Roman" w:hAnsi="Times New Roman" w:cs="Times New Roman" w:hint="eastAsia"/>
          <w:sz w:val="22"/>
        </w:rPr>
      </w:pPr>
      <w:r w:rsidRPr="00A34FCB">
        <w:rPr>
          <w:rFonts w:ascii="Times New Roman" w:hAnsi="Times New Roman" w:cs="Times New Roman"/>
          <w:noProof/>
          <w:kern w:val="0"/>
          <w:sz w:val="24"/>
          <w:szCs w:val="24"/>
        </w:rPr>
        <w:t xml:space="preserve">11. P. Scribe et al., </w:t>
      </w:r>
      <w:r w:rsidRPr="00A34FCB">
        <w:rPr>
          <w:rFonts w:ascii="Times New Roman" w:hAnsi="Times New Roman" w:cs="Times New Roman"/>
          <w:i/>
          <w:iCs/>
          <w:noProof/>
          <w:kern w:val="0"/>
          <w:sz w:val="24"/>
          <w:szCs w:val="24"/>
        </w:rPr>
        <w:t>Science (80-. ).</w:t>
      </w:r>
      <w:r w:rsidRPr="00A34FCB">
        <w:rPr>
          <w:rFonts w:ascii="Times New Roman" w:hAnsi="Times New Roman" w:cs="Times New Roman"/>
          <w:noProof/>
          <w:kern w:val="0"/>
          <w:sz w:val="24"/>
          <w:szCs w:val="24"/>
        </w:rPr>
        <w:t xml:space="preserve">, </w:t>
      </w:r>
      <w:r w:rsidRPr="00A34FCB">
        <w:rPr>
          <w:rFonts w:ascii="Times New Roman" w:hAnsi="Times New Roman" w:cs="Times New Roman"/>
          <w:b/>
          <w:bCs/>
          <w:noProof/>
          <w:kern w:val="0"/>
          <w:sz w:val="24"/>
          <w:szCs w:val="24"/>
        </w:rPr>
        <w:t>2</w:t>
      </w:r>
      <w:r w:rsidRPr="00A34FCB">
        <w:rPr>
          <w:rFonts w:ascii="Times New Roman" w:hAnsi="Times New Roman" w:cs="Times New Roman"/>
          <w:noProof/>
          <w:kern w:val="0"/>
          <w:sz w:val="24"/>
          <w:szCs w:val="24"/>
        </w:rPr>
        <w:t>, 254–258 (2006).</w:t>
      </w:r>
      <w:r w:rsidR="002A64B2">
        <w:rPr>
          <w:rFonts w:ascii="Times New Roman" w:hAnsi="Times New Roman" w:cs="Times New Roman"/>
          <w:sz w:val="24"/>
          <w:szCs w:val="20"/>
        </w:rPr>
        <w:fldChar w:fldCharType="end"/>
      </w:r>
    </w:p>
    <w:sectPr w:rsidR="00D64D6D" w:rsidRPr="002A64B2" w:rsidSect="002A64B2">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380" w:rsidRDefault="00102380" w:rsidP="00D71762">
      <w:pPr>
        <w:spacing w:after="0" w:line="240" w:lineRule="auto"/>
      </w:pPr>
      <w:r>
        <w:separator/>
      </w:r>
    </w:p>
  </w:endnote>
  <w:endnote w:type="continuationSeparator" w:id="0">
    <w:p w:rsidR="00102380" w:rsidRDefault="00102380" w:rsidP="00D7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380" w:rsidRDefault="00102380" w:rsidP="00D71762">
      <w:pPr>
        <w:spacing w:after="0" w:line="240" w:lineRule="auto"/>
      </w:pPr>
      <w:r>
        <w:separator/>
      </w:r>
    </w:p>
  </w:footnote>
  <w:footnote w:type="continuationSeparator" w:id="0">
    <w:p w:rsidR="00102380" w:rsidRDefault="00102380" w:rsidP="00D717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cwMDEwMzY0NDYxMTZX0lEKTi0uzszPAykwNa8FAGEU6gQtAAAA"/>
  </w:docVars>
  <w:rsids>
    <w:rsidRoot w:val="001B2731"/>
    <w:rsid w:val="00003BA6"/>
    <w:rsid w:val="00005502"/>
    <w:rsid w:val="000114D9"/>
    <w:rsid w:val="000229EF"/>
    <w:rsid w:val="00022B6E"/>
    <w:rsid w:val="00033416"/>
    <w:rsid w:val="000358D3"/>
    <w:rsid w:val="00036E4C"/>
    <w:rsid w:val="000371BC"/>
    <w:rsid w:val="00041741"/>
    <w:rsid w:val="00041AC2"/>
    <w:rsid w:val="0005139B"/>
    <w:rsid w:val="000523DB"/>
    <w:rsid w:val="000531E4"/>
    <w:rsid w:val="00057221"/>
    <w:rsid w:val="0007316A"/>
    <w:rsid w:val="0008380A"/>
    <w:rsid w:val="0008500F"/>
    <w:rsid w:val="00086222"/>
    <w:rsid w:val="000920E4"/>
    <w:rsid w:val="00092A2D"/>
    <w:rsid w:val="00094A47"/>
    <w:rsid w:val="00096A04"/>
    <w:rsid w:val="000A2060"/>
    <w:rsid w:val="000A298C"/>
    <w:rsid w:val="000A42FA"/>
    <w:rsid w:val="000B2C52"/>
    <w:rsid w:val="000B4E05"/>
    <w:rsid w:val="000C1BE7"/>
    <w:rsid w:val="000C7FBA"/>
    <w:rsid w:val="000D4A2A"/>
    <w:rsid w:val="000D52C3"/>
    <w:rsid w:val="000D7C41"/>
    <w:rsid w:val="000E0F37"/>
    <w:rsid w:val="000E5549"/>
    <w:rsid w:val="000E5651"/>
    <w:rsid w:val="000E584D"/>
    <w:rsid w:val="000E7555"/>
    <w:rsid w:val="000F0750"/>
    <w:rsid w:val="000F2C2A"/>
    <w:rsid w:val="000F6963"/>
    <w:rsid w:val="000F6EFF"/>
    <w:rsid w:val="00102380"/>
    <w:rsid w:val="0010748C"/>
    <w:rsid w:val="00111EFE"/>
    <w:rsid w:val="00114A76"/>
    <w:rsid w:val="0013574A"/>
    <w:rsid w:val="001540E4"/>
    <w:rsid w:val="00171753"/>
    <w:rsid w:val="001738B2"/>
    <w:rsid w:val="00173FD3"/>
    <w:rsid w:val="00175954"/>
    <w:rsid w:val="00175A67"/>
    <w:rsid w:val="001825E8"/>
    <w:rsid w:val="001830EB"/>
    <w:rsid w:val="0018740C"/>
    <w:rsid w:val="001878E0"/>
    <w:rsid w:val="00197343"/>
    <w:rsid w:val="00197F39"/>
    <w:rsid w:val="001B2731"/>
    <w:rsid w:val="001B4E7D"/>
    <w:rsid w:val="001C01CA"/>
    <w:rsid w:val="001C1463"/>
    <w:rsid w:val="001E5A3E"/>
    <w:rsid w:val="001F4364"/>
    <w:rsid w:val="001F6431"/>
    <w:rsid w:val="001F7558"/>
    <w:rsid w:val="00200106"/>
    <w:rsid w:val="0020051E"/>
    <w:rsid w:val="00204ABB"/>
    <w:rsid w:val="002054DE"/>
    <w:rsid w:val="002055E0"/>
    <w:rsid w:val="0020591F"/>
    <w:rsid w:val="00215E7C"/>
    <w:rsid w:val="00237608"/>
    <w:rsid w:val="00240D7D"/>
    <w:rsid w:val="002442FC"/>
    <w:rsid w:val="0026024B"/>
    <w:rsid w:val="002622CC"/>
    <w:rsid w:val="00270E15"/>
    <w:rsid w:val="00275340"/>
    <w:rsid w:val="00294A02"/>
    <w:rsid w:val="00294D2A"/>
    <w:rsid w:val="002A64B2"/>
    <w:rsid w:val="002B1B15"/>
    <w:rsid w:val="002B1C74"/>
    <w:rsid w:val="002C014B"/>
    <w:rsid w:val="002C6C6F"/>
    <w:rsid w:val="002D0EA2"/>
    <w:rsid w:val="002D2445"/>
    <w:rsid w:val="002D34C4"/>
    <w:rsid w:val="002D59D0"/>
    <w:rsid w:val="002D61B0"/>
    <w:rsid w:val="002D6966"/>
    <w:rsid w:val="002E02C9"/>
    <w:rsid w:val="002E0595"/>
    <w:rsid w:val="002E07CF"/>
    <w:rsid w:val="002E2F9A"/>
    <w:rsid w:val="002E3327"/>
    <w:rsid w:val="002E54AF"/>
    <w:rsid w:val="002E5BC8"/>
    <w:rsid w:val="002F0D53"/>
    <w:rsid w:val="003009A4"/>
    <w:rsid w:val="0030444D"/>
    <w:rsid w:val="00304E56"/>
    <w:rsid w:val="00310B54"/>
    <w:rsid w:val="0031551E"/>
    <w:rsid w:val="00316206"/>
    <w:rsid w:val="00322F6B"/>
    <w:rsid w:val="00326815"/>
    <w:rsid w:val="0032699C"/>
    <w:rsid w:val="00333708"/>
    <w:rsid w:val="00344269"/>
    <w:rsid w:val="00344898"/>
    <w:rsid w:val="003501FF"/>
    <w:rsid w:val="00361DA7"/>
    <w:rsid w:val="0036409D"/>
    <w:rsid w:val="00367F88"/>
    <w:rsid w:val="00370FC6"/>
    <w:rsid w:val="00392795"/>
    <w:rsid w:val="003A40F5"/>
    <w:rsid w:val="003B0CF2"/>
    <w:rsid w:val="003C2E34"/>
    <w:rsid w:val="003C36A9"/>
    <w:rsid w:val="003D0BF9"/>
    <w:rsid w:val="003D513A"/>
    <w:rsid w:val="003E2202"/>
    <w:rsid w:val="003E7E83"/>
    <w:rsid w:val="003F16EF"/>
    <w:rsid w:val="003F620E"/>
    <w:rsid w:val="003F72DF"/>
    <w:rsid w:val="003F7F00"/>
    <w:rsid w:val="00404E2B"/>
    <w:rsid w:val="004060DD"/>
    <w:rsid w:val="00424C42"/>
    <w:rsid w:val="004329CD"/>
    <w:rsid w:val="004335B7"/>
    <w:rsid w:val="00433A9D"/>
    <w:rsid w:val="00434C22"/>
    <w:rsid w:val="004357B6"/>
    <w:rsid w:val="00435A52"/>
    <w:rsid w:val="0043643A"/>
    <w:rsid w:val="00443BD6"/>
    <w:rsid w:val="0044707D"/>
    <w:rsid w:val="004540E6"/>
    <w:rsid w:val="00456EFC"/>
    <w:rsid w:val="00461F3F"/>
    <w:rsid w:val="00464797"/>
    <w:rsid w:val="00470DCF"/>
    <w:rsid w:val="004829E0"/>
    <w:rsid w:val="0048322B"/>
    <w:rsid w:val="004B354A"/>
    <w:rsid w:val="004C5B3F"/>
    <w:rsid w:val="004C5BAE"/>
    <w:rsid w:val="004D7A5F"/>
    <w:rsid w:val="004E18B7"/>
    <w:rsid w:val="004E19B2"/>
    <w:rsid w:val="004E2EE1"/>
    <w:rsid w:val="004E42B1"/>
    <w:rsid w:val="004E7453"/>
    <w:rsid w:val="004F102C"/>
    <w:rsid w:val="004F124B"/>
    <w:rsid w:val="004F1D6B"/>
    <w:rsid w:val="004F7C76"/>
    <w:rsid w:val="00500FC2"/>
    <w:rsid w:val="00503F0E"/>
    <w:rsid w:val="00507B45"/>
    <w:rsid w:val="00510B11"/>
    <w:rsid w:val="00513EDD"/>
    <w:rsid w:val="005172C0"/>
    <w:rsid w:val="0051763F"/>
    <w:rsid w:val="00517CC8"/>
    <w:rsid w:val="00525BB5"/>
    <w:rsid w:val="005269BA"/>
    <w:rsid w:val="00532710"/>
    <w:rsid w:val="0053735F"/>
    <w:rsid w:val="0054190D"/>
    <w:rsid w:val="005434EE"/>
    <w:rsid w:val="00545BEF"/>
    <w:rsid w:val="00555248"/>
    <w:rsid w:val="00557482"/>
    <w:rsid w:val="00576536"/>
    <w:rsid w:val="00585DEE"/>
    <w:rsid w:val="0059633C"/>
    <w:rsid w:val="00596851"/>
    <w:rsid w:val="005A5F69"/>
    <w:rsid w:val="005A7056"/>
    <w:rsid w:val="005A7C0B"/>
    <w:rsid w:val="005B100B"/>
    <w:rsid w:val="005B3C7F"/>
    <w:rsid w:val="005B7A5A"/>
    <w:rsid w:val="005C280E"/>
    <w:rsid w:val="005C5FC0"/>
    <w:rsid w:val="005D09D3"/>
    <w:rsid w:val="005D7926"/>
    <w:rsid w:val="005E1223"/>
    <w:rsid w:val="005E2CAE"/>
    <w:rsid w:val="005F49B3"/>
    <w:rsid w:val="00601FDC"/>
    <w:rsid w:val="006024D4"/>
    <w:rsid w:val="00610F25"/>
    <w:rsid w:val="00615825"/>
    <w:rsid w:val="006213A3"/>
    <w:rsid w:val="00624915"/>
    <w:rsid w:val="00625EBB"/>
    <w:rsid w:val="00636C62"/>
    <w:rsid w:val="0065551B"/>
    <w:rsid w:val="006620C8"/>
    <w:rsid w:val="00664942"/>
    <w:rsid w:val="00676D98"/>
    <w:rsid w:val="006A0FE7"/>
    <w:rsid w:val="006A122A"/>
    <w:rsid w:val="006A6AFF"/>
    <w:rsid w:val="006B0D9B"/>
    <w:rsid w:val="006B0DE3"/>
    <w:rsid w:val="006B1F4C"/>
    <w:rsid w:val="006B5C1F"/>
    <w:rsid w:val="006C0D88"/>
    <w:rsid w:val="006C450A"/>
    <w:rsid w:val="006D4881"/>
    <w:rsid w:val="006D5162"/>
    <w:rsid w:val="006E04CA"/>
    <w:rsid w:val="006E3046"/>
    <w:rsid w:val="006E6716"/>
    <w:rsid w:val="006E7A21"/>
    <w:rsid w:val="006F35A2"/>
    <w:rsid w:val="006F4C71"/>
    <w:rsid w:val="00701939"/>
    <w:rsid w:val="0070351D"/>
    <w:rsid w:val="007039EB"/>
    <w:rsid w:val="00705829"/>
    <w:rsid w:val="00707D83"/>
    <w:rsid w:val="007209ED"/>
    <w:rsid w:val="00731CDA"/>
    <w:rsid w:val="00732CCE"/>
    <w:rsid w:val="00732DCD"/>
    <w:rsid w:val="00733070"/>
    <w:rsid w:val="007363E9"/>
    <w:rsid w:val="007431D5"/>
    <w:rsid w:val="007506CE"/>
    <w:rsid w:val="0075150E"/>
    <w:rsid w:val="00754576"/>
    <w:rsid w:val="007545AF"/>
    <w:rsid w:val="0076186E"/>
    <w:rsid w:val="00762BFB"/>
    <w:rsid w:val="00764AE2"/>
    <w:rsid w:val="00764C6C"/>
    <w:rsid w:val="0077415C"/>
    <w:rsid w:val="007748AD"/>
    <w:rsid w:val="00776891"/>
    <w:rsid w:val="00776C83"/>
    <w:rsid w:val="00791C3A"/>
    <w:rsid w:val="00796DDD"/>
    <w:rsid w:val="007A0A16"/>
    <w:rsid w:val="007A6AC1"/>
    <w:rsid w:val="007B3BD2"/>
    <w:rsid w:val="007B4572"/>
    <w:rsid w:val="007B6ACC"/>
    <w:rsid w:val="007C4C99"/>
    <w:rsid w:val="007D04EF"/>
    <w:rsid w:val="007D293D"/>
    <w:rsid w:val="007D5A58"/>
    <w:rsid w:val="007E3729"/>
    <w:rsid w:val="007F502B"/>
    <w:rsid w:val="008005DB"/>
    <w:rsid w:val="00802293"/>
    <w:rsid w:val="00802DDF"/>
    <w:rsid w:val="00803C4E"/>
    <w:rsid w:val="00804D56"/>
    <w:rsid w:val="008124A7"/>
    <w:rsid w:val="00813EB4"/>
    <w:rsid w:val="0082412F"/>
    <w:rsid w:val="008301BC"/>
    <w:rsid w:val="008504D7"/>
    <w:rsid w:val="008521D8"/>
    <w:rsid w:val="00852D3D"/>
    <w:rsid w:val="0085388F"/>
    <w:rsid w:val="00857668"/>
    <w:rsid w:val="008601C9"/>
    <w:rsid w:val="008708CB"/>
    <w:rsid w:val="00882472"/>
    <w:rsid w:val="008853A1"/>
    <w:rsid w:val="00895D22"/>
    <w:rsid w:val="008962A6"/>
    <w:rsid w:val="008B0080"/>
    <w:rsid w:val="008C09BD"/>
    <w:rsid w:val="008C5E7F"/>
    <w:rsid w:val="008C7334"/>
    <w:rsid w:val="008D6D0D"/>
    <w:rsid w:val="008D73FF"/>
    <w:rsid w:val="00901472"/>
    <w:rsid w:val="00902CCA"/>
    <w:rsid w:val="00907A61"/>
    <w:rsid w:val="00912015"/>
    <w:rsid w:val="00912712"/>
    <w:rsid w:val="0092688B"/>
    <w:rsid w:val="009450CE"/>
    <w:rsid w:val="009512D1"/>
    <w:rsid w:val="00952C57"/>
    <w:rsid w:val="0096481A"/>
    <w:rsid w:val="00965383"/>
    <w:rsid w:val="00967395"/>
    <w:rsid w:val="00980A4B"/>
    <w:rsid w:val="00983F46"/>
    <w:rsid w:val="00990BCD"/>
    <w:rsid w:val="009A1243"/>
    <w:rsid w:val="009A6EE8"/>
    <w:rsid w:val="009B003C"/>
    <w:rsid w:val="009B04F2"/>
    <w:rsid w:val="009B1894"/>
    <w:rsid w:val="009B2E74"/>
    <w:rsid w:val="009C0947"/>
    <w:rsid w:val="009C285F"/>
    <w:rsid w:val="009C7BD3"/>
    <w:rsid w:val="009D18AB"/>
    <w:rsid w:val="009D1B62"/>
    <w:rsid w:val="009D362F"/>
    <w:rsid w:val="009D64AF"/>
    <w:rsid w:val="009D6952"/>
    <w:rsid w:val="009D744F"/>
    <w:rsid w:val="009E0666"/>
    <w:rsid w:val="009E5CC6"/>
    <w:rsid w:val="009F0F46"/>
    <w:rsid w:val="009F5948"/>
    <w:rsid w:val="00A00069"/>
    <w:rsid w:val="00A01D89"/>
    <w:rsid w:val="00A02516"/>
    <w:rsid w:val="00A02AD9"/>
    <w:rsid w:val="00A10642"/>
    <w:rsid w:val="00A11289"/>
    <w:rsid w:val="00A13626"/>
    <w:rsid w:val="00A15626"/>
    <w:rsid w:val="00A24348"/>
    <w:rsid w:val="00A272FC"/>
    <w:rsid w:val="00A34FCB"/>
    <w:rsid w:val="00A37146"/>
    <w:rsid w:val="00A433EF"/>
    <w:rsid w:val="00A44639"/>
    <w:rsid w:val="00A522B9"/>
    <w:rsid w:val="00A53C1A"/>
    <w:rsid w:val="00A60308"/>
    <w:rsid w:val="00A60B8A"/>
    <w:rsid w:val="00A6101E"/>
    <w:rsid w:val="00A623CE"/>
    <w:rsid w:val="00A6765B"/>
    <w:rsid w:val="00A779E7"/>
    <w:rsid w:val="00A81D96"/>
    <w:rsid w:val="00A85A30"/>
    <w:rsid w:val="00A909D6"/>
    <w:rsid w:val="00A93248"/>
    <w:rsid w:val="00A94C82"/>
    <w:rsid w:val="00AA317C"/>
    <w:rsid w:val="00AA505B"/>
    <w:rsid w:val="00AB046F"/>
    <w:rsid w:val="00AB30DC"/>
    <w:rsid w:val="00AB46F5"/>
    <w:rsid w:val="00AB52A0"/>
    <w:rsid w:val="00AB5D76"/>
    <w:rsid w:val="00AB6940"/>
    <w:rsid w:val="00AC4F68"/>
    <w:rsid w:val="00AC544E"/>
    <w:rsid w:val="00AC71D0"/>
    <w:rsid w:val="00AF5114"/>
    <w:rsid w:val="00B01BB3"/>
    <w:rsid w:val="00B12717"/>
    <w:rsid w:val="00B1514D"/>
    <w:rsid w:val="00B1790A"/>
    <w:rsid w:val="00B23FF6"/>
    <w:rsid w:val="00B40900"/>
    <w:rsid w:val="00B45A4E"/>
    <w:rsid w:val="00B470C1"/>
    <w:rsid w:val="00B50967"/>
    <w:rsid w:val="00B50F3F"/>
    <w:rsid w:val="00B61B77"/>
    <w:rsid w:val="00B63478"/>
    <w:rsid w:val="00B639CA"/>
    <w:rsid w:val="00B667CF"/>
    <w:rsid w:val="00B66ED6"/>
    <w:rsid w:val="00B671FA"/>
    <w:rsid w:val="00B7091F"/>
    <w:rsid w:val="00B72C91"/>
    <w:rsid w:val="00B75E01"/>
    <w:rsid w:val="00B81374"/>
    <w:rsid w:val="00B82C18"/>
    <w:rsid w:val="00BA5261"/>
    <w:rsid w:val="00BA670D"/>
    <w:rsid w:val="00BB249F"/>
    <w:rsid w:val="00BB4482"/>
    <w:rsid w:val="00BB48D9"/>
    <w:rsid w:val="00BB6A2A"/>
    <w:rsid w:val="00BB7B2E"/>
    <w:rsid w:val="00BC5AEE"/>
    <w:rsid w:val="00BC7CFE"/>
    <w:rsid w:val="00BD26E5"/>
    <w:rsid w:val="00BD2EB0"/>
    <w:rsid w:val="00BD50CC"/>
    <w:rsid w:val="00BE1D1A"/>
    <w:rsid w:val="00BE346F"/>
    <w:rsid w:val="00BE5695"/>
    <w:rsid w:val="00BE7498"/>
    <w:rsid w:val="00BE7ACA"/>
    <w:rsid w:val="00BF074B"/>
    <w:rsid w:val="00BF2185"/>
    <w:rsid w:val="00BF4BDE"/>
    <w:rsid w:val="00BF5E1D"/>
    <w:rsid w:val="00C02C7E"/>
    <w:rsid w:val="00C12B2B"/>
    <w:rsid w:val="00C35596"/>
    <w:rsid w:val="00C36628"/>
    <w:rsid w:val="00C43A34"/>
    <w:rsid w:val="00C45491"/>
    <w:rsid w:val="00C46546"/>
    <w:rsid w:val="00C51C53"/>
    <w:rsid w:val="00C71566"/>
    <w:rsid w:val="00C71C69"/>
    <w:rsid w:val="00C730B1"/>
    <w:rsid w:val="00C735E4"/>
    <w:rsid w:val="00C7403F"/>
    <w:rsid w:val="00C75C49"/>
    <w:rsid w:val="00C8171D"/>
    <w:rsid w:val="00C83DD2"/>
    <w:rsid w:val="00C932FC"/>
    <w:rsid w:val="00CA296B"/>
    <w:rsid w:val="00CA65AE"/>
    <w:rsid w:val="00CC3678"/>
    <w:rsid w:val="00CC611C"/>
    <w:rsid w:val="00CD1C7B"/>
    <w:rsid w:val="00CD2CDD"/>
    <w:rsid w:val="00CD3227"/>
    <w:rsid w:val="00CD5911"/>
    <w:rsid w:val="00CE1E3E"/>
    <w:rsid w:val="00CE452E"/>
    <w:rsid w:val="00CE7DD0"/>
    <w:rsid w:val="00CF126F"/>
    <w:rsid w:val="00CF3457"/>
    <w:rsid w:val="00CF4E8A"/>
    <w:rsid w:val="00CF5888"/>
    <w:rsid w:val="00D010E7"/>
    <w:rsid w:val="00D216A2"/>
    <w:rsid w:val="00D305E5"/>
    <w:rsid w:val="00D343DD"/>
    <w:rsid w:val="00D36BB7"/>
    <w:rsid w:val="00D37188"/>
    <w:rsid w:val="00D64D6D"/>
    <w:rsid w:val="00D7044B"/>
    <w:rsid w:val="00D71762"/>
    <w:rsid w:val="00D81114"/>
    <w:rsid w:val="00D8126D"/>
    <w:rsid w:val="00D84407"/>
    <w:rsid w:val="00D868B2"/>
    <w:rsid w:val="00D9131D"/>
    <w:rsid w:val="00D91DFE"/>
    <w:rsid w:val="00D925C1"/>
    <w:rsid w:val="00D935E7"/>
    <w:rsid w:val="00DA2B3C"/>
    <w:rsid w:val="00DA329F"/>
    <w:rsid w:val="00DA6248"/>
    <w:rsid w:val="00DD3508"/>
    <w:rsid w:val="00DD62FB"/>
    <w:rsid w:val="00DE06DC"/>
    <w:rsid w:val="00DE2A0D"/>
    <w:rsid w:val="00DE3530"/>
    <w:rsid w:val="00DE6490"/>
    <w:rsid w:val="00DF11FA"/>
    <w:rsid w:val="00E076E4"/>
    <w:rsid w:val="00E162AE"/>
    <w:rsid w:val="00E2029E"/>
    <w:rsid w:val="00E214DF"/>
    <w:rsid w:val="00E23B52"/>
    <w:rsid w:val="00E2581D"/>
    <w:rsid w:val="00E511C8"/>
    <w:rsid w:val="00E51A5F"/>
    <w:rsid w:val="00E54475"/>
    <w:rsid w:val="00E60194"/>
    <w:rsid w:val="00E62537"/>
    <w:rsid w:val="00E73D95"/>
    <w:rsid w:val="00E7636B"/>
    <w:rsid w:val="00E774E2"/>
    <w:rsid w:val="00E812A0"/>
    <w:rsid w:val="00E83BA5"/>
    <w:rsid w:val="00E865F3"/>
    <w:rsid w:val="00E86A75"/>
    <w:rsid w:val="00E91BAF"/>
    <w:rsid w:val="00E91DBC"/>
    <w:rsid w:val="00E92B22"/>
    <w:rsid w:val="00EA4522"/>
    <w:rsid w:val="00EB3AF6"/>
    <w:rsid w:val="00EC411F"/>
    <w:rsid w:val="00EC6EE1"/>
    <w:rsid w:val="00EC7DCF"/>
    <w:rsid w:val="00ED666C"/>
    <w:rsid w:val="00EE6F65"/>
    <w:rsid w:val="00EE75D0"/>
    <w:rsid w:val="00EF0403"/>
    <w:rsid w:val="00EF2ECC"/>
    <w:rsid w:val="00EF5B14"/>
    <w:rsid w:val="00EF739D"/>
    <w:rsid w:val="00F050CC"/>
    <w:rsid w:val="00F119DC"/>
    <w:rsid w:val="00F13690"/>
    <w:rsid w:val="00F14228"/>
    <w:rsid w:val="00F143AF"/>
    <w:rsid w:val="00F21093"/>
    <w:rsid w:val="00F210A1"/>
    <w:rsid w:val="00F2164C"/>
    <w:rsid w:val="00F22401"/>
    <w:rsid w:val="00F32D1A"/>
    <w:rsid w:val="00F36A12"/>
    <w:rsid w:val="00F37F5B"/>
    <w:rsid w:val="00F51949"/>
    <w:rsid w:val="00F548DA"/>
    <w:rsid w:val="00F57A20"/>
    <w:rsid w:val="00F64D28"/>
    <w:rsid w:val="00F654C8"/>
    <w:rsid w:val="00F72FCE"/>
    <w:rsid w:val="00F81455"/>
    <w:rsid w:val="00F8242C"/>
    <w:rsid w:val="00F87671"/>
    <w:rsid w:val="00F90C9E"/>
    <w:rsid w:val="00F9573B"/>
    <w:rsid w:val="00FA0F0D"/>
    <w:rsid w:val="00FA0FE2"/>
    <w:rsid w:val="00FA3B8B"/>
    <w:rsid w:val="00FA5FAE"/>
    <w:rsid w:val="00FB0B38"/>
    <w:rsid w:val="00FC152A"/>
    <w:rsid w:val="00FC15CB"/>
    <w:rsid w:val="00FE16A6"/>
    <w:rsid w:val="00FE242E"/>
    <w:rsid w:val="00FE29A0"/>
    <w:rsid w:val="00FE2BED"/>
    <w:rsid w:val="00FF1DA4"/>
    <w:rsid w:val="00FF66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0D575"/>
  <w15:chartTrackingRefBased/>
  <w15:docId w15:val="{3B7F22A3-8EA2-4C27-BC3D-E7E3E768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126F"/>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1AuthorAddresses">
    <w:name w:val="N1 Author Addresses"/>
    <w:qFormat/>
    <w:rsid w:val="001B2731"/>
    <w:pPr>
      <w:spacing w:after="0" w:line="190" w:lineRule="exact"/>
      <w:jc w:val="left"/>
    </w:pPr>
    <w:rPr>
      <w:rFonts w:ascii="Times New Roman" w:eastAsia="맑은 고딕" w:hAnsi="Times New Roman" w:cs="Times New Roman"/>
      <w:i/>
      <w:kern w:val="0"/>
      <w:sz w:val="16"/>
      <w:szCs w:val="20"/>
      <w:lang w:val="en-GB" w:eastAsia="en-GB"/>
    </w:rPr>
  </w:style>
  <w:style w:type="paragraph" w:styleId="a3">
    <w:name w:val="header"/>
    <w:basedOn w:val="a"/>
    <w:link w:val="Char"/>
    <w:uiPriority w:val="99"/>
    <w:unhideWhenUsed/>
    <w:rsid w:val="00D71762"/>
    <w:pPr>
      <w:tabs>
        <w:tab w:val="center" w:pos="4513"/>
        <w:tab w:val="right" w:pos="9026"/>
      </w:tabs>
      <w:snapToGrid w:val="0"/>
    </w:pPr>
  </w:style>
  <w:style w:type="character" w:customStyle="1" w:styleId="Char">
    <w:name w:val="머리글 Char"/>
    <w:basedOn w:val="a0"/>
    <w:link w:val="a3"/>
    <w:uiPriority w:val="99"/>
    <w:rsid w:val="00D71762"/>
  </w:style>
  <w:style w:type="paragraph" w:styleId="a4">
    <w:name w:val="footer"/>
    <w:basedOn w:val="a"/>
    <w:link w:val="Char0"/>
    <w:uiPriority w:val="99"/>
    <w:unhideWhenUsed/>
    <w:rsid w:val="00D71762"/>
    <w:pPr>
      <w:tabs>
        <w:tab w:val="center" w:pos="4513"/>
        <w:tab w:val="right" w:pos="9026"/>
      </w:tabs>
      <w:snapToGrid w:val="0"/>
    </w:pPr>
  </w:style>
  <w:style w:type="character" w:customStyle="1" w:styleId="Char0">
    <w:name w:val="바닥글 Char"/>
    <w:basedOn w:val="a0"/>
    <w:link w:val="a4"/>
    <w:uiPriority w:val="99"/>
    <w:rsid w:val="00D71762"/>
  </w:style>
  <w:style w:type="character" w:styleId="a5">
    <w:name w:val="Placeholder Text"/>
    <w:basedOn w:val="a0"/>
    <w:uiPriority w:val="99"/>
    <w:semiHidden/>
    <w:rsid w:val="00322F6B"/>
    <w:rPr>
      <w:color w:val="808080"/>
    </w:rPr>
  </w:style>
  <w:style w:type="table" w:styleId="a6">
    <w:name w:val="Table Grid"/>
    <w:basedOn w:val="a1"/>
    <w:uiPriority w:val="39"/>
    <w:rsid w:val="00774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77415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8">
    <w:name w:val="Balloon Text"/>
    <w:basedOn w:val="a"/>
    <w:link w:val="Char1"/>
    <w:uiPriority w:val="99"/>
    <w:semiHidden/>
    <w:unhideWhenUsed/>
    <w:rsid w:val="00E91DBC"/>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E91DBC"/>
    <w:rPr>
      <w:rFonts w:asciiTheme="majorHAnsi" w:eastAsiaTheme="majorEastAsia" w:hAnsiTheme="majorHAnsi" w:cstheme="majorBidi"/>
      <w:sz w:val="18"/>
      <w:szCs w:val="18"/>
    </w:rPr>
  </w:style>
  <w:style w:type="character" w:styleId="a9">
    <w:name w:val="Hyperlink"/>
    <w:basedOn w:val="a0"/>
    <w:uiPriority w:val="99"/>
    <w:unhideWhenUsed/>
    <w:rsid w:val="00901472"/>
    <w:rPr>
      <w:color w:val="0563C1" w:themeColor="hyperlink"/>
      <w:u w:val="single"/>
    </w:rPr>
  </w:style>
  <w:style w:type="character" w:styleId="aa">
    <w:name w:val="Unresolved Mention"/>
    <w:basedOn w:val="a0"/>
    <w:uiPriority w:val="99"/>
    <w:semiHidden/>
    <w:unhideWhenUsed/>
    <w:rsid w:val="00901472"/>
    <w:rPr>
      <w:color w:val="808080"/>
      <w:shd w:val="clear" w:color="auto" w:fill="E6E6E6"/>
    </w:rPr>
  </w:style>
  <w:style w:type="paragraph" w:customStyle="1" w:styleId="AuthorsFull">
    <w:name w:val="Authors Full"/>
    <w:basedOn w:val="a"/>
    <w:rsid w:val="00294D2A"/>
    <w:pPr>
      <w:widowControl/>
      <w:wordWrap/>
      <w:autoSpaceDE/>
      <w:autoSpaceDN/>
      <w:spacing w:after="0" w:line="240" w:lineRule="auto"/>
      <w:jc w:val="left"/>
    </w:pPr>
    <w:rPr>
      <w:rFonts w:ascii="Times New Roman" w:eastAsia="MS Mincho" w:hAnsi="Times New Roman" w:cs="Times New Roman"/>
      <w:i/>
      <w:kern w:val="0"/>
      <w:sz w:val="24"/>
      <w:szCs w:val="24"/>
      <w:lang w:eastAsia="ja-JP"/>
    </w:rPr>
  </w:style>
  <w:style w:type="paragraph" w:customStyle="1" w:styleId="Tableofcontents">
    <w:name w:val="Table of contents"/>
    <w:basedOn w:val="a"/>
    <w:autoRedefine/>
    <w:rsid w:val="00294D2A"/>
    <w:pPr>
      <w:widowControl/>
      <w:wordWrap/>
      <w:autoSpaceDE/>
      <w:autoSpaceDN/>
      <w:spacing w:after="0" w:line="240" w:lineRule="auto"/>
      <w:jc w:val="left"/>
    </w:pPr>
    <w:rPr>
      <w:rFonts w:ascii="Times New Roman" w:eastAsia="MS Mincho" w:hAnsi="Times New Roman" w:cs="Times New Roman"/>
      <w:kern w:val="0"/>
      <w:sz w:val="24"/>
      <w:szCs w:val="24"/>
      <w:lang w:eastAsia="ja-JP"/>
    </w:rPr>
  </w:style>
  <w:style w:type="paragraph" w:customStyle="1" w:styleId="Title2">
    <w:name w:val="Title2"/>
    <w:basedOn w:val="a"/>
    <w:rsid w:val="00294D2A"/>
    <w:pPr>
      <w:widowControl/>
      <w:wordWrap/>
      <w:autoSpaceDE/>
      <w:autoSpaceDN/>
      <w:spacing w:after="0" w:line="240" w:lineRule="auto"/>
      <w:jc w:val="left"/>
    </w:pPr>
    <w:rPr>
      <w:rFonts w:ascii="Times New Roman" w:eastAsia="MS Mincho" w:hAnsi="Times New Roman" w:cs="Times New Roman"/>
      <w:b/>
      <w:kern w:val="0"/>
      <w:sz w:val="24"/>
      <w:szCs w:val="24"/>
      <w:lang w:eastAsia="ja-JP"/>
    </w:rPr>
  </w:style>
  <w:style w:type="character" w:customStyle="1" w:styleId="MaintextChar">
    <w:name w:val="Main text Char"/>
    <w:link w:val="Maintext"/>
    <w:locked/>
    <w:rsid w:val="00294D2A"/>
    <w:rPr>
      <w:sz w:val="24"/>
      <w:szCs w:val="24"/>
    </w:rPr>
  </w:style>
  <w:style w:type="paragraph" w:customStyle="1" w:styleId="Maintext">
    <w:name w:val="Main text"/>
    <w:basedOn w:val="a"/>
    <w:link w:val="MaintextChar"/>
    <w:autoRedefine/>
    <w:rsid w:val="00294D2A"/>
    <w:pPr>
      <w:widowControl/>
      <w:wordWrap/>
      <w:autoSpaceDE/>
      <w:autoSpaceDN/>
      <w:spacing w:after="0" w:line="480" w:lineRule="auto"/>
      <w:jc w:val="left"/>
    </w:pPr>
    <w:rPr>
      <w:sz w:val="24"/>
      <w:szCs w:val="24"/>
    </w:rPr>
  </w:style>
  <w:style w:type="character" w:styleId="ab">
    <w:name w:val="annotation reference"/>
    <w:basedOn w:val="a0"/>
    <w:uiPriority w:val="99"/>
    <w:semiHidden/>
    <w:unhideWhenUsed/>
    <w:rsid w:val="000C7FBA"/>
    <w:rPr>
      <w:sz w:val="18"/>
      <w:szCs w:val="18"/>
    </w:rPr>
  </w:style>
  <w:style w:type="paragraph" w:styleId="ac">
    <w:name w:val="annotation text"/>
    <w:basedOn w:val="a"/>
    <w:link w:val="Char2"/>
    <w:uiPriority w:val="99"/>
    <w:semiHidden/>
    <w:unhideWhenUsed/>
    <w:rsid w:val="000C7FBA"/>
    <w:pPr>
      <w:widowControl/>
      <w:wordWrap/>
      <w:autoSpaceDE/>
      <w:autoSpaceDN/>
      <w:jc w:val="left"/>
    </w:pPr>
  </w:style>
  <w:style w:type="character" w:customStyle="1" w:styleId="Char2">
    <w:name w:val="메모 텍스트 Char"/>
    <w:basedOn w:val="a0"/>
    <w:link w:val="ac"/>
    <w:uiPriority w:val="99"/>
    <w:semiHidden/>
    <w:rsid w:val="000C7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75421">
      <w:bodyDiv w:val="1"/>
      <w:marLeft w:val="0"/>
      <w:marRight w:val="0"/>
      <w:marTop w:val="0"/>
      <w:marBottom w:val="0"/>
      <w:divBdr>
        <w:top w:val="none" w:sz="0" w:space="0" w:color="auto"/>
        <w:left w:val="none" w:sz="0" w:space="0" w:color="auto"/>
        <w:bottom w:val="none" w:sz="0" w:space="0" w:color="auto"/>
        <w:right w:val="none" w:sz="0" w:space="0" w:color="auto"/>
      </w:divBdr>
    </w:div>
    <w:div w:id="357513772">
      <w:bodyDiv w:val="1"/>
      <w:marLeft w:val="0"/>
      <w:marRight w:val="0"/>
      <w:marTop w:val="0"/>
      <w:marBottom w:val="0"/>
      <w:divBdr>
        <w:top w:val="none" w:sz="0" w:space="0" w:color="auto"/>
        <w:left w:val="none" w:sz="0" w:space="0" w:color="auto"/>
        <w:bottom w:val="none" w:sz="0" w:space="0" w:color="auto"/>
        <w:right w:val="none" w:sz="0" w:space="0" w:color="auto"/>
      </w:divBdr>
    </w:div>
    <w:div w:id="416751698">
      <w:bodyDiv w:val="1"/>
      <w:marLeft w:val="0"/>
      <w:marRight w:val="0"/>
      <w:marTop w:val="0"/>
      <w:marBottom w:val="0"/>
      <w:divBdr>
        <w:top w:val="none" w:sz="0" w:space="0" w:color="auto"/>
        <w:left w:val="none" w:sz="0" w:space="0" w:color="auto"/>
        <w:bottom w:val="none" w:sz="0" w:space="0" w:color="auto"/>
        <w:right w:val="none" w:sz="0" w:space="0" w:color="auto"/>
      </w:divBdr>
    </w:div>
    <w:div w:id="762916268">
      <w:bodyDiv w:val="1"/>
      <w:marLeft w:val="0"/>
      <w:marRight w:val="0"/>
      <w:marTop w:val="0"/>
      <w:marBottom w:val="0"/>
      <w:divBdr>
        <w:top w:val="none" w:sz="0" w:space="0" w:color="auto"/>
        <w:left w:val="none" w:sz="0" w:space="0" w:color="auto"/>
        <w:bottom w:val="none" w:sz="0" w:space="0" w:color="auto"/>
        <w:right w:val="none" w:sz="0" w:space="0" w:color="auto"/>
      </w:divBdr>
    </w:div>
    <w:div w:id="1057974290">
      <w:bodyDiv w:val="1"/>
      <w:marLeft w:val="0"/>
      <w:marRight w:val="0"/>
      <w:marTop w:val="0"/>
      <w:marBottom w:val="0"/>
      <w:divBdr>
        <w:top w:val="none" w:sz="0" w:space="0" w:color="auto"/>
        <w:left w:val="none" w:sz="0" w:space="0" w:color="auto"/>
        <w:bottom w:val="none" w:sz="0" w:space="0" w:color="auto"/>
        <w:right w:val="none" w:sz="0" w:space="0" w:color="auto"/>
      </w:divBdr>
    </w:div>
    <w:div w:id="1241477593">
      <w:bodyDiv w:val="1"/>
      <w:marLeft w:val="0"/>
      <w:marRight w:val="0"/>
      <w:marTop w:val="0"/>
      <w:marBottom w:val="0"/>
      <w:divBdr>
        <w:top w:val="none" w:sz="0" w:space="0" w:color="auto"/>
        <w:left w:val="none" w:sz="0" w:space="0" w:color="auto"/>
        <w:bottom w:val="none" w:sz="0" w:space="0" w:color="auto"/>
        <w:right w:val="none" w:sz="0" w:space="0" w:color="auto"/>
      </w:divBdr>
    </w:div>
    <w:div w:id="1781141261">
      <w:bodyDiv w:val="1"/>
      <w:marLeft w:val="0"/>
      <w:marRight w:val="0"/>
      <w:marTop w:val="0"/>
      <w:marBottom w:val="0"/>
      <w:divBdr>
        <w:top w:val="none" w:sz="0" w:space="0" w:color="auto"/>
        <w:left w:val="none" w:sz="0" w:space="0" w:color="auto"/>
        <w:bottom w:val="none" w:sz="0" w:space="0" w:color="auto"/>
        <w:right w:val="none" w:sz="0" w:space="0" w:color="auto"/>
      </w:divBdr>
    </w:div>
    <w:div w:id="1970626664">
      <w:bodyDiv w:val="1"/>
      <w:marLeft w:val="0"/>
      <w:marRight w:val="0"/>
      <w:marTop w:val="0"/>
      <w:marBottom w:val="0"/>
      <w:divBdr>
        <w:top w:val="none" w:sz="0" w:space="0" w:color="auto"/>
        <w:left w:val="none" w:sz="0" w:space="0" w:color="auto"/>
        <w:bottom w:val="none" w:sz="0" w:space="0" w:color="auto"/>
        <w:right w:val="none" w:sz="0" w:space="0" w:color="auto"/>
      </w:divBdr>
    </w:div>
    <w:div w:id="208614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B6304-143B-4000-A552-0CF7B3F92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8</Pages>
  <Words>4849</Words>
  <Characters>27642</Characters>
  <Application>Microsoft Office Word</Application>
  <DocSecurity>0</DocSecurity>
  <Lines>230</Lines>
  <Paragraphs>64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seona kim</dc:creator>
  <cp:keywords/>
  <dc:description/>
  <cp:lastModifiedBy>seona kim</cp:lastModifiedBy>
  <cp:revision>95</cp:revision>
  <cp:lastPrinted>2018-07-23T08:40:00Z</cp:lastPrinted>
  <dcterms:created xsi:type="dcterms:W3CDTF">2017-08-28T09:02:00Z</dcterms:created>
  <dcterms:modified xsi:type="dcterms:W3CDTF">2018-09-20T09:31:00Z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http://www.zotero.org/styles/acs-energy-letters</vt:lpwstr>
  </property>
  <property fmtid="{D5CDD505-2E9C-101B-9397-08002B2CF9AE}" pid="3" name="Mendeley Recent Style Name 0_1">
    <vt:lpwstr>ACS Energy Letters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http://www.zotero.org/styles/angewandte-chemie</vt:lpwstr>
  </property>
  <property fmtid="{D5CDD505-2E9C-101B-9397-08002B2CF9AE}" pid="9" name="Mendeley Recent Style Name 3_1">
    <vt:lpwstr>Angewandte Chemie International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http://www.zotero.org/styles/journal-of-materials-chemistry-a</vt:lpwstr>
  </property>
  <property fmtid="{D5CDD505-2E9C-101B-9397-08002B2CF9AE}" pid="17" name="Mendeley Recent Style Name 7_1">
    <vt:lpwstr>Journal of Materials Chemistry A</vt:lpwstr>
  </property>
  <property fmtid="{D5CDD505-2E9C-101B-9397-08002B2CF9AE}" pid="18" name="Mendeley Recent Style Id 8_1">
    <vt:lpwstr>http://www.zotero.org/styles/journal-of-the-electrochemical-society</vt:lpwstr>
  </property>
  <property fmtid="{D5CDD505-2E9C-101B-9397-08002B2CF9AE}" pid="19" name="Mendeley Recent Style Name 8_1">
    <vt:lpwstr>Journal of The Electrochemical Society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64cd73b2-3e29-3182-a9b3-749221f40b74</vt:lpwstr>
  </property>
  <property fmtid="{D5CDD505-2E9C-101B-9397-08002B2CF9AE}" pid="24" name="Mendeley Citation Style_1">
    <vt:lpwstr>http://www.zotero.org/styles/journal-of-the-electrochemical-society</vt:lpwstr>
  </property>
</Properties>
</file>