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F1562" w14:textId="6080837D" w:rsidR="004324AE" w:rsidRDefault="004324AE" w:rsidP="00756072">
      <w:pPr>
        <w:keepNext/>
        <w:jc w:val="center"/>
        <w:rPr>
          <w:b/>
        </w:rPr>
      </w:pPr>
      <w:r w:rsidRPr="004324AE">
        <w:rPr>
          <w:b/>
        </w:rPr>
        <w:t>Supporting Information</w:t>
      </w:r>
    </w:p>
    <w:p w14:paraId="3D414F04" w14:textId="77777777" w:rsidR="004324AE" w:rsidRPr="004324AE" w:rsidRDefault="004324AE" w:rsidP="00756072">
      <w:pPr>
        <w:keepNext/>
        <w:jc w:val="center"/>
        <w:rPr>
          <w:b/>
        </w:rPr>
      </w:pPr>
    </w:p>
    <w:p w14:paraId="2F0B7865" w14:textId="38B84CAD" w:rsidR="004324AE" w:rsidRPr="004324AE" w:rsidRDefault="00164139" w:rsidP="004324AE">
      <w:pPr>
        <w:spacing w:after="0" w:line="240" w:lineRule="auto"/>
        <w:jc w:val="center"/>
        <w:rPr>
          <w:rFonts w:ascii="Times New Roman" w:eastAsia="宋体" w:hAnsi="Times New Roman" w:cs="Times New Roman"/>
          <w:b/>
          <w:sz w:val="36"/>
        </w:rPr>
      </w:pPr>
      <w:r w:rsidRPr="00164139">
        <w:rPr>
          <w:rFonts w:ascii="Times New Roman" w:eastAsia="宋体" w:hAnsi="Times New Roman" w:cs="Times New Roman"/>
          <w:b/>
          <w:sz w:val="36"/>
        </w:rPr>
        <w:t xml:space="preserve">Natural </w:t>
      </w:r>
      <w:proofErr w:type="spellStart"/>
      <w:r w:rsidRPr="00164139">
        <w:rPr>
          <w:rFonts w:ascii="Times New Roman" w:eastAsia="宋体" w:hAnsi="Times New Roman" w:cs="Times New Roman"/>
          <w:b/>
          <w:sz w:val="36"/>
        </w:rPr>
        <w:t>Halloysites</w:t>
      </w:r>
      <w:proofErr w:type="spellEnd"/>
      <w:r w:rsidRPr="00164139">
        <w:rPr>
          <w:rFonts w:ascii="Times New Roman" w:eastAsia="宋体" w:hAnsi="Times New Roman" w:cs="Times New Roman"/>
          <w:b/>
          <w:sz w:val="36"/>
        </w:rPr>
        <w:t>-Based Janus Platelet Surfactants for the Formation of Pickering Emulsion and Enhanced Oil Recovery</w:t>
      </w:r>
      <w:r w:rsidR="004324AE" w:rsidRPr="004324AE">
        <w:rPr>
          <w:rFonts w:ascii="Times New Roman" w:eastAsia="宋体" w:hAnsi="Times New Roman" w:cs="Times New Roman"/>
          <w:b/>
          <w:sz w:val="36"/>
        </w:rPr>
        <w:t xml:space="preserve"> </w:t>
      </w:r>
    </w:p>
    <w:p w14:paraId="4287E205" w14:textId="592971AB" w:rsidR="004324AE" w:rsidRPr="004324AE" w:rsidRDefault="00F05B76" w:rsidP="004324AE">
      <w:pPr>
        <w:spacing w:after="0" w:line="240" w:lineRule="auto"/>
        <w:jc w:val="center"/>
        <w:rPr>
          <w:rFonts w:ascii="Times New Roman" w:eastAsia="宋体" w:hAnsi="Times New Roman" w:cs="Times New Roman"/>
          <w:sz w:val="16"/>
        </w:rPr>
      </w:pPr>
      <w:r w:rsidRPr="00F05B76">
        <w:rPr>
          <w:rFonts w:ascii="Times New Roman" w:eastAsia="宋体" w:hAnsi="Times New Roman" w:cs="Times New Roman"/>
          <w:sz w:val="16"/>
        </w:rPr>
        <w:t xml:space="preserve">Lecheng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Zhang,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ab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Qun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Lei,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d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Jianhui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Luo,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de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Minxiang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Zeng,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a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Ling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Wang,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a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Dali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Huang,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c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="00BF2AA6">
        <w:rPr>
          <w:rFonts w:ascii="Times New Roman" w:eastAsia="宋体" w:hAnsi="Times New Roman" w:cs="Times New Roman"/>
          <w:sz w:val="16"/>
        </w:rPr>
        <w:t>Xuezhen</w:t>
      </w:r>
      <w:proofErr w:type="spellEnd"/>
      <w:r w:rsidR="00BF2AA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="00BF2AA6">
        <w:rPr>
          <w:rFonts w:ascii="Times New Roman" w:eastAsia="宋体" w:hAnsi="Times New Roman" w:cs="Times New Roman"/>
          <w:sz w:val="16"/>
        </w:rPr>
        <w:t>Wang,</w:t>
      </w:r>
      <w:r w:rsidR="00BF2AA6" w:rsidRPr="00BF2AA6">
        <w:rPr>
          <w:rFonts w:ascii="Times New Roman" w:eastAsia="宋体" w:hAnsi="Times New Roman" w:cs="Times New Roman"/>
          <w:sz w:val="16"/>
          <w:vertAlign w:val="superscript"/>
        </w:rPr>
        <w:t>b</w:t>
      </w:r>
      <w:proofErr w:type="spellEnd"/>
      <w:r w:rsidR="00BF2AA6">
        <w:rPr>
          <w:rFonts w:ascii="Times New Roman" w:eastAsia="宋体" w:hAnsi="Times New Roman" w:cs="Times New Roman"/>
          <w:sz w:val="16"/>
        </w:rPr>
        <w:t xml:space="preserve"> </w:t>
      </w:r>
      <w:r w:rsidRPr="00F05B76">
        <w:rPr>
          <w:rFonts w:ascii="Times New Roman" w:eastAsia="宋体" w:hAnsi="Times New Roman" w:cs="Times New Roman"/>
          <w:sz w:val="16"/>
        </w:rPr>
        <w:t xml:space="preserve">Sam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Mannan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, 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ab</w:t>
      </w:r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Baoliang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Peng, *</w:t>
      </w:r>
      <w:r w:rsidRPr="00F05B76">
        <w:rPr>
          <w:rFonts w:ascii="Times New Roman" w:eastAsia="宋体" w:hAnsi="Times New Roman" w:cs="Times New Roman"/>
          <w:sz w:val="16"/>
          <w:vertAlign w:val="superscript"/>
        </w:rPr>
        <w:t>de</w:t>
      </w:r>
      <w:r w:rsidRPr="00F05B76">
        <w:rPr>
          <w:rFonts w:ascii="Times New Roman" w:eastAsia="宋体" w:hAnsi="Times New Roman" w:cs="Times New Roman"/>
          <w:sz w:val="16"/>
        </w:rPr>
        <w:t xml:space="preserve"> </w:t>
      </w:r>
      <w:proofErr w:type="spellStart"/>
      <w:r w:rsidRPr="00F05B76">
        <w:rPr>
          <w:rFonts w:ascii="Times New Roman" w:eastAsia="宋体" w:hAnsi="Times New Roman" w:cs="Times New Roman"/>
          <w:sz w:val="16"/>
        </w:rPr>
        <w:t>Zhengdong</w:t>
      </w:r>
      <w:proofErr w:type="spellEnd"/>
      <w:r w:rsidRPr="00F05B76">
        <w:rPr>
          <w:rFonts w:ascii="Times New Roman" w:eastAsia="宋体" w:hAnsi="Times New Roman" w:cs="Times New Roman"/>
          <w:sz w:val="16"/>
        </w:rPr>
        <w:t xml:space="preserve"> Cheng*</w:t>
      </w:r>
      <w:proofErr w:type="spellStart"/>
      <w:r w:rsidRPr="00F05B76">
        <w:rPr>
          <w:rFonts w:ascii="Times New Roman" w:eastAsia="宋体" w:hAnsi="Times New Roman" w:cs="Times New Roman"/>
          <w:sz w:val="16"/>
          <w:vertAlign w:val="superscript"/>
        </w:rPr>
        <w:t>abc</w:t>
      </w:r>
      <w:proofErr w:type="spellEnd"/>
    </w:p>
    <w:p w14:paraId="2FDCEF3C" w14:textId="77777777" w:rsidR="006B7EDE" w:rsidRPr="006B7EDE" w:rsidRDefault="006B7EDE" w:rsidP="006B7EDE">
      <w:pPr>
        <w:spacing w:after="0" w:line="240" w:lineRule="auto"/>
        <w:rPr>
          <w:rFonts w:ascii="Times New Roman" w:eastAsia="宋体" w:hAnsi="Times New Roman" w:cs="Times New Roman"/>
          <w:sz w:val="16"/>
        </w:rPr>
      </w:pPr>
      <w:r w:rsidRPr="006B7EDE">
        <w:rPr>
          <w:rFonts w:ascii="Times New Roman" w:eastAsia="宋体" w:hAnsi="Times New Roman" w:cs="Times New Roman"/>
          <w:sz w:val="16"/>
          <w:vertAlign w:val="superscript"/>
        </w:rPr>
        <w:t>a</w:t>
      </w:r>
      <w:r w:rsidRPr="006B7EDE">
        <w:rPr>
          <w:rFonts w:ascii="Times New Roman" w:eastAsia="宋体" w:hAnsi="Times New Roman" w:cs="Times New Roman"/>
          <w:sz w:val="16"/>
        </w:rPr>
        <w:t xml:space="preserve"> Artie McFerrin Department of Chemical Engineering, Texas A&amp;M University, College Station, TX 77843-3122, USA.</w:t>
      </w:r>
    </w:p>
    <w:p w14:paraId="49D2A4F1" w14:textId="74BACA17" w:rsidR="006B7EDE" w:rsidRPr="006B7EDE" w:rsidRDefault="006B7EDE" w:rsidP="006B7EDE">
      <w:pPr>
        <w:spacing w:after="0" w:line="240" w:lineRule="auto"/>
        <w:rPr>
          <w:rFonts w:ascii="Times New Roman" w:eastAsia="宋体" w:hAnsi="Times New Roman" w:cs="Times New Roman"/>
          <w:sz w:val="16"/>
        </w:rPr>
      </w:pPr>
      <w:r w:rsidRPr="006B7EDE">
        <w:rPr>
          <w:rFonts w:ascii="Times New Roman" w:eastAsia="宋体" w:hAnsi="Times New Roman" w:cs="Times New Roman"/>
          <w:sz w:val="16"/>
          <w:vertAlign w:val="superscript"/>
        </w:rPr>
        <w:t>b</w:t>
      </w:r>
      <w:r w:rsidRPr="006B7EDE">
        <w:rPr>
          <w:rFonts w:ascii="Times New Roman" w:eastAsia="宋体" w:hAnsi="Times New Roman" w:cs="Times New Roman"/>
          <w:sz w:val="16"/>
        </w:rPr>
        <w:t xml:space="preserve"> Mary Kay O'Connor Process Safety Center, Artie McFerrin Department of Chemical Engineering, Texas A&amp;M University, College Station, TX 77843-3122, USA</w:t>
      </w:r>
      <w:r w:rsidR="00F05B76">
        <w:rPr>
          <w:rFonts w:ascii="Times New Roman" w:eastAsia="宋体" w:hAnsi="Times New Roman" w:cs="Times New Roman" w:hint="eastAsia"/>
          <w:sz w:val="16"/>
        </w:rPr>
        <w:t>.</w:t>
      </w:r>
    </w:p>
    <w:p w14:paraId="310E8AB7" w14:textId="2156018F" w:rsidR="006B7EDE" w:rsidRPr="006B7EDE" w:rsidRDefault="006B7EDE" w:rsidP="006B7EDE">
      <w:pPr>
        <w:spacing w:after="0" w:line="240" w:lineRule="auto"/>
        <w:rPr>
          <w:rFonts w:ascii="Times New Roman" w:eastAsia="宋体" w:hAnsi="Times New Roman" w:cs="Times New Roman"/>
          <w:sz w:val="16"/>
        </w:rPr>
      </w:pPr>
      <w:r w:rsidRPr="006B7EDE">
        <w:rPr>
          <w:rFonts w:ascii="Times New Roman" w:eastAsia="宋体" w:hAnsi="Times New Roman" w:cs="Times New Roman"/>
          <w:sz w:val="16"/>
          <w:vertAlign w:val="superscript"/>
        </w:rPr>
        <w:t>c</w:t>
      </w:r>
      <w:r w:rsidRPr="006B7EDE">
        <w:rPr>
          <w:rFonts w:ascii="Times New Roman" w:eastAsia="宋体" w:hAnsi="Times New Roman" w:cs="Times New Roman"/>
          <w:sz w:val="16"/>
        </w:rPr>
        <w:t xml:space="preserve"> Department of Materials Science and Engineering, Texas A&amp;M University, College Station, TX 77843-3003, USA</w:t>
      </w:r>
      <w:r w:rsidR="00F05B76">
        <w:rPr>
          <w:rFonts w:ascii="Times New Roman" w:eastAsia="宋体" w:hAnsi="Times New Roman" w:cs="Times New Roman"/>
          <w:sz w:val="16"/>
        </w:rPr>
        <w:t>.</w:t>
      </w:r>
    </w:p>
    <w:p w14:paraId="15EC6E2B" w14:textId="77777777" w:rsidR="006B7EDE" w:rsidRPr="006B7EDE" w:rsidRDefault="006B7EDE" w:rsidP="006B7EDE">
      <w:pPr>
        <w:spacing w:after="0" w:line="240" w:lineRule="auto"/>
        <w:rPr>
          <w:rFonts w:ascii="Times New Roman" w:eastAsia="宋体" w:hAnsi="Times New Roman" w:cs="Times New Roman"/>
          <w:sz w:val="16"/>
        </w:rPr>
      </w:pPr>
      <w:r w:rsidRPr="006B7EDE">
        <w:rPr>
          <w:rFonts w:ascii="Times New Roman" w:eastAsia="宋体" w:hAnsi="Times New Roman" w:cs="Times New Roman"/>
          <w:sz w:val="16"/>
          <w:vertAlign w:val="superscript"/>
        </w:rPr>
        <w:t>d</w:t>
      </w:r>
      <w:r w:rsidRPr="006B7EDE">
        <w:rPr>
          <w:rFonts w:ascii="Times New Roman" w:eastAsia="宋体" w:hAnsi="Times New Roman" w:cs="Times New Roman"/>
          <w:sz w:val="16"/>
        </w:rPr>
        <w:t xml:space="preserve"> Research Institute of Petroleum Exploration &amp; Development (RIPED), PetroChina, Beijing 100083, China.</w:t>
      </w:r>
    </w:p>
    <w:p w14:paraId="2A4B1960" w14:textId="77777777" w:rsidR="006B7EDE" w:rsidRPr="006B7EDE" w:rsidRDefault="006B7EDE" w:rsidP="006B7EDE">
      <w:pPr>
        <w:spacing w:after="0" w:line="240" w:lineRule="auto"/>
        <w:rPr>
          <w:rFonts w:ascii="Times New Roman" w:eastAsia="宋体" w:hAnsi="Times New Roman" w:cs="Times New Roman"/>
          <w:sz w:val="16"/>
        </w:rPr>
      </w:pPr>
      <w:r w:rsidRPr="006B7EDE">
        <w:rPr>
          <w:rFonts w:ascii="Times New Roman" w:eastAsia="宋体" w:hAnsi="Times New Roman" w:cs="Times New Roman"/>
          <w:sz w:val="16"/>
          <w:vertAlign w:val="superscript"/>
        </w:rPr>
        <w:t>e</w:t>
      </w:r>
      <w:r w:rsidRPr="006B7EDE">
        <w:rPr>
          <w:rFonts w:ascii="Times New Roman" w:eastAsia="宋体" w:hAnsi="Times New Roman" w:cs="Times New Roman"/>
          <w:sz w:val="16"/>
        </w:rPr>
        <w:t xml:space="preserve"> Key Laboratory of Nano Chemistry (KLNC), CNPC, Beijing 100083, China.</w:t>
      </w:r>
    </w:p>
    <w:p w14:paraId="10690F3C" w14:textId="77777777" w:rsidR="004324AE" w:rsidRDefault="004324AE" w:rsidP="00756072">
      <w:pPr>
        <w:keepNext/>
        <w:jc w:val="center"/>
      </w:pPr>
    </w:p>
    <w:p w14:paraId="57149EAF" w14:textId="62CF4B96" w:rsidR="00220AC2" w:rsidRDefault="00220AC2" w:rsidP="00756072">
      <w:pPr>
        <w:keepNext/>
        <w:jc w:val="center"/>
      </w:pPr>
      <w:r w:rsidRPr="00220AC2">
        <w:rPr>
          <w:noProof/>
        </w:rPr>
        <w:drawing>
          <wp:inline distT="0" distB="0" distL="0" distR="0" wp14:anchorId="3D6E17D1" wp14:editId="4E50F11C">
            <wp:extent cx="3657600" cy="2800350"/>
            <wp:effectExtent l="0" t="0" r="0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C2AD41-914D-4727-8C18-ACA405468A8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5C2AD41-914D-4727-8C18-ACA405468A8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8311" w14:textId="1E3584EE" w:rsidR="000A366E" w:rsidRDefault="00220AC2" w:rsidP="00756072">
      <w:pPr>
        <w:pStyle w:val="Caption"/>
        <w:jc w:val="both"/>
        <w:rPr>
          <w:i w:val="0"/>
          <w:color w:val="auto"/>
          <w:sz w:val="22"/>
        </w:rPr>
      </w:pPr>
      <w:r w:rsidRPr="0075607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756072">
        <w:rPr>
          <w:i w:val="0"/>
          <w:color w:val="auto"/>
          <w:sz w:val="22"/>
        </w:rPr>
        <w:fldChar w:fldCharType="begin"/>
      </w:r>
      <w:r w:rsidRPr="00756072">
        <w:rPr>
          <w:i w:val="0"/>
          <w:color w:val="auto"/>
          <w:sz w:val="22"/>
        </w:rPr>
        <w:instrText xml:space="preserve"> SEQ Figure \* ARABIC </w:instrText>
      </w:r>
      <w:r w:rsidRPr="0075607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1</w:t>
      </w:r>
      <w:r w:rsidRPr="00756072">
        <w:rPr>
          <w:i w:val="0"/>
          <w:color w:val="auto"/>
          <w:sz w:val="22"/>
        </w:rPr>
        <w:fldChar w:fldCharType="end"/>
      </w:r>
      <w:r w:rsidRPr="00756072">
        <w:rPr>
          <w:i w:val="0"/>
          <w:color w:val="auto"/>
          <w:sz w:val="22"/>
        </w:rPr>
        <w:t>:</w:t>
      </w:r>
      <w:r w:rsidR="00756072" w:rsidRPr="00756072">
        <w:rPr>
          <w:i w:val="0"/>
          <w:color w:val="auto"/>
          <w:sz w:val="22"/>
        </w:rPr>
        <w:t xml:space="preserve"> </w:t>
      </w:r>
      <w:r w:rsidR="00756072" w:rsidRPr="00756072">
        <w:rPr>
          <w:i w:val="0"/>
          <w:color w:val="auto"/>
          <w:sz w:val="22"/>
          <w:vertAlign w:val="superscript"/>
        </w:rPr>
        <w:t>29</w:t>
      </w:r>
      <w:r w:rsidR="00756072" w:rsidRPr="00756072">
        <w:rPr>
          <w:i w:val="0"/>
          <w:color w:val="auto"/>
          <w:sz w:val="22"/>
        </w:rPr>
        <w:t>Si MAS NMR spectrum @ 5KHz</w:t>
      </w:r>
      <w:r w:rsidR="0097444C">
        <w:rPr>
          <w:i w:val="0"/>
          <w:color w:val="auto"/>
          <w:sz w:val="22"/>
        </w:rPr>
        <w:t xml:space="preserve"> of</w:t>
      </w:r>
      <w:r w:rsidR="00756072" w:rsidRPr="00756072">
        <w:rPr>
          <w:i w:val="0"/>
          <w:color w:val="auto"/>
          <w:sz w:val="22"/>
        </w:rPr>
        <w:t xml:space="preserve"> pristine halloysite</w:t>
      </w:r>
      <w:r w:rsidR="0097444C">
        <w:rPr>
          <w:i w:val="0"/>
          <w:color w:val="auto"/>
          <w:sz w:val="22"/>
        </w:rPr>
        <w:t xml:space="preserve"> (Top)</w:t>
      </w:r>
      <w:r w:rsidR="00756072" w:rsidRPr="00756072">
        <w:rPr>
          <w:i w:val="0"/>
          <w:color w:val="auto"/>
          <w:sz w:val="22"/>
        </w:rPr>
        <w:t xml:space="preserve">, shows a strong peak at 99.34 ppm. After alumina side PPA modification, </w:t>
      </w:r>
      <w:r w:rsidR="00756072" w:rsidRPr="00756072">
        <w:rPr>
          <w:i w:val="0"/>
          <w:color w:val="auto"/>
          <w:sz w:val="22"/>
          <w:vertAlign w:val="superscript"/>
        </w:rPr>
        <w:t>29</w:t>
      </w:r>
      <w:r w:rsidR="00756072" w:rsidRPr="00756072">
        <w:rPr>
          <w:i w:val="0"/>
          <w:color w:val="auto"/>
          <w:sz w:val="22"/>
        </w:rPr>
        <w:t>Si MAS NMR spectrum is measured again</w:t>
      </w:r>
      <w:r w:rsidR="0097444C">
        <w:rPr>
          <w:i w:val="0"/>
          <w:color w:val="auto"/>
          <w:sz w:val="22"/>
        </w:rPr>
        <w:t xml:space="preserve"> (Bottom)</w:t>
      </w:r>
      <w:r w:rsidR="00756072" w:rsidRPr="00756072">
        <w:rPr>
          <w:i w:val="0"/>
          <w:color w:val="auto"/>
          <w:sz w:val="22"/>
        </w:rPr>
        <w:t>. No significant shift has been observed, which confirms that PPA will not react with Si during the Al side hydrophobic modification procedure.</w:t>
      </w:r>
    </w:p>
    <w:p w14:paraId="1CA85F60" w14:textId="77777777" w:rsidR="00756072" w:rsidRDefault="00756072" w:rsidP="00756072">
      <w:pPr>
        <w:keepNext/>
        <w:jc w:val="center"/>
      </w:pPr>
      <w:r w:rsidRPr="00756072">
        <w:rPr>
          <w:noProof/>
        </w:rPr>
        <w:lastRenderedPageBreak/>
        <w:drawing>
          <wp:inline distT="0" distB="0" distL="0" distR="0" wp14:anchorId="4B35BD4B" wp14:editId="7B236440">
            <wp:extent cx="3657600" cy="2800350"/>
            <wp:effectExtent l="0" t="0" r="0" b="0"/>
            <wp:docPr id="1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0118A6-B760-47D8-8110-8F00B97A2B0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0118A6-B760-47D8-8110-8F00B97A2B0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FAFD" w14:textId="02078ED3" w:rsidR="00756072" w:rsidRDefault="00756072" w:rsidP="00756072">
      <w:pPr>
        <w:pStyle w:val="Caption"/>
        <w:rPr>
          <w:i w:val="0"/>
          <w:color w:val="auto"/>
          <w:sz w:val="22"/>
        </w:rPr>
      </w:pPr>
      <w:r w:rsidRPr="0075607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756072">
        <w:rPr>
          <w:i w:val="0"/>
          <w:color w:val="auto"/>
          <w:sz w:val="22"/>
        </w:rPr>
        <w:fldChar w:fldCharType="begin"/>
      </w:r>
      <w:r w:rsidRPr="00756072">
        <w:rPr>
          <w:i w:val="0"/>
          <w:color w:val="auto"/>
          <w:sz w:val="22"/>
        </w:rPr>
        <w:instrText xml:space="preserve"> SEQ Figure \* ARABIC </w:instrText>
      </w:r>
      <w:r w:rsidRPr="0075607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2</w:t>
      </w:r>
      <w:r w:rsidRPr="00756072">
        <w:rPr>
          <w:i w:val="0"/>
          <w:color w:val="auto"/>
          <w:sz w:val="22"/>
        </w:rPr>
        <w:fldChar w:fldCharType="end"/>
      </w:r>
      <w:r>
        <w:rPr>
          <w:i w:val="0"/>
          <w:color w:val="auto"/>
          <w:sz w:val="22"/>
        </w:rPr>
        <w:t xml:space="preserve">: </w:t>
      </w:r>
      <w:r w:rsidRPr="00756072">
        <w:rPr>
          <w:i w:val="0"/>
          <w:color w:val="auto"/>
          <w:sz w:val="22"/>
        </w:rPr>
        <w:t xml:space="preserve">Solid state 13C NMR spectrum of asymmetrically modified </w:t>
      </w:r>
      <w:r w:rsidR="0097444C">
        <w:rPr>
          <w:i w:val="0"/>
          <w:color w:val="auto"/>
          <w:sz w:val="22"/>
        </w:rPr>
        <w:t>nanoplate</w:t>
      </w:r>
      <w:r w:rsidRPr="00756072">
        <w:rPr>
          <w:i w:val="0"/>
          <w:color w:val="auto"/>
          <w:sz w:val="22"/>
        </w:rPr>
        <w:t xml:space="preserve"> surfactant</w:t>
      </w:r>
      <w:r w:rsidR="0097444C">
        <w:rPr>
          <w:i w:val="0"/>
          <w:color w:val="auto"/>
          <w:sz w:val="22"/>
        </w:rPr>
        <w:t>, it</w:t>
      </w:r>
      <w:r w:rsidRPr="00756072">
        <w:rPr>
          <w:i w:val="0"/>
          <w:color w:val="auto"/>
          <w:sz w:val="22"/>
        </w:rPr>
        <w:t xml:space="preserve"> confirms the successful amphiphilic modifications on both sides of the</w:t>
      </w:r>
      <w:r w:rsidR="0097444C">
        <w:rPr>
          <w:i w:val="0"/>
          <w:color w:val="auto"/>
          <w:sz w:val="22"/>
        </w:rPr>
        <w:t xml:space="preserve"> nanoplates</w:t>
      </w:r>
      <w:r w:rsidRPr="00756072">
        <w:rPr>
          <w:i w:val="0"/>
          <w:color w:val="auto"/>
          <w:sz w:val="22"/>
        </w:rPr>
        <w:t xml:space="preserve">. </w:t>
      </w:r>
    </w:p>
    <w:p w14:paraId="1E2CD9B8" w14:textId="39A93C97" w:rsidR="00756072" w:rsidRDefault="00756072" w:rsidP="00756072"/>
    <w:p w14:paraId="2C86310B" w14:textId="77777777" w:rsidR="00756072" w:rsidRPr="00756072" w:rsidRDefault="00756072" w:rsidP="00756072"/>
    <w:p w14:paraId="4C449448" w14:textId="77777777" w:rsidR="00756072" w:rsidRDefault="00756072" w:rsidP="00756072">
      <w:pPr>
        <w:keepNext/>
        <w:jc w:val="center"/>
      </w:pPr>
      <w:r>
        <w:rPr>
          <w:noProof/>
        </w:rPr>
        <w:drawing>
          <wp:inline distT="0" distB="0" distL="0" distR="0" wp14:anchorId="66E9C7D9" wp14:editId="302AECF2">
            <wp:extent cx="5486400" cy="1439294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39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9F756" w14:textId="76FED372" w:rsidR="00756072" w:rsidRDefault="00756072" w:rsidP="00756072">
      <w:pPr>
        <w:pStyle w:val="Caption"/>
        <w:jc w:val="both"/>
        <w:rPr>
          <w:i w:val="0"/>
          <w:color w:val="auto"/>
          <w:sz w:val="22"/>
        </w:rPr>
      </w:pPr>
      <w:r w:rsidRPr="0075607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756072">
        <w:rPr>
          <w:i w:val="0"/>
          <w:color w:val="auto"/>
          <w:sz w:val="22"/>
        </w:rPr>
        <w:fldChar w:fldCharType="begin"/>
      </w:r>
      <w:r w:rsidRPr="00756072">
        <w:rPr>
          <w:i w:val="0"/>
          <w:color w:val="auto"/>
          <w:sz w:val="22"/>
        </w:rPr>
        <w:instrText xml:space="preserve"> SEQ Figure \* ARABIC </w:instrText>
      </w:r>
      <w:r w:rsidRPr="0075607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3</w:t>
      </w:r>
      <w:r w:rsidRPr="00756072">
        <w:rPr>
          <w:i w:val="0"/>
          <w:color w:val="auto"/>
          <w:sz w:val="22"/>
        </w:rPr>
        <w:fldChar w:fldCharType="end"/>
      </w:r>
      <w:r w:rsidRPr="00756072">
        <w:rPr>
          <w:i w:val="0"/>
          <w:color w:val="auto"/>
          <w:sz w:val="22"/>
        </w:rPr>
        <w:t xml:space="preserve">: Scanning Electron Microscopic images. A) raw Halloysite; B) PPA unfolded Halloysite </w:t>
      </w:r>
      <w:r w:rsidR="0097444C">
        <w:rPr>
          <w:i w:val="0"/>
          <w:color w:val="auto"/>
          <w:sz w:val="22"/>
        </w:rPr>
        <w:t>nanoplate</w:t>
      </w:r>
      <w:r w:rsidRPr="00756072">
        <w:rPr>
          <w:i w:val="0"/>
          <w:color w:val="auto"/>
          <w:sz w:val="22"/>
        </w:rPr>
        <w:t xml:space="preserve">; C) PPA-Halloysite-Poly(DMAEMA) </w:t>
      </w:r>
      <w:r w:rsidR="0097444C">
        <w:rPr>
          <w:i w:val="0"/>
          <w:color w:val="auto"/>
          <w:sz w:val="22"/>
        </w:rPr>
        <w:t>nanoplate</w:t>
      </w:r>
      <w:r w:rsidRPr="00756072">
        <w:rPr>
          <w:i w:val="0"/>
          <w:color w:val="auto"/>
          <w:sz w:val="22"/>
        </w:rPr>
        <w:t xml:space="preserve"> surfactant</w:t>
      </w:r>
      <w:r w:rsidR="0097444C">
        <w:rPr>
          <w:i w:val="0"/>
          <w:color w:val="auto"/>
          <w:sz w:val="22"/>
        </w:rPr>
        <w:t>s</w:t>
      </w:r>
      <w:r>
        <w:rPr>
          <w:i w:val="0"/>
          <w:color w:val="auto"/>
          <w:sz w:val="22"/>
        </w:rPr>
        <w:t>.</w:t>
      </w:r>
    </w:p>
    <w:p w14:paraId="28C3EE3B" w14:textId="7F972279" w:rsidR="00756072" w:rsidRDefault="00756072" w:rsidP="00756072"/>
    <w:p w14:paraId="64128260" w14:textId="352097FC" w:rsidR="00756072" w:rsidRDefault="00756072" w:rsidP="00756072"/>
    <w:p w14:paraId="301C1B63" w14:textId="7B7DC397" w:rsidR="00756072" w:rsidRDefault="00F5027E" w:rsidP="0075607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DDDD66E" wp14:editId="0C20BF19">
            <wp:extent cx="4430177" cy="387477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974" cy="38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362BB" w14:textId="62F690E4" w:rsidR="00756072" w:rsidRPr="00D84BC2" w:rsidRDefault="00756072" w:rsidP="00F5027E">
      <w:pPr>
        <w:pStyle w:val="Caption"/>
        <w:jc w:val="both"/>
        <w:rPr>
          <w:i w:val="0"/>
          <w:color w:val="auto"/>
          <w:sz w:val="22"/>
        </w:rPr>
      </w:pPr>
      <w:r w:rsidRPr="00D84BC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D84BC2">
        <w:rPr>
          <w:i w:val="0"/>
          <w:color w:val="auto"/>
          <w:sz w:val="22"/>
        </w:rPr>
        <w:fldChar w:fldCharType="begin"/>
      </w:r>
      <w:r w:rsidRPr="00D84BC2">
        <w:rPr>
          <w:i w:val="0"/>
          <w:color w:val="auto"/>
          <w:sz w:val="22"/>
        </w:rPr>
        <w:instrText xml:space="preserve"> SEQ Figure \* ARABIC </w:instrText>
      </w:r>
      <w:r w:rsidRPr="00D84BC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4</w:t>
      </w:r>
      <w:r w:rsidRPr="00D84BC2">
        <w:rPr>
          <w:i w:val="0"/>
          <w:color w:val="auto"/>
          <w:sz w:val="22"/>
        </w:rPr>
        <w:fldChar w:fldCharType="end"/>
      </w:r>
      <w:r w:rsidR="00D84BC2">
        <w:rPr>
          <w:i w:val="0"/>
          <w:color w:val="auto"/>
          <w:sz w:val="22"/>
        </w:rPr>
        <w:t xml:space="preserve">: </w:t>
      </w:r>
      <w:r w:rsidR="00F5027E">
        <w:rPr>
          <w:i w:val="0"/>
          <w:color w:val="auto"/>
          <w:sz w:val="22"/>
        </w:rPr>
        <w:t>(</w:t>
      </w:r>
      <w:r w:rsidR="00F5027E">
        <w:rPr>
          <w:i w:val="0"/>
          <w:color w:val="auto"/>
          <w:sz w:val="22"/>
        </w:rPr>
        <w:t>a</w:t>
      </w:r>
      <w:r w:rsidR="00F5027E">
        <w:rPr>
          <w:i w:val="0"/>
          <w:color w:val="auto"/>
          <w:sz w:val="22"/>
        </w:rPr>
        <w:t xml:space="preserve">) Fresh </w:t>
      </w:r>
      <w:proofErr w:type="spellStart"/>
      <w:r w:rsidR="00F5027E">
        <w:rPr>
          <w:i w:val="0"/>
          <w:color w:val="auto"/>
          <w:sz w:val="22"/>
        </w:rPr>
        <w:t>dodecane</w:t>
      </w:r>
      <w:proofErr w:type="spellEnd"/>
      <w:r w:rsidR="00F5027E">
        <w:rPr>
          <w:i w:val="0"/>
          <w:color w:val="auto"/>
          <w:sz w:val="22"/>
        </w:rPr>
        <w:t xml:space="preserve">/water emulsion stabilized by Janus </w:t>
      </w:r>
      <w:proofErr w:type="spellStart"/>
      <w:r w:rsidR="00F5027E">
        <w:rPr>
          <w:i w:val="0"/>
          <w:color w:val="auto"/>
          <w:sz w:val="22"/>
        </w:rPr>
        <w:t>nanoplate</w:t>
      </w:r>
      <w:proofErr w:type="spellEnd"/>
      <w:r w:rsidR="00F5027E">
        <w:rPr>
          <w:i w:val="0"/>
          <w:color w:val="auto"/>
          <w:sz w:val="22"/>
        </w:rPr>
        <w:t xml:space="preserve">; </w:t>
      </w:r>
      <w:r w:rsidR="00F5027E">
        <w:rPr>
          <w:i w:val="0"/>
          <w:color w:val="auto"/>
          <w:sz w:val="22"/>
        </w:rPr>
        <w:t>(</w:t>
      </w:r>
      <w:r w:rsidR="00F5027E">
        <w:rPr>
          <w:i w:val="0"/>
          <w:color w:val="auto"/>
          <w:sz w:val="22"/>
        </w:rPr>
        <w:t>b</w:t>
      </w:r>
      <w:r w:rsidR="00F5027E">
        <w:rPr>
          <w:i w:val="0"/>
          <w:color w:val="auto"/>
          <w:sz w:val="22"/>
        </w:rPr>
        <w:t xml:space="preserve">) </w:t>
      </w:r>
      <w:r w:rsidR="00F5027E">
        <w:rPr>
          <w:i w:val="0"/>
          <w:color w:val="auto"/>
          <w:sz w:val="22"/>
        </w:rPr>
        <w:t>One-week aged</w:t>
      </w:r>
      <w:r w:rsidR="00F5027E">
        <w:rPr>
          <w:i w:val="0"/>
          <w:color w:val="auto"/>
          <w:sz w:val="22"/>
        </w:rPr>
        <w:t xml:space="preserve"> </w:t>
      </w:r>
      <w:proofErr w:type="spellStart"/>
      <w:r w:rsidR="00F5027E">
        <w:rPr>
          <w:i w:val="0"/>
          <w:color w:val="auto"/>
          <w:sz w:val="22"/>
        </w:rPr>
        <w:t>dodecane</w:t>
      </w:r>
      <w:proofErr w:type="spellEnd"/>
      <w:r w:rsidR="00F5027E">
        <w:rPr>
          <w:i w:val="0"/>
          <w:color w:val="auto"/>
          <w:sz w:val="22"/>
        </w:rPr>
        <w:t xml:space="preserve">/water emulsion stabilized by Janus </w:t>
      </w:r>
      <w:proofErr w:type="spellStart"/>
      <w:r w:rsidR="00F5027E">
        <w:rPr>
          <w:i w:val="0"/>
          <w:color w:val="auto"/>
          <w:sz w:val="22"/>
        </w:rPr>
        <w:t>nanoplate</w:t>
      </w:r>
      <w:proofErr w:type="spellEnd"/>
      <w:r w:rsidR="00F5027E">
        <w:rPr>
          <w:i w:val="0"/>
          <w:color w:val="auto"/>
          <w:sz w:val="22"/>
        </w:rPr>
        <w:t xml:space="preserve">; </w:t>
      </w:r>
      <w:r w:rsidR="00F5027E">
        <w:rPr>
          <w:i w:val="0"/>
          <w:color w:val="auto"/>
          <w:sz w:val="22"/>
        </w:rPr>
        <w:t xml:space="preserve">(c) </w:t>
      </w:r>
      <w:bookmarkStart w:id="0" w:name="_GoBack"/>
      <w:bookmarkEnd w:id="0"/>
      <w:r w:rsidR="00F5027E">
        <w:rPr>
          <w:i w:val="0"/>
          <w:color w:val="auto"/>
          <w:sz w:val="22"/>
        </w:rPr>
        <w:t>Fresh</w:t>
      </w:r>
      <w:r w:rsidR="00D84BC2">
        <w:rPr>
          <w:i w:val="0"/>
          <w:color w:val="auto"/>
          <w:sz w:val="22"/>
        </w:rPr>
        <w:t xml:space="preserve"> </w:t>
      </w:r>
      <w:r w:rsidR="00F5027E">
        <w:rPr>
          <w:i w:val="0"/>
          <w:color w:val="auto"/>
          <w:sz w:val="22"/>
        </w:rPr>
        <w:t xml:space="preserve">Pickering emulsion </w:t>
      </w:r>
      <w:r w:rsidR="00F5027E">
        <w:rPr>
          <w:i w:val="0"/>
          <w:color w:val="auto"/>
          <w:sz w:val="22"/>
        </w:rPr>
        <w:t>in capillary tube; (d)Size distribution of fresh made Pickering emulsion and one-week aged Pickering emulsion.</w:t>
      </w:r>
    </w:p>
    <w:p w14:paraId="4914D61A" w14:textId="3F668C45" w:rsidR="00756072" w:rsidRDefault="00756072" w:rsidP="00756072"/>
    <w:p w14:paraId="731D7931" w14:textId="77777777" w:rsidR="00756072" w:rsidRDefault="00756072" w:rsidP="00756072">
      <w:pPr>
        <w:keepNext/>
        <w:jc w:val="center"/>
      </w:pPr>
      <w:r w:rsidRPr="00756072">
        <w:rPr>
          <w:noProof/>
        </w:rPr>
        <w:lastRenderedPageBreak/>
        <w:drawing>
          <wp:inline distT="0" distB="0" distL="0" distR="0" wp14:anchorId="11B682AF" wp14:editId="30B9EE09">
            <wp:extent cx="3657600" cy="2926080"/>
            <wp:effectExtent l="0" t="0" r="0" b="7620"/>
            <wp:docPr id="3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C7AE38-2EF9-4412-AC5D-99B39E65F45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CC7AE38-2EF9-4412-AC5D-99B39E65F45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1153" w14:textId="0AD52A9A" w:rsidR="00756072" w:rsidRPr="00D84BC2" w:rsidRDefault="00756072" w:rsidP="00D84BC2">
      <w:pPr>
        <w:pStyle w:val="Caption"/>
        <w:jc w:val="both"/>
        <w:rPr>
          <w:i w:val="0"/>
          <w:color w:val="auto"/>
          <w:sz w:val="22"/>
        </w:rPr>
      </w:pPr>
      <w:r w:rsidRPr="00D84BC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D84BC2">
        <w:rPr>
          <w:i w:val="0"/>
          <w:color w:val="auto"/>
          <w:sz w:val="22"/>
        </w:rPr>
        <w:fldChar w:fldCharType="begin"/>
      </w:r>
      <w:r w:rsidRPr="00D84BC2">
        <w:rPr>
          <w:i w:val="0"/>
          <w:color w:val="auto"/>
          <w:sz w:val="22"/>
        </w:rPr>
        <w:instrText xml:space="preserve"> SEQ Figure \* ARABIC </w:instrText>
      </w:r>
      <w:r w:rsidRPr="00D84BC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5</w:t>
      </w:r>
      <w:r w:rsidRPr="00D84BC2">
        <w:rPr>
          <w:i w:val="0"/>
          <w:color w:val="auto"/>
          <w:sz w:val="22"/>
        </w:rPr>
        <w:fldChar w:fldCharType="end"/>
      </w:r>
      <w:r w:rsidR="00D84BC2">
        <w:rPr>
          <w:i w:val="0"/>
          <w:color w:val="auto"/>
          <w:sz w:val="22"/>
        </w:rPr>
        <w:t xml:space="preserve">: Styrene emulsion stabilized by one-side modified </w:t>
      </w:r>
      <w:r w:rsidR="0097444C">
        <w:rPr>
          <w:i w:val="0"/>
          <w:color w:val="auto"/>
          <w:sz w:val="22"/>
        </w:rPr>
        <w:t>nanoplate</w:t>
      </w:r>
      <w:r w:rsidR="0088418D">
        <w:rPr>
          <w:i w:val="0"/>
          <w:color w:val="auto"/>
          <w:sz w:val="22"/>
        </w:rPr>
        <w:t>s, the PPA-Halloysite nanoplates</w:t>
      </w:r>
      <w:r w:rsidR="00D84BC2">
        <w:rPr>
          <w:i w:val="0"/>
          <w:color w:val="auto"/>
          <w:sz w:val="22"/>
        </w:rPr>
        <w:t xml:space="preserve">. The spherical emulsion is destroyed during polymerization, which is carried out in a </w:t>
      </w:r>
      <w:r w:rsidR="00D84BC2" w:rsidRPr="00D84BC2">
        <w:rPr>
          <w:i w:val="0"/>
          <w:color w:val="auto"/>
          <w:sz w:val="22"/>
        </w:rPr>
        <w:t xml:space="preserve">75 °C oven for </w:t>
      </w:r>
      <w:r w:rsidR="00D84BC2">
        <w:rPr>
          <w:i w:val="0"/>
          <w:color w:val="auto"/>
          <w:sz w:val="22"/>
        </w:rPr>
        <w:t xml:space="preserve">12 </w:t>
      </w:r>
      <w:r w:rsidR="00D84BC2" w:rsidRPr="00D84BC2">
        <w:rPr>
          <w:i w:val="0"/>
          <w:color w:val="auto"/>
          <w:sz w:val="22"/>
        </w:rPr>
        <w:t>hours</w:t>
      </w:r>
      <w:r w:rsidR="00D84BC2">
        <w:rPr>
          <w:i w:val="0"/>
          <w:color w:val="auto"/>
          <w:sz w:val="22"/>
        </w:rPr>
        <w:t xml:space="preserve">. </w:t>
      </w:r>
      <w:r w:rsidR="0088418D">
        <w:rPr>
          <w:i w:val="0"/>
          <w:color w:val="auto"/>
          <w:sz w:val="22"/>
        </w:rPr>
        <w:t xml:space="preserve">This comparison demonstrates the importance of double-side asymmetric modifications for emulsion stability under high temperature. </w:t>
      </w:r>
    </w:p>
    <w:p w14:paraId="2DAD57D1" w14:textId="77777777" w:rsidR="0097444C" w:rsidRDefault="0097444C" w:rsidP="0097444C">
      <w:pPr>
        <w:keepNext/>
        <w:jc w:val="center"/>
      </w:pPr>
      <w:r>
        <w:rPr>
          <w:noProof/>
        </w:rPr>
        <w:drawing>
          <wp:inline distT="0" distB="0" distL="0" distR="0" wp14:anchorId="2A52484C" wp14:editId="6AC05ECC">
            <wp:extent cx="4114800" cy="23297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329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944365" w14:textId="08C15803" w:rsidR="0097444C" w:rsidRPr="0097444C" w:rsidRDefault="0097444C" w:rsidP="0097444C">
      <w:pPr>
        <w:keepNext/>
        <w:jc w:val="center"/>
        <w:rPr>
          <w:noProof/>
        </w:rPr>
      </w:pPr>
      <w:r w:rsidRPr="0097444C">
        <w:rPr>
          <w:noProof/>
        </w:rPr>
        <w:t>Figure S</w:t>
      </w:r>
      <w:r w:rsidRPr="0097444C">
        <w:rPr>
          <w:noProof/>
        </w:rPr>
        <w:fldChar w:fldCharType="begin"/>
      </w:r>
      <w:r w:rsidRPr="0097444C">
        <w:rPr>
          <w:noProof/>
        </w:rPr>
        <w:instrText xml:space="preserve"> SEQ Figure \* ARABIC </w:instrText>
      </w:r>
      <w:r w:rsidRPr="0097444C">
        <w:rPr>
          <w:noProof/>
        </w:rPr>
        <w:fldChar w:fldCharType="separate"/>
      </w:r>
      <w:r w:rsidRPr="0097444C">
        <w:rPr>
          <w:noProof/>
        </w:rPr>
        <w:t>6</w:t>
      </w:r>
      <w:r w:rsidRPr="0097444C">
        <w:rPr>
          <w:noProof/>
        </w:rPr>
        <w:fldChar w:fldCharType="end"/>
      </w:r>
      <w:r w:rsidRPr="0097444C">
        <w:rPr>
          <w:noProof/>
        </w:rPr>
        <w:t>: Nanoplate surfactant has a better performance under high salinity compared with conventional surfactants. Surfactant can still emulsify oil at 20% salinity and maintain a large quantity of emulsion at 15%.</w:t>
      </w:r>
    </w:p>
    <w:p w14:paraId="4C556CE2" w14:textId="3746030F" w:rsidR="00756072" w:rsidRDefault="00756072" w:rsidP="0097444C">
      <w:pPr>
        <w:pStyle w:val="Caption"/>
        <w:jc w:val="center"/>
        <w:rPr>
          <w:i w:val="0"/>
          <w:color w:val="auto"/>
          <w:sz w:val="22"/>
        </w:rPr>
      </w:pPr>
    </w:p>
    <w:p w14:paraId="07E6AB4B" w14:textId="77777777" w:rsidR="0097444C" w:rsidRPr="0097444C" w:rsidRDefault="0097444C" w:rsidP="0097444C"/>
    <w:p w14:paraId="254B9154" w14:textId="77777777" w:rsidR="00756072" w:rsidRDefault="00756072" w:rsidP="0075607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383D0F8" wp14:editId="3C0E319A">
            <wp:extent cx="5486400" cy="14746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C1D7F7" w14:textId="655C3FCE" w:rsidR="00756072" w:rsidRPr="00D84BC2" w:rsidRDefault="00756072" w:rsidP="00756072">
      <w:pPr>
        <w:pStyle w:val="Caption"/>
        <w:jc w:val="center"/>
        <w:rPr>
          <w:i w:val="0"/>
          <w:color w:val="auto"/>
          <w:sz w:val="22"/>
        </w:rPr>
      </w:pPr>
      <w:r w:rsidRPr="00D84BC2">
        <w:rPr>
          <w:i w:val="0"/>
          <w:color w:val="auto"/>
          <w:sz w:val="22"/>
        </w:rPr>
        <w:t xml:space="preserve">Figure </w:t>
      </w:r>
      <w:r w:rsidR="00F24C78">
        <w:rPr>
          <w:i w:val="0"/>
          <w:color w:val="auto"/>
          <w:sz w:val="22"/>
        </w:rPr>
        <w:t>S</w:t>
      </w:r>
      <w:r w:rsidRPr="00D84BC2">
        <w:rPr>
          <w:i w:val="0"/>
          <w:color w:val="auto"/>
          <w:sz w:val="22"/>
        </w:rPr>
        <w:fldChar w:fldCharType="begin"/>
      </w:r>
      <w:r w:rsidRPr="00D84BC2">
        <w:rPr>
          <w:i w:val="0"/>
          <w:color w:val="auto"/>
          <w:sz w:val="22"/>
        </w:rPr>
        <w:instrText xml:space="preserve"> SEQ Figure \* ARABIC </w:instrText>
      </w:r>
      <w:r w:rsidRPr="00D84BC2">
        <w:rPr>
          <w:i w:val="0"/>
          <w:color w:val="auto"/>
          <w:sz w:val="22"/>
        </w:rPr>
        <w:fldChar w:fldCharType="separate"/>
      </w:r>
      <w:r w:rsidR="0097444C">
        <w:rPr>
          <w:i w:val="0"/>
          <w:noProof/>
          <w:color w:val="auto"/>
          <w:sz w:val="22"/>
        </w:rPr>
        <w:t>7</w:t>
      </w:r>
      <w:r w:rsidRPr="00D84BC2">
        <w:rPr>
          <w:i w:val="0"/>
          <w:color w:val="auto"/>
          <w:sz w:val="22"/>
        </w:rPr>
        <w:fldChar w:fldCharType="end"/>
      </w:r>
      <w:r w:rsidR="00D84BC2">
        <w:rPr>
          <w:i w:val="0"/>
          <w:color w:val="auto"/>
          <w:sz w:val="22"/>
        </w:rPr>
        <w:t xml:space="preserve">: </w:t>
      </w:r>
      <w:r w:rsidR="0088418D" w:rsidRPr="0088418D">
        <w:rPr>
          <w:i w:val="0"/>
          <w:color w:val="auto"/>
          <w:sz w:val="22"/>
        </w:rPr>
        <w:t xml:space="preserve">Energy-dispersive X-ray spectroscopy </w:t>
      </w:r>
      <w:r w:rsidR="0088418D">
        <w:rPr>
          <w:i w:val="0"/>
          <w:color w:val="auto"/>
          <w:sz w:val="22"/>
        </w:rPr>
        <w:t>(</w:t>
      </w:r>
      <w:r w:rsidR="00D84BC2">
        <w:rPr>
          <w:i w:val="0"/>
          <w:color w:val="auto"/>
          <w:sz w:val="22"/>
        </w:rPr>
        <w:t>EDS</w:t>
      </w:r>
      <w:r w:rsidR="0088418D">
        <w:rPr>
          <w:i w:val="0"/>
          <w:color w:val="auto"/>
          <w:sz w:val="22"/>
        </w:rPr>
        <w:t>)</w:t>
      </w:r>
      <w:r w:rsidR="00D84BC2">
        <w:rPr>
          <w:i w:val="0"/>
          <w:color w:val="auto"/>
          <w:sz w:val="22"/>
        </w:rPr>
        <w:t xml:space="preserve"> element mapping of O, Si, P </w:t>
      </w:r>
      <w:r w:rsidR="0088418D">
        <w:rPr>
          <w:i w:val="0"/>
          <w:color w:val="auto"/>
          <w:sz w:val="22"/>
        </w:rPr>
        <w:t>on</w:t>
      </w:r>
      <w:r w:rsidR="00D84BC2">
        <w:rPr>
          <w:i w:val="0"/>
          <w:color w:val="auto"/>
          <w:sz w:val="22"/>
        </w:rPr>
        <w:t xml:space="preserve"> polystyrene </w:t>
      </w:r>
      <w:r w:rsidR="0088418D">
        <w:rPr>
          <w:i w:val="0"/>
          <w:color w:val="auto"/>
          <w:sz w:val="22"/>
        </w:rPr>
        <w:t>surface</w:t>
      </w:r>
      <w:r w:rsidR="00D84BC2">
        <w:rPr>
          <w:i w:val="0"/>
          <w:color w:val="auto"/>
          <w:sz w:val="22"/>
        </w:rPr>
        <w:t>.</w:t>
      </w:r>
    </w:p>
    <w:sectPr w:rsidR="00756072" w:rsidRPr="00D84BC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18"/>
    <w:rsid w:val="000A366E"/>
    <w:rsid w:val="00164139"/>
    <w:rsid w:val="00220AC2"/>
    <w:rsid w:val="004324AE"/>
    <w:rsid w:val="004C1FFE"/>
    <w:rsid w:val="006B7EDE"/>
    <w:rsid w:val="00756072"/>
    <w:rsid w:val="0088418D"/>
    <w:rsid w:val="00920B4A"/>
    <w:rsid w:val="0097444C"/>
    <w:rsid w:val="009B4E1C"/>
    <w:rsid w:val="00B26718"/>
    <w:rsid w:val="00BF2AA6"/>
    <w:rsid w:val="00C3451E"/>
    <w:rsid w:val="00C819CB"/>
    <w:rsid w:val="00D84BC2"/>
    <w:rsid w:val="00F05B76"/>
    <w:rsid w:val="00F24C78"/>
    <w:rsid w:val="00F5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90FB"/>
  <w15:chartTrackingRefBased/>
  <w15:docId w15:val="{D3634DBC-6CF0-48EB-9CE3-FFB68474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20A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Zhang</dc:creator>
  <cp:keywords/>
  <dc:description/>
  <cp:lastModifiedBy>lecheng zhang</cp:lastModifiedBy>
  <cp:revision>3</cp:revision>
  <dcterms:created xsi:type="dcterms:W3CDTF">2018-09-24T02:46:00Z</dcterms:created>
  <dcterms:modified xsi:type="dcterms:W3CDTF">2018-09-24T04:11:00Z</dcterms:modified>
</cp:coreProperties>
</file>