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827" w:rsidRPr="00BC0DBC" w:rsidRDefault="00616827" w:rsidP="006168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A </w:t>
      </w:r>
      <w:r w:rsidRPr="000C2415">
        <w:rPr>
          <w:rFonts w:ascii="Arial" w:hAnsi="Arial" w:cs="Arial"/>
          <w:b/>
          <w:sz w:val="32"/>
          <w:szCs w:val="32"/>
        </w:rPr>
        <w:t xml:space="preserve">3D microvascular network </w:t>
      </w:r>
      <w:r>
        <w:rPr>
          <w:rFonts w:ascii="Arial" w:hAnsi="Arial" w:cs="Arial"/>
          <w:b/>
          <w:sz w:val="32"/>
          <w:szCs w:val="32"/>
        </w:rPr>
        <w:t>model to study the impact of hypoxia on</w:t>
      </w:r>
      <w:r w:rsidRPr="000C241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the extravasation potential of breast cell lines</w:t>
      </w: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</w:p>
    <w:p w:rsidR="00616827" w:rsidRDefault="00616827" w:rsidP="00616827">
      <w:pPr>
        <w:spacing w:line="360" w:lineRule="auto"/>
        <w:contextualSpacing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Jiho</w:t>
      </w:r>
      <w:proofErr w:type="spellEnd"/>
      <w:r>
        <w:rPr>
          <w:rFonts w:ascii="Arial" w:hAnsi="Arial" w:cs="Arial"/>
        </w:rPr>
        <w:t xml:space="preserve"> Song</w:t>
      </w:r>
      <w:r w:rsidRPr="00D92DB7">
        <w:rPr>
          <w:rFonts w:ascii="Arial" w:hAnsi="Arial" w:cs="Arial"/>
          <w:vertAlign w:val="superscript"/>
        </w:rPr>
        <w:t>1</w:t>
      </w:r>
      <w:proofErr w:type="gramStart"/>
      <w:r w:rsidRPr="00D92DB7">
        <w:rPr>
          <w:rFonts w:ascii="Arial" w:hAnsi="Arial" w:cs="Arial"/>
          <w:vertAlign w:val="superscript"/>
        </w:rPr>
        <w:t>,2</w:t>
      </w:r>
      <w:proofErr w:type="gramEnd"/>
      <w:r>
        <w:rPr>
          <w:rFonts w:ascii="Arial" w:hAnsi="Arial" w:cs="Arial"/>
          <w:vertAlign w:val="superscript"/>
        </w:rPr>
        <w:t>,*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bCs/>
          <w:color w:val="000000" w:themeColor="text1"/>
        </w:rPr>
        <w:t>Agnès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Miermont</w:t>
      </w:r>
      <w:r w:rsidRPr="00BB2FD9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Chwee</w:t>
      </w:r>
      <w:proofErr w:type="spellEnd"/>
      <w:r>
        <w:rPr>
          <w:rFonts w:ascii="Arial" w:hAnsi="Arial" w:cs="Arial"/>
        </w:rPr>
        <w:t xml:space="preserve"> Teck Lim</w:t>
      </w:r>
      <w:r w:rsidRPr="00D92DB7">
        <w:rPr>
          <w:rFonts w:ascii="Arial" w:hAnsi="Arial" w:cs="Arial"/>
          <w:vertAlign w:val="superscript"/>
        </w:rPr>
        <w:t>1,3,4,5</w:t>
      </w:r>
      <w:r>
        <w:rPr>
          <w:rFonts w:ascii="Arial" w:hAnsi="Arial" w:cs="Arial"/>
        </w:rPr>
        <w:t>, Roger D. Kamm</w:t>
      </w:r>
      <w:r w:rsidRPr="00D92DB7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  <w:vertAlign w:val="superscript"/>
        </w:rPr>
        <w:t>,*</w:t>
      </w:r>
    </w:p>
    <w:p w:rsidR="00616827" w:rsidRPr="00BC0DBC" w:rsidRDefault="00616827" w:rsidP="00616827">
      <w:pPr>
        <w:spacing w:line="360" w:lineRule="auto"/>
        <w:contextualSpacing/>
        <w:rPr>
          <w:rFonts w:ascii="Arial" w:hAnsi="Arial" w:cs="Arial"/>
        </w:rPr>
      </w:pPr>
      <w:r w:rsidRPr="00D92DB7">
        <w:rPr>
          <w:rFonts w:ascii="Arial" w:hAnsi="Arial" w:cs="Arial"/>
          <w:vertAlign w:val="superscript"/>
        </w:rPr>
        <w:t>1</w:t>
      </w:r>
      <w:r w:rsidRPr="00BC0DBC">
        <w:rPr>
          <w:rFonts w:ascii="Arial" w:hAnsi="Arial" w:cs="Arial"/>
        </w:rPr>
        <w:t>BioSystems and Micromechanics,</w:t>
      </w:r>
      <w:r>
        <w:rPr>
          <w:rFonts w:ascii="Arial" w:hAnsi="Arial" w:cs="Arial"/>
        </w:rPr>
        <w:t xml:space="preserve"> IRG, </w:t>
      </w:r>
      <w:r w:rsidRPr="00BC0DBC">
        <w:rPr>
          <w:rFonts w:ascii="Arial" w:hAnsi="Arial" w:cs="Arial"/>
        </w:rPr>
        <w:t>Singapore-MIT Alliance for Research and Technology, 138602, Singapore</w:t>
      </w: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  <w:r w:rsidRPr="00D92DB7">
        <w:rPr>
          <w:rFonts w:ascii="Arial" w:hAnsi="Arial" w:cs="Arial"/>
          <w:vertAlign w:val="superscript"/>
        </w:rPr>
        <w:t>2</w:t>
      </w:r>
      <w:r w:rsidRPr="00BC0DBC">
        <w:rPr>
          <w:rFonts w:ascii="Arial" w:hAnsi="Arial" w:cs="Arial"/>
        </w:rPr>
        <w:t>Department of Biological Engineering</w:t>
      </w:r>
      <w:r w:rsidRPr="00CC22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Department of Mechanical Engineering</w:t>
      </w:r>
      <w:r w:rsidRPr="00BC0DBC">
        <w:rPr>
          <w:rFonts w:ascii="Arial" w:hAnsi="Arial" w:cs="Arial"/>
        </w:rPr>
        <w:t xml:space="preserve">, Massachusetts Institute of Technology, </w:t>
      </w:r>
      <w:r>
        <w:rPr>
          <w:rFonts w:ascii="Arial" w:hAnsi="Arial" w:cs="Arial"/>
        </w:rPr>
        <w:t>Massachusetts</w:t>
      </w:r>
      <w:r w:rsidRPr="00BC0DBC">
        <w:rPr>
          <w:rFonts w:ascii="Arial" w:hAnsi="Arial" w:cs="Arial"/>
        </w:rPr>
        <w:t xml:space="preserve">, USA. </w:t>
      </w: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  <w:r w:rsidRPr="00D92DB7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Department of Biomedical Engineering, National University of Singapore, 117576 Singapore. </w:t>
      </w: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  <w:r w:rsidRPr="00D92DB7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Mechanobiology Institute, National University of Singapore, 117411, Singapore</w:t>
      </w: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  <w:r w:rsidRPr="00D92DB7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Biomedical Institute of Global Health Research and Technology, National University of Singapore, 117599, Singapore.</w:t>
      </w: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</w:p>
    <w:p w:rsidR="00616827" w:rsidRDefault="00616827" w:rsidP="00616827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Correspondence and requests for materials should be addressed to R.D.K. (email:rdkamm@mit.edu)</w:t>
      </w: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616827" w:rsidRDefault="00616827" w:rsidP="00F61C1B">
      <w:pPr>
        <w:rPr>
          <w:rFonts w:ascii="Arial" w:hAnsi="Arial" w:cs="Arial"/>
          <w:b/>
          <w:sz w:val="24"/>
          <w:szCs w:val="24"/>
        </w:rPr>
      </w:pPr>
    </w:p>
    <w:p w:rsidR="00C81979" w:rsidRPr="00616827" w:rsidRDefault="00C81979" w:rsidP="00F61C1B">
      <w:pPr>
        <w:rPr>
          <w:rFonts w:ascii="Arial" w:hAnsi="Arial" w:cs="Arial"/>
          <w:sz w:val="36"/>
          <w:szCs w:val="36"/>
        </w:rPr>
      </w:pPr>
      <w:r w:rsidRPr="00616827">
        <w:rPr>
          <w:rFonts w:ascii="Arial" w:hAnsi="Arial" w:cs="Arial"/>
          <w:b/>
          <w:sz w:val="36"/>
          <w:szCs w:val="36"/>
        </w:rPr>
        <w:lastRenderedPageBreak/>
        <w:t xml:space="preserve">Supplementary </w:t>
      </w:r>
      <w:r w:rsidR="00616827" w:rsidRPr="00616827">
        <w:rPr>
          <w:rFonts w:ascii="Arial" w:hAnsi="Arial" w:cs="Arial"/>
          <w:b/>
          <w:sz w:val="36"/>
          <w:szCs w:val="36"/>
        </w:rPr>
        <w:t>Information</w:t>
      </w:r>
    </w:p>
    <w:p w:rsidR="00C81979" w:rsidRDefault="00C81979">
      <w:pPr>
        <w:rPr>
          <w:rFonts w:ascii="Arial" w:hAnsi="Arial" w:cs="Arial"/>
          <w:sz w:val="24"/>
          <w:szCs w:val="24"/>
        </w:rPr>
      </w:pPr>
    </w:p>
    <w:p w:rsidR="00C81979" w:rsidRDefault="00BA3073" w:rsidP="000418F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30265" cy="4536440"/>
            <wp:effectExtent l="0" t="0" r="0" b="0"/>
            <wp:docPr id="3" name="Picture 3" descr="E:\Journal &amp; Conference_Paper\5_Normoxia Hypoxia\Writing\Suppl.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Journal &amp; Conference_Paper\5_Normoxia Hypoxia\Writing\Suppl.Fig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5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979" w:rsidRPr="007F7FBF" w:rsidRDefault="00C81979">
      <w:pPr>
        <w:rPr>
          <w:rFonts w:ascii="Arial" w:hAnsi="Arial" w:cs="Arial"/>
          <w:sz w:val="24"/>
          <w:szCs w:val="24"/>
        </w:rPr>
      </w:pPr>
      <w:r w:rsidRPr="007F7FBF">
        <w:rPr>
          <w:rFonts w:ascii="Arial" w:hAnsi="Arial" w:cs="Arial"/>
          <w:sz w:val="24"/>
          <w:szCs w:val="24"/>
        </w:rPr>
        <w:t xml:space="preserve">Figure </w:t>
      </w:r>
      <w:r w:rsidR="000418FC" w:rsidRPr="007F7FBF">
        <w:rPr>
          <w:rFonts w:ascii="Arial" w:hAnsi="Arial" w:cs="Arial"/>
          <w:sz w:val="24"/>
          <w:szCs w:val="24"/>
        </w:rPr>
        <w:t>S</w:t>
      </w:r>
      <w:r w:rsidRPr="007F7FBF">
        <w:rPr>
          <w:rFonts w:ascii="Arial" w:hAnsi="Arial" w:cs="Arial"/>
          <w:sz w:val="24"/>
          <w:szCs w:val="24"/>
        </w:rPr>
        <w:t>1</w:t>
      </w:r>
      <w:r w:rsidR="000418FC" w:rsidRPr="007F7FBF">
        <w:rPr>
          <w:rFonts w:ascii="Arial" w:hAnsi="Arial" w:cs="Arial"/>
          <w:sz w:val="24"/>
          <w:szCs w:val="24"/>
        </w:rPr>
        <w:t>:</w:t>
      </w:r>
      <w:r w:rsidR="001356E2" w:rsidRPr="007F7FBF">
        <w:rPr>
          <w:rFonts w:ascii="Arial" w:hAnsi="Arial" w:cs="Arial"/>
          <w:sz w:val="24"/>
          <w:szCs w:val="24"/>
        </w:rPr>
        <w:t xml:space="preserve"> </w:t>
      </w:r>
      <w:r w:rsidR="00D55A59" w:rsidRPr="007F7FBF">
        <w:rPr>
          <w:rFonts w:ascii="Arial" w:hAnsi="Arial" w:cs="Arial"/>
          <w:sz w:val="24"/>
          <w:szCs w:val="24"/>
        </w:rPr>
        <w:t xml:space="preserve">All cells were incubated under </w:t>
      </w:r>
      <w:proofErr w:type="spellStart"/>
      <w:r w:rsidR="00D55A59" w:rsidRPr="007F7FBF">
        <w:rPr>
          <w:rFonts w:ascii="Arial" w:hAnsi="Arial" w:cs="Arial"/>
          <w:sz w:val="24"/>
          <w:szCs w:val="24"/>
        </w:rPr>
        <w:t>normoxia</w:t>
      </w:r>
      <w:proofErr w:type="spellEnd"/>
      <w:r w:rsidR="00D55A59" w:rsidRPr="007F7FBF">
        <w:rPr>
          <w:rFonts w:ascii="Arial" w:hAnsi="Arial" w:cs="Arial"/>
          <w:sz w:val="24"/>
          <w:szCs w:val="24"/>
        </w:rPr>
        <w:t xml:space="preserve"> (21% O</w:t>
      </w:r>
      <w:r w:rsidR="00D55A59" w:rsidRPr="007F7FBF">
        <w:rPr>
          <w:rFonts w:ascii="Arial" w:hAnsi="Arial" w:cs="Arial"/>
          <w:sz w:val="24"/>
          <w:szCs w:val="24"/>
          <w:vertAlign w:val="subscript"/>
        </w:rPr>
        <w:t>2</w:t>
      </w:r>
      <w:r w:rsidR="00D55A59" w:rsidRPr="007F7FBF">
        <w:rPr>
          <w:rFonts w:ascii="Arial" w:hAnsi="Arial" w:cs="Arial"/>
          <w:sz w:val="24"/>
          <w:szCs w:val="24"/>
        </w:rPr>
        <w:t>) or hypoxia (1% O</w:t>
      </w:r>
      <w:r w:rsidR="00D55A59" w:rsidRPr="007F7FBF">
        <w:rPr>
          <w:rFonts w:ascii="Arial" w:hAnsi="Arial" w:cs="Arial"/>
          <w:sz w:val="24"/>
          <w:szCs w:val="24"/>
          <w:vertAlign w:val="subscript"/>
        </w:rPr>
        <w:t>2</w:t>
      </w:r>
      <w:r w:rsidR="00D55A59" w:rsidRPr="007F7FBF">
        <w:rPr>
          <w:rFonts w:ascii="Arial" w:hAnsi="Arial" w:cs="Arial"/>
          <w:sz w:val="24"/>
          <w:szCs w:val="24"/>
        </w:rPr>
        <w:t xml:space="preserve">) for 72 h. External cell morphology was analyzed under a phase-contrast microscope. After exposure to hypoxic conditions, cells appeared to be flatter, elongated, and ramified with long extending processes. Loss of </w:t>
      </w:r>
      <w:r w:rsidR="00DF4DA9" w:rsidRPr="007F7FBF">
        <w:rPr>
          <w:rFonts w:ascii="Arial" w:hAnsi="Arial" w:cs="Arial"/>
          <w:sz w:val="24"/>
          <w:szCs w:val="24"/>
        </w:rPr>
        <w:t xml:space="preserve">cell-to-cell polarity was also observed after hypoxia. Scale bar = 100 um. </w:t>
      </w:r>
    </w:p>
    <w:p w:rsidR="00C81979" w:rsidRDefault="00C81979" w:rsidP="000418F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900295" cy="2592070"/>
            <wp:effectExtent l="0" t="0" r="0" b="0"/>
            <wp:docPr id="4" name="Picture 4" descr="E:\Journal &amp; Conference_Paper\5_Normoxia Hypoxia\Writing\Suppl.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Journal &amp; Conference_Paper\5_Normoxia Hypoxia\Writing\Suppl.Fig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29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979" w:rsidRPr="007F7FBF" w:rsidRDefault="00C81979">
      <w:pPr>
        <w:rPr>
          <w:rFonts w:ascii="Arial" w:hAnsi="Arial" w:cs="Arial"/>
          <w:sz w:val="24"/>
          <w:szCs w:val="24"/>
        </w:rPr>
      </w:pPr>
      <w:r w:rsidRPr="007F7FBF">
        <w:rPr>
          <w:rFonts w:ascii="Arial" w:hAnsi="Arial" w:cs="Arial"/>
          <w:sz w:val="24"/>
          <w:szCs w:val="24"/>
        </w:rPr>
        <w:t xml:space="preserve">Figure </w:t>
      </w:r>
      <w:r w:rsidR="000418FC" w:rsidRPr="007F7FBF">
        <w:rPr>
          <w:rFonts w:ascii="Arial" w:hAnsi="Arial" w:cs="Arial"/>
          <w:sz w:val="24"/>
          <w:szCs w:val="24"/>
        </w:rPr>
        <w:t>S</w:t>
      </w:r>
      <w:r w:rsidRPr="007F7FBF">
        <w:rPr>
          <w:rFonts w:ascii="Arial" w:hAnsi="Arial" w:cs="Arial"/>
          <w:sz w:val="24"/>
          <w:szCs w:val="24"/>
        </w:rPr>
        <w:t>2</w:t>
      </w:r>
      <w:r w:rsidR="000418FC" w:rsidRPr="007F7FBF">
        <w:rPr>
          <w:rFonts w:ascii="Arial" w:hAnsi="Arial" w:cs="Arial"/>
          <w:sz w:val="24"/>
          <w:szCs w:val="24"/>
        </w:rPr>
        <w:t>:</w:t>
      </w:r>
      <w:r w:rsidR="007E3E90" w:rsidRPr="007F7FBF">
        <w:rPr>
          <w:rFonts w:ascii="Arial" w:hAnsi="Arial" w:cs="Arial"/>
          <w:sz w:val="24"/>
          <w:szCs w:val="24"/>
        </w:rPr>
        <w:t xml:space="preserve"> </w:t>
      </w:r>
      <w:r w:rsidR="00BA3073" w:rsidRPr="007F7FBF">
        <w:rPr>
          <w:rFonts w:ascii="Arial" w:hAnsi="Arial" w:cs="Arial"/>
          <w:sz w:val="24"/>
          <w:szCs w:val="24"/>
        </w:rPr>
        <w:t xml:space="preserve">Phase-contrast images of MCF-7 cells </w:t>
      </w:r>
      <w:r w:rsidR="007E3E90" w:rsidRPr="007F7FBF">
        <w:rPr>
          <w:rFonts w:ascii="Arial" w:hAnsi="Arial" w:cs="Arial"/>
          <w:sz w:val="24"/>
          <w:szCs w:val="24"/>
        </w:rPr>
        <w:t xml:space="preserve">after 72 h in </w:t>
      </w:r>
      <w:proofErr w:type="spellStart"/>
      <w:r w:rsidR="007E3E90" w:rsidRPr="007F7FBF">
        <w:rPr>
          <w:rFonts w:ascii="Arial" w:hAnsi="Arial" w:cs="Arial"/>
          <w:sz w:val="24"/>
          <w:szCs w:val="24"/>
        </w:rPr>
        <w:t>normoxia</w:t>
      </w:r>
      <w:proofErr w:type="spellEnd"/>
      <w:r w:rsidR="007E3E90" w:rsidRPr="007F7FBF">
        <w:rPr>
          <w:rFonts w:ascii="Arial" w:hAnsi="Arial" w:cs="Arial"/>
          <w:sz w:val="24"/>
          <w:szCs w:val="24"/>
        </w:rPr>
        <w:t xml:space="preserve"> and hypoxia conditions.</w:t>
      </w:r>
      <w:r w:rsidR="00DF4DA9" w:rsidRPr="007F7FBF">
        <w:rPr>
          <w:rFonts w:ascii="Arial" w:hAnsi="Arial" w:cs="Arial"/>
          <w:sz w:val="24"/>
          <w:szCs w:val="24"/>
        </w:rPr>
        <w:t xml:space="preserve"> Cell nucleus were stained with DAPI</w:t>
      </w:r>
      <w:r w:rsidR="00BA3073" w:rsidRPr="007F7FBF">
        <w:rPr>
          <w:rFonts w:ascii="Arial" w:hAnsi="Arial" w:cs="Arial"/>
          <w:sz w:val="24"/>
          <w:szCs w:val="24"/>
        </w:rPr>
        <w:t xml:space="preserve"> (blue)</w:t>
      </w:r>
      <w:r w:rsidR="00DF4DA9" w:rsidRPr="007F7FBF">
        <w:rPr>
          <w:rFonts w:ascii="Arial" w:hAnsi="Arial" w:cs="Arial"/>
          <w:sz w:val="24"/>
          <w:szCs w:val="24"/>
        </w:rPr>
        <w:t xml:space="preserve"> to distinguish cells in cluster (</w:t>
      </w:r>
      <w:proofErr w:type="spellStart"/>
      <w:r w:rsidR="00DF4DA9" w:rsidRPr="007F7FBF">
        <w:rPr>
          <w:rFonts w:ascii="Arial" w:hAnsi="Arial" w:cs="Arial"/>
          <w:sz w:val="24"/>
          <w:szCs w:val="24"/>
        </w:rPr>
        <w:t>normoxia</w:t>
      </w:r>
      <w:proofErr w:type="spellEnd"/>
      <w:r w:rsidR="00DF4DA9" w:rsidRPr="007F7FBF">
        <w:rPr>
          <w:rFonts w:ascii="Arial" w:hAnsi="Arial" w:cs="Arial"/>
          <w:sz w:val="24"/>
          <w:szCs w:val="24"/>
        </w:rPr>
        <w:t>) and sparse (hypoxia).</w:t>
      </w:r>
      <w:r w:rsidR="00BA3073" w:rsidRPr="007F7FBF">
        <w:rPr>
          <w:rFonts w:ascii="Arial" w:hAnsi="Arial" w:cs="Arial"/>
          <w:sz w:val="24"/>
          <w:szCs w:val="24"/>
        </w:rPr>
        <w:t xml:space="preserve"> Scale bar = 100 um.</w:t>
      </w:r>
    </w:p>
    <w:p w:rsidR="00C81979" w:rsidRDefault="00C81979">
      <w:pPr>
        <w:rPr>
          <w:rFonts w:ascii="Arial" w:hAnsi="Arial" w:cs="Arial"/>
          <w:sz w:val="24"/>
          <w:szCs w:val="24"/>
        </w:rPr>
      </w:pPr>
    </w:p>
    <w:p w:rsidR="00C81979" w:rsidRDefault="00C81979">
      <w:pPr>
        <w:rPr>
          <w:rFonts w:ascii="Arial" w:hAnsi="Arial" w:cs="Arial"/>
          <w:sz w:val="24"/>
          <w:szCs w:val="24"/>
        </w:rPr>
      </w:pPr>
    </w:p>
    <w:p w:rsidR="00C81979" w:rsidRDefault="007D53AA" w:rsidP="000418F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39155" cy="2663190"/>
            <wp:effectExtent l="0" t="0" r="4445" b="3810"/>
            <wp:docPr id="6" name="Picture 6" descr="E:\Journal &amp; Conference_Paper\5_Normoxia Hypoxia\Writing\Suppl.Fig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Journal &amp; Conference_Paper\5_Normoxia Hypoxia\Writing\Suppl.Fig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979" w:rsidRDefault="00C81979">
      <w:pPr>
        <w:rPr>
          <w:rFonts w:ascii="Arial" w:hAnsi="Arial" w:cs="Arial"/>
          <w:sz w:val="24"/>
          <w:szCs w:val="24"/>
        </w:rPr>
      </w:pPr>
      <w:r w:rsidRPr="007F7FBF">
        <w:rPr>
          <w:rFonts w:ascii="Arial" w:hAnsi="Arial" w:cs="Arial"/>
          <w:sz w:val="24"/>
          <w:szCs w:val="24"/>
        </w:rPr>
        <w:t xml:space="preserve">Figure </w:t>
      </w:r>
      <w:r w:rsidR="000418FC" w:rsidRPr="007F7FBF">
        <w:rPr>
          <w:rFonts w:ascii="Arial" w:hAnsi="Arial" w:cs="Arial"/>
          <w:sz w:val="24"/>
          <w:szCs w:val="24"/>
        </w:rPr>
        <w:t>S</w:t>
      </w:r>
      <w:r w:rsidR="00822285" w:rsidRPr="007F7FBF">
        <w:rPr>
          <w:rFonts w:ascii="Arial" w:hAnsi="Arial" w:cs="Arial"/>
          <w:sz w:val="24"/>
          <w:szCs w:val="24"/>
        </w:rPr>
        <w:t>3</w:t>
      </w:r>
      <w:r w:rsidR="00F61C1B" w:rsidRPr="007F7FBF">
        <w:rPr>
          <w:rFonts w:ascii="Arial" w:hAnsi="Arial" w:cs="Arial"/>
          <w:sz w:val="24"/>
          <w:szCs w:val="24"/>
        </w:rPr>
        <w:t>:</w:t>
      </w:r>
      <w:r w:rsidR="00BA3073" w:rsidRPr="007F7FBF">
        <w:rPr>
          <w:rFonts w:ascii="Arial" w:hAnsi="Arial" w:cs="Arial"/>
          <w:sz w:val="24"/>
          <w:szCs w:val="24"/>
        </w:rPr>
        <w:t xml:space="preserve"> </w:t>
      </w:r>
      <w:r w:rsidR="007D53AA" w:rsidRPr="007F7FBF">
        <w:rPr>
          <w:rFonts w:ascii="Arial" w:hAnsi="Arial" w:cs="Arial"/>
          <w:sz w:val="24"/>
          <w:szCs w:val="24"/>
        </w:rPr>
        <w:t>Time-series of a 3D microvasculature formation in the fibrin matrix. Microvasculature networks formed by endothelial cells (seeded in fibrin gels) and co-cultured alongside human lung fibroblast in separat</w:t>
      </w:r>
      <w:bookmarkStart w:id="0" w:name="_GoBack"/>
      <w:bookmarkEnd w:id="0"/>
      <w:r w:rsidR="007D53AA" w:rsidRPr="007F7FBF">
        <w:rPr>
          <w:rFonts w:ascii="Arial" w:hAnsi="Arial" w:cs="Arial"/>
          <w:sz w:val="24"/>
          <w:szCs w:val="24"/>
        </w:rPr>
        <w:t xml:space="preserve">ed channels. The medium was used EGM-2. The cultured HUVECs start forming microvascular networks within 24 hours and </w:t>
      </w:r>
      <w:proofErr w:type="spellStart"/>
      <w:r w:rsidR="007D53AA" w:rsidRPr="007F7FBF">
        <w:rPr>
          <w:rFonts w:ascii="Arial" w:hAnsi="Arial" w:cs="Arial"/>
          <w:sz w:val="24"/>
          <w:szCs w:val="24"/>
        </w:rPr>
        <w:t>perfusable</w:t>
      </w:r>
      <w:proofErr w:type="spellEnd"/>
      <w:r w:rsidR="007D53AA" w:rsidRPr="007F7FBF">
        <w:rPr>
          <w:rFonts w:ascii="Arial" w:hAnsi="Arial" w:cs="Arial"/>
          <w:sz w:val="24"/>
          <w:szCs w:val="24"/>
        </w:rPr>
        <w:t xml:space="preserve"> vessels with matured lumens formation occurred after 3-4 days depending on the seeding density and cell localization. </w:t>
      </w:r>
      <w:r w:rsidR="00BA3073" w:rsidRPr="007F7FBF">
        <w:rPr>
          <w:rFonts w:ascii="Arial" w:hAnsi="Arial" w:cs="Arial"/>
          <w:sz w:val="24"/>
          <w:szCs w:val="24"/>
        </w:rPr>
        <w:t xml:space="preserve">Images were captured using phase contrast microscopy. Scale bar = </w:t>
      </w:r>
      <w:r w:rsidR="00F61C1B" w:rsidRPr="007F7FBF">
        <w:rPr>
          <w:rFonts w:ascii="Arial" w:hAnsi="Arial" w:cs="Arial"/>
          <w:sz w:val="24"/>
          <w:szCs w:val="24"/>
        </w:rPr>
        <w:t>2</w:t>
      </w:r>
      <w:r w:rsidR="00BA3073" w:rsidRPr="007F7FBF">
        <w:rPr>
          <w:rFonts w:ascii="Arial" w:hAnsi="Arial" w:cs="Arial"/>
          <w:sz w:val="24"/>
          <w:szCs w:val="24"/>
        </w:rPr>
        <w:t>00 um.</w:t>
      </w:r>
    </w:p>
    <w:p w:rsidR="00200978" w:rsidRDefault="00CD4B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35980" cy="6028690"/>
            <wp:effectExtent l="0" t="0" r="7620" b="0"/>
            <wp:docPr id="1" name="Picture 1" descr="D:\CloudStation.work\CloudStation\Journal &amp; Conference_Paper\5_Normoxia Hypoxia\Writing\Suppl.Fig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Station.work\CloudStation\Journal &amp; Conference_Paper\5_Normoxia Hypoxia\Writing\Suppl.Fig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02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A2" w:rsidRPr="007F7FBF" w:rsidRDefault="00CD4BA2" w:rsidP="00CD4BA2">
      <w:pPr>
        <w:rPr>
          <w:rFonts w:ascii="Arial" w:hAnsi="Arial" w:cs="Arial"/>
          <w:sz w:val="24"/>
          <w:szCs w:val="24"/>
        </w:rPr>
      </w:pPr>
      <w:r w:rsidRPr="007F7FBF">
        <w:rPr>
          <w:rFonts w:ascii="Arial" w:hAnsi="Arial" w:cs="Arial"/>
          <w:sz w:val="24"/>
          <w:szCs w:val="24"/>
        </w:rPr>
        <w:t>Figure S</w:t>
      </w:r>
      <w:r>
        <w:rPr>
          <w:rFonts w:ascii="Arial" w:hAnsi="Arial" w:cs="Arial"/>
          <w:sz w:val="24"/>
          <w:szCs w:val="24"/>
        </w:rPr>
        <w:t>4</w:t>
      </w:r>
      <w:r w:rsidRPr="007F7FBF">
        <w:rPr>
          <w:rFonts w:ascii="Arial" w:hAnsi="Arial" w:cs="Arial"/>
          <w:sz w:val="24"/>
          <w:szCs w:val="24"/>
        </w:rPr>
        <w:t xml:space="preserve">: </w:t>
      </w:r>
      <w:r w:rsidRPr="00CD4BA2">
        <w:rPr>
          <w:rFonts w:ascii="Arial" w:hAnsi="Arial" w:cs="Arial"/>
          <w:sz w:val="24"/>
          <w:szCs w:val="24"/>
        </w:rPr>
        <w:t>The fluorescent image shows the vascul</w:t>
      </w:r>
      <w:r>
        <w:rPr>
          <w:rFonts w:ascii="Arial" w:hAnsi="Arial" w:cs="Arial"/>
          <w:sz w:val="24"/>
          <w:szCs w:val="24"/>
        </w:rPr>
        <w:t xml:space="preserve">ar network (RFP-HUVEC) with GFP-labeled breast </w:t>
      </w:r>
      <w:r w:rsidRPr="00CD4BA2">
        <w:rPr>
          <w:rFonts w:ascii="Arial" w:hAnsi="Arial" w:cs="Arial"/>
          <w:sz w:val="24"/>
          <w:szCs w:val="24"/>
        </w:rPr>
        <w:t xml:space="preserve">cells. Images of </w:t>
      </w:r>
      <w:r>
        <w:rPr>
          <w:rFonts w:ascii="Arial" w:hAnsi="Arial" w:cs="Arial"/>
          <w:sz w:val="24"/>
          <w:szCs w:val="24"/>
        </w:rPr>
        <w:t xml:space="preserve">breast </w:t>
      </w:r>
      <w:r w:rsidRPr="00CD4BA2">
        <w:rPr>
          <w:rFonts w:ascii="Arial" w:hAnsi="Arial" w:cs="Arial"/>
          <w:sz w:val="24"/>
          <w:szCs w:val="24"/>
        </w:rPr>
        <w:t xml:space="preserve">cells introduced into a 3D microvascular network with cells cultured in (B) </w:t>
      </w:r>
      <w:proofErr w:type="spellStart"/>
      <w:r w:rsidRPr="00CD4BA2">
        <w:rPr>
          <w:rFonts w:ascii="Arial" w:hAnsi="Arial" w:cs="Arial"/>
          <w:sz w:val="24"/>
          <w:szCs w:val="24"/>
        </w:rPr>
        <w:t>normoxia</w:t>
      </w:r>
      <w:proofErr w:type="spellEnd"/>
      <w:r w:rsidRPr="00CD4BA2">
        <w:rPr>
          <w:rFonts w:ascii="Arial" w:hAnsi="Arial" w:cs="Arial"/>
          <w:sz w:val="24"/>
          <w:szCs w:val="24"/>
        </w:rPr>
        <w:t xml:space="preserve">, (C) hypoxia, and (D) HIF-1α knockdown showing extravasation. Scale bar in all panels, 100 µm. </w:t>
      </w:r>
    </w:p>
    <w:p w:rsidR="00CD4BA2" w:rsidRPr="007F7FBF" w:rsidRDefault="00CD4BA2" w:rsidP="00CD4BA2">
      <w:pPr>
        <w:rPr>
          <w:rFonts w:ascii="Arial" w:hAnsi="Arial" w:cs="Arial"/>
          <w:sz w:val="24"/>
          <w:szCs w:val="24"/>
        </w:rPr>
      </w:pPr>
    </w:p>
    <w:sectPr w:rsidR="00CD4BA2" w:rsidRPr="007F7FBF">
      <w:headerReference w:type="default" r:id="rId10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05F" w:rsidRDefault="007D405F" w:rsidP="000418FC">
      <w:pPr>
        <w:spacing w:after="0" w:line="240" w:lineRule="auto"/>
      </w:pPr>
      <w:r>
        <w:separator/>
      </w:r>
    </w:p>
  </w:endnote>
  <w:endnote w:type="continuationSeparator" w:id="0">
    <w:p w:rsidR="007D405F" w:rsidRDefault="007D405F" w:rsidP="0004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05F" w:rsidRDefault="007D405F" w:rsidP="000418FC">
      <w:pPr>
        <w:spacing w:after="0" w:line="240" w:lineRule="auto"/>
      </w:pPr>
      <w:r>
        <w:separator/>
      </w:r>
    </w:p>
  </w:footnote>
  <w:footnote w:type="continuationSeparator" w:id="0">
    <w:p w:rsidR="007D405F" w:rsidRDefault="007D405F" w:rsidP="00041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C" w:rsidRPr="000418FC" w:rsidRDefault="000418FC" w:rsidP="000418FC">
    <w:pPr>
      <w:pStyle w:val="Header"/>
      <w:jc w:val="right"/>
      <w:rPr>
        <w:rFonts w:ascii="Arial" w:hAnsi="Arial" w:cs="Arial"/>
        <w:sz w:val="24"/>
        <w:szCs w:val="24"/>
      </w:rPr>
    </w:pPr>
    <w:r w:rsidRPr="000418FC">
      <w:rPr>
        <w:rFonts w:ascii="Arial" w:hAnsi="Arial" w:cs="Arial"/>
        <w:sz w:val="24"/>
        <w:szCs w:val="24"/>
      </w:rPr>
      <w:t xml:space="preserve">Song et al., </w:t>
    </w:r>
    <w:r>
      <w:rPr>
        <w:rFonts w:ascii="Arial" w:hAnsi="Arial" w:cs="Arial"/>
        <w:i/>
        <w:sz w:val="24"/>
        <w:szCs w:val="24"/>
      </w:rPr>
      <w:t>B</w:t>
    </w:r>
    <w:r w:rsidRPr="000418FC">
      <w:rPr>
        <w:rFonts w:ascii="Arial" w:hAnsi="Arial" w:cs="Arial"/>
        <w:i/>
        <w:sz w:val="24"/>
        <w:szCs w:val="24"/>
      </w:rPr>
      <w:t>reast cancer cell extravasation under hypoxia</w:t>
    </w:r>
  </w:p>
  <w:p w:rsidR="000418FC" w:rsidRPr="000418FC" w:rsidRDefault="000418FC">
    <w:pPr>
      <w:pStyle w:val="Head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79"/>
    <w:rsid w:val="000418FC"/>
    <w:rsid w:val="001356E2"/>
    <w:rsid w:val="00200978"/>
    <w:rsid w:val="00616827"/>
    <w:rsid w:val="007D405F"/>
    <w:rsid w:val="007D53AA"/>
    <w:rsid w:val="007E3E90"/>
    <w:rsid w:val="007F7FBF"/>
    <w:rsid w:val="008029FF"/>
    <w:rsid w:val="00822285"/>
    <w:rsid w:val="008845EE"/>
    <w:rsid w:val="00A909C0"/>
    <w:rsid w:val="00A92162"/>
    <w:rsid w:val="00BA3073"/>
    <w:rsid w:val="00C81979"/>
    <w:rsid w:val="00CD4BA2"/>
    <w:rsid w:val="00D55A59"/>
    <w:rsid w:val="00DF4DA9"/>
    <w:rsid w:val="00EE17F8"/>
    <w:rsid w:val="00F6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C699BA-C261-44FA-BAFD-0802CD61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8FC"/>
  </w:style>
  <w:style w:type="paragraph" w:styleId="Footer">
    <w:name w:val="footer"/>
    <w:basedOn w:val="Normal"/>
    <w:link w:val="FooterChar"/>
    <w:uiPriority w:val="99"/>
    <w:unhideWhenUsed/>
    <w:rsid w:val="00041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Jiho Song</dc:creator>
  <cp:keywords/>
  <dc:description/>
  <cp:lastModifiedBy>SongJiHo</cp:lastModifiedBy>
  <cp:revision>4</cp:revision>
  <dcterms:created xsi:type="dcterms:W3CDTF">2018-07-18T19:37:00Z</dcterms:created>
  <dcterms:modified xsi:type="dcterms:W3CDTF">2018-08-13T16:05:00Z</dcterms:modified>
</cp:coreProperties>
</file>