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A91D9" w14:textId="5F2B09BE" w:rsidR="001F195A" w:rsidRPr="001C140A" w:rsidRDefault="001C140A" w:rsidP="001C140A">
      <w:pPr>
        <w:pStyle w:val="Title"/>
      </w:pPr>
      <w:r w:rsidRPr="001C140A">
        <w:t xml:space="preserve">Supplementary </w:t>
      </w:r>
      <w:r w:rsidR="007D79F2">
        <w:t>Materials</w:t>
      </w:r>
    </w:p>
    <w:p w14:paraId="66211E08" w14:textId="77777777" w:rsidR="007D79F2" w:rsidRDefault="007D79F2" w:rsidP="007D79F2">
      <w:pPr>
        <w:pStyle w:val="Heading1"/>
      </w:pPr>
      <w:r w:rsidRPr="005E63CE">
        <w:t xml:space="preserve">A CATH domain functional </w:t>
      </w:r>
      <w:proofErr w:type="gramStart"/>
      <w:r w:rsidRPr="005E63CE">
        <w:t>family based</w:t>
      </w:r>
      <w:proofErr w:type="gramEnd"/>
      <w:r w:rsidRPr="005E63CE">
        <w:t xml:space="preserve"> approach to identify putative cancer driver genes and driver mutations</w:t>
      </w:r>
    </w:p>
    <w:p w14:paraId="1F8A125E" w14:textId="34963D65" w:rsidR="007D79F2" w:rsidRPr="00656366" w:rsidRDefault="007D79F2" w:rsidP="007D79F2">
      <w:pPr>
        <w:pStyle w:val="NoSpacing"/>
        <w:jc w:val="left"/>
      </w:pPr>
      <w:r>
        <w:t>Paul Ashford</w:t>
      </w:r>
      <w:proofErr w:type="gramStart"/>
      <w:r w:rsidRPr="00656366">
        <w:rPr>
          <w:vertAlign w:val="superscript"/>
        </w:rPr>
        <w:t>1,+</w:t>
      </w:r>
      <w:proofErr w:type="gramEnd"/>
      <w:r>
        <w:t>, Camilla S.M. Pang</w:t>
      </w:r>
      <w:r w:rsidRPr="00656366">
        <w:rPr>
          <w:vertAlign w:val="superscript"/>
        </w:rPr>
        <w:t>1,+</w:t>
      </w:r>
      <w:r>
        <w:t xml:space="preserve">, </w:t>
      </w:r>
      <w:r w:rsidRPr="007333DB">
        <w:t>Aurelio A. Moya-García</w:t>
      </w:r>
      <w:r w:rsidRPr="00656366">
        <w:rPr>
          <w:vertAlign w:val="superscript"/>
        </w:rPr>
        <w:t>1,2</w:t>
      </w:r>
      <w:r>
        <w:t xml:space="preserve">, </w:t>
      </w:r>
      <w:proofErr w:type="spellStart"/>
      <w:r>
        <w:t>Tolulope</w:t>
      </w:r>
      <w:proofErr w:type="spellEnd"/>
      <w:r>
        <w:t xml:space="preserve"> Adeyelu</w:t>
      </w:r>
      <w:r w:rsidRPr="00656366">
        <w:rPr>
          <w:vertAlign w:val="superscript"/>
        </w:rPr>
        <w:t>1</w:t>
      </w:r>
      <w:r>
        <w:t xml:space="preserve"> &amp; Christine A. Orengo</w:t>
      </w:r>
      <w:r w:rsidRPr="00656366">
        <w:rPr>
          <w:vertAlign w:val="superscript"/>
        </w:rPr>
        <w:t>1</w:t>
      </w:r>
      <w:r w:rsidR="004C4B94">
        <w:rPr>
          <w:vertAlign w:val="superscript"/>
        </w:rPr>
        <w:t>,*</w:t>
      </w:r>
    </w:p>
    <w:p w14:paraId="0EEF647D" w14:textId="77777777" w:rsidR="007D79F2" w:rsidRPr="00656366" w:rsidRDefault="007D79F2" w:rsidP="007D79F2">
      <w:pPr>
        <w:pStyle w:val="NoSpacing"/>
      </w:pPr>
    </w:p>
    <w:p w14:paraId="10EEB5B4" w14:textId="77777777" w:rsidR="007D79F2" w:rsidRPr="007333DB" w:rsidRDefault="007D79F2" w:rsidP="007D79F2">
      <w:pPr>
        <w:pStyle w:val="NoSpacing"/>
        <w:jc w:val="left"/>
      </w:pPr>
      <w:r w:rsidRPr="007333DB">
        <w:rPr>
          <w:vertAlign w:val="superscript"/>
        </w:rPr>
        <w:t>+</w:t>
      </w:r>
      <w:r w:rsidRPr="007333DB">
        <w:t>These authors contributed equally to this work.</w:t>
      </w:r>
    </w:p>
    <w:p w14:paraId="0AF6AE15" w14:textId="77777777" w:rsidR="007D79F2" w:rsidRDefault="007D79F2" w:rsidP="007D79F2">
      <w:pPr>
        <w:pStyle w:val="NoSpacing"/>
        <w:jc w:val="left"/>
        <w:rPr>
          <w:vertAlign w:val="superscript"/>
        </w:rPr>
      </w:pPr>
    </w:p>
    <w:p w14:paraId="30BD66E6" w14:textId="77777777" w:rsidR="007D79F2" w:rsidRPr="007333DB" w:rsidRDefault="007D79F2" w:rsidP="007D79F2">
      <w:pPr>
        <w:pStyle w:val="NoSpacing"/>
        <w:jc w:val="left"/>
      </w:pPr>
      <w:r w:rsidRPr="007333DB">
        <w:rPr>
          <w:vertAlign w:val="superscript"/>
        </w:rPr>
        <w:t>1</w:t>
      </w:r>
      <w:r w:rsidRPr="007333DB">
        <w:t xml:space="preserve">University College London, Institute of Structural and Molecular Biology, London, UK. </w:t>
      </w:r>
    </w:p>
    <w:p w14:paraId="348115A0" w14:textId="77777777" w:rsidR="007D79F2" w:rsidRDefault="007D79F2" w:rsidP="007D79F2">
      <w:pPr>
        <w:pStyle w:val="NoSpacing"/>
        <w:jc w:val="left"/>
        <w:rPr>
          <w:vertAlign w:val="superscript"/>
        </w:rPr>
      </w:pPr>
    </w:p>
    <w:p w14:paraId="6D215B58" w14:textId="77777777" w:rsidR="007D79F2" w:rsidRPr="007333DB" w:rsidRDefault="007D79F2" w:rsidP="007D79F2">
      <w:pPr>
        <w:pStyle w:val="NoSpacing"/>
        <w:jc w:val="left"/>
      </w:pPr>
      <w:r w:rsidRPr="007333DB">
        <w:rPr>
          <w:vertAlign w:val="superscript"/>
        </w:rPr>
        <w:t>2</w:t>
      </w:r>
      <w:r w:rsidRPr="007333DB">
        <w:t xml:space="preserve">Laboratorio de </w:t>
      </w:r>
      <w:proofErr w:type="spellStart"/>
      <w:r w:rsidRPr="007333DB">
        <w:t>Biología</w:t>
      </w:r>
      <w:proofErr w:type="spellEnd"/>
      <w:r w:rsidRPr="007333DB">
        <w:t xml:space="preserve"> Molecular del </w:t>
      </w:r>
      <w:proofErr w:type="spellStart"/>
      <w:r w:rsidRPr="007333DB">
        <w:t>Cáncer</w:t>
      </w:r>
      <w:proofErr w:type="spellEnd"/>
      <w:r w:rsidRPr="007333DB">
        <w:t xml:space="preserve">, Centro de </w:t>
      </w:r>
      <w:proofErr w:type="spellStart"/>
      <w:r w:rsidRPr="007333DB">
        <w:t>Investigaciones</w:t>
      </w:r>
      <w:proofErr w:type="spellEnd"/>
      <w:r w:rsidRPr="007333DB">
        <w:t xml:space="preserve"> </w:t>
      </w:r>
      <w:proofErr w:type="spellStart"/>
      <w:r w:rsidRPr="007333DB">
        <w:t>Médico-Sanitarias</w:t>
      </w:r>
      <w:proofErr w:type="spellEnd"/>
      <w:r w:rsidRPr="007333DB">
        <w:t xml:space="preserve"> (CIMES), Universidad de Málaga, Málaga, Spain </w:t>
      </w:r>
    </w:p>
    <w:p w14:paraId="5727653A" w14:textId="77777777" w:rsidR="007D79F2" w:rsidRDefault="007D79F2" w:rsidP="007D79F2">
      <w:pPr>
        <w:pStyle w:val="NoSpacing"/>
        <w:jc w:val="left"/>
      </w:pPr>
    </w:p>
    <w:p w14:paraId="33BA3E59" w14:textId="51F23841" w:rsidR="007D79F2" w:rsidRPr="007333DB" w:rsidRDefault="007D79F2" w:rsidP="007D79F2">
      <w:pPr>
        <w:pStyle w:val="NoSpacing"/>
        <w:jc w:val="left"/>
      </w:pPr>
      <w:r w:rsidRPr="007333DB">
        <w:t>Correspondence and requests for materials should be addressed to Christine Orengo (email: c.orengo@ucl.ac.uk).</w:t>
      </w:r>
    </w:p>
    <w:p w14:paraId="1B534F97" w14:textId="4A9B78EC" w:rsidR="007D79F2" w:rsidRDefault="007D79F2" w:rsidP="007D79F2"/>
    <w:p w14:paraId="13033736" w14:textId="77777777" w:rsidR="00105721" w:rsidRDefault="00105721" w:rsidP="007D79F2">
      <w:pPr>
        <w:sectPr w:rsidR="00105721" w:rsidSect="001F195A">
          <w:headerReference w:type="default" r:id="rId7"/>
          <w:pgSz w:w="11900" w:h="16840"/>
          <w:pgMar w:top="1440" w:right="1800" w:bottom="1440" w:left="1800" w:header="708" w:footer="708" w:gutter="0"/>
          <w:cols w:space="708"/>
          <w:docGrid w:linePitch="360"/>
        </w:sectPr>
      </w:pPr>
    </w:p>
    <w:p w14:paraId="7D69DCCB" w14:textId="5C6779CC" w:rsidR="00105721" w:rsidRDefault="00105721" w:rsidP="00105721">
      <w:pPr>
        <w:pStyle w:val="Heading1"/>
      </w:pPr>
      <w:r>
        <w:lastRenderedPageBreak/>
        <w:t>Supplementary Figures</w:t>
      </w:r>
    </w:p>
    <w:p w14:paraId="61485134" w14:textId="792A7D76" w:rsidR="00105721" w:rsidRPr="0001151D" w:rsidRDefault="00105721">
      <w:pPr>
        <w:pStyle w:val="Heading2"/>
      </w:pPr>
      <w:r w:rsidRPr="0001151D">
        <w:t>Supplementary Figure 1</w:t>
      </w:r>
    </w:p>
    <w:p w14:paraId="2E6022AA" w14:textId="3568537D" w:rsidR="00105721" w:rsidRPr="005205C1" w:rsidRDefault="00105721" w:rsidP="00070EDB">
      <w:pPr>
        <w:pStyle w:val="para"/>
        <w:numPr>
          <w:ilvl w:val="0"/>
          <w:numId w:val="4"/>
        </w:numPr>
      </w:pPr>
      <w:r>
        <w:t>P</w:t>
      </w:r>
      <w:r w:rsidRPr="005205C1">
        <w:t>lot of number of MutFams versus number of tumour samples for 22 cancer types</w:t>
      </w:r>
      <w:r>
        <w:t>; no c</w:t>
      </w:r>
      <w:r w:rsidRPr="00744834">
        <w:t>orrelation</w:t>
      </w:r>
      <w:r>
        <w:t xml:space="preserve"> is observed.</w:t>
      </w:r>
      <w:r w:rsidR="00035344" w:rsidRPr="00070EDB">
        <w:rPr>
          <w:color w:val="FF0000"/>
        </w:rPr>
        <w:t xml:space="preserve"> </w:t>
      </w:r>
    </w:p>
    <w:p w14:paraId="391EA761" w14:textId="3BA5C904" w:rsidR="00105721" w:rsidRDefault="00105721" w:rsidP="00105721"/>
    <w:p w14:paraId="73D551F8" w14:textId="142A3783" w:rsidR="00137257" w:rsidRPr="0001151D" w:rsidRDefault="00EC6829">
      <w:pPr>
        <w:pStyle w:val="Heading2"/>
      </w:pPr>
      <w:r>
        <w:rPr>
          <w:noProof/>
        </w:rPr>
        <mc:AlternateContent>
          <mc:Choice Requires="wps">
            <w:drawing>
              <wp:anchor distT="0" distB="0" distL="114300" distR="114300" simplePos="0" relativeHeight="251667456" behindDoc="0" locked="0" layoutInCell="1" allowOverlap="1" wp14:anchorId="2ED6A9C3" wp14:editId="74B77631">
                <wp:simplePos x="0" y="0"/>
                <wp:positionH relativeFrom="column">
                  <wp:posOffset>170250</wp:posOffset>
                </wp:positionH>
                <wp:positionV relativeFrom="paragraph">
                  <wp:posOffset>249900</wp:posOffset>
                </wp:positionV>
                <wp:extent cx="368300" cy="48260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68300" cy="482600"/>
                        </a:xfrm>
                        <a:prstGeom prst="rect">
                          <a:avLst/>
                        </a:prstGeom>
                        <a:noFill/>
                        <a:ln w="6350">
                          <a:noFill/>
                        </a:ln>
                      </wps:spPr>
                      <wps:txbx>
                        <w:txbxContent>
                          <w:p w14:paraId="189698F3" w14:textId="5A0E6A2E" w:rsidR="000C49AD" w:rsidRPr="00070EDB" w:rsidRDefault="000C49AD">
                            <w:pPr>
                              <w:rPr>
                                <w:b/>
                                <w:sz w:val="48"/>
                                <w:szCs w:val="48"/>
                              </w:rPr>
                            </w:pPr>
                            <w:r w:rsidRPr="00070EDB">
                              <w:rPr>
                                <w:b/>
                                <w:sz w:val="48"/>
                                <w:szCs w:val="4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D6A9C3" id="_x0000_t202" coordsize="21600,21600" o:spt="202" path="m,l,21600r21600,l21600,xe">
                <v:stroke joinstyle="miter"/>
                <v:path gradientshapeok="t" o:connecttype="rect"/>
              </v:shapetype>
              <v:shape id="Text Box 15" o:spid="_x0000_s1026" type="#_x0000_t202" style="position:absolute;margin-left:13.4pt;margin-top:19.7pt;width:29pt;height: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" filled="f" stroked="f" strokeweight=".5pt">
                <v:textbox>
                  <w:txbxContent>
                    <w:p w14:paraId="189698F3" w14:textId="5A0E6A2E" w:rsidR="000C49AD" w:rsidRPr="00070EDB" w:rsidRDefault="000C49AD">
                      <w:pPr>
                        <w:rPr>
                          <w:b/>
                          <w:sz w:val="48"/>
                          <w:szCs w:val="48"/>
                        </w:rPr>
                      </w:pPr>
                      <w:r w:rsidRPr="00070EDB">
                        <w:rPr>
                          <w:b/>
                          <w:sz w:val="48"/>
                          <w:szCs w:val="48"/>
                        </w:rPr>
                        <w:t>A</w:t>
                      </w:r>
                    </w:p>
                  </w:txbxContent>
                </v:textbox>
              </v:shape>
            </w:pict>
          </mc:Fallback>
        </mc:AlternateContent>
      </w:r>
      <w:r>
        <w:rPr>
          <w:noProof/>
        </w:rPr>
        <w:drawing>
          <wp:anchor distT="0" distB="0" distL="114300" distR="114300" simplePos="0" relativeHeight="251665408" behindDoc="0" locked="0" layoutInCell="1" allowOverlap="1" wp14:anchorId="28E0980A" wp14:editId="2F7990AD">
            <wp:simplePos x="0" y="0"/>
            <wp:positionH relativeFrom="column">
              <wp:posOffset>43805</wp:posOffset>
            </wp:positionH>
            <wp:positionV relativeFrom="paragraph">
              <wp:posOffset>243495</wp:posOffset>
            </wp:positionV>
            <wp:extent cx="4366260" cy="6172200"/>
            <wp:effectExtent l="0" t="0" r="254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33_v02.pdf"/>
                    <pic:cNvPicPr/>
                  </pic:nvPicPr>
                  <pic:blipFill>
                    <a:blip r:embed="rId8"/>
                    <a:stretch>
                      <a:fillRect/>
                    </a:stretch>
                  </pic:blipFill>
                  <pic:spPr>
                    <a:xfrm>
                      <a:off x="0" y="0"/>
                      <a:ext cx="4366260" cy="6172200"/>
                    </a:xfrm>
                    <a:prstGeom prst="rect">
                      <a:avLst/>
                    </a:prstGeom>
                  </pic:spPr>
                </pic:pic>
              </a:graphicData>
            </a:graphic>
            <wp14:sizeRelH relativeFrom="margin">
              <wp14:pctWidth>0</wp14:pctWidth>
            </wp14:sizeRelH>
            <wp14:sizeRelV relativeFrom="margin">
              <wp14:pctHeight>0</wp14:pctHeight>
            </wp14:sizeRelV>
          </wp:anchor>
        </w:drawing>
      </w:r>
      <w:r w:rsidR="00105721">
        <w:br w:type="page"/>
      </w:r>
      <w:r w:rsidR="00137257" w:rsidRPr="0001151D">
        <w:lastRenderedPageBreak/>
        <w:t>Supplementary Figure 1</w:t>
      </w:r>
      <w:r w:rsidR="00137257">
        <w:t xml:space="preserve"> (continued)</w:t>
      </w:r>
    </w:p>
    <w:p w14:paraId="4571F80B" w14:textId="76E8B410" w:rsidR="002523BA" w:rsidRDefault="00137257" w:rsidP="00EC6829">
      <w:pPr>
        <w:pStyle w:val="para"/>
        <w:numPr>
          <w:ilvl w:val="0"/>
          <w:numId w:val="4"/>
        </w:numPr>
      </w:pPr>
      <w:r>
        <w:t>Plot of nu</w:t>
      </w:r>
      <w:r w:rsidR="008C450A">
        <w:t>mber of MutFams versus number of mutations</w:t>
      </w:r>
      <w:r w:rsidR="00FA009A">
        <w:t xml:space="preserve"> for all 22 cancers</w:t>
      </w:r>
      <w:r w:rsidR="008C450A">
        <w:t>. A strong correlation is observed when analysing all 22 cancer types</w:t>
      </w:r>
      <w:r w:rsidR="00882598">
        <w:t xml:space="preserve"> (r = 0.84, p &lt; 0.0001)</w:t>
      </w:r>
      <w:r w:rsidR="008C450A">
        <w:t>. This correlation is largely due to the highly mutated cancers (SKCM, UCEC, COAD, LUAD) having a larger number of MutFams</w:t>
      </w:r>
      <w:r w:rsidR="00E74D33">
        <w:t xml:space="preserve">. </w:t>
      </w:r>
      <w:r w:rsidR="006B03FF">
        <w:t>There is no significant c</w:t>
      </w:r>
      <w:r w:rsidR="00882598">
        <w:t>orrelation</w:t>
      </w:r>
      <w:r w:rsidR="00140BEC">
        <w:t xml:space="preserve"> </w:t>
      </w:r>
      <w:r w:rsidR="00882598">
        <w:t xml:space="preserve">without these highly mutated cancers </w:t>
      </w:r>
      <w:r w:rsidR="008C450A">
        <w:t>(r</w:t>
      </w:r>
      <w:r w:rsidR="005B0B78">
        <w:t xml:space="preserve"> </w:t>
      </w:r>
      <w:r w:rsidR="008C450A">
        <w:t>=</w:t>
      </w:r>
      <w:r w:rsidR="005B0B78">
        <w:t xml:space="preserve"> </w:t>
      </w:r>
      <w:r w:rsidR="008C450A">
        <w:t>0.4</w:t>
      </w:r>
      <w:r w:rsidR="006B03FF">
        <w:t>2</w:t>
      </w:r>
      <w:r w:rsidR="008C450A">
        <w:t>, p = 0.0</w:t>
      </w:r>
      <w:r w:rsidR="006B03FF">
        <w:t>8</w:t>
      </w:r>
      <w:r w:rsidR="008C450A">
        <w:t>)</w:t>
      </w:r>
      <w:r w:rsidR="00140BEC">
        <w:t xml:space="preserve"> </w:t>
      </w:r>
      <w:r w:rsidR="00D4766C">
        <w:t>or</w:t>
      </w:r>
      <w:r w:rsidR="00140BEC">
        <w:t xml:space="preserve"> when additionally e</w:t>
      </w:r>
      <w:r w:rsidR="00882598">
        <w:t xml:space="preserve">xcluding related </w:t>
      </w:r>
      <w:r w:rsidR="00140BEC">
        <w:t>cancers</w:t>
      </w:r>
      <w:r w:rsidR="005B0B78">
        <w:t xml:space="preserve"> from the same primary site (i.e. </w:t>
      </w:r>
      <w:r w:rsidR="00882598">
        <w:t>COAD-</w:t>
      </w:r>
      <w:r w:rsidR="005B0B78">
        <w:t xml:space="preserve">READ and </w:t>
      </w:r>
      <w:r w:rsidR="00882598">
        <w:t>LUAD-</w:t>
      </w:r>
      <w:r w:rsidR="005B0B78">
        <w:t>LUSC)</w:t>
      </w:r>
      <w:r w:rsidR="006B03FF">
        <w:t xml:space="preserve"> </w:t>
      </w:r>
      <w:r w:rsidR="005B0B78">
        <w:t>(r = 0.</w:t>
      </w:r>
      <w:r w:rsidR="006B03FF">
        <w:t>38</w:t>
      </w:r>
      <w:r w:rsidR="005B0B78">
        <w:t>, p = 0.1</w:t>
      </w:r>
      <w:r w:rsidR="006B03FF">
        <w:t>4</w:t>
      </w:r>
      <w:r w:rsidR="005B0B78">
        <w:t>).</w:t>
      </w:r>
    </w:p>
    <w:p w14:paraId="7C1EE914" w14:textId="5538750A" w:rsidR="005B0B78" w:rsidRPr="00070EDB" w:rsidRDefault="00882598" w:rsidP="00070EDB">
      <w:pPr>
        <w:ind w:left="360"/>
      </w:pPr>
      <w:r>
        <w:rPr>
          <w:noProof/>
        </w:rPr>
        <mc:AlternateContent>
          <mc:Choice Requires="wps">
            <w:drawing>
              <wp:anchor distT="0" distB="0" distL="114300" distR="114300" simplePos="0" relativeHeight="251669504" behindDoc="0" locked="0" layoutInCell="1" allowOverlap="1" wp14:anchorId="114B22AA" wp14:editId="3049A5D7">
                <wp:simplePos x="0" y="0"/>
                <wp:positionH relativeFrom="column">
                  <wp:posOffset>-66532</wp:posOffset>
                </wp:positionH>
                <wp:positionV relativeFrom="paragraph">
                  <wp:posOffset>779985</wp:posOffset>
                </wp:positionV>
                <wp:extent cx="368300" cy="4826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68300" cy="482600"/>
                        </a:xfrm>
                        <a:prstGeom prst="rect">
                          <a:avLst/>
                        </a:prstGeom>
                        <a:noFill/>
                        <a:ln w="6350">
                          <a:noFill/>
                        </a:ln>
                      </wps:spPr>
                      <wps:txbx>
                        <w:txbxContent>
                          <w:p w14:paraId="6507A3EF" w14:textId="56BA6A71" w:rsidR="000C49AD" w:rsidRPr="00CD10CD" w:rsidRDefault="000C49AD" w:rsidP="00137257">
                            <w:pPr>
                              <w:rPr>
                                <w:b/>
                                <w:sz w:val="48"/>
                                <w:szCs w:val="48"/>
                              </w:rPr>
                            </w:pPr>
                            <w:r>
                              <w:rPr>
                                <w:b/>
                                <w:sz w:val="48"/>
                                <w:szCs w:val="4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B22AA" id="Text Box 16" o:spid="_x0000_s1027" type="#_x0000_t202" style="position:absolute;left:0;text-align:left;margin-left:-5.25pt;margin-top:61.4pt;width:29pt;height: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" filled="f" stroked="f" strokeweight=".5pt">
                <v:textbox>
                  <w:txbxContent>
                    <w:p w14:paraId="6507A3EF" w14:textId="56BA6A71" w:rsidR="000C49AD" w:rsidRPr="00CD10CD" w:rsidRDefault="000C49AD" w:rsidP="00137257">
                      <w:pPr>
                        <w:rPr>
                          <w:b/>
                          <w:sz w:val="48"/>
                          <w:szCs w:val="48"/>
                        </w:rPr>
                      </w:pPr>
                      <w:r>
                        <w:rPr>
                          <w:b/>
                          <w:sz w:val="48"/>
                          <w:szCs w:val="48"/>
                        </w:rPr>
                        <w:t>B</w:t>
                      </w:r>
                    </w:p>
                  </w:txbxContent>
                </v:textbox>
              </v:shape>
            </w:pict>
          </mc:Fallback>
        </mc:AlternateContent>
      </w:r>
      <w:r>
        <w:rPr>
          <w:noProof/>
        </w:rPr>
        <w:drawing>
          <wp:anchor distT="0" distB="0" distL="114300" distR="114300" simplePos="0" relativeHeight="251666432" behindDoc="0" locked="0" layoutInCell="1" allowOverlap="1" wp14:anchorId="2A3D5DAC" wp14:editId="7C7EDCD9">
            <wp:simplePos x="0" y="0"/>
            <wp:positionH relativeFrom="column">
              <wp:posOffset>-531700</wp:posOffset>
            </wp:positionH>
            <wp:positionV relativeFrom="paragraph">
              <wp:posOffset>393515</wp:posOffset>
            </wp:positionV>
            <wp:extent cx="6438900" cy="4554855"/>
            <wp:effectExtent l="0" t="0" r="0" b="444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X33B.pdf"/>
                    <pic:cNvPicPr/>
                  </pic:nvPicPr>
                  <pic:blipFill>
                    <a:blip r:embed="rId9"/>
                    <a:stretch>
                      <a:fillRect/>
                    </a:stretch>
                  </pic:blipFill>
                  <pic:spPr>
                    <a:xfrm>
                      <a:off x="0" y="0"/>
                      <a:ext cx="6438900" cy="4554855"/>
                    </a:xfrm>
                    <a:prstGeom prst="rect">
                      <a:avLst/>
                    </a:prstGeom>
                  </pic:spPr>
                </pic:pic>
              </a:graphicData>
            </a:graphic>
            <wp14:sizeRelH relativeFrom="margin">
              <wp14:pctWidth>0</wp14:pctWidth>
            </wp14:sizeRelH>
            <wp14:sizeRelV relativeFrom="margin">
              <wp14:pctHeight>0</wp14:pctHeight>
            </wp14:sizeRelV>
          </wp:anchor>
        </w:drawing>
      </w:r>
    </w:p>
    <w:p w14:paraId="542535B5" w14:textId="77777777" w:rsidR="005B0B78" w:rsidRDefault="005B0B78">
      <w:pPr>
        <w:pStyle w:val="Heading2"/>
        <w:sectPr w:rsidR="005B0B78" w:rsidSect="001F195A">
          <w:pgSz w:w="11900" w:h="16840"/>
          <w:pgMar w:top="1440" w:right="1800" w:bottom="1440" w:left="1800" w:header="708" w:footer="708" w:gutter="0"/>
          <w:cols w:space="708"/>
          <w:docGrid w:linePitch="360"/>
        </w:sectPr>
      </w:pPr>
    </w:p>
    <w:p w14:paraId="16677A15" w14:textId="48E35448" w:rsidR="00105721" w:rsidRDefault="00105721">
      <w:pPr>
        <w:pStyle w:val="Heading2"/>
      </w:pPr>
      <w:r w:rsidRPr="005205C1">
        <w:lastRenderedPageBreak/>
        <w:t xml:space="preserve">Supplementary Figure </w:t>
      </w:r>
      <w:r>
        <w:t>2</w:t>
      </w:r>
    </w:p>
    <w:p w14:paraId="1AC326C3" w14:textId="77777777" w:rsidR="00105721" w:rsidRPr="00334CB4" w:rsidRDefault="00105721" w:rsidP="00105721">
      <w:pPr>
        <w:pStyle w:val="para"/>
      </w:pPr>
      <w:r>
        <w:t>GO-Slim term enrichment and main cellular processes for uniquely identified genes from MutFam, Miller and consensus datasets.</w:t>
      </w:r>
    </w:p>
    <w:p w14:paraId="77F4FB78" w14:textId="5F4458E3" w:rsidR="00B0749C" w:rsidRDefault="00B34CF8" w:rsidP="007D79F2">
      <w:r>
        <w:rPr>
          <w:noProof/>
          <w:lang w:val="en-US"/>
        </w:rPr>
        <w:drawing>
          <wp:anchor distT="0" distB="0" distL="114300" distR="114300" simplePos="0" relativeHeight="251656192" behindDoc="0" locked="0" layoutInCell="1" allowOverlap="1" wp14:anchorId="329F1549" wp14:editId="51FBD032">
            <wp:simplePos x="0" y="0"/>
            <wp:positionH relativeFrom="column">
              <wp:posOffset>-887095</wp:posOffset>
            </wp:positionH>
            <wp:positionV relativeFrom="paragraph">
              <wp:posOffset>231140</wp:posOffset>
            </wp:positionV>
            <wp:extent cx="6972300" cy="5234305"/>
            <wp:effectExtent l="0" t="0" r="0" b="0"/>
            <wp:wrapNone/>
            <wp:docPr id="1" name="Picture 1" descr="Macintosh HD:Users:ash:woofgit:publication:mutfam_2018:figs:X25:v2.0:X2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sh:woofgit:publication:mutfam_2018:figs:X25:v2.0:X25.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2300" cy="523430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C601EE3" w14:textId="54370EEC" w:rsidR="00B0749C" w:rsidRDefault="00B0749C" w:rsidP="007D79F2"/>
    <w:p w14:paraId="5E8D9A58" w14:textId="77777777" w:rsidR="00B0749C" w:rsidRDefault="00B0749C" w:rsidP="007D79F2"/>
    <w:p w14:paraId="2532DE15" w14:textId="0F0CD16E" w:rsidR="00B0749C" w:rsidRDefault="00B0749C">
      <w:r>
        <w:br w:type="page"/>
      </w:r>
    </w:p>
    <w:p w14:paraId="6FE0CDE7" w14:textId="65FDE0DD" w:rsidR="00B34CF8" w:rsidRDefault="00B34CF8">
      <w:pPr>
        <w:pStyle w:val="Heading2"/>
      </w:pPr>
      <w:r w:rsidRPr="005676E6">
        <w:lastRenderedPageBreak/>
        <w:t xml:space="preserve">Supplementary Figure </w:t>
      </w:r>
      <w:r>
        <w:t>3</w:t>
      </w:r>
    </w:p>
    <w:p w14:paraId="57A85BA5" w14:textId="77777777" w:rsidR="00B861B4" w:rsidRPr="00B861B4" w:rsidRDefault="00B861B4" w:rsidP="00B861B4">
      <w:pPr>
        <w:rPr>
          <w:lang w:val="en-US"/>
        </w:rPr>
      </w:pPr>
    </w:p>
    <w:p w14:paraId="1E47F7E1" w14:textId="70D3C503" w:rsidR="00B34CF8" w:rsidRDefault="00215A92" w:rsidP="00D74C28">
      <w:pPr>
        <w:pStyle w:val="para"/>
        <w:numPr>
          <w:ilvl w:val="0"/>
          <w:numId w:val="3"/>
        </w:numPr>
        <w:rPr>
          <w:lang w:val="en-US"/>
        </w:rPr>
      </w:pPr>
      <w:r>
        <w:rPr>
          <w:b/>
          <w:noProof/>
        </w:rPr>
        <mc:AlternateContent>
          <mc:Choice Requires="wps">
            <w:drawing>
              <wp:anchor distT="0" distB="0" distL="114300" distR="114300" simplePos="0" relativeHeight="251675648" behindDoc="0" locked="0" layoutInCell="1" allowOverlap="1" wp14:anchorId="37AE8348" wp14:editId="7FF0A989">
                <wp:simplePos x="0" y="0"/>
                <wp:positionH relativeFrom="column">
                  <wp:posOffset>398780</wp:posOffset>
                </wp:positionH>
                <wp:positionV relativeFrom="paragraph">
                  <wp:posOffset>3277870</wp:posOffset>
                </wp:positionV>
                <wp:extent cx="521970" cy="478790"/>
                <wp:effectExtent l="0" t="0" r="0" b="0"/>
                <wp:wrapNone/>
                <wp:docPr id="5" name="Text Box 5"/>
                <wp:cNvGraphicFramePr/>
                <a:graphic xmlns:a="http://schemas.openxmlformats.org/drawingml/2006/main">
                  <a:graphicData uri="http://schemas.microsoft.com/office/word/2010/wordprocessingShape">
                    <wps:wsp>
                      <wps:cNvSpPr txBox="1"/>
                      <wps:spPr>
                        <a:xfrm>
                          <a:off x="0" y="0"/>
                          <a:ext cx="521970" cy="478790"/>
                        </a:xfrm>
                        <a:prstGeom prst="rect">
                          <a:avLst/>
                        </a:prstGeom>
                        <a:noFill/>
                        <a:ln w="6350">
                          <a:noFill/>
                        </a:ln>
                      </wps:spPr>
                      <wps:txbx>
                        <w:txbxContent>
                          <w:p w14:paraId="1A59A0A3" w14:textId="77777777" w:rsidR="000C49AD" w:rsidRPr="004908EB" w:rsidRDefault="000C49AD" w:rsidP="00B861B4">
                            <w:pP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08EB">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AE8348" id="Text Box 5" o:spid="_x0000_s1028" type="#_x0000_t202" style="position:absolute;left:0;text-align:left;margin-left:31.4pt;margin-top:258.1pt;width:41.1pt;height:37.7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" filled="f" stroked="f" strokeweight=".5pt">
                <v:textbox>
                  <w:txbxContent>
                    <w:p w14:paraId="1A59A0A3" w14:textId="77777777" w:rsidR="000C49AD" w:rsidRPr="004908EB" w:rsidRDefault="000C49AD" w:rsidP="00B861B4">
                      <w:pP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08EB">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w:pict>
          </mc:Fallback>
        </mc:AlternateContent>
      </w:r>
      <w:r w:rsidR="008C1814">
        <w:rPr>
          <w:noProof/>
          <w:lang w:val="en-US"/>
        </w:rPr>
        <w:drawing>
          <wp:anchor distT="0" distB="0" distL="114300" distR="114300" simplePos="0" relativeHeight="251673600" behindDoc="0" locked="0" layoutInCell="1" allowOverlap="1" wp14:anchorId="191D76B5" wp14:editId="73A12212">
            <wp:simplePos x="0" y="0"/>
            <wp:positionH relativeFrom="column">
              <wp:posOffset>635000</wp:posOffset>
            </wp:positionH>
            <wp:positionV relativeFrom="paragraph">
              <wp:posOffset>3578225</wp:posOffset>
            </wp:positionV>
            <wp:extent cx="4523105" cy="39243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GFR2.png"/>
                    <pic:cNvPicPr/>
                  </pic:nvPicPr>
                  <pic:blipFill rotWithShape="1">
                    <a:blip r:embed="rId11"/>
                    <a:srcRect l="9625" r="12493"/>
                    <a:stretch/>
                  </pic:blipFill>
                  <pic:spPr bwMode="auto">
                    <a:xfrm>
                      <a:off x="0" y="0"/>
                      <a:ext cx="4523105" cy="3924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4CF8">
        <w:rPr>
          <w:lang w:val="en-US"/>
        </w:rPr>
        <w:t xml:space="preserve">Mutations cluster near the dimerization arm of EGFR (PDB:1mox). </w:t>
      </w:r>
      <w:r w:rsidR="00B861B4">
        <w:rPr>
          <w:lang w:val="en-US"/>
        </w:rPr>
        <w:t>Binding of EGF-ligands to EGFR causes dimerization via the extracellular L-domain, causing receptor activation via autophosphorylation in the intracellular kinase domains</w:t>
      </w:r>
      <w:r w:rsidR="00D74C28">
        <w:rPr>
          <w:lang w:val="en-US"/>
        </w:rPr>
        <w:t xml:space="preserve"> and downstream growth factor </w:t>
      </w:r>
      <w:proofErr w:type="spellStart"/>
      <w:r w:rsidR="00D74C28">
        <w:rPr>
          <w:lang w:val="en-US"/>
        </w:rPr>
        <w:t>signalling</w:t>
      </w:r>
      <w:proofErr w:type="spellEnd"/>
      <w:r w:rsidR="00B861B4">
        <w:rPr>
          <w:lang w:val="en-US"/>
        </w:rPr>
        <w:t>.</w:t>
      </w:r>
      <w:r w:rsidR="00353072">
        <w:rPr>
          <w:lang w:val="en-US"/>
        </w:rPr>
        <w:t xml:space="preserve"> Shown here are two</w:t>
      </w:r>
      <w:r w:rsidR="00D74C28">
        <w:rPr>
          <w:lang w:val="en-US"/>
        </w:rPr>
        <w:t xml:space="preserve"> </w:t>
      </w:r>
      <w:r w:rsidR="00353072">
        <w:rPr>
          <w:lang w:val="en-US"/>
        </w:rPr>
        <w:t>monomers</w:t>
      </w:r>
      <w:r w:rsidR="00EC6829">
        <w:rPr>
          <w:lang w:val="en-US"/>
        </w:rPr>
        <w:t xml:space="preserve"> (grey surface and light brown ribbon)</w:t>
      </w:r>
      <w:r w:rsidR="00D74C28">
        <w:rPr>
          <w:lang w:val="en-US"/>
        </w:rPr>
        <w:t xml:space="preserve"> interacting via the </w:t>
      </w:r>
      <w:r w:rsidR="00353072">
        <w:rPr>
          <w:lang w:val="en-US"/>
        </w:rPr>
        <w:t>extracellular L-domain</w:t>
      </w:r>
      <w:r w:rsidR="00D74C28">
        <w:rPr>
          <w:lang w:val="en-US"/>
        </w:rPr>
        <w:t>s</w:t>
      </w:r>
      <w:r w:rsidR="00EC6829">
        <w:rPr>
          <w:lang w:val="en-US"/>
        </w:rPr>
        <w:t>, which</w:t>
      </w:r>
      <w:r w:rsidR="00353072">
        <w:rPr>
          <w:lang w:val="en-US"/>
        </w:rPr>
        <w:t xml:space="preserve"> mediate </w:t>
      </w:r>
      <w:proofErr w:type="spellStart"/>
      <w:r w:rsidR="00353072">
        <w:rPr>
          <w:lang w:val="en-US"/>
        </w:rPr>
        <w:t>disulphide</w:t>
      </w:r>
      <w:proofErr w:type="spellEnd"/>
      <w:r w:rsidR="00353072">
        <w:rPr>
          <w:lang w:val="en-US"/>
        </w:rPr>
        <w:t xml:space="preserve"> contacts between EGFR monomers during activation</w:t>
      </w:r>
      <w:r w:rsidR="00D74C28">
        <w:rPr>
          <w:lang w:val="en-US"/>
        </w:rPr>
        <w:t xml:space="preserve">. Key interface residues are </w:t>
      </w:r>
      <w:r w:rsidR="00353072">
        <w:rPr>
          <w:lang w:val="en-US"/>
        </w:rPr>
        <w:t>marked (cyan ribbon).</w:t>
      </w:r>
      <w:r w:rsidR="00D74C28">
        <w:rPr>
          <w:b/>
          <w:noProof/>
        </w:rPr>
        <w:t xml:space="preserve"> </w:t>
      </w:r>
      <w:r w:rsidR="00B34CF8">
        <w:rPr>
          <w:lang w:val="en-US"/>
        </w:rPr>
        <w:t xml:space="preserve">The clusters (red spheres) are </w:t>
      </w:r>
      <w:r w:rsidR="00D74C28">
        <w:rPr>
          <w:lang w:val="en-US"/>
        </w:rPr>
        <w:t xml:space="preserve">near this interface and </w:t>
      </w:r>
      <w:r w:rsidR="00C809B5">
        <w:rPr>
          <w:lang w:val="en-US"/>
        </w:rPr>
        <w:t>suggest a role</w:t>
      </w:r>
      <w:r w:rsidR="00EC6829">
        <w:rPr>
          <w:lang w:val="en-US"/>
        </w:rPr>
        <w:t xml:space="preserve"> for these mutations in</w:t>
      </w:r>
      <w:r w:rsidR="00C809B5">
        <w:rPr>
          <w:lang w:val="en-US"/>
        </w:rPr>
        <w:t xml:space="preserve"> </w:t>
      </w:r>
      <w:r w:rsidR="008747D0">
        <w:rPr>
          <w:lang w:val="en-US"/>
        </w:rPr>
        <w:t>EGFR</w:t>
      </w:r>
      <w:r w:rsidR="00D74C28">
        <w:rPr>
          <w:lang w:val="en-US"/>
        </w:rPr>
        <w:t xml:space="preserve"> activation</w:t>
      </w:r>
      <w:r w:rsidR="00EC6829">
        <w:rPr>
          <w:lang w:val="en-US"/>
        </w:rPr>
        <w:t>, which MutFam</w:t>
      </w:r>
      <w:r w:rsidR="00D74C28">
        <w:rPr>
          <w:lang w:val="en-US"/>
        </w:rPr>
        <w:t xml:space="preserve"> identified</w:t>
      </w:r>
      <w:r w:rsidR="00EC6829">
        <w:rPr>
          <w:lang w:val="en-US"/>
        </w:rPr>
        <w:t xml:space="preserve"> in</w:t>
      </w:r>
      <w:r w:rsidR="00D74C28">
        <w:rPr>
          <w:lang w:val="en-US"/>
        </w:rPr>
        <w:t xml:space="preserve"> </w:t>
      </w:r>
      <w:r w:rsidR="008747D0">
        <w:rPr>
          <w:lang w:val="en-US"/>
        </w:rPr>
        <w:t>gliomas, colon adenocarcinomas and lung adenocarcinomas.</w:t>
      </w:r>
    </w:p>
    <w:p w14:paraId="7C1DAB96" w14:textId="77777777" w:rsidR="00ED2478" w:rsidRDefault="00ED2478" w:rsidP="00ED2478">
      <w:pPr>
        <w:pStyle w:val="para"/>
        <w:rPr>
          <w:lang w:val="en-US"/>
        </w:rPr>
        <w:sectPr w:rsidR="00ED2478" w:rsidSect="001F195A">
          <w:pgSz w:w="11900" w:h="16840"/>
          <w:pgMar w:top="1440" w:right="1800" w:bottom="1440" w:left="1800" w:header="708" w:footer="708" w:gutter="0"/>
          <w:cols w:space="708"/>
          <w:docGrid w:linePitch="360"/>
        </w:sectPr>
      </w:pPr>
    </w:p>
    <w:p w14:paraId="01DBE541" w14:textId="602FF8BF" w:rsidR="00ED2478" w:rsidRDefault="00ED2478" w:rsidP="00ED2478">
      <w:pPr>
        <w:pStyle w:val="Heading2"/>
      </w:pPr>
      <w:r w:rsidRPr="005676E6">
        <w:lastRenderedPageBreak/>
        <w:t xml:space="preserve">Supplementary Figure </w:t>
      </w:r>
      <w:r>
        <w:t>3 (continued)</w:t>
      </w:r>
    </w:p>
    <w:p w14:paraId="6C8F1E66" w14:textId="4A280391" w:rsidR="00ED2478" w:rsidRDefault="00ED2478" w:rsidP="00ED2478">
      <w:pPr>
        <w:pStyle w:val="para"/>
        <w:rPr>
          <w:lang w:val="en-US"/>
        </w:rPr>
      </w:pPr>
    </w:p>
    <w:p w14:paraId="2249CB00" w14:textId="31188DD7" w:rsidR="008747D0" w:rsidRPr="004908EB" w:rsidRDefault="008747D0" w:rsidP="00CD10CD">
      <w:pPr>
        <w:pStyle w:val="para"/>
        <w:numPr>
          <w:ilvl w:val="0"/>
          <w:numId w:val="3"/>
        </w:numPr>
        <w:rPr>
          <w:lang w:val="en-US"/>
        </w:rPr>
      </w:pPr>
      <w:r>
        <w:rPr>
          <w:lang w:val="en-US"/>
        </w:rPr>
        <w:t xml:space="preserve">Mutation clusters near the </w:t>
      </w:r>
      <w:r w:rsidR="00A37E12">
        <w:rPr>
          <w:lang w:val="en-US"/>
        </w:rPr>
        <w:t xml:space="preserve">catalytic </w:t>
      </w:r>
      <w:r>
        <w:rPr>
          <w:lang w:val="en-US"/>
        </w:rPr>
        <w:t>site</w:t>
      </w:r>
      <w:r w:rsidR="00A37E12">
        <w:rPr>
          <w:lang w:val="en-US"/>
        </w:rPr>
        <w:t xml:space="preserve"> and ATP pocket</w:t>
      </w:r>
      <w:r>
        <w:rPr>
          <w:lang w:val="en-US"/>
        </w:rPr>
        <w:t xml:space="preserve"> of BRAF kinase</w:t>
      </w:r>
      <w:r w:rsidR="00EC6829">
        <w:rPr>
          <w:lang w:val="en-US"/>
        </w:rPr>
        <w:t xml:space="preserve">. </w:t>
      </w:r>
      <w:r w:rsidR="0045449A">
        <w:rPr>
          <w:lang w:val="en-US"/>
        </w:rPr>
        <w:t>BRAF is</w:t>
      </w:r>
      <w:r>
        <w:rPr>
          <w:lang w:val="en-US"/>
        </w:rPr>
        <w:t xml:space="preserve"> a</w:t>
      </w:r>
      <w:r w:rsidR="0045449A">
        <w:rPr>
          <w:lang w:val="en-US"/>
        </w:rPr>
        <w:t>n o</w:t>
      </w:r>
      <w:r>
        <w:rPr>
          <w:lang w:val="en-US"/>
        </w:rPr>
        <w:t>ncogene</w:t>
      </w:r>
      <w:r w:rsidR="0045449A">
        <w:rPr>
          <w:lang w:val="en-US"/>
        </w:rPr>
        <w:t xml:space="preserve"> mutated in</w:t>
      </w:r>
      <w:r w:rsidR="00A37E12">
        <w:rPr>
          <w:lang w:val="en-US"/>
        </w:rPr>
        <w:t xml:space="preserve"> </w:t>
      </w:r>
      <w:r w:rsidR="00B93184">
        <w:rPr>
          <w:lang w:val="en-US"/>
        </w:rPr>
        <w:t>~80% of</w:t>
      </w:r>
      <w:r w:rsidR="0045449A">
        <w:rPr>
          <w:lang w:val="en-US"/>
        </w:rPr>
        <w:t xml:space="preserve"> melanomas and in multiple other cancer </w:t>
      </w:r>
      <w:r w:rsidR="00B93184">
        <w:rPr>
          <w:lang w:val="en-US"/>
        </w:rPr>
        <w:t>types, including</w:t>
      </w:r>
      <w:r w:rsidR="0045449A">
        <w:rPr>
          <w:lang w:val="en-US"/>
        </w:rPr>
        <w:t xml:space="preserve"> colorectal, thyroid, ovarian, lung, pancreas and prostate (</w:t>
      </w:r>
      <w:r w:rsidR="00EC6829">
        <w:rPr>
          <w:lang w:val="en-US"/>
        </w:rPr>
        <w:t>source</w:t>
      </w:r>
      <w:r w:rsidR="0045449A">
        <w:rPr>
          <w:lang w:val="en-US"/>
        </w:rPr>
        <w:t xml:space="preserve"> CGC). </w:t>
      </w:r>
      <w:r w:rsidR="00B93184">
        <w:rPr>
          <w:lang w:val="en-US"/>
        </w:rPr>
        <w:t xml:space="preserve"> Certain mutations can cause constitutive kinase activation, the most common of which is V600E (</w:t>
      </w:r>
      <w:r w:rsidR="00BA67C7">
        <w:rPr>
          <w:lang w:val="en-US"/>
        </w:rPr>
        <w:t xml:space="preserve">shown </w:t>
      </w:r>
      <w:r w:rsidR="00B93184">
        <w:rPr>
          <w:lang w:val="en-US"/>
        </w:rPr>
        <w:t>orange) resulting in increased MAPK pathway activity and cellular growth signaling.</w:t>
      </w:r>
      <w:r w:rsidR="00BA67C7">
        <w:rPr>
          <w:lang w:val="en-US"/>
        </w:rPr>
        <w:t xml:space="preserve"> We identified mutation clusters near residues </w:t>
      </w:r>
      <w:r w:rsidR="00BA67C7" w:rsidRPr="00BA67C7">
        <w:rPr>
          <w:lang w:val="en-US"/>
        </w:rPr>
        <w:t>583,</w:t>
      </w:r>
      <w:r w:rsidR="00BA67C7">
        <w:rPr>
          <w:lang w:val="en-US"/>
        </w:rPr>
        <w:t xml:space="preserve"> </w:t>
      </w:r>
      <w:r w:rsidR="00BA67C7" w:rsidRPr="00BA67C7">
        <w:rPr>
          <w:lang w:val="en-US"/>
        </w:rPr>
        <w:t>589,</w:t>
      </w:r>
      <w:r w:rsidR="00BA67C7">
        <w:rPr>
          <w:lang w:val="en-US"/>
        </w:rPr>
        <w:t xml:space="preserve"> </w:t>
      </w:r>
      <w:r w:rsidR="00BA67C7" w:rsidRPr="00BA67C7">
        <w:rPr>
          <w:lang w:val="en-US"/>
        </w:rPr>
        <w:t>591,</w:t>
      </w:r>
      <w:r w:rsidR="00BA67C7">
        <w:rPr>
          <w:lang w:val="en-US"/>
        </w:rPr>
        <w:t xml:space="preserve"> </w:t>
      </w:r>
      <w:r w:rsidR="00BA67C7" w:rsidRPr="00BA67C7">
        <w:rPr>
          <w:lang w:val="en-US"/>
        </w:rPr>
        <w:t>593,</w:t>
      </w:r>
      <w:r w:rsidR="00BA67C7">
        <w:rPr>
          <w:lang w:val="en-US"/>
        </w:rPr>
        <w:t xml:space="preserve"> </w:t>
      </w:r>
      <w:r w:rsidR="00BA67C7" w:rsidRPr="00BA67C7">
        <w:rPr>
          <w:lang w:val="en-US"/>
        </w:rPr>
        <w:t>594,</w:t>
      </w:r>
      <w:r w:rsidR="00BA67C7">
        <w:rPr>
          <w:lang w:val="en-US"/>
        </w:rPr>
        <w:t xml:space="preserve"> </w:t>
      </w:r>
      <w:r w:rsidR="00BA67C7" w:rsidRPr="00BA67C7">
        <w:rPr>
          <w:lang w:val="en-US"/>
        </w:rPr>
        <w:t>595,</w:t>
      </w:r>
      <w:r w:rsidR="00BA67C7">
        <w:rPr>
          <w:lang w:val="en-US"/>
        </w:rPr>
        <w:t xml:space="preserve"> </w:t>
      </w:r>
      <w:r w:rsidR="00BA67C7" w:rsidRPr="00BA67C7">
        <w:rPr>
          <w:lang w:val="en-US"/>
        </w:rPr>
        <w:t>596,</w:t>
      </w:r>
      <w:r w:rsidR="00BA67C7">
        <w:rPr>
          <w:lang w:val="en-US"/>
        </w:rPr>
        <w:t xml:space="preserve"> </w:t>
      </w:r>
      <w:r w:rsidR="00BA67C7" w:rsidRPr="00BA67C7">
        <w:rPr>
          <w:lang w:val="en-US"/>
        </w:rPr>
        <w:t>615</w:t>
      </w:r>
      <w:r w:rsidR="00BA67C7">
        <w:rPr>
          <w:lang w:val="en-US"/>
        </w:rPr>
        <w:t xml:space="preserve"> [PDB ID: 3ppj] (red spheres) near the ATP binding pocket, where kinase inhibitor </w:t>
      </w:r>
      <w:r w:rsidR="00BA67C7" w:rsidRPr="00BA67C7">
        <w:rPr>
          <w:lang w:val="en-US"/>
        </w:rPr>
        <w:t>FOI</w:t>
      </w:r>
      <w:r w:rsidR="00BA67C7">
        <w:rPr>
          <w:lang w:val="en-US"/>
        </w:rPr>
        <w:t xml:space="preserve"> is shown bound</w:t>
      </w:r>
      <w:r w:rsidR="00A37E12">
        <w:rPr>
          <w:lang w:val="en-US"/>
        </w:rPr>
        <w:t xml:space="preserve"> in this structure</w:t>
      </w:r>
      <w:r w:rsidR="00BA67C7">
        <w:rPr>
          <w:lang w:val="en-US"/>
        </w:rPr>
        <w:t xml:space="preserve">.  The clusters are </w:t>
      </w:r>
      <w:r w:rsidR="00A37E12">
        <w:rPr>
          <w:lang w:val="en-US"/>
        </w:rPr>
        <w:t xml:space="preserve">also </w:t>
      </w:r>
      <w:r w:rsidR="00BA67C7">
        <w:rPr>
          <w:lang w:val="en-US"/>
        </w:rPr>
        <w:t>near CSA residues Asp</w:t>
      </w:r>
      <w:r w:rsidR="00BA67C7" w:rsidRPr="00BA67C7">
        <w:rPr>
          <w:lang w:val="en-US"/>
        </w:rPr>
        <w:t>576,</w:t>
      </w:r>
      <w:r w:rsidR="00BA67C7">
        <w:rPr>
          <w:lang w:val="en-US"/>
        </w:rPr>
        <w:t xml:space="preserve"> Lys</w:t>
      </w:r>
      <w:r w:rsidR="00BA67C7" w:rsidRPr="00BA67C7">
        <w:rPr>
          <w:lang w:val="en-US"/>
        </w:rPr>
        <w:t>578,</w:t>
      </w:r>
      <w:r w:rsidR="00BA67C7">
        <w:rPr>
          <w:lang w:val="en-US"/>
        </w:rPr>
        <w:t xml:space="preserve"> Asn</w:t>
      </w:r>
      <w:r w:rsidR="00BA67C7" w:rsidRPr="00BA67C7">
        <w:rPr>
          <w:lang w:val="en-US"/>
        </w:rPr>
        <w:t>580,</w:t>
      </w:r>
      <w:r w:rsidR="00BA67C7">
        <w:rPr>
          <w:lang w:val="en-US"/>
        </w:rPr>
        <w:t xml:space="preserve"> Asn</w:t>
      </w:r>
      <w:r w:rsidR="00BA67C7" w:rsidRPr="00BA67C7">
        <w:rPr>
          <w:lang w:val="en-US"/>
        </w:rPr>
        <w:t>581</w:t>
      </w:r>
      <w:r w:rsidR="00BA67C7">
        <w:rPr>
          <w:lang w:val="en-US"/>
        </w:rPr>
        <w:t xml:space="preserve"> and Ser</w:t>
      </w:r>
      <w:r w:rsidR="00BA67C7" w:rsidRPr="00BA67C7">
        <w:rPr>
          <w:lang w:val="en-US"/>
        </w:rPr>
        <w:t>616</w:t>
      </w:r>
      <w:r w:rsidR="007343F8">
        <w:rPr>
          <w:lang w:val="en-US"/>
        </w:rPr>
        <w:t xml:space="preserve">.  We identified </w:t>
      </w:r>
      <w:r w:rsidR="00A37E12">
        <w:rPr>
          <w:lang w:val="en-US"/>
        </w:rPr>
        <w:t xml:space="preserve">MutFams containing BRAF in skin, colorectal, thyroid, lung </w:t>
      </w:r>
      <w:proofErr w:type="spellStart"/>
      <w:r w:rsidR="00A37E12">
        <w:rPr>
          <w:lang w:val="en-US"/>
        </w:rPr>
        <w:t>tumours</w:t>
      </w:r>
      <w:proofErr w:type="spellEnd"/>
      <w:r w:rsidR="00A37E12">
        <w:rPr>
          <w:lang w:val="en-US"/>
        </w:rPr>
        <w:t xml:space="preserve"> and gliomas.</w:t>
      </w:r>
    </w:p>
    <w:p w14:paraId="79CB30F7" w14:textId="693F9B9A" w:rsidR="00B34CF8" w:rsidRDefault="00B34CF8"/>
    <w:p w14:paraId="6137A7C6" w14:textId="1C4523EB" w:rsidR="00B34CF8" w:rsidRDefault="00215A92">
      <w:r>
        <w:rPr>
          <w:b/>
          <w:noProof/>
        </w:rPr>
        <mc:AlternateContent>
          <mc:Choice Requires="wps">
            <w:drawing>
              <wp:anchor distT="0" distB="0" distL="114300" distR="114300" simplePos="0" relativeHeight="251672576" behindDoc="0" locked="0" layoutInCell="1" allowOverlap="1" wp14:anchorId="1CFC2A75" wp14:editId="4B1E71DC">
                <wp:simplePos x="0" y="0"/>
                <wp:positionH relativeFrom="column">
                  <wp:posOffset>572135</wp:posOffset>
                </wp:positionH>
                <wp:positionV relativeFrom="paragraph">
                  <wp:posOffset>354330</wp:posOffset>
                </wp:positionV>
                <wp:extent cx="522515" cy="478971"/>
                <wp:effectExtent l="0" t="0" r="0" b="0"/>
                <wp:wrapNone/>
                <wp:docPr id="6" name="Text Box 6"/>
                <wp:cNvGraphicFramePr/>
                <a:graphic xmlns:a="http://schemas.openxmlformats.org/drawingml/2006/main">
                  <a:graphicData uri="http://schemas.microsoft.com/office/word/2010/wordprocessingShape">
                    <wps:wsp>
                      <wps:cNvSpPr txBox="1"/>
                      <wps:spPr>
                        <a:xfrm>
                          <a:off x="0" y="0"/>
                          <a:ext cx="522515" cy="478971"/>
                        </a:xfrm>
                        <a:prstGeom prst="rect">
                          <a:avLst/>
                        </a:prstGeom>
                        <a:noFill/>
                        <a:ln w="6350">
                          <a:noFill/>
                        </a:ln>
                      </wps:spPr>
                      <wps:txbx>
                        <w:txbxContent>
                          <w:p w14:paraId="3DFF682A" w14:textId="77777777" w:rsidR="000C49AD" w:rsidRPr="004908EB" w:rsidRDefault="000C49AD" w:rsidP="00ED2478">
                            <w:pP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FC2A75" id="Text Box 6" o:spid="_x0000_s1029" type="#_x0000_t202" style="position:absolute;margin-left:45.05pt;margin-top:27.9pt;width:41.15pt;height:37.7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" filled="f" stroked="f" strokeweight=".5pt">
                <v:textbox>
                  <w:txbxContent>
                    <w:p w14:paraId="3DFF682A" w14:textId="77777777" w:rsidR="000C49AD" w:rsidRPr="004908EB" w:rsidRDefault="000C49AD" w:rsidP="00ED2478">
                      <w:pP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w:pict>
          </mc:Fallback>
        </mc:AlternateContent>
      </w:r>
      <w:r>
        <w:rPr>
          <w:noProof/>
        </w:rPr>
        <w:drawing>
          <wp:anchor distT="0" distB="0" distL="114300" distR="114300" simplePos="0" relativeHeight="251670528" behindDoc="0" locked="0" layoutInCell="1" allowOverlap="1" wp14:anchorId="1FB0FD4D" wp14:editId="104EF867">
            <wp:simplePos x="0" y="0"/>
            <wp:positionH relativeFrom="column">
              <wp:posOffset>1084580</wp:posOffset>
            </wp:positionH>
            <wp:positionV relativeFrom="paragraph">
              <wp:posOffset>256540</wp:posOffset>
            </wp:positionV>
            <wp:extent cx="3078480" cy="4279265"/>
            <wp:effectExtent l="0" t="0" r="0" b="63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AF_clust2.png"/>
                    <pic:cNvPicPr/>
                  </pic:nvPicPr>
                  <pic:blipFill rotWithShape="1">
                    <a:blip r:embed="rId12"/>
                    <a:srcRect l="17639" r="23952"/>
                    <a:stretch/>
                  </pic:blipFill>
                  <pic:spPr bwMode="auto">
                    <a:xfrm>
                      <a:off x="0" y="0"/>
                      <a:ext cx="3078480" cy="4279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B132D8A" w14:textId="1894AA65" w:rsidR="00B0749C" w:rsidRPr="00577329" w:rsidRDefault="00B34CF8" w:rsidP="00070EDB">
      <w:r w:rsidRPr="00070EDB">
        <w:rPr>
          <w:b/>
        </w:rPr>
        <w:br w:type="page"/>
      </w:r>
      <w:r w:rsidR="00B0749C" w:rsidRPr="00070EDB">
        <w:rPr>
          <w:b/>
        </w:rPr>
        <w:lastRenderedPageBreak/>
        <w:t xml:space="preserve">Supplementary Figure </w:t>
      </w:r>
      <w:r w:rsidRPr="00070EDB">
        <w:rPr>
          <w:b/>
        </w:rPr>
        <w:t>4</w:t>
      </w:r>
      <w:r w:rsidR="00B0749C" w:rsidRPr="00070EDB">
        <w:rPr>
          <w:b/>
        </w:rPr>
        <w:t xml:space="preserve"> </w:t>
      </w:r>
    </w:p>
    <w:p w14:paraId="79C6BE80" w14:textId="77777777" w:rsidR="00B0749C" w:rsidRPr="00F220A3" w:rsidRDefault="00B0749C" w:rsidP="00B0749C"/>
    <w:p w14:paraId="58873D9E" w14:textId="77777777" w:rsidR="00B0749C" w:rsidRPr="002F6B96" w:rsidRDefault="00B0749C" w:rsidP="00B0749C">
      <w:pPr>
        <w:pStyle w:val="para"/>
      </w:pPr>
      <w:r>
        <w:t xml:space="preserve">Venn diagram and table summarise top mutated MutFam genes identified from glioma cancer types GLI, LGG and </w:t>
      </w:r>
      <w:r w:rsidRPr="002F6B96">
        <w:t>GBM</w:t>
      </w:r>
      <w:r>
        <w:t>. CGC genes are highlighted in</w:t>
      </w:r>
      <w:r w:rsidRPr="002F6B96">
        <w:t xml:space="preserve"> </w:t>
      </w:r>
      <w:r>
        <w:t>bold.</w:t>
      </w:r>
    </w:p>
    <w:p w14:paraId="5753BFD2" w14:textId="77777777" w:rsidR="00B0749C" w:rsidRDefault="00B0749C" w:rsidP="00B0749C"/>
    <w:p w14:paraId="42F2CAEF" w14:textId="77777777" w:rsidR="00B0749C" w:rsidRDefault="00B0749C" w:rsidP="00B0749C">
      <w:pPr>
        <w:rPr>
          <w:noProof/>
          <w:lang w:val="en-US"/>
        </w:rPr>
      </w:pPr>
      <w:r>
        <w:rPr>
          <w:noProof/>
          <w:lang w:val="en-US"/>
        </w:rPr>
        <w:tab/>
      </w:r>
      <w:r>
        <w:rPr>
          <w:noProof/>
          <w:lang w:val="en-US"/>
        </w:rPr>
        <w:tab/>
      </w:r>
      <w:r w:rsidRPr="005E63CE">
        <w:rPr>
          <w:noProof/>
          <w:lang w:val="en-US"/>
        </w:rPr>
        <w:drawing>
          <wp:inline distT="0" distB="0" distL="0" distR="0" wp14:anchorId="4A126FC6" wp14:editId="4198FDDD">
            <wp:extent cx="3543300" cy="2280005"/>
            <wp:effectExtent l="0" t="0" r="0" b="6350"/>
            <wp:docPr id="12" name="Picture 12" descr="Macintosh HD:Users:ash:Dropbox:Documents:UCL:Documents:mutfam_paper_share:revision:figs_tables:X06:F9_Chp3_GliomaGeneOverla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sh:Dropbox:Documents:UCL:Documents:mutfam_paper_share:revision:figs_tables:X06:F9_Chp3_GliomaGeneOverlaps3.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21459" r="25107" b="42612"/>
                    <a:stretch/>
                  </pic:blipFill>
                  <pic:spPr bwMode="auto">
                    <a:xfrm>
                      <a:off x="0" y="0"/>
                      <a:ext cx="3546127" cy="2281824"/>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75FFF06" w14:textId="77777777" w:rsidR="00B0749C" w:rsidRDefault="00B0749C" w:rsidP="00B0749C"/>
    <w:tbl>
      <w:tblPr>
        <w:tblStyle w:val="TableGrid"/>
        <w:tblW w:w="0" w:type="auto"/>
        <w:tblLook w:val="04A0" w:firstRow="1" w:lastRow="0" w:firstColumn="1" w:lastColumn="0" w:noHBand="0" w:noVBand="1"/>
      </w:tblPr>
      <w:tblGrid>
        <w:gridCol w:w="1637"/>
        <w:gridCol w:w="2213"/>
        <w:gridCol w:w="4440"/>
      </w:tblGrid>
      <w:tr w:rsidR="00B0749C" w:rsidRPr="002E3B27" w14:paraId="5EBDEE54" w14:textId="77777777" w:rsidTr="008C5CB5">
        <w:tc>
          <w:tcPr>
            <w:tcW w:w="1668" w:type="dxa"/>
          </w:tcPr>
          <w:p w14:paraId="38C77EF8" w14:textId="77777777" w:rsidR="00B0749C" w:rsidRPr="002E3B27" w:rsidRDefault="00B0749C" w:rsidP="008C5CB5">
            <w:pPr>
              <w:pStyle w:val="para"/>
              <w:rPr>
                <w:b/>
                <w:sz w:val="20"/>
                <w:szCs w:val="20"/>
              </w:rPr>
            </w:pPr>
            <w:r w:rsidRPr="002E3B27">
              <w:rPr>
                <w:b/>
                <w:sz w:val="20"/>
                <w:szCs w:val="20"/>
              </w:rPr>
              <w:t>Gliomas</w:t>
            </w:r>
          </w:p>
        </w:tc>
        <w:tc>
          <w:tcPr>
            <w:tcW w:w="2268" w:type="dxa"/>
          </w:tcPr>
          <w:p w14:paraId="585EB840" w14:textId="77777777" w:rsidR="00B0749C" w:rsidRPr="002E3B27" w:rsidRDefault="00B0749C" w:rsidP="008C5CB5">
            <w:pPr>
              <w:pStyle w:val="para"/>
              <w:jc w:val="center"/>
              <w:rPr>
                <w:b/>
                <w:sz w:val="20"/>
                <w:szCs w:val="20"/>
              </w:rPr>
            </w:pPr>
            <w:r w:rsidRPr="002E3B27">
              <w:rPr>
                <w:b/>
                <w:sz w:val="20"/>
                <w:szCs w:val="20"/>
              </w:rPr>
              <w:t>Number of genes</w:t>
            </w:r>
          </w:p>
        </w:tc>
        <w:tc>
          <w:tcPr>
            <w:tcW w:w="4580" w:type="dxa"/>
          </w:tcPr>
          <w:p w14:paraId="44CF4604" w14:textId="77777777" w:rsidR="00B0749C" w:rsidRPr="002E3B27" w:rsidRDefault="00B0749C" w:rsidP="008C5CB5">
            <w:pPr>
              <w:pStyle w:val="para"/>
              <w:rPr>
                <w:b/>
                <w:sz w:val="20"/>
                <w:szCs w:val="20"/>
              </w:rPr>
            </w:pPr>
            <w:r w:rsidRPr="002E3B27">
              <w:rPr>
                <w:b/>
                <w:sz w:val="20"/>
                <w:szCs w:val="20"/>
              </w:rPr>
              <w:t>Genes</w:t>
            </w:r>
          </w:p>
        </w:tc>
      </w:tr>
      <w:tr w:rsidR="00B0749C" w:rsidRPr="002E3B27" w14:paraId="3730CC22" w14:textId="77777777" w:rsidTr="008C5CB5">
        <w:trPr>
          <w:trHeight w:val="377"/>
        </w:trPr>
        <w:tc>
          <w:tcPr>
            <w:tcW w:w="1668" w:type="dxa"/>
          </w:tcPr>
          <w:p w14:paraId="376CF56B" w14:textId="77777777" w:rsidR="00B0749C" w:rsidRPr="002E3B27" w:rsidRDefault="00B0749C" w:rsidP="008C5CB5">
            <w:pPr>
              <w:pStyle w:val="para"/>
              <w:spacing w:line="240" w:lineRule="auto"/>
              <w:rPr>
                <w:sz w:val="20"/>
                <w:szCs w:val="20"/>
              </w:rPr>
            </w:pPr>
            <w:r w:rsidRPr="002E3B27">
              <w:rPr>
                <w:sz w:val="20"/>
                <w:szCs w:val="20"/>
              </w:rPr>
              <w:t>All</w:t>
            </w:r>
          </w:p>
        </w:tc>
        <w:tc>
          <w:tcPr>
            <w:tcW w:w="2268" w:type="dxa"/>
          </w:tcPr>
          <w:p w14:paraId="6A0FC8BC" w14:textId="77777777" w:rsidR="00B0749C" w:rsidRPr="002E3B27" w:rsidRDefault="00B0749C" w:rsidP="008C5CB5">
            <w:pPr>
              <w:pStyle w:val="para"/>
              <w:spacing w:line="240" w:lineRule="auto"/>
              <w:jc w:val="center"/>
              <w:rPr>
                <w:sz w:val="20"/>
                <w:szCs w:val="20"/>
              </w:rPr>
            </w:pPr>
            <w:r w:rsidRPr="002E3B27">
              <w:rPr>
                <w:sz w:val="20"/>
                <w:szCs w:val="20"/>
              </w:rPr>
              <w:t>3</w:t>
            </w:r>
          </w:p>
        </w:tc>
        <w:tc>
          <w:tcPr>
            <w:tcW w:w="4580" w:type="dxa"/>
          </w:tcPr>
          <w:p w14:paraId="7A94BD58" w14:textId="77777777" w:rsidR="00B0749C" w:rsidRPr="002E3B27" w:rsidRDefault="00B0749C" w:rsidP="008C5CB5">
            <w:pPr>
              <w:pStyle w:val="para"/>
              <w:spacing w:line="240" w:lineRule="auto"/>
              <w:rPr>
                <w:sz w:val="20"/>
                <w:szCs w:val="20"/>
              </w:rPr>
            </w:pPr>
            <w:r w:rsidRPr="002E3B27">
              <w:rPr>
                <w:sz w:val="20"/>
                <w:szCs w:val="20"/>
              </w:rPr>
              <w:t xml:space="preserve">CHEK2, </w:t>
            </w:r>
            <w:r w:rsidRPr="002E3B27">
              <w:rPr>
                <w:b/>
                <w:sz w:val="20"/>
                <w:szCs w:val="20"/>
              </w:rPr>
              <w:t>PTEN</w:t>
            </w:r>
            <w:r w:rsidRPr="002E3B27">
              <w:rPr>
                <w:sz w:val="20"/>
                <w:szCs w:val="20"/>
              </w:rPr>
              <w:t xml:space="preserve">, </w:t>
            </w:r>
            <w:r w:rsidRPr="002E3B27">
              <w:rPr>
                <w:b/>
                <w:sz w:val="20"/>
                <w:szCs w:val="20"/>
              </w:rPr>
              <w:t>TP53</w:t>
            </w:r>
          </w:p>
        </w:tc>
      </w:tr>
      <w:tr w:rsidR="00B0749C" w:rsidRPr="002E3B27" w14:paraId="34103D9E" w14:textId="77777777" w:rsidTr="008C5CB5">
        <w:trPr>
          <w:trHeight w:val="410"/>
        </w:trPr>
        <w:tc>
          <w:tcPr>
            <w:tcW w:w="1668" w:type="dxa"/>
          </w:tcPr>
          <w:p w14:paraId="6614153B" w14:textId="77777777" w:rsidR="00B0749C" w:rsidRPr="002E3B27" w:rsidRDefault="00B0749C" w:rsidP="008C5CB5">
            <w:pPr>
              <w:pStyle w:val="para"/>
              <w:spacing w:line="240" w:lineRule="auto"/>
              <w:rPr>
                <w:sz w:val="20"/>
                <w:szCs w:val="20"/>
              </w:rPr>
            </w:pPr>
            <w:r w:rsidRPr="002E3B27">
              <w:rPr>
                <w:sz w:val="20"/>
                <w:szCs w:val="20"/>
              </w:rPr>
              <w:t>GLI and LGG</w:t>
            </w:r>
          </w:p>
        </w:tc>
        <w:tc>
          <w:tcPr>
            <w:tcW w:w="2268" w:type="dxa"/>
          </w:tcPr>
          <w:p w14:paraId="2B7F7351" w14:textId="77777777" w:rsidR="00B0749C" w:rsidRPr="002E3B27" w:rsidRDefault="00B0749C" w:rsidP="008C5CB5">
            <w:pPr>
              <w:pStyle w:val="para"/>
              <w:spacing w:line="240" w:lineRule="auto"/>
              <w:jc w:val="center"/>
              <w:rPr>
                <w:sz w:val="20"/>
                <w:szCs w:val="20"/>
              </w:rPr>
            </w:pPr>
            <w:r w:rsidRPr="002E3B27">
              <w:rPr>
                <w:sz w:val="20"/>
                <w:szCs w:val="20"/>
              </w:rPr>
              <w:t>4</w:t>
            </w:r>
          </w:p>
        </w:tc>
        <w:tc>
          <w:tcPr>
            <w:tcW w:w="4580" w:type="dxa"/>
          </w:tcPr>
          <w:p w14:paraId="5377C011" w14:textId="77777777" w:rsidR="00B0749C" w:rsidRPr="002E3B27" w:rsidRDefault="00B0749C" w:rsidP="008C5CB5">
            <w:pPr>
              <w:pStyle w:val="para"/>
              <w:spacing w:line="240" w:lineRule="auto"/>
              <w:rPr>
                <w:b/>
                <w:sz w:val="20"/>
                <w:szCs w:val="20"/>
              </w:rPr>
            </w:pPr>
            <w:r w:rsidRPr="002E3B27">
              <w:rPr>
                <w:b/>
                <w:sz w:val="20"/>
                <w:szCs w:val="20"/>
              </w:rPr>
              <w:t>BRAF, CIC, IDH1, NOTCH1</w:t>
            </w:r>
          </w:p>
        </w:tc>
      </w:tr>
      <w:tr w:rsidR="00B0749C" w:rsidRPr="002E3B27" w14:paraId="6B37F532" w14:textId="77777777" w:rsidTr="008C5CB5">
        <w:trPr>
          <w:trHeight w:val="558"/>
        </w:trPr>
        <w:tc>
          <w:tcPr>
            <w:tcW w:w="1668" w:type="dxa"/>
          </w:tcPr>
          <w:p w14:paraId="6E18B063" w14:textId="77777777" w:rsidR="00B0749C" w:rsidRPr="002E3B27" w:rsidRDefault="00B0749C" w:rsidP="008C5CB5">
            <w:pPr>
              <w:pStyle w:val="para"/>
              <w:spacing w:line="240" w:lineRule="auto"/>
              <w:rPr>
                <w:sz w:val="20"/>
                <w:szCs w:val="20"/>
              </w:rPr>
            </w:pPr>
            <w:r>
              <w:rPr>
                <w:sz w:val="20"/>
                <w:szCs w:val="20"/>
              </w:rPr>
              <w:t>GLI and GBM</w:t>
            </w:r>
          </w:p>
        </w:tc>
        <w:tc>
          <w:tcPr>
            <w:tcW w:w="2268" w:type="dxa"/>
          </w:tcPr>
          <w:p w14:paraId="4433A593" w14:textId="77777777" w:rsidR="00B0749C" w:rsidRPr="002E3B27" w:rsidRDefault="00B0749C" w:rsidP="008C5CB5">
            <w:pPr>
              <w:pStyle w:val="para"/>
              <w:spacing w:line="240" w:lineRule="auto"/>
              <w:jc w:val="center"/>
              <w:rPr>
                <w:sz w:val="20"/>
                <w:szCs w:val="20"/>
              </w:rPr>
            </w:pPr>
            <w:r>
              <w:rPr>
                <w:sz w:val="20"/>
                <w:szCs w:val="20"/>
              </w:rPr>
              <w:t>10</w:t>
            </w:r>
          </w:p>
        </w:tc>
        <w:tc>
          <w:tcPr>
            <w:tcW w:w="4580" w:type="dxa"/>
          </w:tcPr>
          <w:p w14:paraId="0C63C98E" w14:textId="77777777" w:rsidR="00B0749C" w:rsidRPr="002E3B27" w:rsidRDefault="00B0749C" w:rsidP="008C5CB5">
            <w:pPr>
              <w:pStyle w:val="para"/>
              <w:spacing w:line="240" w:lineRule="auto"/>
              <w:rPr>
                <w:sz w:val="20"/>
                <w:szCs w:val="20"/>
              </w:rPr>
            </w:pPr>
            <w:r w:rsidRPr="0038784D">
              <w:rPr>
                <w:b/>
                <w:sz w:val="20"/>
                <w:szCs w:val="20"/>
              </w:rPr>
              <w:t>EGFR</w:t>
            </w:r>
            <w:r w:rsidRPr="002E3B27">
              <w:rPr>
                <w:sz w:val="20"/>
                <w:szCs w:val="20"/>
              </w:rPr>
              <w:t xml:space="preserve">, FKBP9, GSTM5, </w:t>
            </w:r>
            <w:r w:rsidRPr="0038784D">
              <w:rPr>
                <w:b/>
                <w:sz w:val="20"/>
                <w:szCs w:val="20"/>
              </w:rPr>
              <w:t>HIF1A</w:t>
            </w:r>
            <w:r w:rsidRPr="002E3B27">
              <w:rPr>
                <w:sz w:val="20"/>
                <w:szCs w:val="20"/>
              </w:rPr>
              <w:t xml:space="preserve">, HSPA8, </w:t>
            </w:r>
            <w:r w:rsidRPr="0038784D">
              <w:rPr>
                <w:b/>
                <w:sz w:val="20"/>
                <w:szCs w:val="20"/>
              </w:rPr>
              <w:t>LZTR1</w:t>
            </w:r>
            <w:r w:rsidRPr="002E3B27">
              <w:rPr>
                <w:sz w:val="20"/>
                <w:szCs w:val="20"/>
              </w:rPr>
              <w:t xml:space="preserve">, </w:t>
            </w:r>
            <w:r w:rsidRPr="0038784D">
              <w:rPr>
                <w:b/>
                <w:sz w:val="20"/>
                <w:szCs w:val="20"/>
              </w:rPr>
              <w:t>PIK3R1</w:t>
            </w:r>
            <w:r w:rsidRPr="002E3B27">
              <w:rPr>
                <w:sz w:val="20"/>
                <w:szCs w:val="20"/>
              </w:rPr>
              <w:t>, TBK1, ZNF429, ZNF646</w:t>
            </w:r>
          </w:p>
        </w:tc>
      </w:tr>
      <w:tr w:rsidR="00B0749C" w:rsidRPr="002E3B27" w14:paraId="683F3925" w14:textId="77777777" w:rsidTr="008C5CB5">
        <w:trPr>
          <w:trHeight w:val="566"/>
        </w:trPr>
        <w:tc>
          <w:tcPr>
            <w:tcW w:w="1668" w:type="dxa"/>
          </w:tcPr>
          <w:p w14:paraId="5CC66A3C" w14:textId="77777777" w:rsidR="00B0749C" w:rsidRPr="002E3B27" w:rsidRDefault="00B0749C" w:rsidP="008C5CB5">
            <w:pPr>
              <w:pStyle w:val="para"/>
              <w:spacing w:line="240" w:lineRule="auto"/>
              <w:rPr>
                <w:sz w:val="20"/>
                <w:szCs w:val="20"/>
              </w:rPr>
            </w:pPr>
            <w:r>
              <w:rPr>
                <w:sz w:val="20"/>
                <w:szCs w:val="20"/>
              </w:rPr>
              <w:t>GLI only</w:t>
            </w:r>
          </w:p>
        </w:tc>
        <w:tc>
          <w:tcPr>
            <w:tcW w:w="2268" w:type="dxa"/>
          </w:tcPr>
          <w:p w14:paraId="42E66F5E" w14:textId="77777777" w:rsidR="00B0749C" w:rsidRPr="002E3B27" w:rsidRDefault="00B0749C" w:rsidP="008C5CB5">
            <w:pPr>
              <w:pStyle w:val="para"/>
              <w:spacing w:line="240" w:lineRule="auto"/>
              <w:jc w:val="center"/>
              <w:rPr>
                <w:sz w:val="20"/>
                <w:szCs w:val="20"/>
              </w:rPr>
            </w:pPr>
            <w:r>
              <w:rPr>
                <w:sz w:val="20"/>
                <w:szCs w:val="20"/>
              </w:rPr>
              <w:t>7</w:t>
            </w:r>
          </w:p>
        </w:tc>
        <w:tc>
          <w:tcPr>
            <w:tcW w:w="4580" w:type="dxa"/>
          </w:tcPr>
          <w:p w14:paraId="1D4B2E62" w14:textId="77777777" w:rsidR="00B0749C" w:rsidRPr="002E3B27" w:rsidRDefault="00B0749C" w:rsidP="008C5CB5">
            <w:pPr>
              <w:pStyle w:val="para"/>
              <w:spacing w:line="240" w:lineRule="auto"/>
              <w:rPr>
                <w:sz w:val="20"/>
                <w:szCs w:val="20"/>
              </w:rPr>
            </w:pPr>
            <w:r w:rsidRPr="0038784D">
              <w:rPr>
                <w:b/>
                <w:sz w:val="20"/>
                <w:szCs w:val="20"/>
              </w:rPr>
              <w:t>ATRX</w:t>
            </w:r>
            <w:r w:rsidRPr="005E509B">
              <w:rPr>
                <w:sz w:val="20"/>
                <w:szCs w:val="20"/>
              </w:rPr>
              <w:t xml:space="preserve">, CACNA1S, KRT13, KRT15, PCDHA1, PCDHA3, </w:t>
            </w:r>
            <w:r w:rsidRPr="0038784D">
              <w:rPr>
                <w:b/>
                <w:sz w:val="20"/>
                <w:szCs w:val="20"/>
              </w:rPr>
              <w:t>PIK3CA</w:t>
            </w:r>
          </w:p>
        </w:tc>
      </w:tr>
    </w:tbl>
    <w:p w14:paraId="5C802E96" w14:textId="77777777" w:rsidR="00B0749C" w:rsidRDefault="00B0749C" w:rsidP="00B0749C"/>
    <w:p w14:paraId="1605A1B5" w14:textId="77777777" w:rsidR="00FB5155" w:rsidRDefault="00FB5155" w:rsidP="007D79F2">
      <w:pPr>
        <w:sectPr w:rsidR="00FB5155" w:rsidSect="001F195A">
          <w:pgSz w:w="11900" w:h="16840"/>
          <w:pgMar w:top="1440" w:right="1800" w:bottom="1440" w:left="1800" w:header="708" w:footer="708" w:gutter="0"/>
          <w:cols w:space="708"/>
          <w:docGrid w:linePitch="360"/>
        </w:sectPr>
      </w:pPr>
    </w:p>
    <w:p w14:paraId="23A265E2" w14:textId="77777777" w:rsidR="001922FD" w:rsidRDefault="001922FD" w:rsidP="001922FD">
      <w:pPr>
        <w:pStyle w:val="Heading1"/>
      </w:pPr>
      <w:r>
        <w:lastRenderedPageBreak/>
        <w:t>Supplementary Information</w:t>
      </w:r>
    </w:p>
    <w:p w14:paraId="282B5875" w14:textId="77777777" w:rsidR="001922FD" w:rsidRDefault="001922FD">
      <w:pPr>
        <w:pStyle w:val="Heading2"/>
      </w:pPr>
      <w:r>
        <w:rPr>
          <w:highlight w:val="white"/>
        </w:rPr>
        <w:t xml:space="preserve">1.1 </w:t>
      </w:r>
      <w:r>
        <w:rPr>
          <w:highlight w:val="white"/>
        </w:rPr>
        <w:tab/>
        <w:t>Analysis</w:t>
      </w:r>
      <w:r w:rsidRPr="00606791">
        <w:rPr>
          <w:highlight w:val="white"/>
        </w:rPr>
        <w:t xml:space="preserve"> of the </w:t>
      </w:r>
      <w:r>
        <w:rPr>
          <w:highlight w:val="white"/>
        </w:rPr>
        <w:t>gene sets</w:t>
      </w:r>
      <w:r w:rsidRPr="00606791">
        <w:rPr>
          <w:highlight w:val="white"/>
        </w:rPr>
        <w:t xml:space="preserve"> by functional network analysis to identify </w:t>
      </w:r>
      <w:r>
        <w:rPr>
          <w:highlight w:val="white"/>
        </w:rPr>
        <w:t>those</w:t>
      </w:r>
      <w:r w:rsidRPr="00606791">
        <w:rPr>
          <w:highlight w:val="white"/>
        </w:rPr>
        <w:t xml:space="preserve"> more likely to be associated with cancer </w:t>
      </w:r>
    </w:p>
    <w:p w14:paraId="21ED53AD" w14:textId="77777777" w:rsidR="001922FD" w:rsidRPr="00F12E10" w:rsidRDefault="001922FD" w:rsidP="001922FD">
      <w:pPr>
        <w:pStyle w:val="Heading5"/>
        <w:rPr>
          <w:szCs w:val="16"/>
        </w:rPr>
      </w:pPr>
      <w:r w:rsidRPr="00606791">
        <w:t>Biological processes identified for the common driver genes</w:t>
      </w:r>
    </w:p>
    <w:p w14:paraId="28AFDF27" w14:textId="04650490" w:rsidR="001922FD" w:rsidRDefault="001922FD" w:rsidP="001922FD">
      <w:pPr>
        <w:pStyle w:val="para"/>
      </w:pPr>
      <w:r w:rsidRPr="005E63CE">
        <w:t>From the 12 genes common to all datasets we</w:t>
      </w:r>
      <w:r>
        <w:t xml:space="preserve"> identified </w:t>
      </w:r>
      <w:r w:rsidRPr="005E63CE">
        <w:t>2 functional modules</w:t>
      </w:r>
      <w:r>
        <w:t xml:space="preserve"> containing 7 genes</w:t>
      </w:r>
      <w:r w:rsidRPr="005E63CE">
        <w:t xml:space="preserve">. Module 1 contained </w:t>
      </w:r>
      <w:r>
        <w:t xml:space="preserve">NRAS, </w:t>
      </w:r>
      <w:r w:rsidRPr="005E63CE">
        <w:t xml:space="preserve">KRAS, PIK3CA and RAC1 and was significantly enriched for 9 GO </w:t>
      </w:r>
      <w:r w:rsidR="007748C5">
        <w:t>Biological Processes (</w:t>
      </w:r>
      <w:r w:rsidRPr="005E63CE">
        <w:t>BPs</w:t>
      </w:r>
      <w:r w:rsidR="007748C5">
        <w:t>)</w:t>
      </w:r>
      <w:r w:rsidRPr="005E63CE">
        <w:t>. Module 2 contained</w:t>
      </w:r>
      <w:r>
        <w:t xml:space="preserve"> BRAF, FBWX7 and</w:t>
      </w:r>
      <w:r w:rsidRPr="005E63CE">
        <w:t xml:space="preserve"> HRAS and was significantly enriched for a single BP (</w:t>
      </w:r>
      <w:r w:rsidRPr="00FC55E7">
        <w:rPr>
          <w:b/>
        </w:rPr>
        <w:t>Supplementary Table 5</w:t>
      </w:r>
      <w:r w:rsidRPr="005E63CE">
        <w:t>). The processes in Module 1 relate to receptor signalling pathways including growth factors (vascular epidermal growth factor, fibroblast growth factor, epidermal growth factor and nerve growth factor) plus insulin signalling. Module 1 also includes immune-related processes such as "Fc-epsilon receptor signalling pathway" and "innate immune response". Module 2 genes were involved in a single signalling-related process, "positive regulation of ERK1 and ERK2 cascade". Both modules involve processes that contribute to known hallmarks of cancer</w:t>
      </w:r>
      <w:r w:rsidRPr="005E63CE">
        <w:fldChar w:fldCharType="begin"/>
      </w:r>
      <w:r w:rsidR="00187389">
        <w:instrText xml:space="preserve"> ADDIN PAPERS2_CITATIONS &lt;citation&gt;&lt;priority&gt;0&lt;/priority&gt;&lt;uuid&gt;ED640E27-B5CB-4C0E-8001-F6F8C081F223&lt;/uuid&gt;&lt;publications&gt;&lt;publication&gt;&lt;subtype&gt;400&lt;/subtype&gt;&lt;publisher&gt;Elsevier Inc.&lt;/publisher&gt;&lt;title&gt;Hallmarks of Cancer: The Next Generation&lt;/title&gt;&lt;url&gt;http://dx.doi.org/10.1016/j.cell.2011.02.013&lt;/url&gt;&lt;volume&gt;144&lt;/volume&gt;&lt;publication_date&gt;99201103041200000000222000&lt;/publication_date&gt;&lt;uuid&gt;E03A4551-ED9B-4DE9-8C8B-22D18659ADB2&lt;/uuid&gt;&lt;type&gt;400&lt;/type&gt;&lt;number&gt;5&lt;/number&gt;&lt;citekey&gt;Hanahan:2011gu&lt;/citekey&gt;&lt;doi&gt;10.1016/j.cell.2011.02.013&lt;/doi&gt;&lt;startpage&gt;646&lt;/startpage&gt;&lt;endpage&gt;674&lt;/endpage&gt;&lt;bundle&gt;&lt;publication&gt;&lt;title&gt;Cell&lt;/title&gt;&lt;uuid&gt;03A8C4E6-B539-4B2D-A583-BCC5931AE067&lt;/uuid&gt;&lt;subtype&gt;-100&lt;/subtype&gt;&lt;publisher&gt;The Authors&lt;/publisher&gt;&lt;type&gt;-100&lt;/type&gt;&lt;url&gt;http://arxiv.org&lt;/url&gt;&lt;/publication&gt;&lt;/bundle&gt;&lt;authors&gt;&lt;author&gt;&lt;lastName&gt;Hanahan&lt;/lastName&gt;&lt;firstName&gt;Douglas&lt;/firstName&gt;&lt;/author&gt;&lt;author&gt;&lt;lastName&gt;Weinberg&lt;/lastName&gt;&lt;firstName&gt;Robert&lt;/firstName&gt;&lt;middleNames&gt;A&lt;/middleNames&gt;&lt;/author&gt;&lt;/authors&gt;&lt;/publication&gt;&lt;/publications&gt;&lt;cites&gt;&lt;/cites&gt;&lt;/citation&gt;</w:instrText>
      </w:r>
      <w:r w:rsidRPr="005E63CE">
        <w:fldChar w:fldCharType="separate"/>
      </w:r>
      <w:r w:rsidR="00187389">
        <w:rPr>
          <w:vertAlign w:val="superscript"/>
          <w:lang w:val="en-US"/>
        </w:rPr>
        <w:t>1</w:t>
      </w:r>
      <w:r w:rsidRPr="005E63CE">
        <w:fldChar w:fldCharType="end"/>
      </w:r>
      <w:r w:rsidRPr="005E63CE">
        <w:t>.</w:t>
      </w:r>
    </w:p>
    <w:p w14:paraId="7E10A3B2" w14:textId="77777777" w:rsidR="001922FD" w:rsidRPr="00606791" w:rsidRDefault="001922FD" w:rsidP="001922FD">
      <w:pPr>
        <w:pStyle w:val="Heading5"/>
      </w:pPr>
      <w:bookmarkStart w:id="0" w:name="_Toc385339792"/>
      <w:r w:rsidRPr="00606791">
        <w:t>Common processes in the unique MutFam and Miller modules implicated in Notch signalling</w:t>
      </w:r>
      <w:bookmarkEnd w:id="0"/>
    </w:p>
    <w:p w14:paraId="5F64DD45" w14:textId="77777777" w:rsidR="001922FD" w:rsidRPr="005E63CE" w:rsidRDefault="001922FD" w:rsidP="001922FD">
      <w:pPr>
        <w:pStyle w:val="para"/>
      </w:pPr>
      <w:r w:rsidRPr="005E63CE">
        <w:t>The functional networks derived from the unique MutFam and Miller gene sets both showed modules that were enriched for GO BPs relating to Notch signalling</w:t>
      </w:r>
      <w:r>
        <w:t>—</w:t>
      </w:r>
      <w:r w:rsidRPr="005E63CE">
        <w:t>involved in cellular differentiation</w:t>
      </w:r>
      <w:r>
        <w:t>—</w:t>
      </w:r>
      <w:r w:rsidRPr="005E63CE">
        <w:t>but via contrasting mechanisms (</w:t>
      </w:r>
      <w:r w:rsidRPr="00FC55E7">
        <w:rPr>
          <w:b/>
        </w:rPr>
        <w:t>Supplementary Table 6</w:t>
      </w:r>
      <w:r w:rsidRPr="005E63CE">
        <w:t>).</w:t>
      </w:r>
    </w:p>
    <w:p w14:paraId="3B8998C7" w14:textId="5646D242" w:rsidR="001922FD" w:rsidRDefault="001922FD" w:rsidP="001922FD">
      <w:pPr>
        <w:pStyle w:val="para"/>
      </w:pPr>
      <w:r w:rsidRPr="005E63CE">
        <w:t xml:space="preserve">The MutFam genes in “Notch receptor processing” </w:t>
      </w:r>
      <w:r>
        <w:t xml:space="preserve">have </w:t>
      </w:r>
      <w:r w:rsidRPr="005E63CE">
        <w:t xml:space="preserve">mutations in the receptors NOTCH2 and NOTCH4. Genes from the Miller set show enrichment in “Notch signalling pathway” via upstream and downstream regulators of the Notch pathway, such as EP300 (Histone </w:t>
      </w:r>
      <w:proofErr w:type="spellStart"/>
      <w:r w:rsidRPr="005E63CE">
        <w:t>acetylase</w:t>
      </w:r>
      <w:proofErr w:type="spellEnd"/>
      <w:r w:rsidRPr="005E63CE">
        <w:t>, involved in chromatin modification), and transcriptional regulators</w:t>
      </w:r>
      <w:r>
        <w:t xml:space="preserve"> CEBPA,</w:t>
      </w:r>
      <w:r w:rsidRPr="005E63CE">
        <w:t xml:space="preserve"> CDK8 and SNAI2. It has been suggested that alterations in cellular development in cancer</w:t>
      </w:r>
      <w:r>
        <w:t>—</w:t>
      </w:r>
      <w:r w:rsidRPr="005E63CE">
        <w:t xml:space="preserve">implicated by </w:t>
      </w:r>
      <w:r w:rsidRPr="005E63CE">
        <w:lastRenderedPageBreak/>
        <w:t>genes found in both the MutFam and Miller sets</w:t>
      </w:r>
      <w:r>
        <w:t>—</w:t>
      </w:r>
      <w:r w:rsidRPr="005E63CE">
        <w:t>play a role in maintaining a pluripotent cellular state that is more adaptable and genetically flexible to changes in the cellular environment and this contributes to cancer cell survival</w:t>
      </w:r>
      <w:r w:rsidRPr="005E63CE">
        <w:fldChar w:fldCharType="begin"/>
      </w:r>
      <w:r w:rsidR="00187389">
        <w:instrText xml:space="preserve"> ADDIN PAPERS2_CITATIONS &lt;citation&gt;&lt;priority&gt;0&lt;/priority&gt;&lt;uuid&gt;86E71CFB-4567-4B46-A87E-817195521AD6&lt;/uuid&gt;&lt;publications&gt;&lt;publication&gt;&lt;subtype&gt;400&lt;/subtype&gt;&lt;title&gt;A Tumor Suppressor Function for Notch Signaling in Forebrain Tumor Subtypes&lt;/title&gt;&lt;volume&gt;28&lt;/volume&gt;&lt;publication_date&gt;99201500001200000000200000&lt;/publication_date&gt;&lt;uuid&gt;E61675D8-1A7B-435C-822D-12463B391D20&lt;/uuid&gt;&lt;type&gt;400&lt;/type&gt;&lt;number&gt;6&lt;/number&gt;&lt;citekey&gt;Giachino2015&lt;/citekey&gt;&lt;doi&gt;10.1016/j.ccell.2015.10.008&lt;/doi&gt;&lt;startpage&gt;730&lt;/startpage&gt;&lt;endpage&gt;742&lt;/endpage&gt;&lt;bundle&gt;&lt;publication&gt;&lt;title&gt;Cancer Cell&lt;/title&gt;&lt;uuid&gt;1560D11B-9514-4298-A254-9BC207234CA9&lt;/uuid&gt;&lt;subtype&gt;-100&lt;/subtype&gt;&lt;publisher&gt;Elsevier Ltd&lt;/publisher&gt;&lt;type&gt;-100&lt;/type&gt;&lt;/publication&gt;&lt;/bundle&gt;&lt;authors&gt;&lt;author&gt;&lt;lastName&gt;Giachino&lt;/lastName&gt;&lt;firstName&gt;Claudio&lt;/firstName&gt;&lt;/author&gt;&lt;author&gt;&lt;lastName&gt;Boulay&lt;/lastName&gt;&lt;firstName&gt;Jean&lt;/firstName&gt;&lt;middleNames&gt;Louis&lt;/middleNames&gt;&lt;/author&gt;&lt;author&gt;&lt;lastName&gt;Ivanek&lt;/lastName&gt;&lt;firstName&gt;Robert&lt;/firstName&gt;&lt;/author&gt;&lt;author&gt;&lt;lastName&gt;Alvarado&lt;/lastName&gt;&lt;firstName&gt;Alvaro&lt;/firstName&gt;&lt;/author&gt;&lt;author&gt;&lt;lastName&gt;Tostado&lt;/lastName&gt;&lt;firstName&gt;Cristobal&lt;/firstName&gt;&lt;/author&gt;&lt;author&gt;&lt;lastName&gt;Lugert&lt;/lastName&gt;&lt;firstName&gt;Sebastian&lt;/firstName&gt;&lt;/author&gt;&lt;author&gt;&lt;lastName&gt;Tchorz&lt;/lastName&gt;&lt;firstName&gt;Jan&lt;/firstName&gt;&lt;/author&gt;&lt;author&gt;&lt;lastName&gt;Coban&lt;/lastName&gt;&lt;firstName&gt;Mustafa&lt;/firstName&gt;&lt;/author&gt;&lt;author&gt;&lt;lastName&gt;Mariani&lt;/lastName&gt;&lt;firstName&gt;Luigi&lt;/firstName&gt;&lt;/author&gt;&lt;author&gt;&lt;lastName&gt;Bettler&lt;/lastName&gt;&lt;firstName&gt;Bernhard&lt;/firstName&gt;&lt;/author&gt;&lt;author&gt;&lt;lastName&gt;Lathia&lt;/lastName&gt;&lt;firstName&gt;Justin&lt;/firstName&gt;&lt;/author&gt;&lt;author&gt;&lt;lastName&gt;Frank&lt;/lastName&gt;&lt;firstName&gt;Stephan&lt;/firstName&gt;&lt;/author&gt;&lt;author&gt;&lt;lastName&gt;Pfister&lt;/lastName&gt;&lt;firstName&gt;Stefan&lt;/firstName&gt;&lt;/author&gt;&lt;author&gt;&lt;lastName&gt;Kool&lt;/lastName&gt;&lt;firstName&gt;Marcel&lt;/firstName&gt;&lt;/author&gt;&lt;author&gt;&lt;lastName&gt;Taylor&lt;/lastName&gt;&lt;firstName&gt;Verdon&lt;/firstName&gt;&lt;/author&gt;&lt;/authors&gt;&lt;/publication&gt;&lt;/publications&gt;&lt;cites&gt;&lt;/cites&gt;&lt;/citation&gt;</w:instrText>
      </w:r>
      <w:r w:rsidRPr="005E63CE">
        <w:fldChar w:fldCharType="separate"/>
      </w:r>
      <w:r w:rsidR="00CD10CD">
        <w:rPr>
          <w:vertAlign w:val="superscript"/>
          <w:lang w:val="en-US"/>
        </w:rPr>
        <w:t>2</w:t>
      </w:r>
      <w:r w:rsidRPr="005E63CE">
        <w:fldChar w:fldCharType="end"/>
      </w:r>
      <w:r w:rsidRPr="005E63CE">
        <w:t xml:space="preserve">. Therefore, mutations in proteins involved in developmental pathways, such as NOTCH, may act to maintain this pluripotent state and contribute to </w:t>
      </w:r>
      <w:r>
        <w:t xml:space="preserve">the </w:t>
      </w:r>
      <w:r w:rsidRPr="00F1169D">
        <w:t>tumourigenic</w:t>
      </w:r>
      <w:r>
        <w:t xml:space="preserve"> </w:t>
      </w:r>
      <w:r w:rsidRPr="005E63CE">
        <w:t xml:space="preserve">phenotype. </w:t>
      </w:r>
      <w:bookmarkStart w:id="1" w:name="_Toc385339793"/>
    </w:p>
    <w:p w14:paraId="28B6D5AC" w14:textId="77777777" w:rsidR="001922FD" w:rsidRDefault="001922FD" w:rsidP="001922FD">
      <w:pPr>
        <w:pStyle w:val="Heading5"/>
      </w:pPr>
      <w:r w:rsidRPr="00606791">
        <w:t>Common processes in the unique MutFam and Miller modules implicated in DNA binding and transcriptional regulation</w:t>
      </w:r>
      <w:bookmarkEnd w:id="1"/>
      <w:r w:rsidRPr="00606791">
        <w:t xml:space="preserve"> </w:t>
      </w:r>
    </w:p>
    <w:p w14:paraId="092FF6FD" w14:textId="0FFC01A2" w:rsidR="001922FD" w:rsidRDefault="001922FD" w:rsidP="001922FD">
      <w:pPr>
        <w:pStyle w:val="para"/>
      </w:pPr>
      <w:r w:rsidRPr="005E63CE">
        <w:t>Other common process identified in functional modules from the unique MutFam and unique Miller gene sets relate to DNA transcription. Modules from both sets include many different proteins that contain DNA binding zinc-finger domains (</w:t>
      </w:r>
      <w:r w:rsidRPr="00FC55E7">
        <w:rPr>
          <w:b/>
        </w:rPr>
        <w:t>Supplementary Table 7</w:t>
      </w:r>
      <w:r w:rsidRPr="005E63CE">
        <w:t>) implicated in cancer</w:t>
      </w:r>
      <w:r w:rsidRPr="005E63CE">
        <w:fldChar w:fldCharType="begin"/>
      </w:r>
      <w:r w:rsidR="00187389">
        <w:instrText xml:space="preserve"> ADDIN PAPERS2_CITATIONS &lt;citation&gt;&lt;priority&gt;0&lt;/priority&gt;&lt;uuid&gt;EBCFFD67-D38D-42BF-9416-5B865BCAC96B&lt;/uuid&gt;&lt;publications&gt;&lt;publication&gt;&lt;subtype&gt;400&lt;/subtype&gt;&lt;title&gt;Zinc finger proteins in cancer progression&lt;/title&gt;&lt;url&gt;http://jbiomedsci.biomedcentral.com/articles/10.1186/s12929-016-0269-9&lt;/url&gt;&lt;volume&gt;23&lt;/volume&gt;&lt;publication_date&gt;99201600001200000000200000&lt;/publication_date&gt;&lt;uuid&gt;58F7B611-2415-40BE-9F8C-7AAF1383AA94&lt;/uuid&gt;&lt;type&gt;400&lt;/type&gt;&lt;number&gt;1&lt;/number&gt;&lt;citekey&gt;Jen2016&lt;/citekey&gt;&lt;doi&gt;10.1186/s12929-016-0269-9&lt;/doi&gt;&lt;startpage&gt;53&lt;/startpage&gt;&lt;bundle&gt;&lt;publication&gt;&lt;title&gt;Journal of Biomedical Science&lt;/title&gt;&lt;uuid&gt;52BC48B4-F255-437B-8B23-8580D1769E7D&lt;/uuid&gt;&lt;subtype&gt;-100&lt;/subtype&gt;&lt;type&gt;-100&lt;/type&gt;&lt;/publication&gt;&lt;/bundle&gt;&lt;authors&gt;&lt;author&gt;&lt;lastName&gt;Jen&lt;/lastName&gt;&lt;firstName&gt;Jayu&lt;/firstName&gt;&lt;/author&gt;&lt;author&gt;&lt;lastName&gt;Wang&lt;/lastName&gt;&lt;firstName&gt;Yi-Ching&lt;/firstName&gt;&lt;/author&gt;&lt;/authors&gt;&lt;/publication&gt;&lt;/publications&gt;&lt;cites&gt;&lt;/cites&gt;&lt;/citation&gt;</w:instrText>
      </w:r>
      <w:r w:rsidRPr="005E63CE">
        <w:fldChar w:fldCharType="separate"/>
      </w:r>
      <w:r w:rsidR="00CD10CD">
        <w:rPr>
          <w:vertAlign w:val="superscript"/>
          <w:lang w:val="en-US"/>
        </w:rPr>
        <w:t>3</w:t>
      </w:r>
      <w:r w:rsidRPr="005E63CE">
        <w:fldChar w:fldCharType="end"/>
      </w:r>
      <w:r w:rsidRPr="005E63CE">
        <w:t>. Mutations to zinc-finger domains may affect the specificity and/or affinity of DNA binding and could therefore compromise DNA quality control, with resulting effects on the cancer hallmark processes of genome stability and regulation</w:t>
      </w:r>
      <w:r w:rsidRPr="005E63CE">
        <w:fldChar w:fldCharType="begin"/>
      </w:r>
      <w:r w:rsidR="00187389">
        <w:instrText xml:space="preserve"> ADDIN PAPERS2_CITATIONS &lt;citation&gt;&lt;priority&gt;0&lt;/priority&gt;&lt;uuid&gt;9AA38D7B-DF42-482B-84E8-747D82C631BE&lt;/uuid&gt;&lt;publications&gt;&lt;publication&gt;&lt;subtype&gt;400&lt;/subtype&gt;&lt;publisher&gt;Elsevier Inc.&lt;/publisher&gt;&lt;title&gt;Hallmarks of Cancer: The Next Generation&lt;/title&gt;&lt;url&gt;http://dx.doi.org/10.1016/j.cell.2011.02.013&lt;/url&gt;&lt;volume&gt;144&lt;/volume&gt;&lt;publication_date&gt;99201103041200000000222000&lt;/publication_date&gt;&lt;uuid&gt;E03A4551-ED9B-4DE9-8C8B-22D18659ADB2&lt;/uuid&gt;&lt;type&gt;400&lt;/type&gt;&lt;number&gt;5&lt;/number&gt;&lt;citekey&gt;Hanahan:2011gu&lt;/citekey&gt;&lt;doi&gt;10.1016/j.cell.2011.02.013&lt;/doi&gt;&lt;startpage&gt;646&lt;/startpage&gt;&lt;endpage&gt;674&lt;/endpage&gt;&lt;bundle&gt;&lt;publication&gt;&lt;title&gt;Cell&lt;/title&gt;&lt;uuid&gt;03A8C4E6-B539-4B2D-A583-BCC5931AE067&lt;/uuid&gt;&lt;subtype&gt;-100&lt;/subtype&gt;&lt;publisher&gt;The Authors&lt;/publisher&gt;&lt;type&gt;-100&lt;/type&gt;&lt;url&gt;http://arxiv.org&lt;/url&gt;&lt;/publication&gt;&lt;/bundle&gt;&lt;authors&gt;&lt;author&gt;&lt;lastName&gt;Hanahan&lt;/lastName&gt;&lt;firstName&gt;Douglas&lt;/firstName&gt;&lt;/author&gt;&lt;author&gt;&lt;lastName&gt;Weinberg&lt;/lastName&gt;&lt;firstName&gt;Robert&lt;/firstName&gt;&lt;middleNames&gt;A&lt;/middleNames&gt;&lt;/author&gt;&lt;/authors&gt;&lt;/publication&gt;&lt;/publications&gt;&lt;cites&gt;&lt;/cites&gt;&lt;/citation&gt;</w:instrText>
      </w:r>
      <w:r w:rsidRPr="005E63CE">
        <w:fldChar w:fldCharType="separate"/>
      </w:r>
      <w:r w:rsidR="00187389">
        <w:rPr>
          <w:vertAlign w:val="superscript"/>
          <w:lang w:val="en-US"/>
        </w:rPr>
        <w:t>1</w:t>
      </w:r>
      <w:r w:rsidRPr="005E63CE">
        <w:fldChar w:fldCharType="end"/>
      </w:r>
      <w:r w:rsidRPr="005E63CE">
        <w:t xml:space="preserve">. Despite the distinct sets of zinc-finger domain containing genes found in the MutFam and Miller sets, they are enriched in two identical processes: "regulation of transcription, DNA-dependent" and "transcription, DNA-dependent". This result further highlights how distinct driver genes identified by different methods may </w:t>
      </w:r>
      <w:r>
        <w:t xml:space="preserve">be acting through </w:t>
      </w:r>
      <w:r w:rsidRPr="005E63CE">
        <w:t>alterations to a small number of common biological processes.</w:t>
      </w:r>
      <w:bookmarkStart w:id="2" w:name="_Toc385339794"/>
    </w:p>
    <w:p w14:paraId="1022F0AD" w14:textId="77777777" w:rsidR="001922FD" w:rsidRPr="00606791" w:rsidRDefault="001922FD" w:rsidP="001922FD">
      <w:pPr>
        <w:pStyle w:val="Heading5"/>
      </w:pPr>
      <w:r w:rsidRPr="00606791">
        <w:t>Cellular development processes identified for the unique MutFam and Miller gene sets</w:t>
      </w:r>
      <w:bookmarkEnd w:id="2"/>
      <w:r w:rsidRPr="00606791">
        <w:t xml:space="preserve"> </w:t>
      </w:r>
    </w:p>
    <w:p w14:paraId="2777C922" w14:textId="2D07F465" w:rsidR="001922FD" w:rsidRPr="005E63CE" w:rsidRDefault="001922FD" w:rsidP="001922FD">
      <w:pPr>
        <w:pStyle w:val="para"/>
      </w:pPr>
      <w:r w:rsidRPr="005E63CE">
        <w:t>We further analysed distinct functional modules from the unique MutFam and Miller genes that mapped to diverse specific processes that all broadly relate to cellular developmental pathways</w:t>
      </w:r>
      <w:proofErr w:type="gramStart"/>
      <w:r w:rsidRPr="005E63CE">
        <w:t xml:space="preserve">.  </w:t>
      </w:r>
      <w:proofErr w:type="gramEnd"/>
      <w:r w:rsidRPr="005E63CE">
        <w:t xml:space="preserve">For the MutFam genes, we identified three functional modules that were enriched in developmental processes (e.g. “nervous system development”, “axon guidance”, and “synapse assembly” - for a full list see </w:t>
      </w:r>
      <w:r w:rsidRPr="00FC55E7">
        <w:rPr>
          <w:b/>
        </w:rPr>
        <w:t>Supplementary Table 8</w:t>
      </w:r>
      <w:r w:rsidRPr="005E63CE">
        <w:t xml:space="preserve">). Processes affecting neuronal and system development have been implicated in breast cancer, where changes in neuronal guidance, migratory contacts and </w:t>
      </w:r>
      <w:r>
        <w:t>e</w:t>
      </w:r>
      <w:r w:rsidRPr="005E63CE">
        <w:t>phrin signalling contribute towards carcinogenesis</w:t>
      </w:r>
      <w:r w:rsidRPr="005E63CE">
        <w:fldChar w:fldCharType="begin"/>
      </w:r>
      <w:r w:rsidR="00187389">
        <w:instrText xml:space="preserve"> ADDIN PAPERS2_CITATIONS &lt;citation&gt;&lt;priority&gt;56&lt;/priority&gt;&lt;uuid&gt;048B96A8-3BAF-429B-BF2A-5CC57AC13A82&lt;/uuid&gt;&lt;publications&gt;&lt;publication&gt;&lt;subtype&gt;400&lt;/subtype&gt;&lt;title&gt;Navigating breast cancer: axon guidance molecules as breast cancer tumor suppressors and oncogenes.&lt;/title&gt;&lt;url&gt;http://link.springer.com/10.1007/s10911-011-9225-1&lt;/url&gt;&lt;volume&gt;16&lt;/volume&gt;&lt;publication_date&gt;99201109001200000000220000&lt;/publication_date&gt;&lt;uuid&gt;96502069-80E8-4FEC-B622-2B54B340EDD3&lt;/uuid&gt;&lt;type&gt;400&lt;/type&gt;&lt;accepted_date&gt;99201107191200000000222000&lt;/accepted_date&gt;&lt;number&gt;3&lt;/number&gt;&lt;citekey&gt;Harburg2011&lt;/citekey&gt;&lt;submission_date&gt;99201106071200000000222000&lt;/submission_date&gt;&lt;doi&gt;10.1007/s10911-011-9225-1&lt;/doi&gt;&lt;institution&gt;Department of Molecular, Cell and Developmental Biology, University of California, Santa Cruz, CA 95064, USA.&lt;/institution&gt;&lt;startpage&gt;257&lt;/startpage&gt;&lt;endpage&gt;270&lt;/endpage&gt;&lt;bundle&gt;&lt;publication&gt;&lt;title&gt;Journal of mammary gland biology and neoplasia&lt;/title&gt;&lt;uuid&gt;20CE3899-46E9-4ECA-BD1C-DD10CE8D19B4&lt;/uuid&gt;&lt;subtype&gt;-100&lt;/subtype&gt;&lt;type&gt;-100&lt;/type&gt;&lt;/publication&gt;&lt;/bundle&gt;&lt;authors&gt;&lt;author&gt;&lt;lastName&gt;Harburg&lt;/lastName&gt;&lt;firstName&gt;Gwyndolen&lt;/firstName&gt;&lt;middleNames&gt;C&lt;/middleNames&gt;&lt;/author&gt;&lt;author&gt;&lt;lastName&gt;Hinck&lt;/lastName&gt;&lt;firstName&gt;Lindsay&lt;/firstName&gt;&lt;/author&gt;&lt;/authors&gt;&lt;/publication&gt;&lt;publication&gt;&lt;subtype&gt;400&lt;/subtype&gt;&lt;title&gt;Guidance molecules in lung cancer&lt;/title&gt;&lt;url&gt;http://www.tandfonline.com/doi/abs/10.4161/cam.4.1.10882&lt;/url&gt;&lt;volume&gt;4&lt;/volume&gt;&lt;publication_date&gt;99201410271200000000222000&lt;/publication_date&gt;&lt;uuid&gt;713D0E50-76F4-411C-95AD-AC339EED6C86&lt;/uuid&gt;&lt;type&gt;400&lt;/type&gt;&lt;number&gt;1&lt;/number&gt;&lt;citekey&gt;Nasarre2010&lt;/citekey&gt;&lt;doi&gt;10.4161/cam.4.1.10882&lt;/doi&gt;&lt;startpage&gt;130&lt;/startpage&gt;&lt;endpage&gt;145&lt;/endpage&gt;&lt;bundle&gt;&lt;publication&gt;&lt;title&gt;Cell Adhesion &amp;amp; Migration&lt;/title&gt;&lt;uuid&gt;68154D82-620E-408C-A2D4-28E0C0A2E16B&lt;/uuid&gt;&lt;subtype&gt;-100&lt;/subtype&gt;&lt;type&gt;-100&lt;/type&gt;&lt;/publication&gt;&lt;/bundle&gt;&lt;authors&gt;&lt;author&gt;&lt;lastName&gt;Nasarre&lt;/lastName&gt;&lt;firstName&gt;Patrick&lt;/firstName&gt;&lt;/author&gt;&lt;author&gt;&lt;lastName&gt;Potiron&lt;/lastName&gt;&lt;firstName&gt;Vincent&lt;/firstName&gt;&lt;/author&gt;&lt;author&gt;&lt;lastName&gt;Drabkin&lt;/lastName&gt;&lt;firstName&gt;Harry&lt;/firstName&gt;&lt;/author&gt;&lt;author&gt;&lt;lastName&gt;Roche&lt;/lastName&gt;&lt;firstName&gt;Joëlle&lt;/firstName&gt;&lt;/author&gt;&lt;/authors&gt;&lt;/publication&gt;&lt;/publications&gt;&lt;cites&gt;&lt;/cites&gt;&lt;/citation&gt;</w:instrText>
      </w:r>
      <w:r w:rsidRPr="005E63CE">
        <w:fldChar w:fldCharType="separate"/>
      </w:r>
      <w:r w:rsidR="00CD10CD">
        <w:rPr>
          <w:vertAlign w:val="superscript"/>
          <w:lang w:val="en-US"/>
        </w:rPr>
        <w:t>4,5</w:t>
      </w:r>
      <w:r w:rsidRPr="005E63CE">
        <w:fldChar w:fldCharType="end"/>
      </w:r>
      <w:r w:rsidRPr="005E63CE">
        <w:t xml:space="preserve">. </w:t>
      </w:r>
      <w:r w:rsidRPr="005E63CE">
        <w:rPr>
          <w:bCs/>
        </w:rPr>
        <w:t xml:space="preserve">Functional modules identified from the Miller genes are enriched in </w:t>
      </w:r>
      <w:r w:rsidRPr="005E63CE">
        <w:t xml:space="preserve">processes such as “cardiac </w:t>
      </w:r>
      <w:r w:rsidRPr="005E63CE">
        <w:lastRenderedPageBreak/>
        <w:t xml:space="preserve">rhythm” and “regulation of smooth muscle contraction” (for a full list see </w:t>
      </w:r>
      <w:r w:rsidRPr="00230747">
        <w:rPr>
          <w:b/>
        </w:rPr>
        <w:t>Supplementary Table 9</w:t>
      </w:r>
      <w:r w:rsidRPr="005E63CE">
        <w:t>). Manipulation of the cellular cytoskeleton, using contractile elements such as those used in muscle contraction, is a common event in cell migration (specifically the amoeboid mode of migration) enabling invasion through the surrounding extracellular matrix</w:t>
      </w:r>
      <w:r w:rsidRPr="005E63CE">
        <w:fldChar w:fldCharType="begin"/>
      </w:r>
      <w:r w:rsidR="00187389">
        <w:instrText xml:space="preserve"> ADDIN PAPERS2_CITATIONS &lt;citation&gt;&lt;priority&gt;0&lt;/priority&gt;&lt;uuid&gt;C9B59652-B3D7-48FC-B2C7-C211B74B77B3&lt;/uuid&gt;&lt;publications&gt;&lt;publication&gt;&lt;subtype&gt;400&lt;/subtype&gt;&lt;publisher&gt;SP Birkhäuser Verlag Basel&lt;/publisher&gt;&lt;title&gt;The molecular mechanisms of transition between mesenchymal and amoeboid invasiveness in tumor cells.&lt;/title&gt;&lt;url&gt;http://link.springer.com/10.1007/s00018-009-0132-1&lt;/url&gt;&lt;volume&gt;67&lt;/volume&gt;&lt;revision_date&gt;99200908101200000000222000&lt;/revision_date&gt;&lt;publication_date&gt;99201001001200000000220000&lt;/publication_date&gt;&lt;uuid&gt;22118CFB-3643-4E95-8327-58A6337B09AD&lt;/uuid&gt;&lt;type&gt;400&lt;/type&gt;&lt;accepted_date&gt;99200908111200000000222000&lt;/accepted_date&gt;&lt;number&gt;1&lt;/number&gt;&lt;citekey&gt;Pankova2010&lt;/citekey&gt;&lt;submission_date&gt;99200907011200000000222000&lt;/submission_date&gt;&lt;doi&gt;10.1007/s00018-009-0132-1&lt;/doi&gt;&lt;institution&gt;Department of Cell Biology, Faculty of Science, Charles University in Prague, Prague, Czech Republic.&lt;/institution&gt;&lt;startpage&gt;63&lt;/startpage&gt;&lt;endpage&gt;71&lt;/endpage&gt;&lt;bundle&gt;&lt;publication&gt;&lt;title&gt;Cellular and molecular life sciences : CMLS&lt;/title&gt;&lt;uuid&gt;733C6816-DF86-4A3B-8141-51255FB011EC&lt;/uuid&gt;&lt;subtype&gt;-100&lt;/subtype&gt;&lt;type&gt;-100&lt;/type&gt;&lt;/publication&gt;&lt;/bundle&gt;&lt;authors&gt;&lt;author&gt;&lt;lastName&gt;Paňková&lt;/lastName&gt;&lt;firstName&gt;K&lt;/firstName&gt;&lt;/author&gt;&lt;author&gt;&lt;lastName&gt;Rösel&lt;/lastName&gt;&lt;firstName&gt;D&lt;/firstName&gt;&lt;/author&gt;&lt;author&gt;&lt;lastName&gt;Novotný&lt;/lastName&gt;&lt;firstName&gt;M&lt;/firstName&gt;&lt;/author&gt;&lt;author&gt;&lt;lastName&gt;Brábek&lt;/lastName&gt;&lt;firstName&gt;Jan&lt;/firstName&gt;&lt;/author&gt;&lt;/authors&gt;&lt;/publication&gt;&lt;/publications&gt;&lt;cites&gt;&lt;/cites&gt;&lt;/citation&gt;</w:instrText>
      </w:r>
      <w:r w:rsidRPr="005E63CE">
        <w:fldChar w:fldCharType="separate"/>
      </w:r>
      <w:r w:rsidR="00CD10CD">
        <w:rPr>
          <w:vertAlign w:val="superscript"/>
          <w:lang w:val="en-US"/>
        </w:rPr>
        <w:t>6</w:t>
      </w:r>
      <w:r w:rsidRPr="005E63CE">
        <w:fldChar w:fldCharType="end"/>
      </w:r>
      <w:r w:rsidRPr="005E63CE">
        <w:t xml:space="preserve">. The process "axon guidance" identified in one module from the Miller set includes </w:t>
      </w:r>
      <w:proofErr w:type="spellStart"/>
      <w:r w:rsidRPr="005E63CE">
        <w:t>RhoGTPases</w:t>
      </w:r>
      <w:proofErr w:type="spellEnd"/>
      <w:r w:rsidRPr="005E63CE">
        <w:t xml:space="preserve">. In the context of cellular development, </w:t>
      </w:r>
      <w:proofErr w:type="spellStart"/>
      <w:r w:rsidRPr="005E63CE">
        <w:t>RhoGTPases</w:t>
      </w:r>
      <w:proofErr w:type="spellEnd"/>
      <w:r w:rsidRPr="005E63CE">
        <w:t xml:space="preserve"> are downstream effectors of </w:t>
      </w:r>
      <w:r>
        <w:t>e</w:t>
      </w:r>
      <w:r w:rsidRPr="005E63CE">
        <w:t xml:space="preserve">phrin receptor signalling, where </w:t>
      </w:r>
      <w:proofErr w:type="spellStart"/>
      <w:r w:rsidRPr="005E63CE">
        <w:t>RhoGTPase</w:t>
      </w:r>
      <w:proofErr w:type="spellEnd"/>
      <w:r w:rsidRPr="005E63CE">
        <w:t xml:space="preserve"> activation leads to actin monomer assembly into larger cytoskeletal structures, which is imperative for cellular adhesion and migration - and in turn axon guidance - and is implicated in cancer</w:t>
      </w:r>
      <w:r w:rsidRPr="005E63CE">
        <w:fldChar w:fldCharType="begin"/>
      </w:r>
      <w:r w:rsidR="00187389">
        <w:instrText xml:space="preserve"> ADDIN PAPERS2_CITATIONS &lt;citation&gt;&lt;priority&gt;0&lt;/priority&gt;&lt;uuid&gt;66BE1981-42D2-4B21-A9CC-95193833CE59&lt;/uuid&gt;&lt;publications&gt;&lt;publication&gt;&lt;subtype&gt;400&lt;/subtype&gt;&lt;title&gt;The plasticity of cytoskeletal dynamics underlying neoplastic cell migration.&lt;/title&gt;&lt;url&gt;http://linkinghub.elsevier.com/retrieve/pii/S0955067410001432&lt;/url&gt;&lt;volume&gt;22&lt;/volume&gt;&lt;revision_date&gt;99201008171200000000222000&lt;/revision_date&gt;&lt;publication_date&gt;99201010001200000000220000&lt;/publication_date&gt;&lt;uuid&gt;2E16C77A-4876-4792-86B4-42D6424BAA98&lt;/uuid&gt;&lt;type&gt;400&lt;/type&gt;&lt;accepted_date&gt;99201008181200000000222000&lt;/accepted_date&gt;&lt;number&gt;5&lt;/number&gt;&lt;citekey&gt;Sanz-Moreno2010&lt;/citekey&gt;&lt;submission_date&gt;99201004261200000000222000&lt;/submission_date&gt;&lt;doi&gt;10.1016/j.ceb.2010.08.020&lt;/doi&gt;&lt;institution&gt;Cancer Research UK Centre for Cell and Molecular Biology, Institute of Cancer Research, 237 Fulham Road, London SW3 6JB, United Kingdom.&lt;/institution&gt;&lt;startpage&gt;690&lt;/startpage&gt;&lt;endpage&gt;696&lt;/endpage&gt;&lt;bundle&gt;&lt;publication&gt;&lt;title&gt;Current Opinion in Cell Biology&lt;/title&gt;&lt;uuid&gt;5B4495CB-BC13-43CE-827E-C35E28022F3B&lt;/uuid&gt;&lt;subtype&gt;-100&lt;/subtype&gt;&lt;type&gt;-100&lt;/type&gt;&lt;/publication&gt;&lt;/bundle&gt;&lt;authors&gt;&lt;author&gt;&lt;lastName&gt;Sanz-Moreno&lt;/lastName&gt;&lt;firstName&gt;Victoria&lt;/firstName&gt;&lt;/author&gt;&lt;author&gt;&lt;lastName&gt;Marshall&lt;/lastName&gt;&lt;firstName&gt;Christopher&lt;/firstName&gt;&lt;middleNames&gt;J&lt;/middleNames&gt;&lt;/author&gt;&lt;/authors&gt;&lt;/publication&gt;&lt;/publications&gt;&lt;cites&gt;&lt;/cites&gt;&lt;/citation&gt;</w:instrText>
      </w:r>
      <w:r w:rsidRPr="005E63CE">
        <w:fldChar w:fldCharType="separate"/>
      </w:r>
      <w:r w:rsidR="00CD10CD">
        <w:rPr>
          <w:vertAlign w:val="superscript"/>
          <w:lang w:val="en-US"/>
        </w:rPr>
        <w:t>7</w:t>
      </w:r>
      <w:r w:rsidRPr="005E63CE">
        <w:fldChar w:fldCharType="end"/>
      </w:r>
      <w:r w:rsidRPr="005E63CE">
        <w:t xml:space="preserve">. </w:t>
      </w:r>
    </w:p>
    <w:p w14:paraId="396BDE3D" w14:textId="77777777" w:rsidR="001922FD" w:rsidRDefault="001922FD" w:rsidP="001922FD">
      <w:pPr>
        <w:pStyle w:val="para"/>
      </w:pPr>
      <w:r>
        <w:tab/>
      </w:r>
      <w:r w:rsidRPr="005E63CE">
        <w:t xml:space="preserve">Further analysis showed that whilst the MutFam and Miller gene sets were commonly enriched in biological processes implicated in cellular development, these processes were associated with different gastrulation layers. This is perhaps not surprising as the MutFam and Miller gene sets are associated with different distributions of mutations in cancer types (see </w:t>
      </w:r>
      <w:r w:rsidRPr="006D3BFC">
        <w:rPr>
          <w:b/>
        </w:rPr>
        <w:t xml:space="preserve">Supplementary Table </w:t>
      </w:r>
      <w:r>
        <w:rPr>
          <w:b/>
        </w:rPr>
        <w:t>10</w:t>
      </w:r>
      <w:r w:rsidRPr="005E63CE">
        <w:t>). We examined any possible tissue bias in the MutFam and Miller studies by comparing them with respect to their tissue origins in gastrulation (</w:t>
      </w:r>
      <w:r>
        <w:rPr>
          <w:b/>
        </w:rPr>
        <w:t>see S</w:t>
      </w:r>
      <w:r w:rsidRPr="005E63CE">
        <w:rPr>
          <w:b/>
        </w:rPr>
        <w:t xml:space="preserve">upplementary </w:t>
      </w:r>
      <w:r>
        <w:rPr>
          <w:b/>
        </w:rPr>
        <w:t>S</w:t>
      </w:r>
      <w:r w:rsidRPr="005E63CE">
        <w:rPr>
          <w:b/>
        </w:rPr>
        <w:t xml:space="preserve">ection </w:t>
      </w:r>
      <w:r>
        <w:rPr>
          <w:b/>
        </w:rPr>
        <w:t>1.2)</w:t>
      </w:r>
      <w:r w:rsidRPr="005E63CE">
        <w:t xml:space="preserve">. Our results suggest that the MutFam and Miller genes may be involved in similar processes operating in different cellular contexts and </w:t>
      </w:r>
      <w:r>
        <w:t xml:space="preserve">this </w:t>
      </w:r>
      <w:r w:rsidRPr="005E63CE">
        <w:t>may partly explain why there is a relatively low overlap in the MutFam and Miller gene sets.</w:t>
      </w:r>
    </w:p>
    <w:p w14:paraId="7A39AF89" w14:textId="77777777" w:rsidR="001922FD" w:rsidRDefault="001922FD" w:rsidP="001922FD">
      <w:pPr>
        <w:pStyle w:val="para"/>
        <w:sectPr w:rsidR="001922FD" w:rsidSect="001F195A">
          <w:pgSz w:w="11900" w:h="16840"/>
          <w:pgMar w:top="1440" w:right="1800" w:bottom="1440" w:left="1800" w:header="708" w:footer="708" w:gutter="0"/>
          <w:cols w:space="708"/>
          <w:docGrid w:linePitch="360"/>
        </w:sectPr>
      </w:pPr>
    </w:p>
    <w:p w14:paraId="121011C2" w14:textId="77777777" w:rsidR="001922FD" w:rsidRDefault="001922FD">
      <w:pPr>
        <w:pStyle w:val="Heading2"/>
      </w:pPr>
      <w:r>
        <w:lastRenderedPageBreak/>
        <w:t>1.2</w:t>
      </w:r>
      <w:r>
        <w:tab/>
        <w:t>Gastrulation layers</w:t>
      </w:r>
    </w:p>
    <w:p w14:paraId="0D86040A" w14:textId="77777777" w:rsidR="001922FD" w:rsidRPr="00D43B88" w:rsidRDefault="001922FD" w:rsidP="001922FD">
      <w:pPr>
        <w:pStyle w:val="para"/>
      </w:pPr>
      <w:r>
        <w:rPr>
          <w:rFonts w:eastAsiaTheme="minorEastAsia"/>
        </w:rPr>
        <w:t xml:space="preserve">The three </w:t>
      </w:r>
      <w:r w:rsidRPr="005676E6">
        <w:rPr>
          <w:rFonts w:eastAsiaTheme="minorEastAsia"/>
        </w:rPr>
        <w:t>gastrulation layers - ectoderm, mesoderm and endoderm - are formed during embryogenesis and lead to different tissue types during development. To examine any tissue bias in the MutFam and Miller studies, the cancers analysed by the MutFam and Miller approaches were compared with respect to their tissue origins in gastrulation (</w:t>
      </w:r>
      <w:r w:rsidRPr="004D0BE5">
        <w:rPr>
          <w:rFonts w:eastAsiaTheme="minorEastAsia"/>
          <w:b/>
        </w:rPr>
        <w:t>Supplementary Table 10</w:t>
      </w:r>
      <w:r w:rsidRPr="005676E6">
        <w:rPr>
          <w:rFonts w:eastAsiaTheme="minorEastAsia"/>
        </w:rPr>
        <w:t xml:space="preserve">). Modules identified for the MutFam set tend to be enriched in developmental processes associated with the endoderm layer – which eventually forms the, lung, thyroid, and digestive tract, and the ectoderm layer – which forms the skin epidermis, neurons in the brain, and pigment cells (for a full list of these developmental processes see </w:t>
      </w:r>
      <w:r w:rsidRPr="004D0BE5">
        <w:rPr>
          <w:rFonts w:eastAsiaTheme="minorEastAsia"/>
          <w:b/>
        </w:rPr>
        <w:t>Supplementary Table 8</w:t>
      </w:r>
      <w:r w:rsidRPr="005676E6">
        <w:rPr>
          <w:rFonts w:eastAsiaTheme="minorEastAsia"/>
        </w:rPr>
        <w:t>). In contrast, modules for the Miller set (</w:t>
      </w:r>
      <w:r w:rsidRPr="004D0BE5">
        <w:rPr>
          <w:rFonts w:eastAsiaTheme="minorEastAsia"/>
          <w:b/>
        </w:rPr>
        <w:t>Supplementary Table 9</w:t>
      </w:r>
      <w:r w:rsidRPr="005676E6">
        <w:rPr>
          <w:rFonts w:eastAsiaTheme="minorEastAsia"/>
        </w:rPr>
        <w:t>) largely involve processes associated with mesoderm layers, which form the cardiac, smooth and skeletal muscle tissues, kidney tubules, and red blood cells. Overall, these findings suggest that the MutFam and Miller genes may be involved in similar processes operating in different cellular contexts and may partly explain why there is a relatively low overlap in the MutFam and Miller gene sets</w:t>
      </w:r>
      <w:r w:rsidRPr="00A06161">
        <w:t>.</w:t>
      </w:r>
    </w:p>
    <w:p w14:paraId="6955AED3" w14:textId="77777777" w:rsidR="001922FD" w:rsidRDefault="001922FD" w:rsidP="00CD10CD">
      <w:pPr>
        <w:pStyle w:val="Heading2-suppl"/>
        <w:sectPr w:rsidR="001922FD" w:rsidSect="001F195A">
          <w:pgSz w:w="11900" w:h="16840"/>
          <w:pgMar w:top="1440" w:right="1800" w:bottom="1440" w:left="1800" w:header="708" w:footer="708" w:gutter="0"/>
          <w:cols w:space="708"/>
          <w:docGrid w:linePitch="360"/>
        </w:sectPr>
      </w:pPr>
    </w:p>
    <w:p w14:paraId="1720C187" w14:textId="00BA1493" w:rsidR="001922FD" w:rsidRDefault="001922FD" w:rsidP="00070EDB">
      <w:pPr>
        <w:pStyle w:val="Heading2"/>
      </w:pPr>
      <w:r>
        <w:lastRenderedPageBreak/>
        <w:t>1.3</w:t>
      </w:r>
      <w:r>
        <w:tab/>
      </w:r>
      <w:r w:rsidRPr="001B387A">
        <w:t>Different biological processes identified for the unique MutFam and Miller genes</w:t>
      </w:r>
    </w:p>
    <w:p w14:paraId="5EAD0898" w14:textId="38BD4711" w:rsidR="001922FD" w:rsidRPr="005E63CE" w:rsidRDefault="001922FD" w:rsidP="001922FD">
      <w:pPr>
        <w:pStyle w:val="para"/>
      </w:pPr>
      <w:r w:rsidRPr="00102B55">
        <w:t>Biological processes implicated in cancer and uniquely enriched in MutFam modules include “Homophilic cell adhesion” and “calcium dependent cell adhesion” (</w:t>
      </w:r>
      <w:r>
        <w:rPr>
          <w:b/>
        </w:rPr>
        <w:t>Supplemental Table 12</w:t>
      </w:r>
      <w:r w:rsidRPr="00102B55">
        <w:t>). These modules involve clusters of genes from the Proto-cadherin family, involved in cell adhesion and migration, and are thought to act as a chemical conduit between intracellular signalling and migratory processes during cancer cell invasion</w:t>
      </w:r>
      <w:r w:rsidRPr="00102B55">
        <w:fldChar w:fldCharType="begin"/>
      </w:r>
      <w:r w:rsidR="00187389">
        <w:instrText xml:space="preserve"> ADDIN PAPERS2_CITATIONS &lt;citation&gt;&lt;priority&gt;62&lt;/priority&gt;&lt;uuid&gt;67D7950D-51E5-40E3-8330-A3770580A748&lt;/uuid&gt;&lt;publications&gt;&lt;publication&gt;&lt;subtype&gt;400&lt;/subtype&gt;&lt;title&gt;Molecular evolution of the cadherin superfamily.&lt;/title&gt;&lt;url&gt;http://linkinghub.elsevier.com/retrieve/pii/S1357272508004044&lt;/url&gt;&lt;volume&gt;41&lt;/volume&gt;&lt;revision_date&gt;99200809191200000000222000&lt;/revision_date&gt;&lt;publication_date&gt;99200902001200000000220000&lt;/publication_date&gt;&lt;uuid&gt;BB46CB67-C970-4B3E-B802-AF651D2BAC66&lt;/uuid&gt;&lt;type&gt;400&lt;/type&gt;&lt;accepted_date&gt;99200809241200000000222000&lt;/accepted_date&gt;&lt;number&gt;2&lt;/number&gt;&lt;submission_date&gt;99200807241200000000222000&lt;/submission_date&gt;&lt;doi&gt;10.1016/j.biocel.2008.09.027&lt;/doi&gt;&lt;institution&gt;Department for Molecular Biomedical Research, VIB, Ghent, Belgium.&lt;/institution&gt;&lt;startpage&gt;349&lt;/startpage&gt;&lt;endpage&gt;369&lt;/endpage&gt;&lt;bundle&gt;&lt;publication&gt;&lt;title&gt;The international journal of biochemistry &amp;amp; cell biology&lt;/title&gt;&lt;uuid&gt;945A68F7-A09E-483B-A611-C3DE0D4F7BFF&lt;/uuid&gt;&lt;subtype&gt;-100&lt;/subtype&gt;&lt;type&gt;-100&lt;/type&gt;&lt;/publication&gt;&lt;/bundle&gt;&lt;authors&gt;&lt;author&gt;&lt;lastName&gt;Hulpiau&lt;/lastName&gt;&lt;firstName&gt;Paco&lt;/firstName&gt;&lt;/author&gt;&lt;author&gt;&lt;lastName&gt;Roy&lt;/lastName&gt;&lt;nonDroppingParticle&gt;van&lt;/nonDroppingParticle&gt;&lt;firstName&gt;Frans&lt;/firstName&gt;&lt;/author&gt;&lt;/authors&gt;&lt;/publication&gt;&lt;publication&gt;&lt;subtype&gt;400&lt;/subtype&gt;&lt;title&gt;Involvement of members of the cadherin superfamily in cancer.&lt;/title&gt;&lt;url&gt;http://cshperspectives.cshlp.org/lookup/doi/10.1101/cshperspect.a003129&lt;/url&gt;&lt;volume&gt;1&lt;/volume&gt;&lt;publication_date&gt;99200912001200000000220000&lt;/publication_date&gt;&lt;uuid&gt;2CB9A93B-2885-44C9-9D4A-E50E8C769BD7&lt;/uuid&gt;&lt;type&gt;400&lt;/type&gt;&lt;number&gt;6&lt;/number&gt;&lt;doi&gt;10.1101/cshperspect.a003129&lt;/doi&gt;&lt;institution&gt;Molecular and Cellular Oncology Unit, Department for Molecular Biomedical Research, VIB, Ghent, Belgium.&lt;/institution&gt;&lt;startpage&gt;a003129&lt;/startpage&gt;&lt;endpage&gt;a003129&lt;/endpage&gt;&lt;bundle&gt;&lt;publication&gt;&lt;title&gt;Cold Spring Harbor perspectives in biology&lt;/title&gt;&lt;uuid&gt;8E357B8E-FD54-46FB-8CCF-560CAFCC506A&lt;/uuid&gt;&lt;subtype&gt;-100&lt;/subtype&gt;&lt;type&gt;-100&lt;/type&gt;&lt;/publication&gt;&lt;/bundle&gt;&lt;authors&gt;&lt;author&gt;&lt;lastName&gt;Berx&lt;/lastName&gt;&lt;firstName&gt;Geert&lt;/firstName&gt;&lt;/author&gt;&lt;author&gt;&lt;lastName&gt;Roy&lt;/lastName&gt;&lt;nonDroppingParticle&gt;van&lt;/nonDroppingParticle&gt;&lt;firstName&gt;Frans&lt;/firstName&gt;&lt;/author&gt;&lt;/authors&gt;&lt;/publication&gt;&lt;/publications&gt;&lt;cites&gt;&lt;/cites&gt;&lt;/citation&gt;</w:instrText>
      </w:r>
      <w:r w:rsidRPr="00102B55">
        <w:fldChar w:fldCharType="separate"/>
      </w:r>
      <w:r w:rsidR="00CD10CD">
        <w:rPr>
          <w:rFonts w:ascii="Cambria" w:hAnsi="Cambria" w:cs="Cambria"/>
          <w:vertAlign w:val="superscript"/>
          <w:lang w:val="en-US"/>
        </w:rPr>
        <w:t>8,9</w:t>
      </w:r>
      <w:r w:rsidRPr="00102B55">
        <w:fldChar w:fldCharType="end"/>
      </w:r>
      <w:r w:rsidRPr="00102B55">
        <w:t xml:space="preserve">. The involvement of these processes is </w:t>
      </w:r>
      <w:r w:rsidRPr="005676E6">
        <w:rPr>
          <w:highlight w:val="white"/>
        </w:rPr>
        <w:t>further supported by studies that</w:t>
      </w:r>
      <w:r w:rsidRPr="005676E6">
        <w:rPr>
          <w:color w:val="000000"/>
          <w:highlight w:val="white"/>
        </w:rPr>
        <w:t xml:space="preserve"> show that ECM reorganisation and alteration of these cell-cell junction proteins give an increased invasion in carcinomas</w:t>
      </w:r>
      <w:r w:rsidRPr="005676E6">
        <w:rPr>
          <w:color w:val="000000"/>
          <w:highlight w:val="white"/>
        </w:rPr>
        <w:fldChar w:fldCharType="begin"/>
      </w:r>
      <w:r w:rsidR="00187389">
        <w:rPr>
          <w:color w:val="000000"/>
          <w:highlight w:val="white"/>
        </w:rPr>
        <w:instrText xml:space="preserve"> ADDIN PAPERS2_CITATIONS &lt;citation&gt;&lt;priority&gt;0&lt;/priority&gt;&lt;uuid&gt;0ED74D9D-2BB7-4790-9CDA-17F951546FE7&lt;/uuid&gt;&lt;publications&gt;&lt;publication&gt;&lt;subtype&gt;400&lt;/subtype&gt;&lt;publisher&gt;Elsevier Inc.&lt;/publisher&gt;&lt;title&gt;Hallmarks of Cancer: The Next Generation&lt;/title&gt;&lt;url&gt;http://dx.doi.org/10.1016/j.cell.2011.02.013&lt;/url&gt;&lt;volume&gt;144&lt;/volume&gt;&lt;publication_date&gt;99201103041200000000222000&lt;/publication_date&gt;&lt;uuid&gt;E03A4551-ED9B-4DE9-8C8B-22D18659ADB2&lt;/uuid&gt;&lt;type&gt;400&lt;/type&gt;&lt;number&gt;5&lt;/number&gt;&lt;citekey&gt;Hanahan:2011gu&lt;/citekey&gt;&lt;doi&gt;10.1016/j.cell.2011.02.013&lt;/doi&gt;&lt;startpage&gt;646&lt;/startpage&gt;&lt;endpage&gt;674&lt;/endpage&gt;&lt;bundle&gt;&lt;publication&gt;&lt;title&gt;Cell&lt;/title&gt;&lt;uuid&gt;03A8C4E6-B539-4B2D-A583-BCC5931AE067&lt;/uuid&gt;&lt;subtype&gt;-100&lt;/subtype&gt;&lt;publisher&gt;The Authors&lt;/publisher&gt;&lt;type&gt;-100&lt;/type&gt;&lt;url&gt;http://arxiv.org&lt;/url&gt;&lt;/publication&gt;&lt;/bundle&gt;&lt;authors&gt;&lt;author&gt;&lt;lastName&gt;Hanahan&lt;/lastName&gt;&lt;firstName&gt;Douglas&lt;/firstName&gt;&lt;/author&gt;&lt;author&gt;&lt;lastName&gt;Weinberg&lt;/lastName&gt;&lt;firstName&gt;Robert&lt;/firstName&gt;&lt;middleNames&gt;A&lt;/middleNames&gt;&lt;/author&gt;&lt;/authors&gt;&lt;/publication&gt;&lt;publication&gt;&lt;subtype&gt;400&lt;/subtype&gt;&lt;title&gt;The plasticity of cytoskeletal dynamics underlying neoplastic cell migration.&lt;/title&gt;&lt;url&gt;http://linkinghub.elsevier.com/retrieve/pii/S0955067410001432&lt;/url&gt;&lt;volume&gt;22&lt;/volume&gt;&lt;revision_date&gt;99201008171200000000222000&lt;/revision_date&gt;&lt;publication_date&gt;99201010001200000000220000&lt;/publication_date&gt;&lt;uuid&gt;2E16C77A-4876-4792-86B4-42D6424BAA98&lt;/uuid&gt;&lt;type&gt;400&lt;/type&gt;&lt;accepted_date&gt;99201008181200000000222000&lt;/accepted_date&gt;&lt;number&gt;5&lt;/number&gt;&lt;citekey&gt;Sanz-Moreno2010&lt;/citekey&gt;&lt;submission_date&gt;99201004261200000000222000&lt;/submission_date&gt;&lt;doi&gt;10.1016/j.ceb.2010.08.020&lt;/doi&gt;&lt;institution&gt;Cancer Research UK Centre for Cell and Molecular Biology, Institute of Cancer Research, 237 Fulham Road, London SW3 6JB, United Kingdom.&lt;/institution&gt;&lt;startpage&gt;690&lt;/startpage&gt;&lt;endpage&gt;696&lt;/endpage&gt;&lt;bundle&gt;&lt;publication&gt;&lt;title&gt;Current Opinion in Cell Biology&lt;/title&gt;&lt;uuid&gt;5B4495CB-BC13-43CE-827E-C35E28022F3B&lt;/uuid&gt;&lt;subtype&gt;-100&lt;/subtype&gt;&lt;type&gt;-100&lt;/type&gt;&lt;/publication&gt;&lt;/bundle&gt;&lt;authors&gt;&lt;author&gt;&lt;lastName&gt;Sanz-Moreno&lt;/lastName&gt;&lt;firstName&gt;Victoria&lt;/firstName&gt;&lt;/author&gt;&lt;author&gt;&lt;lastName&gt;Marshall&lt;/lastName&gt;&lt;firstName&gt;Christopher&lt;/firstName&gt;&lt;middleNames&gt;J&lt;/middleNames&gt;&lt;/author&gt;&lt;/authors&gt;&lt;/publication&gt;&lt;/publications&gt;&lt;cites&gt;&lt;/cites&gt;&lt;/citation&gt;</w:instrText>
      </w:r>
      <w:r w:rsidRPr="005676E6">
        <w:rPr>
          <w:color w:val="000000"/>
          <w:highlight w:val="white"/>
        </w:rPr>
        <w:fldChar w:fldCharType="separate"/>
      </w:r>
      <w:r w:rsidR="00CD10CD">
        <w:rPr>
          <w:rFonts w:ascii="Cambria" w:hAnsi="Cambria" w:cs="Cambria"/>
          <w:vertAlign w:val="superscript"/>
          <w:lang w:val="en-US"/>
        </w:rPr>
        <w:t>1,7</w:t>
      </w:r>
      <w:r w:rsidRPr="005676E6">
        <w:rPr>
          <w:color w:val="000000"/>
          <w:highlight w:val="white"/>
        </w:rPr>
        <w:fldChar w:fldCharType="end"/>
      </w:r>
      <w:r w:rsidRPr="005676E6">
        <w:rPr>
          <w:color w:val="000000"/>
          <w:highlight w:val="white"/>
        </w:rPr>
        <w:t xml:space="preserve">. Activation of focal adhesions and the break-down of cell-cell adherences such as cadherin-based </w:t>
      </w:r>
      <w:proofErr w:type="spellStart"/>
      <w:r w:rsidRPr="005676E6">
        <w:rPr>
          <w:color w:val="000000"/>
          <w:highlight w:val="white"/>
        </w:rPr>
        <w:t>Adheren’s</w:t>
      </w:r>
      <w:proofErr w:type="spellEnd"/>
      <w:r w:rsidRPr="005676E6">
        <w:rPr>
          <w:color w:val="000000"/>
          <w:highlight w:val="white"/>
        </w:rPr>
        <w:t xml:space="preserve"> junctions, are reminiscent of a phase cancer cells undergo to increase invasion and metastasis – the Epithelial to Mesenchymal Transition (EMT)</w:t>
      </w:r>
      <w:r w:rsidRPr="005676E6">
        <w:rPr>
          <w:color w:val="000000"/>
          <w:highlight w:val="white"/>
        </w:rPr>
        <w:fldChar w:fldCharType="begin"/>
      </w:r>
      <w:r w:rsidR="00187389">
        <w:rPr>
          <w:color w:val="000000"/>
          <w:highlight w:val="white"/>
        </w:rPr>
        <w:instrText xml:space="preserve"> ADDIN PAPERS2_CITATIONS &lt;citation&gt;&lt;priority&gt;0&lt;/priority&gt;&lt;uuid&gt;82B63980-DA34-4EDC-8FCC-EA571A21B3D4&lt;/uuid&gt;&lt;publications&gt;&lt;publication&gt;&lt;subtype&gt;400&lt;/subtype&gt;&lt;publisher&gt;Elsevier Inc.&lt;/publisher&gt;&lt;title&gt;Hallmarks of Cancer: The Next Generation&lt;/title&gt;&lt;url&gt;http://dx.doi.org/10.1016/j.cell.2011.02.013&lt;/url&gt;&lt;volume&gt;144&lt;/volume&gt;&lt;publication_date&gt;99201103041200000000222000&lt;/publication_date&gt;&lt;uuid&gt;E03A4551-ED9B-4DE9-8C8B-22D18659ADB2&lt;/uuid&gt;&lt;type&gt;400&lt;/type&gt;&lt;number&gt;5&lt;/number&gt;&lt;citekey&gt;Hanahan:2011gu&lt;/citekey&gt;&lt;doi&gt;10.1016/j.cell.2011.02.013&lt;/doi&gt;&lt;startpage&gt;646&lt;/startpage&gt;&lt;endpage&gt;674&lt;/endpage&gt;&lt;bundle&gt;&lt;publication&gt;&lt;title&gt;Cell&lt;/title&gt;&lt;uuid&gt;03A8C4E6-B539-4B2D-A583-BCC5931AE067&lt;/uuid&gt;&lt;subtype&gt;-100&lt;/subtype&gt;&lt;publisher&gt;The Authors&lt;/publisher&gt;&lt;type&gt;-100&lt;/type&gt;&lt;url&gt;http://arxiv.org&lt;/url&gt;&lt;/publication&gt;&lt;/bundle&gt;&lt;authors&gt;&lt;author&gt;&lt;lastName&gt;Hanahan&lt;/lastName&gt;&lt;firstName&gt;Douglas&lt;/firstName&gt;&lt;/author&gt;&lt;author&gt;&lt;lastName&gt;Weinberg&lt;/lastName&gt;&lt;firstName&gt;Robert&lt;/firstName&gt;&lt;middleNames&gt;A&lt;/middleNames&gt;&lt;/author&gt;&lt;/authors&gt;&lt;/publication&gt;&lt;/publications&gt;&lt;cites&gt;&lt;/cites&gt;&lt;/citation&gt;</w:instrText>
      </w:r>
      <w:r w:rsidRPr="005676E6">
        <w:rPr>
          <w:color w:val="000000"/>
          <w:highlight w:val="white"/>
        </w:rPr>
        <w:fldChar w:fldCharType="separate"/>
      </w:r>
      <w:r w:rsidR="00CD10CD">
        <w:rPr>
          <w:rFonts w:ascii="Cambria" w:hAnsi="Cambria" w:cs="Cambria"/>
          <w:vertAlign w:val="superscript"/>
          <w:lang w:val="en-US"/>
        </w:rPr>
        <w:t>1</w:t>
      </w:r>
      <w:r w:rsidRPr="005676E6">
        <w:rPr>
          <w:color w:val="000000"/>
          <w:highlight w:val="white"/>
        </w:rPr>
        <w:fldChar w:fldCharType="end"/>
      </w:r>
      <w:r w:rsidRPr="005676E6">
        <w:rPr>
          <w:color w:val="000000"/>
          <w:highlight w:val="white"/>
        </w:rPr>
        <w:t xml:space="preserve">. </w:t>
      </w:r>
    </w:p>
    <w:p w14:paraId="2F2FA409" w14:textId="3319DDFD" w:rsidR="001922FD" w:rsidRDefault="001922FD" w:rsidP="001922FD">
      <w:pPr>
        <w:pStyle w:val="para"/>
      </w:pPr>
      <w:r w:rsidRPr="005676E6">
        <w:rPr>
          <w:color w:val="000000"/>
        </w:rPr>
        <w:t>B</w:t>
      </w:r>
      <w:r w:rsidRPr="005E63CE">
        <w:t xml:space="preserve">iological processes unique to modules identified for the Miller set include those implicated in RNA splicing, RNA processing, and gene expression – all of which have </w:t>
      </w:r>
      <w:r w:rsidRPr="00102B55">
        <w:t>shown to be implicated in cancer</w:t>
      </w:r>
      <w:r w:rsidRPr="00102B55">
        <w:fldChar w:fldCharType="begin"/>
      </w:r>
      <w:r w:rsidR="00187389">
        <w:instrText xml:space="preserve"> ADDIN PAPERS2_CITATIONS &lt;citation&gt;&lt;priority&gt;0&lt;/priority&gt;&lt;uuid&gt;CAD783AB-04CA-45A5-B0B3-690F40C127D2&lt;/uuid&gt;&lt;publications&gt;&lt;publication&gt;&lt;subtype&gt;400&lt;/subtype&gt;&lt;publisher&gt;Nature Publishing Group&lt;/publisher&gt;&lt;title&gt;Uncovering disease mechanisms through network biology in the era of Next Generation Sequencing.&lt;/title&gt;&lt;url&gt;http://www.nature.com/articles/srep24570&lt;/url&gt;&lt;volume&gt;6&lt;/volume&gt;&lt;publication_date&gt;99201604151200000000222000&lt;/publication_date&gt;&lt;uuid&gt;B105935A-D9C4-4CE6-97B9-8D7509548E0C&lt;/uuid&gt;&lt;type&gt;400&lt;/type&gt;&lt;accepted_date&gt;99201603311200000000222000&lt;/accepted_date&gt;&lt;number&gt;1&lt;/number&gt;&lt;citekey&gt;Pinero:2016fb&lt;/citekey&gt;&lt;submission_date&gt;99201510111200000000222000&lt;/submission_date&gt;&lt;doi&gt;10.1038/srep24570&lt;/doi&gt;&lt;institution&gt;Research Programme on Biomedical Informatics (GRIB), Hospital del Mar Medical Research Institute (IMIM), DCEXS, Pompeu Fabra University (UPF). C/Dr. Aiguader, 88. 08003- Barcelona, Spain.&lt;/institution&gt;&lt;startpage&gt;24570&lt;/startpage&gt;&lt;bundle&gt;&lt;publication&gt;&lt;title&gt;Scientific Reports&lt;/title&gt;&lt;uuid&gt;4EC35C3F-ECBF-401D-A5E2-43FB74D5B3C6&lt;/uuid&gt;&lt;subtype&gt;-100&lt;/subtype&gt;&lt;publisher&gt;Nature Publishing Group&lt;/publisher&gt;&lt;type&gt;-100&lt;/type&gt;&lt;/publication&gt;&lt;/bundle&gt;&lt;authors&gt;&lt;author&gt;&lt;lastName&gt;Piñero&lt;/lastName&gt;&lt;firstName&gt;Janet&lt;/firstName&gt;&lt;/author&gt;&lt;author&gt;&lt;lastName&gt;Berenstein&lt;/lastName&gt;&lt;firstName&gt;Ariel&lt;/firstName&gt;&lt;/author&gt;&lt;author&gt;&lt;lastName&gt;Gonzalez-Perez&lt;/lastName&gt;&lt;firstName&gt;Abel&lt;/firstName&gt;&lt;/author&gt;&lt;author&gt;&lt;lastName&gt;Chernomoretz&lt;/lastName&gt;&lt;firstName&gt;Ariel&lt;/firstName&gt;&lt;/author&gt;&lt;author&gt;&lt;lastName&gt;Furlong&lt;/lastName&gt;&lt;firstName&gt;Laura&lt;/firstName&gt;&lt;middleNames&gt;I&lt;/middleNames&gt;&lt;/author&gt;&lt;/authors&gt;&lt;/publication&gt;&lt;/publications&gt;&lt;cites&gt;&lt;/cites&gt;&lt;/citation&gt;</w:instrText>
      </w:r>
      <w:r w:rsidRPr="00102B55">
        <w:fldChar w:fldCharType="separate"/>
      </w:r>
      <w:r w:rsidR="00CD10CD">
        <w:rPr>
          <w:rFonts w:ascii="Cambria" w:hAnsi="Cambria" w:cs="Cambria"/>
          <w:vertAlign w:val="superscript"/>
          <w:lang w:val="en-US"/>
        </w:rPr>
        <w:t>10</w:t>
      </w:r>
      <w:r w:rsidRPr="00102B55">
        <w:fldChar w:fldCharType="end"/>
      </w:r>
      <w:r w:rsidRPr="00102B55">
        <w:t xml:space="preserve">. Specifically, the affected genes include various Heterogeneous Nuclear Ribonucleoproteins, cyclin dependent kinase 12 (CDK12), and RNA Binding Motifs (RBM), as shown in </w:t>
      </w:r>
      <w:r w:rsidRPr="005676E6">
        <w:rPr>
          <w:b/>
        </w:rPr>
        <w:t>Supplementary Table</w:t>
      </w:r>
      <w:r>
        <w:rPr>
          <w:b/>
        </w:rPr>
        <w:t xml:space="preserve"> 13</w:t>
      </w:r>
      <w:r w:rsidRPr="00102B55">
        <w:t>. All genes p</w:t>
      </w:r>
      <w:r w:rsidRPr="005E63CE">
        <w:t>lay a crucial role in facilitating transcription by preventing RNA secondary structures, and aiding mRNA pre-processing and nuclear exportation steps – which have recently been shown to be implicated in tumour progression</w:t>
      </w:r>
      <w:r>
        <w:fldChar w:fldCharType="begin"/>
      </w:r>
      <w:r w:rsidR="00187389">
        <w:instrText xml:space="preserve"> ADDIN PAPERS2_CITATIONS &lt;citation&gt;&lt;priority&gt;0&lt;/priority&gt;&lt;uuid&gt;EE9A2A66-0639-4AE0-B6D0-A4AF65431174&lt;/uuid&gt;&lt;publications&gt;&lt;publication&gt;&lt;subtype&gt;400&lt;/subtype&gt;&lt;title&gt;CDK12 regulates alternative last exon mRNA splicing and promotes breast cancer cell invasion.&lt;/title&gt;&lt;url&gt;https://academic.oup.com/nar/article-lookup/doi/10.1093/nar/gkx187&lt;/url&gt;&lt;volume&gt;45&lt;/volume&gt;&lt;publication_date&gt;99201706201200000000222000&lt;/publication_date&gt;&lt;uuid&gt;5F867A8B-13DF-4486-981F-3B29CF81E479&lt;/uuid&gt;&lt;type&gt;400&lt;/type&gt;&lt;accepted_date&gt;99201703091200000000222000&lt;/accepted_date&gt;&lt;number&gt;11&lt;/number&gt;&lt;submission_date&gt;99201606171200000000222000&lt;/submission_date&gt;&lt;doi&gt;10.1093/nar/gkx187&lt;/doi&gt;&lt;institution&gt;Canada's Michael Smith Genome Sciences Centre, BC Cancer Agency, Vancouver V5Z 1L3, Canada.&lt;/institution&gt;&lt;startpage&gt;6698&lt;/startpage&gt;&lt;endpage&gt;6716&lt;/endpage&gt;&lt;bundle&gt;&lt;publication&gt;&lt;title&gt;Nucleic Acids Research&lt;/title&gt;&lt;uuid&gt;FC6BD4FA-C27D-47DF-920E-D52E6BA3E214&lt;/uuid&gt;&lt;subtype&gt;-100&lt;/subtype&gt;&lt;publisher&gt;Oxford University Press&lt;/publisher&gt;&lt;type&gt;-100&lt;/type&gt;&lt;url&gt;http://arxiv.org&lt;/url&gt;&lt;/publication&gt;&lt;/bundle&gt;&lt;authors&gt;&lt;author&gt;&lt;lastName&gt;Tien&lt;/lastName&gt;&lt;firstName&gt;Jerry&lt;/firstName&gt;&lt;middleNames&gt;F&lt;/middleNames&gt;&lt;/author&gt;&lt;author&gt;&lt;lastName&gt;Mazloomian&lt;/lastName&gt;&lt;firstName&gt;Alborz&lt;/firstName&gt;&lt;/author&gt;&lt;author&gt;&lt;lastName&gt;Cheng&lt;/lastName&gt;&lt;firstName&gt;S-W&lt;/firstName&gt;&lt;middleNames&gt;Grace&lt;/middleNames&gt;&lt;/author&gt;&lt;author&gt;&lt;lastName&gt;Hughes&lt;/lastName&gt;&lt;firstName&gt;Christopher&lt;/firstName&gt;&lt;middleNames&gt;S&lt;/middleNames&gt;&lt;/author&gt;&lt;author&gt;&lt;lastName&gt;Chow&lt;/lastName&gt;&lt;firstName&gt;Christalle&lt;/firstName&gt;&lt;middleNames&gt;C T&lt;/middleNames&gt;&lt;/author&gt;&lt;author&gt;&lt;lastName&gt;Canapi&lt;/lastName&gt;&lt;firstName&gt;Leanna&lt;/firstName&gt;&lt;middleNames&gt;T&lt;/middleNames&gt;&lt;/author&gt;&lt;author&gt;&lt;lastName&gt;Oloumi&lt;/lastName&gt;&lt;firstName&gt;Arusha&lt;/firstName&gt;&lt;/author&gt;&lt;author&gt;&lt;lastName&gt;Trigo-Gonzalez&lt;/lastName&gt;&lt;firstName&gt;Genny&lt;/firstName&gt;&lt;/author&gt;&lt;author&gt;&lt;lastName&gt;Bashashati&lt;/lastName&gt;&lt;firstName&gt;Ali&lt;/firstName&gt;&lt;/author&gt;&lt;author&gt;&lt;lastName&gt;Xu&lt;/lastName&gt;&lt;firstName&gt;James&lt;/firstName&gt;&lt;/author&gt;&lt;author&gt;&lt;lastName&gt;Chang&lt;/lastName&gt;&lt;firstName&gt;Vicky&lt;/firstName&gt;&lt;middleNames&gt;C-D&lt;/middleNames&gt;&lt;/author&gt;&lt;author&gt;&lt;lastName&gt;Shah&lt;/lastName&gt;&lt;firstName&gt;Sohrab&lt;/firstName&gt;&lt;middleNames&gt;P&lt;/middleNames&gt;&lt;/author&gt;&lt;author&gt;&lt;lastName&gt;Aparicio&lt;/lastName&gt;&lt;firstName&gt;Samuel&lt;/firstName&gt;&lt;/author&gt;&lt;author&gt;&lt;lastName&gt;Morin&lt;/lastName&gt;&lt;firstName&gt;Gregg&lt;/firstName&gt;&lt;middleNames&gt;B&lt;/middleNames&gt;&lt;/author&gt;&lt;/authors&gt;&lt;/publication&gt;&lt;/publications&gt;&lt;cites&gt;&lt;/cites&gt;&lt;/citation&gt;</w:instrText>
      </w:r>
      <w:r>
        <w:fldChar w:fldCharType="separate"/>
      </w:r>
      <w:r w:rsidR="00CD10CD">
        <w:rPr>
          <w:vertAlign w:val="superscript"/>
          <w:lang w:val="en-US"/>
        </w:rPr>
        <w:t>11</w:t>
      </w:r>
      <w:r>
        <w:fldChar w:fldCharType="end"/>
      </w:r>
      <w:r>
        <w:t>.</w:t>
      </w:r>
    </w:p>
    <w:p w14:paraId="51B4A790" w14:textId="77777777" w:rsidR="001922FD" w:rsidRDefault="001922FD" w:rsidP="001922FD">
      <w:pPr>
        <w:pStyle w:val="para"/>
        <w:sectPr w:rsidR="001922FD" w:rsidSect="001F195A">
          <w:pgSz w:w="11900" w:h="16840"/>
          <w:pgMar w:top="1440" w:right="1800" w:bottom="1440" w:left="1800" w:header="708" w:footer="708" w:gutter="0"/>
          <w:cols w:space="708"/>
          <w:docGrid w:linePitch="360"/>
        </w:sectPr>
      </w:pPr>
    </w:p>
    <w:p w14:paraId="1A8D254B" w14:textId="7DB3FD9A" w:rsidR="001922FD" w:rsidRDefault="001922FD" w:rsidP="00070EDB">
      <w:pPr>
        <w:pStyle w:val="Heading2"/>
      </w:pPr>
      <w:r>
        <w:lastRenderedPageBreak/>
        <w:t>1.4</w:t>
      </w:r>
      <w:r>
        <w:tab/>
      </w:r>
      <w:r w:rsidRPr="005676E6">
        <w:t>Detailed analysis of MutFam driver genes in brain cancers</w:t>
      </w:r>
    </w:p>
    <w:p w14:paraId="33DC69E4" w14:textId="23061585" w:rsidR="001922FD" w:rsidRPr="00EF0534" w:rsidRDefault="001922FD" w:rsidP="001922FD">
      <w:pPr>
        <w:pStyle w:val="para"/>
        <w:rPr>
          <w:color w:val="FF0000"/>
        </w:rPr>
      </w:pPr>
      <w:r>
        <w:t>Tumours initiating in the glial cells of the brain o</w:t>
      </w:r>
      <w:r w:rsidR="008C5CB5">
        <w:t>r spine are termed gliomas</w:t>
      </w:r>
      <w:r>
        <w:t xml:space="preserve">. We analysed </w:t>
      </w:r>
      <w:r w:rsidR="008C5CB5">
        <w:t xml:space="preserve">a set of general </w:t>
      </w:r>
      <w:r>
        <w:t>gliomas</w:t>
      </w:r>
      <w:r w:rsidR="008C5CB5">
        <w:t xml:space="preserve"> (GLI)</w:t>
      </w:r>
      <w:r>
        <w:t xml:space="preserve"> and two subtypes, low-grade glioma (LGG) and </w:t>
      </w:r>
      <w:r w:rsidR="008C5CB5">
        <w:t xml:space="preserve">the more advanced </w:t>
      </w:r>
      <w:r>
        <w:t>glioblastoma multiforme (GBM)</w:t>
      </w:r>
      <w:proofErr w:type="gramStart"/>
      <w:r>
        <w:t xml:space="preserve">.  </w:t>
      </w:r>
      <w:proofErr w:type="gramEnd"/>
      <w:r>
        <w:t xml:space="preserve">Low-grade gliomas are associated with much better patient prognosis than mature (stage IV) and invasive </w:t>
      </w:r>
      <w:proofErr w:type="spellStart"/>
      <w:r>
        <w:t>globlastoma</w:t>
      </w:r>
      <w:proofErr w:type="spellEnd"/>
      <w:r>
        <w:t xml:space="preserve"> multiforme tumours</w:t>
      </w:r>
      <w:r w:rsidRPr="005E63CE">
        <w:fldChar w:fldCharType="begin"/>
      </w:r>
      <w:r w:rsidR="00187389">
        <w:instrText xml:space="preserve"> ADDIN PAPERS2_CITATIONS &lt;citation&gt;&lt;priority&gt;0&lt;/priority&gt;&lt;uuid&gt;D543B041-0451-4293-907C-5CB7F2517451&lt;/uuid&gt;&lt;publications&gt;&lt;publication&gt;&lt;subtype&gt;400&lt;/subtype&gt;&lt;title&gt;Prognostic factors for long-term survival after glioblastoma.&lt;/title&gt;&lt;url&gt;http://www.ncbi.nlm.nih.gov/pubmed/21339920$\backslash$nhttp://www.pubmedcentral.nih.gov/articlerender.fcgi?artid=PMC3037140&lt;/url&gt;&lt;volume&gt;12&lt;/volume&gt;&lt;publication_date&gt;99200800001200000000200000&lt;/publication_date&gt;&lt;uuid&gt;E6541DA6-53A9-460B-84AA-12F94A4CE32C&lt;/uuid&gt;&lt;type&gt;400&lt;/type&gt;&lt;number&gt;4&lt;/number&gt;&lt;citekey&gt;Walid2008&lt;/citekey&gt;&lt;startpage&gt;45&lt;/startpage&gt;&lt;endpage&gt;48&lt;/endpage&gt;&lt;bundle&gt;&lt;publication&gt;&lt;title&gt;The Permanente journal&lt;/title&gt;&lt;uuid&gt;0D87D6EB-55E4-4FF7-A7DC-4DABFE953232&lt;/uuid&gt;&lt;subtype&gt;-100&lt;/subtype&gt;&lt;type&gt;-100&lt;/type&gt;&lt;/publication&gt;&lt;/bundle&gt;&lt;authors&gt;&lt;author&gt;&lt;lastName&gt;Walid&lt;/lastName&gt;&lt;firstName&gt;Mohammad&lt;/firstName&gt;&lt;middleNames&gt;Sami&lt;/middleNames&gt;&lt;/author&gt;&lt;/authors&gt;&lt;/publication&gt;&lt;/publications&gt;&lt;cites&gt;&lt;/cites&gt;&lt;/citation&gt;</w:instrText>
      </w:r>
      <w:r w:rsidRPr="005E63CE">
        <w:fldChar w:fldCharType="separate"/>
      </w:r>
      <w:r w:rsidR="00CD10CD">
        <w:rPr>
          <w:rFonts w:ascii="Cambria" w:hAnsi="Cambria" w:cs="Cambria"/>
          <w:vertAlign w:val="superscript"/>
          <w:lang w:val="en-US"/>
        </w:rPr>
        <w:t>12</w:t>
      </w:r>
      <w:r w:rsidRPr="005E63CE">
        <w:fldChar w:fldCharType="end"/>
      </w:r>
      <w:r w:rsidRPr="005E63CE">
        <w:t xml:space="preserve">.  </w:t>
      </w:r>
    </w:p>
    <w:p w14:paraId="29D719C9" w14:textId="7CEA6B42" w:rsidR="001922FD" w:rsidRDefault="001922FD" w:rsidP="001922FD">
      <w:pPr>
        <w:pStyle w:val="para"/>
      </w:pPr>
      <w:r>
        <w:t xml:space="preserve">As expected, the two subtypes (LGG and GBM) each have MutFams in common with general gliomas (GLI) (see </w:t>
      </w:r>
      <w:r w:rsidR="000C49AD" w:rsidRPr="000C49AD">
        <w:rPr>
          <w:b/>
        </w:rPr>
        <w:t xml:space="preserve">Supplementary </w:t>
      </w:r>
      <w:r w:rsidRPr="00F96E5C">
        <w:rPr>
          <w:b/>
        </w:rPr>
        <w:t xml:space="preserve">Figure </w:t>
      </w:r>
      <w:r w:rsidR="000C49AD">
        <w:rPr>
          <w:b/>
        </w:rPr>
        <w:t>4</w:t>
      </w:r>
      <w:r>
        <w:rPr>
          <w:b/>
        </w:rPr>
        <w:t xml:space="preserve"> </w:t>
      </w:r>
      <w:r>
        <w:t xml:space="preserve">and </w:t>
      </w:r>
      <w:r>
        <w:rPr>
          <w:b/>
        </w:rPr>
        <w:t>Supplementary Table 2</w:t>
      </w:r>
      <w:r>
        <w:t xml:space="preserve">). </w:t>
      </w:r>
    </w:p>
    <w:p w14:paraId="3C04F236" w14:textId="7D14F19B" w:rsidR="001922FD" w:rsidRPr="007330CD" w:rsidRDefault="001922FD" w:rsidP="001922FD">
      <w:pPr>
        <w:pStyle w:val="para"/>
      </w:pPr>
      <w:r>
        <w:t>Using the top mutated genes from the MutFams in each of the gliomas, we found that TP53, PTEN and</w:t>
      </w:r>
      <w:r w:rsidRPr="005E63CE">
        <w:t xml:space="preserve"> CHEK2</w:t>
      </w:r>
      <w:r>
        <w:t xml:space="preserve"> are common to all three cancer types; </w:t>
      </w:r>
      <w:r>
        <w:rPr>
          <w:b/>
        </w:rPr>
        <w:t xml:space="preserve">Supplementary Figure </w:t>
      </w:r>
      <w:r w:rsidR="00B34CF8">
        <w:rPr>
          <w:b/>
        </w:rPr>
        <w:t>4</w:t>
      </w:r>
      <w:r>
        <w:rPr>
          <w:b/>
        </w:rPr>
        <w:t xml:space="preserve"> </w:t>
      </w:r>
      <w:r>
        <w:t xml:space="preserve">summarises genes found commonly and uniquely in each glioma type. </w:t>
      </w:r>
      <w:r w:rsidRPr="005E63CE">
        <w:t xml:space="preserve">To </w:t>
      </w:r>
      <w:r>
        <w:t>interpret</w:t>
      </w:r>
      <w:r w:rsidRPr="005E63CE">
        <w:t xml:space="preserve"> how biological pathways containing the</w:t>
      </w:r>
      <w:r>
        <w:t>se</w:t>
      </w:r>
      <w:r w:rsidRPr="005E63CE">
        <w:t xml:space="preserve"> genes differed between </w:t>
      </w:r>
      <w:r>
        <w:t xml:space="preserve">low-grade gliomas </w:t>
      </w:r>
      <w:r w:rsidRPr="005E63CE">
        <w:t>and</w:t>
      </w:r>
      <w:r>
        <w:t xml:space="preserve"> the more advanced glioblastoma multiforme, we used F</w:t>
      </w:r>
      <w:r w:rsidRPr="005E63CE">
        <w:t xml:space="preserve">unctional Interaction Network (FIN) </w:t>
      </w:r>
      <w:r>
        <w:t>analysis as previously described (see Methods)</w:t>
      </w:r>
      <w:proofErr w:type="gramStart"/>
      <w:r>
        <w:t xml:space="preserve">.  </w:t>
      </w:r>
      <w:proofErr w:type="gramEnd"/>
      <w:r>
        <w:t xml:space="preserve">We were able to map 12 GLI, 8 GBM and 3 LGG genes to each FIN, which we then clustered into functional modules as summarised in </w:t>
      </w:r>
      <w:r>
        <w:rPr>
          <w:b/>
        </w:rPr>
        <w:t>Supplementary Table 14</w:t>
      </w:r>
      <w:r w:rsidRPr="007330CD">
        <w:t>.</w:t>
      </w:r>
    </w:p>
    <w:p w14:paraId="24CCD251" w14:textId="621E82BD" w:rsidR="001922FD" w:rsidRDefault="001922FD" w:rsidP="001922FD">
      <w:pPr>
        <w:pStyle w:val="para"/>
      </w:pPr>
      <w:r>
        <w:t xml:space="preserve">Using </w:t>
      </w:r>
      <w:r w:rsidRPr="005E63CE">
        <w:t>GO enrichment</w:t>
      </w:r>
      <w:r>
        <w:t>, th</w:t>
      </w:r>
      <w:r w:rsidRPr="005E63CE">
        <w:t xml:space="preserve">e </w:t>
      </w:r>
      <w:r>
        <w:t xml:space="preserve">network module </w:t>
      </w:r>
      <w:r w:rsidRPr="005E63CE">
        <w:t xml:space="preserve">common to </w:t>
      </w:r>
      <w:r>
        <w:t>GLI, LGG and GBM</w:t>
      </w:r>
      <w:r w:rsidRPr="005E63CE">
        <w:t xml:space="preserve"> was enriched in biological processes implicated in DNA repair and cell cycle checkpoint, consistent with tumour suppressive role</w:t>
      </w:r>
      <w:r>
        <w:t>s</w:t>
      </w:r>
      <w:r w:rsidRPr="005E63CE">
        <w:t xml:space="preserve"> </w:t>
      </w:r>
      <w:r>
        <w:t>of</w:t>
      </w:r>
      <w:r w:rsidRPr="005E63CE">
        <w:t xml:space="preserve"> TP53 and CHEK2 in DNA regulation and entry into cell cycle.</w:t>
      </w:r>
      <w:r>
        <w:t xml:space="preserve"> An additional module found in GBM, but not in LGG, contained genes implicated in later stage glioma processes including </w:t>
      </w:r>
      <w:r w:rsidRPr="005E63CE">
        <w:t>imm</w:t>
      </w:r>
      <w:r>
        <w:t>unity and chaperone functions of</w:t>
      </w:r>
      <w:r w:rsidRPr="005E63CE">
        <w:t xml:space="preserve"> </w:t>
      </w:r>
      <w:proofErr w:type="spellStart"/>
      <w:r w:rsidRPr="005E63CE">
        <w:t>proteostasis</w:t>
      </w:r>
      <w:proofErr w:type="spellEnd"/>
      <w:r w:rsidRPr="005E63CE">
        <w:t>.</w:t>
      </w:r>
      <w:r>
        <w:t xml:space="preserve"> The GLI dataset</w:t>
      </w:r>
      <w:r w:rsidR="00AA11E7">
        <w:t>, which</w:t>
      </w:r>
      <w:r w:rsidRPr="005E63CE">
        <w:t xml:space="preserve"> </w:t>
      </w:r>
      <w:r w:rsidR="00AA11E7">
        <w:t xml:space="preserve">includes other minor glioma sub-types in addition to the two analysed here, </w:t>
      </w:r>
      <w:r>
        <w:t xml:space="preserve">additionally identified cellular adhesion processes. </w:t>
      </w:r>
    </w:p>
    <w:p w14:paraId="6B13E4A7" w14:textId="77777777" w:rsidR="001B387A" w:rsidRDefault="001B387A" w:rsidP="001922FD">
      <w:pPr>
        <w:pStyle w:val="para"/>
        <w:sectPr w:rsidR="001B387A" w:rsidSect="001F195A">
          <w:pgSz w:w="11900" w:h="16840"/>
          <w:pgMar w:top="1440" w:right="1800" w:bottom="1440" w:left="1800" w:header="708" w:footer="708" w:gutter="0"/>
          <w:cols w:space="708"/>
          <w:docGrid w:linePitch="360"/>
        </w:sectPr>
      </w:pPr>
    </w:p>
    <w:p w14:paraId="478A757C" w14:textId="1E5150B3" w:rsidR="001B387A" w:rsidRPr="00070EDB" w:rsidRDefault="001B387A" w:rsidP="00070EDB">
      <w:pPr>
        <w:pStyle w:val="Heading2"/>
      </w:pPr>
      <w:r w:rsidRPr="00070EDB">
        <w:lastRenderedPageBreak/>
        <w:t>1.5</w:t>
      </w:r>
      <w:r w:rsidR="00CD10CD">
        <w:tab/>
      </w:r>
      <w:r w:rsidRPr="00070EDB">
        <w:t>Supporting evidence for inclusion of genes in Table 1 classified as ‘Other’</w:t>
      </w:r>
    </w:p>
    <w:p w14:paraId="65BDA55D" w14:textId="7076FF72" w:rsidR="001B387A" w:rsidRDefault="001B387A" w:rsidP="00070EDB">
      <w:pPr>
        <w:pStyle w:val="para"/>
        <w:rPr>
          <w:lang w:val="en-US"/>
        </w:rPr>
      </w:pPr>
      <w:r>
        <w:rPr>
          <w:lang w:val="en-US"/>
        </w:rPr>
        <w:t xml:space="preserve">Genes in Table 1 (main text) with a “General Function” of “Other” have been </w:t>
      </w:r>
      <w:proofErr w:type="spellStart"/>
      <w:r>
        <w:rPr>
          <w:lang w:val="en-US"/>
        </w:rPr>
        <w:t>analysed</w:t>
      </w:r>
      <w:proofErr w:type="spellEnd"/>
      <w:r>
        <w:rPr>
          <w:lang w:val="en-US"/>
        </w:rPr>
        <w:t xml:space="preserve"> below to identify </w:t>
      </w:r>
      <w:r w:rsidR="00CD10CD">
        <w:rPr>
          <w:lang w:val="en-US"/>
        </w:rPr>
        <w:t xml:space="preserve">other </w:t>
      </w:r>
      <w:r>
        <w:rPr>
          <w:lang w:val="en-US"/>
        </w:rPr>
        <w:t>evidence supporting cancer association</w:t>
      </w:r>
      <w:r w:rsidR="00CD10CD">
        <w:rPr>
          <w:lang w:val="en-US"/>
        </w:rPr>
        <w:t xml:space="preserve"> </w:t>
      </w:r>
      <w:r w:rsidR="00187389">
        <w:rPr>
          <w:lang w:val="en-US"/>
        </w:rPr>
        <w:t>for these seven genes.</w:t>
      </w:r>
    </w:p>
    <w:p w14:paraId="55D36B50" w14:textId="77777777" w:rsidR="001B387A" w:rsidRPr="00070EDB" w:rsidRDefault="001B387A" w:rsidP="00CD10CD">
      <w:pPr>
        <w:rPr>
          <w:lang w:val="en-US"/>
        </w:rPr>
      </w:pPr>
    </w:p>
    <w:p w14:paraId="4BD643EE" w14:textId="2032BA1E" w:rsidR="001B387A" w:rsidRDefault="001B387A" w:rsidP="001B387A">
      <w:pPr>
        <w:rPr>
          <w:rFonts w:ascii="Times New Roman" w:eastAsia="Times New Roman" w:hAnsi="Times New Roman" w:cs="Times New Roman"/>
          <w:b/>
          <w:bCs/>
        </w:rPr>
      </w:pPr>
      <w:r w:rsidRPr="001B387A">
        <w:rPr>
          <w:rFonts w:ascii="Times New Roman" w:eastAsia="Times New Roman" w:hAnsi="Times New Roman" w:cs="Times New Roman"/>
          <w:b/>
          <w:bCs/>
        </w:rPr>
        <w:t>TTN</w:t>
      </w:r>
    </w:p>
    <w:p w14:paraId="551AD48F" w14:textId="77777777" w:rsidR="00187389" w:rsidRPr="001B387A" w:rsidRDefault="00187389" w:rsidP="001B387A">
      <w:pPr>
        <w:rPr>
          <w:rFonts w:ascii="Times New Roman" w:eastAsia="Times New Roman" w:hAnsi="Times New Roman" w:cs="Times New Roman"/>
        </w:rPr>
      </w:pPr>
    </w:p>
    <w:p w14:paraId="1841B4CE" w14:textId="3756B900" w:rsidR="001B387A" w:rsidRPr="001B387A" w:rsidRDefault="001D313D" w:rsidP="00AF755D">
      <w:pPr>
        <w:pStyle w:val="para"/>
      </w:pPr>
      <w:r>
        <w:t>There are o</w:t>
      </w:r>
      <w:r w:rsidR="001B387A" w:rsidRPr="001B387A">
        <w:t>ver 4,000 mutations in TTN in</w:t>
      </w:r>
      <w:r>
        <w:t xml:space="preserve"> the COSMIC</w:t>
      </w:r>
      <w:r w:rsidR="001B387A" w:rsidRPr="001B387A">
        <w:t xml:space="preserve"> </w:t>
      </w:r>
      <w:proofErr w:type="spellStart"/>
      <w:r w:rsidR="001B387A" w:rsidRPr="001B387A">
        <w:t>pancancer</w:t>
      </w:r>
      <w:proofErr w:type="spellEnd"/>
      <w:r w:rsidR="001B387A" w:rsidRPr="001B387A">
        <w:t xml:space="preserve"> dataset </w:t>
      </w:r>
      <w:r>
        <w:t xml:space="preserve">and they are found in all cancer types. High mutation burden likely reflects the very large gene size (&gt;34kbp). </w:t>
      </w:r>
      <w:r w:rsidR="001B387A" w:rsidRPr="001B387A">
        <w:t>However, we only find enrichment in a single</w:t>
      </w:r>
      <w:r>
        <w:t xml:space="preserve"> cancer</w:t>
      </w:r>
      <w:r w:rsidR="001B387A" w:rsidRPr="001B387A">
        <w:t xml:space="preserve"> type (COAD) in a specific MutFam </w:t>
      </w:r>
      <w:r>
        <w:t>(</w:t>
      </w:r>
      <w:r w:rsidR="001B387A" w:rsidRPr="001B387A">
        <w:t xml:space="preserve">enrichment factor </w:t>
      </w:r>
      <w:r>
        <w:t xml:space="preserve">= </w:t>
      </w:r>
      <w:r w:rsidR="001B387A" w:rsidRPr="001B387A">
        <w:t>2.77</w:t>
      </w:r>
      <w:r>
        <w:t xml:space="preserve">) </w:t>
      </w:r>
      <w:r w:rsidR="001B387A" w:rsidRPr="001B387A">
        <w:t>indicat</w:t>
      </w:r>
      <w:r>
        <w:t>ing</w:t>
      </w:r>
      <w:r w:rsidR="001B387A" w:rsidRPr="001B387A">
        <w:t xml:space="preserve"> that the MutFam method is successfully filtering out </w:t>
      </w:r>
      <w:r>
        <w:t xml:space="preserve">most of these </w:t>
      </w:r>
      <w:r w:rsidR="001B387A" w:rsidRPr="001B387A">
        <w:t>mutations</w:t>
      </w:r>
      <w:r>
        <w:t>. Additionally, T</w:t>
      </w:r>
      <w:r w:rsidR="001B387A" w:rsidRPr="001B387A">
        <w:t xml:space="preserve">TN has been identified as a potential colorectal </w:t>
      </w:r>
      <w:r>
        <w:t xml:space="preserve">cancer associated </w:t>
      </w:r>
      <w:r w:rsidR="001B387A" w:rsidRPr="001B387A">
        <w:t>gene</w:t>
      </w:r>
      <w:r w:rsidR="006D0E18">
        <w:rPr>
          <w:lang w:val="en-US"/>
        </w:rPr>
        <w:fldChar w:fldCharType="begin"/>
      </w:r>
      <w:r w:rsidR="00187389">
        <w:rPr>
          <w:lang w:val="en-US"/>
        </w:rPr>
        <w:instrText xml:space="preserve"> ADDIN PAPERS2_CITATIONS &lt;citation&gt;&lt;priority&gt;13&lt;/priority&gt;&lt;uuid&gt;044E1A84-E81A-4CE6-94A4-6123316F54C8&lt;/uuid&gt;&lt;publications&gt;&lt;publication&gt;&lt;subtype&gt;400&lt;/subtype&gt;&lt;title&gt;Identification of Novel Candidate Genes for Early-Onset Colorectal Cancer Susceptibility&lt;/title&gt;&lt;url&gt;https://dx.plos.org/10.1371/journal.pgen.1005880&lt;/url&gt;&lt;volume&gt;12&lt;/volume&gt;&lt;publication_date&gt;99201602221200000000222000&lt;/publication_date&gt;&lt;uuid&gt;6F4FEF83-EA25-4DB6-88B0-C10676C21F39&lt;/uuid&gt;&lt;type&gt;400&lt;/type&gt;&lt;number&gt;2&lt;/number&gt;&lt;citekey&gt;deVoer:2016iq&lt;/citekey&gt;&lt;doi&gt;10.1371/journal.pgen.1005880&lt;/doi&gt;&lt;startpage&gt;e1005880&lt;/startpage&gt;&lt;endpage&gt;19&lt;/endpage&gt;&lt;bundle&gt;&lt;publication&gt;&lt;title&gt;PLoS genetics&lt;/title&gt;&lt;uuid&gt;6BFF8029-E561-4BFA-971C-66FF5CAA81D0&lt;/uuid&gt;&lt;subtype&gt;-100&lt;/subtype&gt;&lt;publisher&gt;Public Library of Science&lt;/publisher&gt;&lt;type&gt;-100&lt;/type&gt;&lt;/publication&gt;&lt;/bundle&gt;&lt;authors&gt;&lt;author&gt;&lt;lastName&gt;Voer&lt;/lastName&gt;&lt;nonDroppingParticle&gt;de&lt;/nonDroppingParticle&gt;&lt;firstName&gt;Richarda&lt;/firstName&gt;&lt;middleNames&gt;M&lt;/middleNames&gt;&lt;/author&gt;&lt;author&gt;&lt;lastName&gt;Hahn&lt;/lastName&gt;&lt;firstName&gt;Marc-Manuel&lt;/firstName&gt;&lt;/author&gt;&lt;author&gt;&lt;lastName&gt;Weren&lt;/lastName&gt;&lt;firstName&gt;Robbert&lt;/firstName&gt;&lt;middleNames&gt;D A&lt;/middleNames&gt;&lt;/author&gt;&lt;author&gt;&lt;lastName&gt;Mensenkamp&lt;/lastName&gt;&lt;firstName&gt;Arjen&lt;/firstName&gt;&lt;middleNames&gt;R&lt;/middleNames&gt;&lt;/author&gt;&lt;author&gt;&lt;lastName&gt;Gilissen&lt;/lastName&gt;&lt;firstName&gt;Christian&lt;/firstName&gt;&lt;/author&gt;&lt;author&gt;&lt;lastName&gt;Zelst-Stams&lt;/lastName&gt;&lt;nonDroppingParticle&gt;van&lt;/nonDroppingParticle&gt;&lt;firstName&gt;Wendy&lt;/firstName&gt;&lt;middleNames&gt;A&lt;/middleNames&gt;&lt;/author&gt;&lt;author&gt;&lt;lastName&gt;Spruijt&lt;/lastName&gt;&lt;firstName&gt;Liesbeth&lt;/firstName&gt;&lt;/author&gt;&lt;author&gt;&lt;lastName&gt;Kets&lt;/lastName&gt;&lt;firstName&gt;C&lt;/firstName&gt;&lt;middleNames&gt;Marleen&lt;/middleNames&gt;&lt;/author&gt;&lt;author&gt;&lt;lastName&gt;Zhang&lt;/lastName&gt;&lt;firstName&gt;Junxiao&lt;/firstName&gt;&lt;/author&gt;&lt;author&gt;&lt;lastName&gt;Venselaar&lt;/lastName&gt;&lt;firstName&gt;Hanka&lt;/firstName&gt;&lt;/author&gt;&lt;author&gt;&lt;lastName&gt;Vreede&lt;/lastName&gt;&lt;firstName&gt;Lilian&lt;/firstName&gt;&lt;/author&gt;&lt;author&gt;&lt;lastName&gt;Schubert&lt;/lastName&gt;&lt;firstName&gt;Nil&lt;/firstName&gt;&lt;/author&gt;&lt;author&gt;&lt;lastName&gt;Tychon&lt;/lastName&gt;&lt;firstName&gt;Marloes&lt;/firstName&gt;&lt;/author&gt;&lt;author&gt;&lt;lastName&gt;Derks&lt;/lastName&gt;&lt;firstName&gt;Ronny&lt;/firstName&gt;&lt;/author&gt;&lt;author&gt;&lt;lastName&gt;Schackert&lt;/lastName&gt;&lt;firstName&gt;Hans&lt;/firstName&gt;&lt;middleNames&gt;K&lt;/middleNames&gt;&lt;/author&gt;&lt;author&gt;&lt;lastName&gt;Geurts van Kessel&lt;/lastName&gt;&lt;firstName&gt;Ad&lt;/firstName&gt;&lt;/author&gt;&lt;author&gt;&lt;lastName&gt;Hoogerbrugge&lt;/lastName&gt;&lt;firstName&gt;Nicoline&lt;/firstName&gt;&lt;/author&gt;&lt;author&gt;&lt;lastName&gt;Ligtenberg&lt;/lastName&gt;&lt;firstName&gt;Marjolijn&lt;/firstName&gt;&lt;middleNames&gt;J L&lt;/middleNames&gt;&lt;/author&gt;&lt;author&gt;&lt;lastName&gt;Kuiper&lt;/lastName&gt;&lt;firstName&gt;Roland&lt;/firstName&gt;&lt;middleNames&gt;P&lt;/middleNames&gt;&lt;/author&gt;&lt;/authors&gt;&lt;editors&gt;&lt;author&gt;&lt;lastName&gt;Kwiatkowski&lt;/lastName&gt;&lt;firstName&gt;David&lt;/firstName&gt;&lt;middleNames&gt;J&lt;/middleNames&gt;&lt;/author&gt;&lt;/editors&gt;&lt;/publication&gt;&lt;/publications&gt;&lt;cites&gt;&lt;/cites&gt;&lt;/citation&gt;</w:instrText>
      </w:r>
      <w:r w:rsidR="006D0E18">
        <w:rPr>
          <w:lang w:val="en-US"/>
        </w:rPr>
        <w:fldChar w:fldCharType="separate"/>
      </w:r>
      <w:r w:rsidR="00CD10CD">
        <w:rPr>
          <w:vertAlign w:val="superscript"/>
          <w:lang w:val="en-US"/>
        </w:rPr>
        <w:t>13</w:t>
      </w:r>
      <w:r w:rsidR="006D0E18">
        <w:rPr>
          <w:lang w:val="en-US"/>
        </w:rPr>
        <w:fldChar w:fldCharType="end"/>
      </w:r>
      <w:r w:rsidR="00AF755D" w:rsidRPr="00CD10CD">
        <w:rPr>
          <w:vertAlign w:val="superscript"/>
          <w:lang w:val="en-US"/>
        </w:rPr>
        <w:t>,</w:t>
      </w:r>
      <w:r w:rsidR="00CD10CD">
        <w:rPr>
          <w:lang w:val="en-US"/>
        </w:rPr>
        <w:fldChar w:fldCharType="begin"/>
      </w:r>
      <w:r w:rsidR="00187389">
        <w:rPr>
          <w:lang w:val="en-US"/>
        </w:rPr>
        <w:instrText xml:space="preserve"> ADDIN PAPERS2_CITATIONS &lt;citation&gt;&lt;priority&gt;14&lt;/priority&gt;&lt;uuid&gt;1171FD75-8F96-45E4-8785-920D3248943D&lt;/uuid&gt;&lt;publications&gt;&lt;publication&gt;&lt;subtype&gt;400&lt;/subtype&gt;&lt;publisher&gt;American Association for Cancer Research&lt;/publisher&gt;&lt;title&gt;Molecular dissection of microsatellite instable colorectal cancer.&lt;/title&gt;&lt;url&gt;http://cancerdiscovery.aacrjournals.org/lookup/doi/10.1158/2159-8290.CD-12-0471&lt;/url&gt;&lt;volume&gt;3&lt;/volume&gt;&lt;publication_date&gt;99201305001200000000220000&lt;/publication_date&gt;&lt;uuid&gt;726CBF2B-00D7-4FDD-AE88-F87EDB9BC67A&lt;/uuid&gt;&lt;type&gt;400&lt;/type&gt;&lt;number&gt;5&lt;/number&gt;&lt;citekey&gt;Vilar:2013bj&lt;/citekey&gt;&lt;doi&gt;10.1158/2159-8290.CD-12-0471&lt;/doi&gt;&lt;institution&gt;Department of Clinical Cancer Prevention, The University of Texas MD Anderson Cancer Center, Houston, TX, USA. EVilar@mdanderson.org&lt;/institution&gt;&lt;startpage&gt;502&lt;/startpage&gt;&lt;endpage&gt;511&lt;/endpage&gt;&lt;bundle&gt;&lt;publication&gt;&lt;title&gt;Cancer discovery&lt;/title&gt;&lt;uuid&gt;2674403C-4587-44C3-99E5-78725B4B1D76&lt;/uuid&gt;&lt;subtype&gt;-100&lt;/subtype&gt;&lt;type&gt;-100&lt;/type&gt;&lt;/publication&gt;&lt;/bundle&gt;&lt;authors&gt;&lt;author&gt;&lt;lastName&gt;Vilar&lt;/lastName&gt;&lt;firstName&gt;Eduardo&lt;/firstName&gt;&lt;/author&gt;&lt;author&gt;&lt;lastName&gt;Tabernero&lt;/lastName&gt;&lt;firstName&gt;Josep&lt;/firstName&gt;&lt;/author&gt;&lt;/authors&gt;&lt;/publication&gt;&lt;/publications&gt;&lt;cites&gt;&lt;/cites&gt;&lt;/citation&gt;</w:instrText>
      </w:r>
      <w:r w:rsidR="00CD10CD">
        <w:rPr>
          <w:lang w:val="en-US"/>
        </w:rPr>
        <w:fldChar w:fldCharType="separate"/>
      </w:r>
      <w:r w:rsidR="00CD10CD">
        <w:rPr>
          <w:vertAlign w:val="superscript"/>
          <w:lang w:val="en-US"/>
        </w:rPr>
        <w:t>14</w:t>
      </w:r>
      <w:r w:rsidR="00CD10CD">
        <w:rPr>
          <w:lang w:val="en-US"/>
        </w:rPr>
        <w:fldChar w:fldCharType="end"/>
      </w:r>
      <w:r w:rsidR="006D0E18">
        <w:rPr>
          <w:lang w:val="en-US"/>
        </w:rPr>
        <w:t>.</w:t>
      </w:r>
    </w:p>
    <w:p w14:paraId="2BC1EFA5" w14:textId="77777777" w:rsidR="001B387A" w:rsidRPr="001B387A" w:rsidRDefault="001B387A" w:rsidP="001B387A">
      <w:pPr>
        <w:rPr>
          <w:rFonts w:ascii="Times New Roman" w:eastAsia="Times New Roman" w:hAnsi="Times New Roman" w:cs="Times New Roman"/>
        </w:rPr>
      </w:pPr>
    </w:p>
    <w:p w14:paraId="396A2AA6" w14:textId="2EBE93E6" w:rsidR="001D313D" w:rsidRDefault="001B387A" w:rsidP="001B387A">
      <w:pPr>
        <w:rPr>
          <w:rFonts w:ascii="Times New Roman" w:eastAsia="Times New Roman" w:hAnsi="Times New Roman" w:cs="Times New Roman"/>
          <w:b/>
          <w:bCs/>
        </w:rPr>
      </w:pPr>
      <w:r w:rsidRPr="001B387A">
        <w:rPr>
          <w:rFonts w:ascii="Times New Roman" w:eastAsia="Times New Roman" w:hAnsi="Times New Roman" w:cs="Times New Roman"/>
          <w:b/>
          <w:bCs/>
        </w:rPr>
        <w:t>SSH1 &amp; SSH3 </w:t>
      </w:r>
    </w:p>
    <w:p w14:paraId="603C9B78" w14:textId="77777777" w:rsidR="007A7B58" w:rsidRPr="00070EDB" w:rsidRDefault="007A7B58" w:rsidP="001B387A">
      <w:pPr>
        <w:rPr>
          <w:rFonts w:ascii="Times New Roman" w:eastAsia="Times New Roman" w:hAnsi="Times New Roman" w:cs="Times New Roman"/>
          <w:b/>
          <w:bCs/>
        </w:rPr>
      </w:pPr>
    </w:p>
    <w:p w14:paraId="632D316A" w14:textId="0E59C9E8" w:rsidR="001B387A" w:rsidRPr="001B387A" w:rsidRDefault="001B387A" w:rsidP="00AF755D">
      <w:pPr>
        <w:pStyle w:val="para"/>
      </w:pPr>
      <w:r w:rsidRPr="001B387A">
        <w:t>There is evidence for SSH1 role in tumour development</w:t>
      </w:r>
      <w:r w:rsidR="00CD10CD">
        <w:rPr>
          <w:lang w:val="en-US"/>
        </w:rPr>
        <w:fldChar w:fldCharType="begin"/>
      </w:r>
      <w:r w:rsidR="00187389">
        <w:rPr>
          <w:lang w:val="en-US"/>
        </w:rPr>
        <w:instrText xml:space="preserve"> ADDIN PAPERS2_CITATIONS &lt;citation&gt;&lt;priority&gt;15&lt;/priority&gt;&lt;uuid&gt;65E57E3F-1BA6-4864-B27D-FD8EDD201D91&lt;/uuid&gt;&lt;publications&gt;&lt;publication&gt;&lt;subtype&gt;400&lt;/subtype&gt;&lt;publisher&gt;BMC Gastroenterology&lt;/publisher&gt;&lt;title&gt;SSH1 expression is associated with gastric cancer progression and predicts a poor prognosis&lt;/title&gt;&lt;url&gt;https://www.ncbi.nlm.nih.gov/pmc/articles/PMC5771149/pdf/12876_2018_Article_739.pdf&lt;/url&gt;&lt;publication_date&gt;99201801101200000000222000&lt;/publication_date&gt;&lt;uuid&gt;F8F6EC28-5AED-4372-97B5-50B85FBC833B&lt;/uuid&gt;&lt;type&gt;400&lt;/type&gt;&lt;citekey&gt;Maimaiti:2018gr&lt;/citekey&gt;&lt;doi&gt;10.1186/s12876-018-0739-5&lt;/doi&gt;&lt;startpage&gt;1&lt;/startpage&gt;&lt;endpage&gt;7&lt;/endpage&gt;&lt;authors&gt;&lt;author&gt;&lt;lastName&gt;Maimaiti&lt;/lastName&gt;&lt;firstName&gt;Yusufu&lt;/firstName&gt;&lt;/author&gt;&lt;author&gt;&lt;lastName&gt;Maimaitiming&lt;/lastName&gt;&lt;firstName&gt;Maimaitiaili&lt;/firstName&gt;&lt;/author&gt;&lt;author&gt;&lt;lastName&gt;Li&lt;/lastName&gt;&lt;firstName&gt;Yiliang&lt;/firstName&gt;&lt;/author&gt;&lt;author&gt;&lt;lastName&gt;Aibibula&lt;/lastName&gt;&lt;firstName&gt;Saifuding&lt;/firstName&gt;&lt;/author&gt;&lt;author&gt;&lt;lastName&gt;Ainiwaer&lt;/lastName&gt;&lt;firstName&gt;Azatijiang&lt;/firstName&gt;&lt;/author&gt;&lt;author&gt;&lt;lastName&gt;Aili&lt;/lastName&gt;&lt;firstName&gt;Aikebaier&lt;/firstName&gt;&lt;/author&gt;&lt;author&gt;&lt;lastName&gt;Sun&lt;/lastName&gt;&lt;firstName&gt;Zhenzhu&lt;/firstName&gt;&lt;/author&gt;&lt;author&gt;&lt;lastName&gt;Abudureyimu&lt;/lastName&gt;&lt;firstName&gt;Kelimu&lt;/firstName&gt;&lt;/author&gt;&lt;/authors&gt;&lt;/publication&gt;&lt;/publications&gt;&lt;cites&gt;&lt;/cites&gt;&lt;/citation&gt;</w:instrText>
      </w:r>
      <w:r w:rsidR="00CD10CD">
        <w:rPr>
          <w:lang w:val="en-US"/>
        </w:rPr>
        <w:fldChar w:fldCharType="separate"/>
      </w:r>
      <w:r w:rsidR="00CD10CD">
        <w:rPr>
          <w:vertAlign w:val="superscript"/>
          <w:lang w:val="en-US"/>
        </w:rPr>
        <w:t>15</w:t>
      </w:r>
      <w:r w:rsidR="00CD10CD">
        <w:rPr>
          <w:lang w:val="en-US"/>
        </w:rPr>
        <w:fldChar w:fldCharType="end"/>
      </w:r>
      <w:r w:rsidR="001B528F">
        <w:rPr>
          <w:lang w:val="en-US"/>
        </w:rPr>
        <w:t>.</w:t>
      </w:r>
      <w:r w:rsidR="00CD10CD">
        <w:rPr>
          <w:lang w:val="en-US"/>
        </w:rPr>
        <w:t xml:space="preserve"> </w:t>
      </w:r>
      <w:r w:rsidRPr="001B387A">
        <w:t xml:space="preserve">SSH1 and SSH3 both contain a </w:t>
      </w:r>
      <w:r w:rsidR="001D313D">
        <w:t xml:space="preserve">protein </w:t>
      </w:r>
      <w:r w:rsidRPr="001B387A">
        <w:t>phosphatase domain.  This domain was identified as a MutFam from multiple mutated genes in colorectal cancers (COAD and READ, genes SSH1, SSH3, DUSP1, DUSP5, DUSP6, DUSP7, DUSP19 &amp; DUSP22)</w:t>
      </w:r>
      <w:r w:rsidR="001D313D">
        <w:t xml:space="preserve"> along with</w:t>
      </w:r>
      <w:r w:rsidRPr="001B387A">
        <w:t> </w:t>
      </w:r>
      <w:r w:rsidR="001D313D">
        <w:t>a</w:t>
      </w:r>
      <w:r w:rsidRPr="001B387A">
        <w:t xml:space="preserve"> 3D cluster</w:t>
      </w:r>
      <w:r w:rsidR="001D313D">
        <w:t>.</w:t>
      </w:r>
    </w:p>
    <w:p w14:paraId="07DDB62C" w14:textId="77777777" w:rsidR="001B387A" w:rsidRPr="001B387A" w:rsidRDefault="001B387A" w:rsidP="001B387A">
      <w:pPr>
        <w:rPr>
          <w:rFonts w:ascii="Times New Roman" w:eastAsia="Times New Roman" w:hAnsi="Times New Roman" w:cs="Times New Roman"/>
        </w:rPr>
      </w:pPr>
    </w:p>
    <w:p w14:paraId="5FA27A64" w14:textId="326CB4E5" w:rsidR="001B387A" w:rsidRDefault="001B387A" w:rsidP="001B387A">
      <w:pPr>
        <w:rPr>
          <w:rFonts w:ascii="Times New Roman" w:eastAsia="Times New Roman" w:hAnsi="Times New Roman" w:cs="Times New Roman"/>
          <w:b/>
          <w:bCs/>
        </w:rPr>
      </w:pPr>
      <w:r w:rsidRPr="001B387A">
        <w:rPr>
          <w:rFonts w:ascii="Times New Roman" w:eastAsia="Times New Roman" w:hAnsi="Times New Roman" w:cs="Times New Roman"/>
          <w:b/>
          <w:bCs/>
        </w:rPr>
        <w:t>DSP &amp; EPPK1</w:t>
      </w:r>
    </w:p>
    <w:p w14:paraId="0F6491F5" w14:textId="77777777" w:rsidR="00187389" w:rsidRPr="001B387A" w:rsidRDefault="00187389" w:rsidP="001B387A">
      <w:pPr>
        <w:rPr>
          <w:rFonts w:ascii="Times New Roman" w:eastAsia="Times New Roman" w:hAnsi="Times New Roman" w:cs="Times New Roman"/>
        </w:rPr>
      </w:pPr>
    </w:p>
    <w:p w14:paraId="773E484F" w14:textId="316B830B" w:rsidR="001B387A" w:rsidRPr="001B387A" w:rsidRDefault="001B387A" w:rsidP="00AF755D">
      <w:pPr>
        <w:pStyle w:val="para"/>
      </w:pPr>
      <w:r w:rsidRPr="001B387A">
        <w:t>Large proteins (DSP ~2</w:t>
      </w:r>
      <w:r w:rsidR="00F47499">
        <w:t>.</w:t>
      </w:r>
      <w:r w:rsidRPr="001B387A">
        <w:t>8</w:t>
      </w:r>
      <w:r w:rsidR="00F47499">
        <w:t>k</w:t>
      </w:r>
      <w:r w:rsidRPr="001B387A">
        <w:t>bp and EPPK1 ~5</w:t>
      </w:r>
      <w:r w:rsidR="002E3FEC">
        <w:t>kbp</w:t>
      </w:r>
      <w:r w:rsidRPr="001B387A">
        <w:t xml:space="preserve">) with key role in desmosomes that link neighbouring cells at cell-cell junctions. </w:t>
      </w:r>
      <w:r w:rsidR="001B528F">
        <w:t xml:space="preserve">The </w:t>
      </w:r>
      <w:proofErr w:type="spellStart"/>
      <w:r w:rsidR="001B528F">
        <w:t>p</w:t>
      </w:r>
      <w:r w:rsidR="002E3FEC">
        <w:t>ancancer</w:t>
      </w:r>
      <w:proofErr w:type="spellEnd"/>
      <w:r w:rsidRPr="001B387A">
        <w:t xml:space="preserve"> dataset has mutations in these genes in most tumour types.  MutFam identified significant enrichment of the </w:t>
      </w:r>
      <w:proofErr w:type="spellStart"/>
      <w:r w:rsidRPr="001B387A">
        <w:t>Plectin</w:t>
      </w:r>
      <w:proofErr w:type="spellEnd"/>
      <w:r w:rsidRPr="001B387A">
        <w:t xml:space="preserve"> MutFam only in LUAD, LIHC, SKCM and THCA with additional functional evidence from identified 3D mutation clustering.</w:t>
      </w:r>
    </w:p>
    <w:p w14:paraId="2B68F3D0" w14:textId="77777777" w:rsidR="001B387A" w:rsidRPr="001B387A" w:rsidRDefault="001B387A" w:rsidP="001B387A">
      <w:pPr>
        <w:rPr>
          <w:rFonts w:ascii="Times New Roman" w:eastAsia="Times New Roman" w:hAnsi="Times New Roman" w:cs="Times New Roman"/>
        </w:rPr>
      </w:pPr>
    </w:p>
    <w:p w14:paraId="745E48CD" w14:textId="20401289" w:rsidR="001B387A" w:rsidRDefault="001B387A" w:rsidP="001B387A">
      <w:pPr>
        <w:rPr>
          <w:rFonts w:ascii="Times New Roman" w:eastAsia="Times New Roman" w:hAnsi="Times New Roman" w:cs="Times New Roman"/>
          <w:b/>
          <w:bCs/>
        </w:rPr>
      </w:pPr>
      <w:r w:rsidRPr="001B387A">
        <w:rPr>
          <w:rFonts w:ascii="Times New Roman" w:eastAsia="Times New Roman" w:hAnsi="Times New Roman" w:cs="Times New Roman"/>
          <w:b/>
          <w:bCs/>
        </w:rPr>
        <w:t>SEC24C</w:t>
      </w:r>
    </w:p>
    <w:p w14:paraId="5513E3E4" w14:textId="77777777" w:rsidR="00187389" w:rsidRPr="001B387A" w:rsidRDefault="00187389" w:rsidP="001B387A">
      <w:pPr>
        <w:rPr>
          <w:rFonts w:ascii="Times New Roman" w:eastAsia="Times New Roman" w:hAnsi="Times New Roman" w:cs="Times New Roman"/>
        </w:rPr>
      </w:pPr>
    </w:p>
    <w:p w14:paraId="7650E79E" w14:textId="2D0E1A06" w:rsidR="001B387A" w:rsidRDefault="001B387A" w:rsidP="00187389">
      <w:pPr>
        <w:pStyle w:val="para"/>
      </w:pPr>
      <w:r w:rsidRPr="001B387A">
        <w:t>Functions as part of coat protein complex II (COPII) and identified commonly by MutFam and Miller. A role for SEC24C in cancer via changes to AKT pathway has been suggest</w:t>
      </w:r>
      <w:r w:rsidR="00187389">
        <w:rPr>
          <w:lang w:val="en-US"/>
        </w:rPr>
        <w:fldChar w:fldCharType="begin"/>
      </w:r>
      <w:r w:rsidR="00187389">
        <w:rPr>
          <w:lang w:val="en-US"/>
        </w:rPr>
        <w:instrText xml:space="preserve"> ADDIN PAPERS2_CITATIONS &lt;citation&gt;&lt;priority&gt;16&lt;/priority&gt;&lt;uuid&gt;A61777F8-07D8-4F83-BCC6-5C7C23756862&lt;/uuid&gt;&lt;publications&gt;&lt;publication&gt;&lt;subtype&gt;400&lt;/subtype&gt;&lt;title&gt;Akt Phosphorylates Sec24: New Clues into the Regulation of ER-to-Golgi Trafficking&lt;/title&gt;&lt;url&gt;http://doi.wiley.com/10.1111/j.1600-0854.2010.01133.x&lt;/url&gt;&lt;volume&gt;12&lt;/volume&gt;&lt;publication_date&gt;99201011191200000000222000&lt;/publication_date&gt;&lt;uuid&gt;2E3EEA87-1B9E-410F-A85A-01FFABA5209E&lt;/uuid&gt;&lt;type&gt;400&lt;/type&gt;&lt;number&gt;1&lt;/number&gt;&lt;citekey&gt;Sharpe:2010gl&lt;/citekey&gt;&lt;doi&gt;10.1111/j.1600-0854.2010.01133.x&lt;/doi&gt;&lt;startpage&gt;19&lt;/startpage&gt;&lt;endpage&gt;27&lt;/endpage&gt;&lt;bundle&gt;&lt;publication&gt;&lt;title&gt;Traffic&lt;/title&gt;&lt;uuid&gt;043B05E4-73A1-45C7-9C12-1E30F6CF0A97&lt;/uuid&gt;&lt;subtype&gt;-100&lt;/subtype&gt;&lt;type&gt;-100&lt;/type&gt;&lt;/publication&gt;&lt;/bundle&gt;&lt;authors&gt;&lt;author&gt;&lt;lastName&gt;Sharpe&lt;/lastName&gt;&lt;firstName&gt;Laura&lt;/firstName&gt;&lt;middleNames&gt;J&lt;/middleNames&gt;&lt;/author&gt;&lt;author&gt;&lt;lastName&gt;Luu&lt;/lastName&gt;&lt;firstName&gt;Winnie&lt;/firstName&gt;&lt;/author&gt;&lt;author&gt;&lt;lastName&gt;Brown&lt;/lastName&gt;&lt;firstName&gt;Andrew&lt;/firstName&gt;&lt;middleNames&gt;J&lt;/middleNames&gt;&lt;/author&gt;&lt;/authors&gt;&lt;/publication&gt;&lt;/publications&gt;&lt;cites&gt;&lt;/cites&gt;&lt;/citation&gt;</w:instrText>
      </w:r>
      <w:r w:rsidR="00187389">
        <w:rPr>
          <w:lang w:val="en-US"/>
        </w:rPr>
        <w:fldChar w:fldCharType="separate"/>
      </w:r>
      <w:r w:rsidR="00187389">
        <w:rPr>
          <w:vertAlign w:val="superscript"/>
          <w:lang w:val="en-US"/>
        </w:rPr>
        <w:t>16</w:t>
      </w:r>
      <w:r w:rsidR="00187389">
        <w:rPr>
          <w:lang w:val="en-US"/>
        </w:rPr>
        <w:fldChar w:fldCharType="end"/>
      </w:r>
      <w:r w:rsidR="00187389">
        <w:rPr>
          <w:lang w:val="en-US"/>
        </w:rPr>
        <w:t>.</w:t>
      </w:r>
    </w:p>
    <w:p w14:paraId="0CA1BD47" w14:textId="77777777" w:rsidR="00187389" w:rsidRPr="001B387A" w:rsidRDefault="00187389" w:rsidP="00187389">
      <w:pPr>
        <w:pStyle w:val="para"/>
      </w:pPr>
    </w:p>
    <w:p w14:paraId="18D291DC" w14:textId="771A7EA9" w:rsidR="001B387A" w:rsidRDefault="001B387A" w:rsidP="001B387A">
      <w:pPr>
        <w:rPr>
          <w:rFonts w:ascii="Times New Roman" w:eastAsia="Times New Roman" w:hAnsi="Times New Roman" w:cs="Times New Roman"/>
          <w:b/>
          <w:bCs/>
        </w:rPr>
      </w:pPr>
      <w:r w:rsidRPr="001B387A">
        <w:rPr>
          <w:rFonts w:ascii="Times New Roman" w:eastAsia="Times New Roman" w:hAnsi="Times New Roman" w:cs="Times New Roman"/>
          <w:b/>
          <w:bCs/>
        </w:rPr>
        <w:t>CSMD1</w:t>
      </w:r>
    </w:p>
    <w:p w14:paraId="4E7A1B9F" w14:textId="77777777" w:rsidR="00187389" w:rsidRPr="001B387A" w:rsidRDefault="00187389" w:rsidP="001B387A">
      <w:pPr>
        <w:rPr>
          <w:rFonts w:ascii="Times New Roman" w:eastAsia="Times New Roman" w:hAnsi="Times New Roman" w:cs="Times New Roman"/>
        </w:rPr>
      </w:pPr>
    </w:p>
    <w:p w14:paraId="61326954" w14:textId="6F0A6EA3" w:rsidR="001B387A" w:rsidRPr="001B387A" w:rsidRDefault="001B387A" w:rsidP="00AF755D">
      <w:pPr>
        <w:pStyle w:val="para"/>
      </w:pPr>
      <w:r w:rsidRPr="001B387A">
        <w:t>CUB and sushi domain-containing protein 1 is identified commonly by both MutFam and Miller methods and has evidence for a tumour suppressive role in squamous cell carcinomas</w:t>
      </w:r>
      <w:r w:rsidR="00CD10CD">
        <w:rPr>
          <w:lang w:val="en-US"/>
        </w:rPr>
        <w:fldChar w:fldCharType="begin"/>
      </w:r>
      <w:r w:rsidR="00187389">
        <w:rPr>
          <w:lang w:val="en-US"/>
        </w:rPr>
        <w:instrText xml:space="preserve"> ADDIN PAPERS2_CITATIONS &lt;citation&gt;&lt;priority&gt;17&lt;/priority&gt;&lt;uuid&gt;8EBDDAD3-6A01-4D78-BA60-20EA2B1CC1BD&lt;/uuid&gt;&lt;publications&gt;&lt;publication&gt;&lt;subtype&gt;400&lt;/subtype&gt;&lt;title&gt;Characterization CSMD1 in a large set of primary lung, head and neck, breast and skin cancer tissues.&lt;/title&gt;&lt;url&gt;http://eutils.ncbi.nlm.nih.gov/entrez/eutils/elink.fcgi?dbfrom=pubmed&amp;amp;id=19276661&amp;amp;retmode=ref&amp;amp;cmd=prlinks&lt;/url&gt;&lt;volume&gt;8&lt;/volume&gt;&lt;publication_date&gt;99200905001200000000220000&lt;/publication_date&gt;&lt;uuid&gt;E017A2A6-FD7C-4CA3-B21D-97DC41F68E56&lt;/uuid&gt;&lt;type&gt;400&lt;/type&gt;&lt;number&gt;10&lt;/number&gt;&lt;citekey&gt;Ma:2009wx&lt;/citekey&gt;&lt;institution&gt;Department of Otorhinolaryngology, Head and Neck Surgery, University of Pennsylvania, Philadelphia, PA 19104 , USA.&lt;/institution&gt;&lt;startpage&gt;907&lt;/startpage&gt;&lt;endpage&gt;916&lt;/endpage&gt;&lt;bundle&gt;&lt;publication&gt;&lt;title&gt;Cancer biology &amp;amp; therapy&lt;/title&gt;&lt;uuid&gt;B7AE6C2A-1534-4ED4-8878-463A5A01BB96&lt;/uuid&gt;&lt;subtype&gt;-100&lt;/subtype&gt;&lt;type&gt;-100&lt;/type&gt;&lt;/publication&gt;&lt;/bundle&gt;&lt;authors&gt;&lt;author&gt;&lt;lastName&gt;Ma&lt;/lastName&gt;&lt;firstName&gt;Changqing&lt;/firstName&gt;&lt;/author&gt;&lt;author&gt;&lt;lastName&gt;Quesnelle&lt;/lastName&gt;&lt;firstName&gt;Kelly&lt;/firstName&gt;&lt;middleNames&gt;M&lt;/middleNames&gt;&lt;/author&gt;&lt;author&gt;&lt;lastName&gt;Sparano&lt;/lastName&gt;&lt;firstName&gt;Anthony&lt;/firstName&gt;&lt;/author&gt;&lt;author&gt;&lt;lastName&gt;Rao&lt;/lastName&gt;&lt;firstName&gt;Shilpa&lt;/firstName&gt;&lt;/author&gt;&lt;author&gt;&lt;lastName&gt;Park&lt;/lastName&gt;&lt;firstName&gt;Min&lt;/firstName&gt;&lt;middleNames&gt;S&lt;/middleNames&gt;&lt;/author&gt;&lt;author&gt;&lt;lastName&gt;Cohen&lt;/lastName&gt;&lt;firstName&gt;Marc&lt;/firstName&gt;&lt;middleNames&gt;A&lt;/middleNames&gt;&lt;/author&gt;&lt;author&gt;&lt;lastName&gt;Wang&lt;/lastName&gt;&lt;firstName&gt;Yan&lt;/firstName&gt;&lt;/author&gt;&lt;author&gt;&lt;lastName&gt;Samanta&lt;/lastName&gt;&lt;firstName&gt;Minu&lt;/firstName&gt;&lt;/author&gt;&lt;author&gt;&lt;lastName&gt;Kumar&lt;/lastName&gt;&lt;firstName&gt;Madhu&lt;/firstName&gt;&lt;middleNames&gt;S&lt;/middleNames&gt;&lt;/author&gt;&lt;author&gt;&lt;lastName&gt;Aziz&lt;/lastName&gt;&lt;firstName&gt;M&lt;/firstName&gt;&lt;middleNames&gt;Usman&lt;/middleNames&gt;&lt;/author&gt;&lt;author&gt;&lt;lastName&gt;Naylor&lt;/lastName&gt;&lt;firstName&gt;Tara&lt;/firstName&gt;&lt;middleNames&gt;L&lt;/middleNames&gt;&lt;/author&gt;&lt;author&gt;&lt;lastName&gt;Weber&lt;/lastName&gt;&lt;firstName&gt;Barbara&lt;/firstName&gt;&lt;middleNames&gt;L&lt;/middleNames&gt;&lt;/author&gt;&lt;author&gt;&lt;lastName&gt;Fakharzadeh&lt;/lastName&gt;&lt;firstName&gt;Steven&lt;/firstName&gt;&lt;middleNames&gt;S&lt;/middleNames&gt;&lt;/author&gt;&lt;author&gt;&lt;lastName&gt;Weinstein&lt;/lastName&gt;&lt;firstName&gt;Gregory&lt;/firstName&gt;&lt;middleNames&gt;S&lt;/middleNames&gt;&lt;/author&gt;&lt;author&gt;&lt;lastName&gt;Vachani&lt;/lastName&gt;&lt;firstName&gt;Anil&lt;/firstName&gt;&lt;/author&gt;&lt;author&gt;&lt;lastName&gt;Feldman&lt;/lastName&gt;&lt;firstName&gt;Michael&lt;/firstName&gt;&lt;middleNames&gt;D&lt;/middleNames&gt;&lt;/author&gt;&lt;author&gt;&lt;lastName&gt;Brose&lt;/lastName&gt;&lt;firstName&gt;Marcia&lt;/firstName&gt;&lt;middleNames&gt;S&lt;/middleNames&gt;&lt;/author&gt;&lt;/authors&gt;&lt;/publication&gt;&lt;/publications&gt;&lt;cites&gt;&lt;/cites&gt;&lt;/citation&gt;</w:instrText>
      </w:r>
      <w:r w:rsidR="00CD10CD">
        <w:rPr>
          <w:lang w:val="en-US"/>
        </w:rPr>
        <w:fldChar w:fldCharType="separate"/>
      </w:r>
      <w:r w:rsidR="00CD10CD">
        <w:rPr>
          <w:vertAlign w:val="superscript"/>
          <w:lang w:val="en-US"/>
        </w:rPr>
        <w:t>17</w:t>
      </w:r>
      <w:r w:rsidR="00CD10CD">
        <w:rPr>
          <w:lang w:val="en-US"/>
        </w:rPr>
        <w:fldChar w:fldCharType="end"/>
      </w:r>
      <w:r w:rsidR="006D0E18">
        <w:rPr>
          <w:lang w:val="en-US"/>
        </w:rPr>
        <w:t>.</w:t>
      </w:r>
    </w:p>
    <w:p w14:paraId="1DE2BE41" w14:textId="77777777" w:rsidR="001B387A" w:rsidRPr="001B387A" w:rsidRDefault="001B387A" w:rsidP="001B387A">
      <w:pPr>
        <w:rPr>
          <w:rFonts w:ascii="Times New Roman" w:eastAsia="Times New Roman" w:hAnsi="Times New Roman" w:cs="Times New Roman"/>
        </w:rPr>
      </w:pPr>
    </w:p>
    <w:p w14:paraId="4683D8E2" w14:textId="77777777" w:rsidR="001B387A" w:rsidRPr="00070EDB" w:rsidRDefault="001B387A" w:rsidP="00070EDB">
      <w:pPr>
        <w:rPr>
          <w:lang w:val="en-US"/>
        </w:rPr>
      </w:pPr>
    </w:p>
    <w:p w14:paraId="2EBF44D5" w14:textId="77777777" w:rsidR="00AA11E7" w:rsidRDefault="00AA11E7" w:rsidP="001922FD">
      <w:pPr>
        <w:pStyle w:val="para"/>
      </w:pPr>
    </w:p>
    <w:p w14:paraId="6BF758B6" w14:textId="407F6400" w:rsidR="00B0749C" w:rsidRPr="007D79F2" w:rsidRDefault="00B0749C" w:rsidP="007D79F2">
      <w:pPr>
        <w:sectPr w:rsidR="00B0749C" w:rsidRPr="007D79F2" w:rsidSect="001F195A">
          <w:pgSz w:w="11900" w:h="16840"/>
          <w:pgMar w:top="1440" w:right="1800" w:bottom="1440" w:left="1800" w:header="708" w:footer="708" w:gutter="0"/>
          <w:cols w:space="708"/>
          <w:docGrid w:linePitch="360"/>
        </w:sectPr>
      </w:pPr>
    </w:p>
    <w:p w14:paraId="09AA2A9F" w14:textId="73D6F49E" w:rsidR="001C140A" w:rsidRDefault="001C140A" w:rsidP="001C140A">
      <w:pPr>
        <w:pStyle w:val="Heading1"/>
      </w:pPr>
      <w:r>
        <w:lastRenderedPageBreak/>
        <w:t xml:space="preserve">Supplementary </w:t>
      </w:r>
      <w:r w:rsidR="00D83811">
        <w:t>Tables</w:t>
      </w:r>
    </w:p>
    <w:p w14:paraId="6031C1BE" w14:textId="1BB84905" w:rsidR="00541241" w:rsidRPr="007D79F2" w:rsidRDefault="00541241">
      <w:pPr>
        <w:pStyle w:val="Heading2"/>
        <w:rPr>
          <w:color w:val="E36C0A" w:themeColor="accent6" w:themeShade="BF"/>
        </w:rPr>
      </w:pPr>
      <w:r>
        <w:t xml:space="preserve">Supplementary </w:t>
      </w:r>
      <w:r w:rsidR="00D83811">
        <w:t>Table</w:t>
      </w:r>
      <w:r>
        <w:t xml:space="preserve"> </w:t>
      </w:r>
      <w:r w:rsidR="007D79F2">
        <w:t>1</w:t>
      </w:r>
    </w:p>
    <w:p w14:paraId="51A1847D" w14:textId="26173AA7" w:rsidR="00D83811" w:rsidRPr="006923BE" w:rsidRDefault="00541241" w:rsidP="006923BE">
      <w:pPr>
        <w:pStyle w:val="para"/>
      </w:pPr>
      <w:r w:rsidRPr="008C1334">
        <w:t>Table summarises number of cancer samples and number</w:t>
      </w:r>
      <w:r w:rsidR="006923BE">
        <w:t xml:space="preserve"> of MutFams found by cancer type.</w:t>
      </w:r>
    </w:p>
    <w:p w14:paraId="3C6495B0" w14:textId="75EFA312" w:rsidR="00D83811" w:rsidRDefault="00D83811" w:rsidP="00541241">
      <w:pPr>
        <w:rPr>
          <w:rFonts w:ascii="Arial" w:eastAsia="Times New Roman" w:hAnsi="Arial" w:cs="Times New Roman"/>
          <w:b/>
          <w:bCs/>
          <w:sz w:val="20"/>
          <w:szCs w:val="20"/>
        </w:rPr>
      </w:pPr>
      <w:r>
        <w:rPr>
          <w:b/>
          <w:noProof/>
          <w:lang w:val="en-US"/>
        </w:rPr>
        <w:drawing>
          <wp:inline distT="0" distB="0" distL="0" distR="0" wp14:anchorId="054FD19E" wp14:editId="254FCE65">
            <wp:extent cx="6057900" cy="4332257"/>
            <wp:effectExtent l="0" t="0" r="0" b="0"/>
            <wp:docPr id="2" name="Picture 2" descr="Macintosh HD:Users:ash:Dropbox:Documents:UCL:Documents:mutfam_paper_share:revision:figs_tables:X13:X1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sh:Dropbox:Documents:UCL:Documents:mutfam_paper_share:revision:figs_tables:X13:X13.pdf"/>
                    <pic:cNvPicPr>
                      <a:picLocks noChangeAspect="1" noChangeArrowheads="1"/>
                    </pic:cNvPicPr>
                  </pic:nvPicPr>
                  <pic:blipFill rotWithShape="1">
                    <a:blip r:embed="rId14">
                      <a:extLst>
                        <a:ext uri="{28A0092B-C50C-407E-A947-70E740481C1C}">
                          <a14:useLocalDpi xmlns:a14="http://schemas.microsoft.com/office/drawing/2010/main" val="0"/>
                        </a:ext>
                      </a:extLst>
                    </a:blip>
                    <a:srcRect l="5566" t="10074" r="15404" b="10063"/>
                    <a:stretch/>
                  </pic:blipFill>
                  <pic:spPr bwMode="auto">
                    <a:xfrm>
                      <a:off x="0" y="0"/>
                      <a:ext cx="6058849" cy="433293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9CF5873" w14:textId="77777777" w:rsidR="00D83811" w:rsidRDefault="00D83811" w:rsidP="00541241">
      <w:pPr>
        <w:rPr>
          <w:rFonts w:ascii="Arial" w:eastAsia="Times New Roman" w:hAnsi="Arial" w:cs="Times New Roman"/>
          <w:b/>
          <w:bCs/>
          <w:sz w:val="20"/>
          <w:szCs w:val="20"/>
        </w:rPr>
      </w:pPr>
    </w:p>
    <w:p w14:paraId="228139FA" w14:textId="77777777" w:rsidR="00D83811" w:rsidRDefault="00D83811" w:rsidP="00541241">
      <w:pPr>
        <w:rPr>
          <w:rFonts w:ascii="Arial" w:eastAsia="Times New Roman" w:hAnsi="Arial" w:cs="Times New Roman"/>
          <w:b/>
          <w:bCs/>
          <w:sz w:val="20"/>
          <w:szCs w:val="20"/>
        </w:rPr>
      </w:pPr>
    </w:p>
    <w:p w14:paraId="5299EB95" w14:textId="77777777" w:rsidR="00D83811" w:rsidRPr="008C1334" w:rsidRDefault="00D83811" w:rsidP="00541241">
      <w:pPr>
        <w:rPr>
          <w:rFonts w:ascii="Times" w:eastAsia="Times New Roman" w:hAnsi="Times" w:cs="Times New Roman"/>
          <w:sz w:val="20"/>
          <w:szCs w:val="20"/>
        </w:rPr>
      </w:pPr>
    </w:p>
    <w:p w14:paraId="6F186C95" w14:textId="77777777" w:rsidR="006923BE" w:rsidRDefault="006923BE">
      <w:pPr>
        <w:rPr>
          <w:b/>
        </w:rPr>
      </w:pPr>
      <w:r>
        <w:rPr>
          <w:b/>
        </w:rPr>
        <w:br w:type="page"/>
      </w:r>
    </w:p>
    <w:p w14:paraId="170A89BE" w14:textId="2E29C591" w:rsidR="006923BE" w:rsidRPr="007D79F2" w:rsidRDefault="006923BE">
      <w:pPr>
        <w:pStyle w:val="Heading2"/>
        <w:rPr>
          <w:color w:val="E36C0A" w:themeColor="accent6" w:themeShade="BF"/>
        </w:rPr>
      </w:pPr>
      <w:r>
        <w:lastRenderedPageBreak/>
        <w:t>Supplementary Table 2</w:t>
      </w:r>
    </w:p>
    <w:p w14:paraId="1FC68474" w14:textId="13D56987" w:rsidR="006923BE" w:rsidRPr="006923BE" w:rsidRDefault="006923BE" w:rsidP="006923BE">
      <w:pPr>
        <w:pStyle w:val="para"/>
        <w:rPr>
          <w:shd w:val="clear" w:color="auto" w:fill="FFFFFF"/>
        </w:rPr>
      </w:pPr>
      <w:r w:rsidRPr="00210C89">
        <w:rPr>
          <w:shd w:val="clear" w:color="auto" w:fill="FFFFFF"/>
        </w:rPr>
        <w:t>Table summarises 405 MutFams grouped into 22 cancer types</w:t>
      </w:r>
      <w:r>
        <w:rPr>
          <w:shd w:val="clear" w:color="auto" w:fill="FFFFFF"/>
        </w:rPr>
        <w:t xml:space="preserve">. </w:t>
      </w:r>
      <w:r w:rsidRPr="005E63CE">
        <w:t>Entries grouped by cancer type then ordered by decreasing enrichment factor (which quantifies the over</w:t>
      </w:r>
      <w:r w:rsidRPr="005E63CE">
        <w:softHyphen/>
        <w:t xml:space="preserve">representation of mutations within the FunFam boundaries across one or more human genes compared with a uniform distribution over whole genes) and corrected </w:t>
      </w:r>
      <w:r w:rsidRPr="005E63CE">
        <w:rPr>
          <w:i/>
        </w:rPr>
        <w:t>p</w:t>
      </w:r>
      <w:r w:rsidRPr="005E63CE">
        <w:t>-values.</w:t>
      </w:r>
    </w:p>
    <w:p w14:paraId="1DD41622" w14:textId="77777777" w:rsidR="006923BE" w:rsidRDefault="006923BE" w:rsidP="006923BE">
      <w:pPr>
        <w:pStyle w:val="para"/>
      </w:pPr>
    </w:p>
    <w:p w14:paraId="6C61CE78" w14:textId="053CBE97" w:rsidR="006923BE" w:rsidRDefault="006923BE" w:rsidP="006923BE">
      <w:pPr>
        <w:pStyle w:val="para"/>
        <w:rPr>
          <w:b/>
        </w:rPr>
      </w:pPr>
      <w:r w:rsidRPr="00770B85">
        <w:rPr>
          <w:b/>
        </w:rPr>
        <w:t>This table</w:t>
      </w:r>
      <w:r>
        <w:rPr>
          <w:b/>
        </w:rPr>
        <w:t xml:space="preserve"> is included as an Excel spread</w:t>
      </w:r>
      <w:r w:rsidRPr="00770B85">
        <w:rPr>
          <w:b/>
        </w:rPr>
        <w:t>sheet</w:t>
      </w:r>
      <w:r w:rsidR="00510EA9">
        <w:rPr>
          <w:b/>
        </w:rPr>
        <w:t xml:space="preserve"> and online at:</w:t>
      </w:r>
    </w:p>
    <w:p w14:paraId="06684ECC" w14:textId="5CB57D67" w:rsidR="00510EA9" w:rsidRDefault="000C49AD" w:rsidP="006923BE">
      <w:pPr>
        <w:pStyle w:val="para"/>
        <w:rPr>
          <w:b/>
        </w:rPr>
      </w:pPr>
      <w:hyperlink r:id="rId15" w:history="1">
        <w:r w:rsidR="00510EA9" w:rsidRPr="00D27229">
          <w:rPr>
            <w:rStyle w:val="Hyperlink"/>
            <w:b/>
          </w:rPr>
          <w:t>https://paulashford.github.io/mutfam.github.io/</w:t>
        </w:r>
      </w:hyperlink>
    </w:p>
    <w:p w14:paraId="5B8FC22E" w14:textId="77777777" w:rsidR="00510EA9" w:rsidRPr="00770B85" w:rsidRDefault="00510EA9" w:rsidP="006923BE">
      <w:pPr>
        <w:pStyle w:val="para"/>
        <w:rPr>
          <w:b/>
        </w:rPr>
      </w:pPr>
    </w:p>
    <w:p w14:paraId="1ED00A41" w14:textId="77777777" w:rsidR="00541241" w:rsidRDefault="00541241" w:rsidP="00541241">
      <w:pPr>
        <w:rPr>
          <w:b/>
        </w:rPr>
      </w:pPr>
    </w:p>
    <w:p w14:paraId="74C824E4" w14:textId="3D3C2242" w:rsidR="0036260D" w:rsidRDefault="0036260D">
      <w:pPr>
        <w:rPr>
          <w:b/>
        </w:rPr>
      </w:pPr>
      <w:r>
        <w:rPr>
          <w:b/>
        </w:rPr>
        <w:br w:type="page"/>
      </w:r>
    </w:p>
    <w:p w14:paraId="2A06FC03" w14:textId="6CCF04B3" w:rsidR="0036260D" w:rsidRDefault="0036260D">
      <w:pPr>
        <w:pStyle w:val="Heading2"/>
      </w:pPr>
      <w:r w:rsidRPr="00A56630">
        <w:rPr>
          <w:rFonts w:eastAsiaTheme="minorEastAsia"/>
        </w:rPr>
        <w:lastRenderedPageBreak/>
        <w:t>Supplementary</w:t>
      </w:r>
      <w:r>
        <w:t xml:space="preserve"> Table </w:t>
      </w:r>
      <w:r w:rsidR="00850CE1">
        <w:t>3</w:t>
      </w:r>
    </w:p>
    <w:p w14:paraId="68FED2C8" w14:textId="77777777" w:rsidR="0036260D" w:rsidRDefault="0036260D" w:rsidP="0036260D">
      <w:pPr>
        <w:rPr>
          <w:rFonts w:ascii="Arial" w:eastAsia="Times New Roman" w:hAnsi="Arial" w:cs="Times New Roman"/>
          <w:b/>
          <w:bCs/>
          <w:color w:val="000000"/>
          <w:sz w:val="20"/>
          <w:szCs w:val="20"/>
          <w:shd w:val="clear" w:color="auto" w:fill="FFFFFF"/>
        </w:rPr>
      </w:pPr>
    </w:p>
    <w:p w14:paraId="6259B79F" w14:textId="48004C72" w:rsidR="0036260D" w:rsidRPr="00850CE1" w:rsidRDefault="000D138D" w:rsidP="00850CE1">
      <w:pPr>
        <w:pStyle w:val="para"/>
        <w:rPr>
          <w:shd w:val="clear" w:color="auto" w:fill="FFFFFF"/>
        </w:rPr>
      </w:pPr>
      <w:r>
        <w:rPr>
          <w:b/>
          <w:i/>
          <w:noProof/>
          <w:color w:val="0000FF"/>
          <w:lang w:val="en-US"/>
        </w:rPr>
        <w:drawing>
          <wp:anchor distT="0" distB="0" distL="114300" distR="114300" simplePos="0" relativeHeight="251654144" behindDoc="0" locked="0" layoutInCell="1" allowOverlap="1" wp14:anchorId="691483A6" wp14:editId="01ADBAA2">
            <wp:simplePos x="0" y="0"/>
            <wp:positionH relativeFrom="column">
              <wp:posOffset>-800100</wp:posOffset>
            </wp:positionH>
            <wp:positionV relativeFrom="paragraph">
              <wp:posOffset>1275715</wp:posOffset>
            </wp:positionV>
            <wp:extent cx="7115175" cy="2391410"/>
            <wp:effectExtent l="0" t="0" r="0" b="0"/>
            <wp:wrapNone/>
            <wp:docPr id="13" name="Picture 13" descr="Macintosh HD:Users:ash:Dropbox:Documents:UCL:Documents:mutfam_paper_share:revision:figs_tables:X15:X15.xlsx.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ash:Dropbox:Documents:UCL:Documents:mutfam_paper_share:revision:figs_tables:X15:X15.xlsx.pdf"/>
                    <pic:cNvPicPr>
                      <a:picLocks noChangeAspect="1" noChangeArrowheads="1"/>
                    </pic:cNvPicPr>
                  </pic:nvPicPr>
                  <pic:blipFill rotWithShape="1">
                    <a:blip r:embed="rId16">
                      <a:extLst>
                        <a:ext uri="{28A0092B-C50C-407E-A947-70E740481C1C}">
                          <a14:useLocalDpi xmlns:a14="http://schemas.microsoft.com/office/drawing/2010/main" val="0"/>
                        </a:ext>
                      </a:extLst>
                    </a:blip>
                    <a:srcRect l="6755" t="4600" r="7841" b="75128"/>
                    <a:stretch/>
                  </pic:blipFill>
                  <pic:spPr bwMode="auto">
                    <a:xfrm>
                      <a:off x="0" y="0"/>
                      <a:ext cx="7115175" cy="239141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36260D" w:rsidRPr="00210C89">
        <w:rPr>
          <w:shd w:val="clear" w:color="auto" w:fill="FFFFFF"/>
        </w:rPr>
        <w:t>Table summarises 8 MutFams identified from</w:t>
      </w:r>
      <w:r w:rsidR="007748C5">
        <w:rPr>
          <w:shd w:val="clear" w:color="auto" w:fill="FFFFFF"/>
        </w:rPr>
        <w:t xml:space="preserve"> the</w:t>
      </w:r>
      <w:r w:rsidR="0036260D" w:rsidRPr="00210C89">
        <w:rPr>
          <w:shd w:val="clear" w:color="auto" w:fill="FFFFFF"/>
        </w:rPr>
        <w:t xml:space="preserve"> polymorphism dataset</w:t>
      </w:r>
      <w:r w:rsidR="00850CE1">
        <w:rPr>
          <w:shd w:val="clear" w:color="auto" w:fill="FFFFFF"/>
        </w:rPr>
        <w:t xml:space="preserve">. </w:t>
      </w:r>
      <w:r w:rsidR="0036260D" w:rsidRPr="005E63CE">
        <w:t>Entries ordered by decreasing enrichment factor (which quantifies the over</w:t>
      </w:r>
      <w:r w:rsidR="0036260D" w:rsidRPr="005E63CE">
        <w:softHyphen/>
        <w:t xml:space="preserve">representation of mutations within the FunFam boundaries across one or more human genes compared with a uniform distribution over whole genes) and corrected </w:t>
      </w:r>
      <w:r w:rsidR="0036260D" w:rsidRPr="005E63CE">
        <w:rPr>
          <w:i/>
        </w:rPr>
        <w:t>p</w:t>
      </w:r>
      <w:r w:rsidR="0036260D" w:rsidRPr="005E63CE">
        <w:t>-values.</w:t>
      </w:r>
    </w:p>
    <w:p w14:paraId="26E62EBF" w14:textId="48845249" w:rsidR="0036260D" w:rsidRDefault="0036260D" w:rsidP="0036260D">
      <w:pPr>
        <w:rPr>
          <w:b/>
          <w:i/>
          <w:color w:val="0000FF"/>
        </w:rPr>
      </w:pPr>
    </w:p>
    <w:p w14:paraId="4AA460A0" w14:textId="77777777" w:rsidR="00850CE1" w:rsidRDefault="00850CE1" w:rsidP="0036260D">
      <w:pPr>
        <w:rPr>
          <w:b/>
          <w:i/>
          <w:color w:val="0000FF"/>
        </w:rPr>
      </w:pPr>
    </w:p>
    <w:p w14:paraId="1F1BC8CC" w14:textId="04C6EA59" w:rsidR="00850CE1" w:rsidRDefault="00850CE1">
      <w:pPr>
        <w:rPr>
          <w:b/>
          <w:i/>
          <w:color w:val="0000FF"/>
        </w:rPr>
      </w:pPr>
      <w:r>
        <w:rPr>
          <w:b/>
          <w:i/>
          <w:color w:val="0000FF"/>
        </w:rPr>
        <w:br w:type="page"/>
      </w:r>
    </w:p>
    <w:p w14:paraId="7F82916A" w14:textId="2B30C4D8" w:rsidR="00850CE1" w:rsidRPr="00850CE1" w:rsidRDefault="00850CE1">
      <w:pPr>
        <w:pStyle w:val="Heading2"/>
        <w:rPr>
          <w:color w:val="E36C0A" w:themeColor="accent6" w:themeShade="BF"/>
        </w:rPr>
      </w:pPr>
      <w:r>
        <w:lastRenderedPageBreak/>
        <w:t>Supplementary Table 4</w:t>
      </w:r>
    </w:p>
    <w:p w14:paraId="4F118AB0" w14:textId="77777777" w:rsidR="00850CE1" w:rsidRDefault="00850CE1" w:rsidP="00850CE1">
      <w:pPr>
        <w:rPr>
          <w:rFonts w:ascii="Arial" w:eastAsia="Times New Roman" w:hAnsi="Arial" w:cs="Times New Roman"/>
          <w:b/>
          <w:bCs/>
          <w:sz w:val="20"/>
          <w:szCs w:val="20"/>
        </w:rPr>
      </w:pPr>
    </w:p>
    <w:p w14:paraId="6F027374" w14:textId="252D2DF6" w:rsidR="00850CE1" w:rsidRDefault="00D73466" w:rsidP="00011B83">
      <w:pPr>
        <w:pStyle w:val="para"/>
      </w:pPr>
      <w:r>
        <w:t xml:space="preserve">Network </w:t>
      </w:r>
      <w:r w:rsidR="00850CE1">
        <w:t xml:space="preserve">DS-Scores with associated P-values for </w:t>
      </w:r>
      <w:r w:rsidR="00A210B3">
        <w:t>Mu</w:t>
      </w:r>
      <w:r>
        <w:t>t</w:t>
      </w:r>
      <w:r w:rsidR="00A210B3">
        <w:t xml:space="preserve">Fam, Miller and </w:t>
      </w:r>
      <w:r>
        <w:t>combined gene sets</w:t>
      </w:r>
      <w:r w:rsidR="00A210B3">
        <w:t xml:space="preserve">. P-values are </w:t>
      </w:r>
      <w:r>
        <w:t xml:space="preserve">calculated </w:t>
      </w:r>
      <w:r w:rsidR="00A210B3">
        <w:t>with respect to randomisation tests (see Methods).</w:t>
      </w:r>
    </w:p>
    <w:p w14:paraId="4C140A19" w14:textId="77777777" w:rsidR="00850CE1" w:rsidRDefault="00850CE1" w:rsidP="00850CE1">
      <w:pPr>
        <w:rPr>
          <w:b/>
          <w:bCs/>
        </w:rPr>
      </w:pPr>
    </w:p>
    <w:tbl>
      <w:tblPr>
        <w:tblStyle w:val="TableGrid"/>
        <w:tblW w:w="8613" w:type="dxa"/>
        <w:tblLook w:val="04A0" w:firstRow="1" w:lastRow="0" w:firstColumn="1" w:lastColumn="0" w:noHBand="0" w:noVBand="1"/>
      </w:tblPr>
      <w:tblGrid>
        <w:gridCol w:w="3369"/>
        <w:gridCol w:w="1842"/>
        <w:gridCol w:w="3402"/>
      </w:tblGrid>
      <w:tr w:rsidR="00850CE1" w14:paraId="2B064714" w14:textId="77777777" w:rsidTr="00850CE1">
        <w:trPr>
          <w:trHeight w:val="304"/>
        </w:trPr>
        <w:tc>
          <w:tcPr>
            <w:tcW w:w="3369" w:type="dxa"/>
            <w:shd w:val="clear" w:color="auto" w:fill="auto"/>
            <w:tcMar>
              <w:left w:w="108" w:type="dxa"/>
            </w:tcMar>
          </w:tcPr>
          <w:p w14:paraId="37D43CB8" w14:textId="77777777" w:rsidR="00850CE1" w:rsidRDefault="00850CE1" w:rsidP="00850CE1">
            <w:pPr>
              <w:rPr>
                <w:b/>
              </w:rPr>
            </w:pPr>
            <w:r>
              <w:rPr>
                <w:b/>
              </w:rPr>
              <w:t>DATASET</w:t>
            </w:r>
          </w:p>
        </w:tc>
        <w:tc>
          <w:tcPr>
            <w:tcW w:w="1842" w:type="dxa"/>
            <w:shd w:val="clear" w:color="auto" w:fill="auto"/>
            <w:tcMar>
              <w:left w:w="108" w:type="dxa"/>
            </w:tcMar>
          </w:tcPr>
          <w:p w14:paraId="642A3E4D" w14:textId="77777777" w:rsidR="00850CE1" w:rsidRDefault="00850CE1" w:rsidP="00850CE1">
            <w:pPr>
              <w:rPr>
                <w:b/>
              </w:rPr>
            </w:pPr>
            <w:r>
              <w:rPr>
                <w:b/>
              </w:rPr>
              <w:t>DS-Score</w:t>
            </w:r>
          </w:p>
        </w:tc>
        <w:tc>
          <w:tcPr>
            <w:tcW w:w="3402" w:type="dxa"/>
            <w:shd w:val="clear" w:color="auto" w:fill="auto"/>
            <w:tcMar>
              <w:left w:w="108" w:type="dxa"/>
            </w:tcMar>
          </w:tcPr>
          <w:p w14:paraId="43A4F98C" w14:textId="77777777" w:rsidR="00850CE1" w:rsidRDefault="00850CE1" w:rsidP="00850CE1">
            <w:pPr>
              <w:rPr>
                <w:b/>
              </w:rPr>
            </w:pPr>
            <w:r>
              <w:rPr>
                <w:b/>
              </w:rPr>
              <w:t>P-value (compared to Random)</w:t>
            </w:r>
          </w:p>
        </w:tc>
      </w:tr>
      <w:tr w:rsidR="00850CE1" w14:paraId="38000CEC" w14:textId="77777777" w:rsidTr="00850CE1">
        <w:trPr>
          <w:trHeight w:val="287"/>
        </w:trPr>
        <w:tc>
          <w:tcPr>
            <w:tcW w:w="3369" w:type="dxa"/>
            <w:shd w:val="clear" w:color="auto" w:fill="auto"/>
            <w:tcMar>
              <w:left w:w="108" w:type="dxa"/>
            </w:tcMar>
          </w:tcPr>
          <w:p w14:paraId="2AE18E3A" w14:textId="77777777" w:rsidR="00850CE1" w:rsidRDefault="00850CE1" w:rsidP="00850CE1">
            <w:pPr>
              <w:rPr>
                <w:b/>
              </w:rPr>
            </w:pPr>
            <w:r>
              <w:rPr>
                <w:b/>
              </w:rPr>
              <w:t>MutFam</w:t>
            </w:r>
          </w:p>
        </w:tc>
        <w:tc>
          <w:tcPr>
            <w:tcW w:w="1842" w:type="dxa"/>
            <w:shd w:val="clear" w:color="auto" w:fill="auto"/>
            <w:tcMar>
              <w:left w:w="108" w:type="dxa"/>
            </w:tcMar>
          </w:tcPr>
          <w:p w14:paraId="2A1A173F" w14:textId="77777777" w:rsidR="00850CE1" w:rsidRDefault="00850CE1" w:rsidP="00850CE1">
            <w:r>
              <w:t>1.212</w:t>
            </w:r>
          </w:p>
        </w:tc>
        <w:tc>
          <w:tcPr>
            <w:tcW w:w="3402" w:type="dxa"/>
            <w:shd w:val="clear" w:color="auto" w:fill="auto"/>
            <w:tcMar>
              <w:left w:w="108" w:type="dxa"/>
            </w:tcMar>
          </w:tcPr>
          <w:p w14:paraId="45FA8D00" w14:textId="77777777" w:rsidR="00850CE1" w:rsidRDefault="00850CE1" w:rsidP="00850CE1">
            <w:r>
              <w:t>1.14 x 10</w:t>
            </w:r>
            <w:r>
              <w:rPr>
                <w:vertAlign w:val="superscript"/>
              </w:rPr>
              <w:t>-13</w:t>
            </w:r>
          </w:p>
        </w:tc>
      </w:tr>
      <w:tr w:rsidR="00850CE1" w14:paraId="42BB7AD1" w14:textId="77777777" w:rsidTr="00850CE1">
        <w:trPr>
          <w:trHeight w:val="287"/>
        </w:trPr>
        <w:tc>
          <w:tcPr>
            <w:tcW w:w="3369" w:type="dxa"/>
            <w:shd w:val="clear" w:color="auto" w:fill="auto"/>
            <w:tcMar>
              <w:left w:w="108" w:type="dxa"/>
            </w:tcMar>
          </w:tcPr>
          <w:p w14:paraId="74FC7DFE" w14:textId="77777777" w:rsidR="00850CE1" w:rsidRDefault="00850CE1" w:rsidP="00850CE1">
            <w:pPr>
              <w:rPr>
                <w:b/>
              </w:rPr>
            </w:pPr>
            <w:r>
              <w:rPr>
                <w:b/>
              </w:rPr>
              <w:t>Miller</w:t>
            </w:r>
          </w:p>
        </w:tc>
        <w:tc>
          <w:tcPr>
            <w:tcW w:w="1842" w:type="dxa"/>
            <w:shd w:val="clear" w:color="auto" w:fill="auto"/>
            <w:tcMar>
              <w:left w:w="108" w:type="dxa"/>
            </w:tcMar>
          </w:tcPr>
          <w:p w14:paraId="157A6553" w14:textId="77777777" w:rsidR="00850CE1" w:rsidRDefault="00850CE1" w:rsidP="00850CE1">
            <w:r>
              <w:t>1.463</w:t>
            </w:r>
          </w:p>
        </w:tc>
        <w:tc>
          <w:tcPr>
            <w:tcW w:w="3402" w:type="dxa"/>
            <w:shd w:val="clear" w:color="auto" w:fill="auto"/>
            <w:tcMar>
              <w:left w:w="108" w:type="dxa"/>
            </w:tcMar>
          </w:tcPr>
          <w:p w14:paraId="138DD1EF" w14:textId="77777777" w:rsidR="00850CE1" w:rsidRDefault="00850CE1" w:rsidP="00850CE1">
            <w:r>
              <w:t>1.00 x 10</w:t>
            </w:r>
            <w:r>
              <w:rPr>
                <w:vertAlign w:val="superscript"/>
              </w:rPr>
              <w:t>-8</w:t>
            </w:r>
          </w:p>
        </w:tc>
      </w:tr>
      <w:tr w:rsidR="00850CE1" w14:paraId="57DCA16C" w14:textId="77777777" w:rsidTr="00850CE1">
        <w:trPr>
          <w:trHeight w:val="304"/>
        </w:trPr>
        <w:tc>
          <w:tcPr>
            <w:tcW w:w="3369" w:type="dxa"/>
            <w:tcBorders>
              <w:top w:val="nil"/>
            </w:tcBorders>
            <w:shd w:val="clear" w:color="auto" w:fill="auto"/>
            <w:tcMar>
              <w:left w:w="108" w:type="dxa"/>
            </w:tcMar>
          </w:tcPr>
          <w:p w14:paraId="2D637839" w14:textId="77777777" w:rsidR="00850CE1" w:rsidRDefault="00850CE1" w:rsidP="00850CE1">
            <w:pPr>
              <w:rPr>
                <w:b/>
                <w:bCs/>
              </w:rPr>
            </w:pPr>
            <w:r>
              <w:rPr>
                <w:b/>
                <w:bCs/>
              </w:rPr>
              <w:t>MutFam &amp; Miller</w:t>
            </w:r>
          </w:p>
        </w:tc>
        <w:tc>
          <w:tcPr>
            <w:tcW w:w="1842" w:type="dxa"/>
            <w:tcBorders>
              <w:top w:val="nil"/>
            </w:tcBorders>
            <w:shd w:val="clear" w:color="auto" w:fill="auto"/>
            <w:tcMar>
              <w:left w:w="108" w:type="dxa"/>
            </w:tcMar>
          </w:tcPr>
          <w:p w14:paraId="5C07E372" w14:textId="77777777" w:rsidR="00850CE1" w:rsidRDefault="00850CE1" w:rsidP="00850CE1">
            <w:r>
              <w:t>1.314</w:t>
            </w:r>
          </w:p>
        </w:tc>
        <w:tc>
          <w:tcPr>
            <w:tcW w:w="3402" w:type="dxa"/>
            <w:tcBorders>
              <w:top w:val="nil"/>
            </w:tcBorders>
            <w:shd w:val="clear" w:color="auto" w:fill="auto"/>
            <w:tcMar>
              <w:left w:w="108" w:type="dxa"/>
            </w:tcMar>
          </w:tcPr>
          <w:p w14:paraId="35AD63DB" w14:textId="77777777" w:rsidR="00850CE1" w:rsidRDefault="00850CE1" w:rsidP="00850CE1">
            <w:r>
              <w:t>1.12 x 10</w:t>
            </w:r>
            <w:r>
              <w:rPr>
                <w:vertAlign w:val="superscript"/>
              </w:rPr>
              <w:t>-14</w:t>
            </w:r>
          </w:p>
        </w:tc>
      </w:tr>
      <w:tr w:rsidR="00850CE1" w14:paraId="5A60FE2C" w14:textId="77777777" w:rsidTr="00850CE1">
        <w:trPr>
          <w:trHeight w:val="304"/>
        </w:trPr>
        <w:tc>
          <w:tcPr>
            <w:tcW w:w="3369" w:type="dxa"/>
            <w:tcBorders>
              <w:top w:val="nil"/>
            </w:tcBorders>
            <w:shd w:val="clear" w:color="auto" w:fill="auto"/>
            <w:tcMar>
              <w:left w:w="108" w:type="dxa"/>
            </w:tcMar>
          </w:tcPr>
          <w:p w14:paraId="46299668" w14:textId="77777777" w:rsidR="00850CE1" w:rsidRPr="005C443E" w:rsidRDefault="00850CE1" w:rsidP="00850CE1">
            <w:pPr>
              <w:rPr>
                <w:i/>
              </w:rPr>
            </w:pPr>
            <w:r>
              <w:rPr>
                <w:b/>
                <w:i/>
              </w:rPr>
              <w:t>Average for 1000</w:t>
            </w:r>
            <w:r w:rsidRPr="005C443E">
              <w:rPr>
                <w:b/>
                <w:i/>
              </w:rPr>
              <w:t xml:space="preserve"> random</w:t>
            </w:r>
            <w:r>
              <w:rPr>
                <w:b/>
                <w:i/>
              </w:rPr>
              <w:t>isations</w:t>
            </w:r>
          </w:p>
        </w:tc>
        <w:tc>
          <w:tcPr>
            <w:tcW w:w="1842" w:type="dxa"/>
            <w:tcBorders>
              <w:top w:val="nil"/>
            </w:tcBorders>
            <w:shd w:val="clear" w:color="auto" w:fill="auto"/>
            <w:tcMar>
              <w:left w:w="108" w:type="dxa"/>
            </w:tcMar>
          </w:tcPr>
          <w:p w14:paraId="447BFC62" w14:textId="77777777" w:rsidR="00850CE1" w:rsidRPr="005C443E" w:rsidRDefault="00850CE1" w:rsidP="00850CE1">
            <w:pPr>
              <w:rPr>
                <w:i/>
              </w:rPr>
            </w:pPr>
            <w:r w:rsidRPr="005C443E">
              <w:rPr>
                <w:i/>
              </w:rPr>
              <w:t xml:space="preserve">1.976 </w:t>
            </w:r>
          </w:p>
        </w:tc>
        <w:tc>
          <w:tcPr>
            <w:tcW w:w="3402" w:type="dxa"/>
            <w:tcBorders>
              <w:top w:val="nil"/>
            </w:tcBorders>
            <w:shd w:val="clear" w:color="auto" w:fill="auto"/>
            <w:tcMar>
              <w:left w:w="108" w:type="dxa"/>
            </w:tcMar>
          </w:tcPr>
          <w:p w14:paraId="638E04F4" w14:textId="77777777" w:rsidR="00850CE1" w:rsidRDefault="00850CE1" w:rsidP="00850CE1"/>
        </w:tc>
      </w:tr>
    </w:tbl>
    <w:p w14:paraId="5E18FBD9" w14:textId="211A5F48" w:rsidR="00952277" w:rsidRDefault="00952277" w:rsidP="0036260D">
      <w:pPr>
        <w:rPr>
          <w:b/>
          <w:i/>
          <w:color w:val="0000FF"/>
        </w:rPr>
      </w:pPr>
    </w:p>
    <w:p w14:paraId="0BC60295" w14:textId="77777777" w:rsidR="00952277" w:rsidRDefault="00952277">
      <w:pPr>
        <w:rPr>
          <w:b/>
          <w:i/>
          <w:color w:val="0000FF"/>
        </w:rPr>
      </w:pPr>
      <w:r>
        <w:rPr>
          <w:b/>
          <w:i/>
          <w:color w:val="0000FF"/>
        </w:rPr>
        <w:br w:type="page"/>
      </w:r>
    </w:p>
    <w:p w14:paraId="465DD529" w14:textId="417B2F20" w:rsidR="00952277" w:rsidRPr="00850CE1" w:rsidRDefault="00812D44">
      <w:pPr>
        <w:pStyle w:val="Heading2"/>
        <w:rPr>
          <w:color w:val="E36C0A" w:themeColor="accent6" w:themeShade="BF"/>
        </w:rPr>
      </w:pPr>
      <w:r>
        <w:lastRenderedPageBreak/>
        <w:t>Supplementary Table</w:t>
      </w:r>
      <w:r w:rsidR="001F5AC7">
        <w:t xml:space="preserve"> 5</w:t>
      </w:r>
    </w:p>
    <w:p w14:paraId="18C7673B" w14:textId="77777777" w:rsidR="00952277" w:rsidRDefault="00952277" w:rsidP="00952277">
      <w:pPr>
        <w:rPr>
          <w:rFonts w:ascii="Arial" w:eastAsia="Times New Roman" w:hAnsi="Arial" w:cs="Times New Roman"/>
          <w:b/>
          <w:bCs/>
          <w:sz w:val="20"/>
          <w:szCs w:val="20"/>
        </w:rPr>
      </w:pPr>
    </w:p>
    <w:p w14:paraId="65ACBADA" w14:textId="5017A16C" w:rsidR="00952277" w:rsidRDefault="00952277" w:rsidP="00952277">
      <w:pPr>
        <w:pStyle w:val="para"/>
      </w:pPr>
      <w:r w:rsidRPr="0025178F">
        <w:t>Enriched GO biological processes for network modules identified for common driver genes</w:t>
      </w:r>
      <w:r>
        <w:t>.</w:t>
      </w:r>
    </w:p>
    <w:tbl>
      <w:tblPr>
        <w:tblW w:w="8409" w:type="dxa"/>
        <w:tblCellMar>
          <w:left w:w="0" w:type="dxa"/>
          <w:right w:w="0" w:type="dxa"/>
        </w:tblCellMar>
        <w:tblLook w:val="04A0" w:firstRow="1" w:lastRow="0" w:firstColumn="1" w:lastColumn="0" w:noHBand="0" w:noVBand="1"/>
      </w:tblPr>
      <w:tblGrid>
        <w:gridCol w:w="720"/>
        <w:gridCol w:w="4993"/>
        <w:gridCol w:w="2696"/>
      </w:tblGrid>
      <w:tr w:rsidR="00952277" w:rsidRPr="004D0468" w14:paraId="236AAC4A" w14:textId="77777777" w:rsidTr="000D5905">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E8924E6" w14:textId="77777777" w:rsidR="00952277" w:rsidRPr="004D0468" w:rsidRDefault="00952277" w:rsidP="000D5905">
            <w:pP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Module</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594E04" w14:textId="77777777" w:rsidR="00952277" w:rsidRPr="004D0468" w:rsidRDefault="00952277" w:rsidP="000D5905">
            <w:pP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GO biological processes</w:t>
            </w:r>
          </w:p>
        </w:tc>
        <w:tc>
          <w:tcPr>
            <w:tcW w:w="269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12CDB7" w14:textId="77777777" w:rsidR="00952277" w:rsidRPr="004D0468" w:rsidRDefault="00952277" w:rsidP="000D5905">
            <w:pP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Gene list</w:t>
            </w:r>
          </w:p>
        </w:tc>
      </w:tr>
      <w:tr w:rsidR="00952277" w:rsidRPr="004D0468" w14:paraId="2D1ECEEB"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E605F4F"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353E07" w14:textId="77777777" w:rsidR="00952277" w:rsidRPr="004D0468" w:rsidRDefault="00952277"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V</w:t>
            </w:r>
            <w:r w:rsidRPr="004D0468">
              <w:rPr>
                <w:rFonts w:ascii="Arial" w:eastAsia="Times New Roman" w:hAnsi="Arial" w:cs="Arial"/>
                <w:color w:val="000000"/>
                <w:sz w:val="18"/>
                <w:szCs w:val="18"/>
                <w:lang w:eastAsia="en-GB"/>
              </w:rPr>
              <w:t xml:space="preserve">ascular endothelial growth factor receptor </w:t>
            </w:r>
            <w:proofErr w:type="spellStart"/>
            <w:r w:rsidRPr="004D0468">
              <w:rPr>
                <w:rFonts w:ascii="Arial" w:eastAsia="Times New Roman" w:hAnsi="Arial" w:cs="Arial"/>
                <w:color w:val="000000"/>
                <w:sz w:val="18"/>
                <w:szCs w:val="18"/>
                <w:lang w:eastAsia="en-GB"/>
              </w:rPr>
              <w:t>signaling</w:t>
            </w:r>
            <w:proofErr w:type="spellEnd"/>
            <w:r w:rsidRPr="004D0468">
              <w:rPr>
                <w:rFonts w:ascii="Arial" w:eastAsia="Times New Roman" w:hAnsi="Arial" w:cs="Arial"/>
                <w:color w:val="000000"/>
                <w:sz w:val="18"/>
                <w:szCs w:val="18"/>
                <w:lang w:eastAsia="en-GB"/>
              </w:rPr>
              <w:t xml:space="preserve"> pathway</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9974B3"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NRAS,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KRAS,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RAC1</w:t>
            </w:r>
          </w:p>
        </w:tc>
      </w:tr>
      <w:tr w:rsidR="00952277" w:rsidRPr="004D0468" w14:paraId="0AF04680"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1F4E9B0"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B5B005" w14:textId="77777777" w:rsidR="00952277" w:rsidRPr="004D0468" w:rsidRDefault="00952277"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N</w:t>
            </w:r>
            <w:r w:rsidRPr="004D0468">
              <w:rPr>
                <w:rFonts w:ascii="Arial" w:eastAsia="Times New Roman" w:hAnsi="Arial" w:cs="Arial"/>
                <w:color w:val="000000"/>
                <w:sz w:val="18"/>
                <w:szCs w:val="18"/>
                <w:lang w:eastAsia="en-GB"/>
              </w:rPr>
              <w:t xml:space="preserve">erve growth factor receptor </w:t>
            </w:r>
            <w:proofErr w:type="spellStart"/>
            <w:r w:rsidRPr="004D0468">
              <w:rPr>
                <w:rFonts w:ascii="Arial" w:eastAsia="Times New Roman" w:hAnsi="Arial" w:cs="Arial"/>
                <w:color w:val="000000"/>
                <w:sz w:val="18"/>
                <w:szCs w:val="18"/>
                <w:lang w:eastAsia="en-GB"/>
              </w:rPr>
              <w:t>signaling</w:t>
            </w:r>
            <w:proofErr w:type="spellEnd"/>
            <w:r w:rsidRPr="004D0468">
              <w:rPr>
                <w:rFonts w:ascii="Arial" w:eastAsia="Times New Roman" w:hAnsi="Arial" w:cs="Arial"/>
                <w:color w:val="000000"/>
                <w:sz w:val="18"/>
                <w:szCs w:val="18"/>
                <w:lang w:eastAsia="en-GB"/>
              </w:rPr>
              <w:t xml:space="preserve"> pathway</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2E9AAB"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NRAS,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KRAS,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RAC1</w:t>
            </w:r>
          </w:p>
        </w:tc>
      </w:tr>
      <w:tr w:rsidR="00952277" w:rsidRPr="004D0468" w14:paraId="61A7C809"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ECD4EB4"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5511DB0"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 xml:space="preserve">Fc-epsilon receptor </w:t>
            </w:r>
            <w:proofErr w:type="spellStart"/>
            <w:r w:rsidRPr="004D0468">
              <w:rPr>
                <w:rFonts w:ascii="Arial" w:eastAsia="Times New Roman" w:hAnsi="Arial" w:cs="Arial"/>
                <w:color w:val="000000"/>
                <w:sz w:val="18"/>
                <w:szCs w:val="18"/>
                <w:lang w:eastAsia="en-GB"/>
              </w:rPr>
              <w:t>signaling</w:t>
            </w:r>
            <w:proofErr w:type="spellEnd"/>
            <w:r w:rsidRPr="004D0468">
              <w:rPr>
                <w:rFonts w:ascii="Arial" w:eastAsia="Times New Roman" w:hAnsi="Arial" w:cs="Arial"/>
                <w:color w:val="000000"/>
                <w:sz w:val="18"/>
                <w:szCs w:val="18"/>
                <w:lang w:eastAsia="en-GB"/>
              </w:rPr>
              <w:t xml:space="preserve"> pathway</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ECE205"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NRAS,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KRAS,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RAC1</w:t>
            </w:r>
          </w:p>
        </w:tc>
      </w:tr>
      <w:tr w:rsidR="00952277" w:rsidRPr="004D0468" w14:paraId="6ABD772A"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CB1E299"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F4F05E9" w14:textId="77777777" w:rsidR="00952277" w:rsidRPr="004D0468" w:rsidRDefault="00952277"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B</w:t>
            </w:r>
            <w:r w:rsidRPr="004D0468">
              <w:rPr>
                <w:rFonts w:ascii="Arial" w:eastAsia="Times New Roman" w:hAnsi="Arial" w:cs="Arial"/>
                <w:color w:val="000000"/>
                <w:sz w:val="18"/>
                <w:szCs w:val="18"/>
                <w:lang w:eastAsia="en-GB"/>
              </w:rPr>
              <w:t>lood coagulation</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A29F14"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NRAS,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KRAS,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RAC1</w:t>
            </w:r>
          </w:p>
        </w:tc>
      </w:tr>
      <w:tr w:rsidR="00952277" w:rsidRPr="004D0468" w14:paraId="6410E84A"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191693E"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7F20FA" w14:textId="77777777" w:rsidR="00952277" w:rsidRPr="004D0468" w:rsidRDefault="00952277"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L</w:t>
            </w:r>
            <w:r w:rsidRPr="004D0468">
              <w:rPr>
                <w:rFonts w:ascii="Arial" w:eastAsia="Times New Roman" w:hAnsi="Arial" w:cs="Arial"/>
                <w:color w:val="000000"/>
                <w:sz w:val="18"/>
                <w:szCs w:val="18"/>
                <w:lang w:eastAsia="en-GB"/>
              </w:rPr>
              <w:t>eukocyte migration</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20EC2B"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NRAS,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KRAS</w:t>
            </w:r>
          </w:p>
        </w:tc>
      </w:tr>
      <w:tr w:rsidR="00952277" w:rsidRPr="004D0468" w14:paraId="20A0C668"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7AC4156"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537402" w14:textId="77777777" w:rsidR="00952277" w:rsidRPr="004D0468" w:rsidRDefault="00952277"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F</w:t>
            </w:r>
            <w:r w:rsidRPr="004D0468">
              <w:rPr>
                <w:rFonts w:ascii="Arial" w:eastAsia="Times New Roman" w:hAnsi="Arial" w:cs="Arial"/>
                <w:color w:val="000000"/>
                <w:sz w:val="18"/>
                <w:szCs w:val="18"/>
                <w:lang w:eastAsia="en-GB"/>
              </w:rPr>
              <w:t xml:space="preserve">ibroblast growth factor receptor </w:t>
            </w:r>
            <w:proofErr w:type="spellStart"/>
            <w:r w:rsidRPr="004D0468">
              <w:rPr>
                <w:rFonts w:ascii="Arial" w:eastAsia="Times New Roman" w:hAnsi="Arial" w:cs="Arial"/>
                <w:color w:val="000000"/>
                <w:sz w:val="18"/>
                <w:szCs w:val="18"/>
                <w:lang w:eastAsia="en-GB"/>
              </w:rPr>
              <w:t>signaling</w:t>
            </w:r>
            <w:proofErr w:type="spellEnd"/>
            <w:r w:rsidRPr="004D0468">
              <w:rPr>
                <w:rFonts w:ascii="Arial" w:eastAsia="Times New Roman" w:hAnsi="Arial" w:cs="Arial"/>
                <w:color w:val="000000"/>
                <w:sz w:val="18"/>
                <w:szCs w:val="18"/>
                <w:lang w:eastAsia="en-GB"/>
              </w:rPr>
              <w:t xml:space="preserve"> pathway</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963CA0"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NRAS,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KRAS</w:t>
            </w:r>
          </w:p>
        </w:tc>
      </w:tr>
      <w:tr w:rsidR="00952277" w:rsidRPr="004D0468" w14:paraId="4E82DCA5"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E8360F"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6EB2B8" w14:textId="77777777" w:rsidR="00952277" w:rsidRPr="004D0468" w:rsidRDefault="00952277"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I</w:t>
            </w:r>
            <w:r w:rsidRPr="004D0468">
              <w:rPr>
                <w:rFonts w:ascii="Arial" w:eastAsia="Times New Roman" w:hAnsi="Arial" w:cs="Arial"/>
                <w:color w:val="000000"/>
                <w:sz w:val="18"/>
                <w:szCs w:val="18"/>
                <w:lang w:eastAsia="en-GB"/>
              </w:rPr>
              <w:t xml:space="preserve">nsulin receptor </w:t>
            </w:r>
            <w:proofErr w:type="spellStart"/>
            <w:r w:rsidRPr="004D0468">
              <w:rPr>
                <w:rFonts w:ascii="Arial" w:eastAsia="Times New Roman" w:hAnsi="Arial" w:cs="Arial"/>
                <w:color w:val="000000"/>
                <w:sz w:val="18"/>
                <w:szCs w:val="18"/>
                <w:lang w:eastAsia="en-GB"/>
              </w:rPr>
              <w:t>signaling</w:t>
            </w:r>
            <w:proofErr w:type="spellEnd"/>
            <w:r w:rsidRPr="004D0468">
              <w:rPr>
                <w:rFonts w:ascii="Arial" w:eastAsia="Times New Roman" w:hAnsi="Arial" w:cs="Arial"/>
                <w:color w:val="000000"/>
                <w:sz w:val="18"/>
                <w:szCs w:val="18"/>
                <w:lang w:eastAsia="en-GB"/>
              </w:rPr>
              <w:t xml:space="preserve"> pathway</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CB0B71"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NRAS,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KRAS</w:t>
            </w:r>
          </w:p>
        </w:tc>
      </w:tr>
      <w:tr w:rsidR="00952277" w:rsidRPr="004D0468" w14:paraId="520F4520"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D5783AE"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63669A" w14:textId="77777777" w:rsidR="00952277" w:rsidRPr="004D0468" w:rsidRDefault="00952277"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E</w:t>
            </w:r>
            <w:r w:rsidRPr="004D0468">
              <w:rPr>
                <w:rFonts w:ascii="Arial" w:eastAsia="Times New Roman" w:hAnsi="Arial" w:cs="Arial"/>
                <w:color w:val="000000"/>
                <w:sz w:val="18"/>
                <w:szCs w:val="18"/>
                <w:lang w:eastAsia="en-GB"/>
              </w:rPr>
              <w:t xml:space="preserve">pidermal growth factor receptor </w:t>
            </w:r>
            <w:proofErr w:type="spellStart"/>
            <w:r w:rsidRPr="004D0468">
              <w:rPr>
                <w:rFonts w:ascii="Arial" w:eastAsia="Times New Roman" w:hAnsi="Arial" w:cs="Arial"/>
                <w:color w:val="000000"/>
                <w:sz w:val="18"/>
                <w:szCs w:val="18"/>
                <w:lang w:eastAsia="en-GB"/>
              </w:rPr>
              <w:t>signaling</w:t>
            </w:r>
            <w:proofErr w:type="spellEnd"/>
            <w:r w:rsidRPr="004D0468">
              <w:rPr>
                <w:rFonts w:ascii="Arial" w:eastAsia="Times New Roman" w:hAnsi="Arial" w:cs="Arial"/>
                <w:color w:val="000000"/>
                <w:sz w:val="18"/>
                <w:szCs w:val="18"/>
                <w:lang w:eastAsia="en-GB"/>
              </w:rPr>
              <w:t xml:space="preserve"> pathway</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640B39"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NRAS,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KRAS</w:t>
            </w:r>
          </w:p>
        </w:tc>
      </w:tr>
      <w:tr w:rsidR="00952277" w:rsidRPr="004D0468" w14:paraId="245C582F"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EDBB80A"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302230" w14:textId="77777777" w:rsidR="00952277" w:rsidRPr="004D0468" w:rsidRDefault="00952277"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I</w:t>
            </w:r>
            <w:r w:rsidRPr="004D0468">
              <w:rPr>
                <w:rFonts w:ascii="Arial" w:eastAsia="Times New Roman" w:hAnsi="Arial" w:cs="Arial"/>
                <w:color w:val="000000"/>
                <w:sz w:val="18"/>
                <w:szCs w:val="18"/>
                <w:lang w:eastAsia="en-GB"/>
              </w:rPr>
              <w:t>nnate immune response</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9C5B03"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NRAS,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KRAS,</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RAC1</w:t>
            </w:r>
          </w:p>
        </w:tc>
      </w:tr>
      <w:tr w:rsidR="00952277" w:rsidRPr="004D0468" w14:paraId="720E0D8D"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5AFD19A" w14:textId="77777777" w:rsidR="00952277" w:rsidRPr="004D0468" w:rsidRDefault="00952277" w:rsidP="000D5905">
            <w:pPr>
              <w:jc w:val="right"/>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08C235" w14:textId="77777777" w:rsidR="00952277" w:rsidRPr="004D0468" w:rsidRDefault="00952277"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P</w:t>
            </w:r>
            <w:r w:rsidRPr="004D0468">
              <w:rPr>
                <w:rFonts w:ascii="Arial" w:eastAsia="Times New Roman" w:hAnsi="Arial" w:cs="Arial"/>
                <w:color w:val="000000"/>
                <w:sz w:val="18"/>
                <w:szCs w:val="18"/>
                <w:lang w:eastAsia="en-GB"/>
              </w:rPr>
              <w:t>ositive regulation of ERK1 and ERK2 cascade</w:t>
            </w:r>
          </w:p>
        </w:tc>
        <w:tc>
          <w:tcPr>
            <w:tcW w:w="26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0F4D1B" w14:textId="77777777" w:rsidR="00952277" w:rsidRPr="004D0468" w:rsidRDefault="00952277" w:rsidP="000D590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FBXW7,</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BRAF,</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HRAS</w:t>
            </w:r>
          </w:p>
        </w:tc>
      </w:tr>
    </w:tbl>
    <w:p w14:paraId="19B07237" w14:textId="71E98990" w:rsidR="00CF6C1D" w:rsidRDefault="00CF6C1D" w:rsidP="00952277">
      <w:pPr>
        <w:rPr>
          <w:b/>
          <w:i/>
          <w:color w:val="0000FF"/>
        </w:rPr>
      </w:pPr>
    </w:p>
    <w:p w14:paraId="274F56F8" w14:textId="77777777" w:rsidR="00CF6C1D" w:rsidRDefault="00CF6C1D">
      <w:pPr>
        <w:rPr>
          <w:b/>
          <w:i/>
          <w:color w:val="0000FF"/>
        </w:rPr>
      </w:pPr>
      <w:r>
        <w:rPr>
          <w:b/>
          <w:i/>
          <w:color w:val="0000FF"/>
        </w:rPr>
        <w:br w:type="page"/>
      </w:r>
    </w:p>
    <w:p w14:paraId="3B233772" w14:textId="072588D8" w:rsidR="00CF6C1D" w:rsidRDefault="00812D44">
      <w:pPr>
        <w:pStyle w:val="Heading2"/>
      </w:pPr>
      <w:r>
        <w:lastRenderedPageBreak/>
        <w:t>Supplementary Table</w:t>
      </w:r>
      <w:r w:rsidR="001F5AC7">
        <w:t xml:space="preserve"> 6</w:t>
      </w:r>
      <w:r w:rsidR="00CF6C1D">
        <w:t xml:space="preserve"> </w:t>
      </w:r>
    </w:p>
    <w:p w14:paraId="5CCB9BA1" w14:textId="77777777" w:rsidR="00CF6C1D" w:rsidRDefault="00CF6C1D" w:rsidP="00CF6C1D">
      <w:pPr>
        <w:rPr>
          <w:b/>
          <w:bCs/>
        </w:rPr>
      </w:pPr>
    </w:p>
    <w:p w14:paraId="29C83319" w14:textId="4A4886A6" w:rsidR="00CF6C1D" w:rsidRDefault="00CF6C1D" w:rsidP="00CF6C1D">
      <w:pPr>
        <w:pStyle w:val="para"/>
      </w:pPr>
      <w:r>
        <w:t>Different genes in MutFam and Miller datasets converge via functional modules on Notch receptor signalling.</w:t>
      </w:r>
    </w:p>
    <w:p w14:paraId="005D191B" w14:textId="77777777" w:rsidR="00CF6C1D" w:rsidRDefault="00CF6C1D" w:rsidP="00CF6C1D">
      <w:pPr>
        <w:rPr>
          <w:b/>
          <w:bCs/>
        </w:rPr>
      </w:pPr>
    </w:p>
    <w:tbl>
      <w:tblPr>
        <w:tblW w:w="0" w:type="dxa"/>
        <w:tblCellMar>
          <w:left w:w="0" w:type="dxa"/>
          <w:right w:w="0" w:type="dxa"/>
        </w:tblCellMar>
        <w:tblLook w:val="04A0" w:firstRow="1" w:lastRow="0" w:firstColumn="1" w:lastColumn="0" w:noHBand="0" w:noVBand="1"/>
      </w:tblPr>
      <w:tblGrid>
        <w:gridCol w:w="720"/>
        <w:gridCol w:w="2861"/>
        <w:gridCol w:w="3912"/>
      </w:tblGrid>
      <w:tr w:rsidR="00CF6C1D" w:rsidRPr="001210E8" w14:paraId="1EADF2FF" w14:textId="77777777" w:rsidTr="000D5905">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98DE2E" w14:textId="77777777" w:rsidR="00CF6C1D" w:rsidRPr="001210E8" w:rsidRDefault="00CF6C1D" w:rsidP="000D5905">
            <w:pPr>
              <w:jc w:val="right"/>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Module</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9903520" w14:textId="77777777" w:rsidR="00CF6C1D" w:rsidRPr="001210E8" w:rsidRDefault="00CF6C1D" w:rsidP="000D5905">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GO biological process (MutFam)</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52C720" w14:textId="77777777" w:rsidR="00CF6C1D" w:rsidRPr="001210E8" w:rsidRDefault="00CF6C1D" w:rsidP="000D5905">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Gene list</w:t>
            </w:r>
          </w:p>
        </w:tc>
      </w:tr>
      <w:tr w:rsidR="00CF6C1D" w:rsidRPr="001210E8" w14:paraId="5AFCF99A"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24FDA8F" w14:textId="77777777" w:rsidR="00CF6C1D" w:rsidRPr="001210E8" w:rsidRDefault="00CF6C1D" w:rsidP="000D5905">
            <w:pPr>
              <w:jc w:val="right"/>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806316" w14:textId="77777777" w:rsidR="00CF6C1D" w:rsidRPr="001210E8" w:rsidRDefault="00CF6C1D"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C</w:t>
            </w:r>
            <w:r w:rsidRPr="001210E8">
              <w:rPr>
                <w:rFonts w:ascii="Arial" w:eastAsia="Times New Roman" w:hAnsi="Arial" w:cs="Arial"/>
                <w:color w:val="000000"/>
                <w:sz w:val="18"/>
                <w:szCs w:val="18"/>
                <w:lang w:eastAsia="en-GB"/>
              </w:rPr>
              <w:t>ell fate determination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66133F" w14:textId="77777777" w:rsidR="00CF6C1D" w:rsidRPr="001210E8" w:rsidRDefault="00CF6C1D" w:rsidP="000D5905">
            <w:pPr>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NOTCH2,</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NOTCH4</w:t>
            </w:r>
          </w:p>
        </w:tc>
      </w:tr>
      <w:tr w:rsidR="00CF6C1D" w:rsidRPr="001210E8" w14:paraId="67B59E2B"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6007F1C" w14:textId="77777777" w:rsidR="00CF6C1D" w:rsidRPr="001210E8" w:rsidRDefault="00CF6C1D" w:rsidP="000D5905">
            <w:pPr>
              <w:jc w:val="right"/>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1919CE" w14:textId="77777777" w:rsidR="00CF6C1D" w:rsidRPr="001210E8" w:rsidRDefault="00CF6C1D" w:rsidP="000D5905">
            <w:pPr>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Notch receptor processing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FFDC5C" w14:textId="77777777" w:rsidR="00CF6C1D" w:rsidRPr="001210E8" w:rsidRDefault="00CF6C1D" w:rsidP="000D5905">
            <w:pPr>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NOTCH2,</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NOTCH4</w:t>
            </w:r>
          </w:p>
        </w:tc>
      </w:tr>
      <w:tr w:rsidR="00CF6C1D" w:rsidRPr="001210E8" w14:paraId="57B2443B"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D81D56D" w14:textId="77777777" w:rsidR="00CF6C1D" w:rsidRPr="001210E8" w:rsidRDefault="00CF6C1D" w:rsidP="000D5905">
            <w:pPr>
              <w:jc w:val="right"/>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E58F77" w14:textId="77777777" w:rsidR="00CF6C1D" w:rsidRPr="001210E8" w:rsidRDefault="00CF6C1D"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H</w:t>
            </w:r>
            <w:r w:rsidRPr="001210E8">
              <w:rPr>
                <w:rFonts w:ascii="Arial" w:eastAsia="Times New Roman" w:hAnsi="Arial" w:cs="Arial"/>
                <w:color w:val="000000"/>
                <w:sz w:val="18"/>
                <w:szCs w:val="18"/>
                <w:lang w:eastAsia="en-GB"/>
              </w:rPr>
              <w:t>emopoiesis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BD8C0A" w14:textId="77777777" w:rsidR="00CF6C1D" w:rsidRPr="001210E8" w:rsidRDefault="00CF6C1D" w:rsidP="000D5905">
            <w:pPr>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NOTCH2,</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NOTCH4</w:t>
            </w:r>
          </w:p>
        </w:tc>
      </w:tr>
      <w:tr w:rsidR="00CF6C1D" w:rsidRPr="001210E8" w14:paraId="49C120EB"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CF07B26" w14:textId="77777777" w:rsidR="00CF6C1D" w:rsidRPr="001210E8" w:rsidRDefault="00CF6C1D" w:rsidP="000D5905">
            <w:pPr>
              <w:jc w:val="right"/>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Module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B15A56" w14:textId="77777777" w:rsidR="00CF6C1D" w:rsidRPr="001210E8" w:rsidRDefault="00CF6C1D" w:rsidP="000D5905">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GO biological process (Miller)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E38710" w14:textId="77777777" w:rsidR="00CF6C1D" w:rsidRPr="001210E8" w:rsidRDefault="00CF6C1D" w:rsidP="000D5905">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Gene list</w:t>
            </w:r>
          </w:p>
        </w:tc>
      </w:tr>
      <w:tr w:rsidR="00CF6C1D" w:rsidRPr="001210E8" w14:paraId="0096D996"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118A261" w14:textId="77777777" w:rsidR="00CF6C1D" w:rsidRPr="001210E8" w:rsidRDefault="00CF6C1D" w:rsidP="000D5905">
            <w:pPr>
              <w:jc w:val="right"/>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1A0FE4" w14:textId="77777777" w:rsidR="00CF6C1D" w:rsidRPr="001210E8" w:rsidRDefault="00CF6C1D" w:rsidP="000D590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K</w:t>
            </w:r>
            <w:r w:rsidRPr="001210E8">
              <w:rPr>
                <w:rFonts w:ascii="Arial" w:eastAsia="Times New Roman" w:hAnsi="Arial" w:cs="Arial"/>
                <w:color w:val="000000"/>
                <w:sz w:val="18"/>
                <w:szCs w:val="18"/>
                <w:lang w:eastAsia="en-GB"/>
              </w:rPr>
              <w:t>eratinocyte differentiation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E0A7EB" w14:textId="77777777" w:rsidR="00CF6C1D" w:rsidRPr="001210E8" w:rsidRDefault="00CF6C1D" w:rsidP="000D5905">
            <w:pPr>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TP63,</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ANXA1,</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LATS2,</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EPHA2</w:t>
            </w:r>
          </w:p>
        </w:tc>
      </w:tr>
      <w:tr w:rsidR="00CF6C1D" w:rsidRPr="001210E8" w14:paraId="1E2B9600" w14:textId="77777777" w:rsidTr="000D590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62602AB" w14:textId="77777777" w:rsidR="00CF6C1D" w:rsidRPr="001210E8" w:rsidRDefault="00CF6C1D" w:rsidP="000D5905">
            <w:pPr>
              <w:jc w:val="right"/>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B413648" w14:textId="77777777" w:rsidR="00CF6C1D" w:rsidRPr="001210E8" w:rsidRDefault="00CF6C1D" w:rsidP="000D5905">
            <w:pPr>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 xml:space="preserve">Notch </w:t>
            </w:r>
            <w:proofErr w:type="spellStart"/>
            <w:r w:rsidRPr="001210E8">
              <w:rPr>
                <w:rFonts w:ascii="Arial" w:eastAsia="Times New Roman" w:hAnsi="Arial" w:cs="Arial"/>
                <w:color w:val="000000"/>
                <w:sz w:val="18"/>
                <w:szCs w:val="18"/>
                <w:lang w:eastAsia="en-GB"/>
              </w:rPr>
              <w:t>signaling</w:t>
            </w:r>
            <w:proofErr w:type="spellEnd"/>
            <w:r w:rsidRPr="001210E8">
              <w:rPr>
                <w:rFonts w:ascii="Arial" w:eastAsia="Times New Roman" w:hAnsi="Arial" w:cs="Arial"/>
                <w:color w:val="000000"/>
                <w:sz w:val="18"/>
                <w:szCs w:val="18"/>
                <w:lang w:eastAsia="en-GB"/>
              </w:rPr>
              <w:t xml:space="preserve"> pathway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FCC5D7F" w14:textId="77777777" w:rsidR="00CF6C1D" w:rsidRPr="001210E8" w:rsidRDefault="00CF6C1D" w:rsidP="000D5905">
            <w:pPr>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EP300,</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TP63,</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CEBPA,</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CREBBP,</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CDK8,</w:t>
            </w:r>
            <w:r>
              <w:rPr>
                <w:rFonts w:ascii="Arial" w:eastAsia="Times New Roman" w:hAnsi="Arial" w:cs="Arial"/>
                <w:color w:val="000000"/>
                <w:sz w:val="18"/>
                <w:szCs w:val="18"/>
                <w:lang w:eastAsia="en-GB"/>
              </w:rPr>
              <w:t xml:space="preserve"> </w:t>
            </w:r>
            <w:r w:rsidRPr="001210E8">
              <w:rPr>
                <w:rFonts w:ascii="Arial" w:eastAsia="Times New Roman" w:hAnsi="Arial" w:cs="Arial"/>
                <w:color w:val="000000"/>
                <w:sz w:val="18"/>
                <w:szCs w:val="18"/>
                <w:lang w:eastAsia="en-GB"/>
              </w:rPr>
              <w:t>SNAI2</w:t>
            </w:r>
          </w:p>
        </w:tc>
      </w:tr>
    </w:tbl>
    <w:p w14:paraId="46FB1950" w14:textId="77777777" w:rsidR="0036260D" w:rsidRDefault="0036260D" w:rsidP="00541241">
      <w:pPr>
        <w:rPr>
          <w:b/>
        </w:rPr>
      </w:pPr>
    </w:p>
    <w:p w14:paraId="34A7BB03" w14:textId="77777777" w:rsidR="001F5AC7" w:rsidRDefault="001F5AC7" w:rsidP="00541241">
      <w:pPr>
        <w:rPr>
          <w:b/>
        </w:rPr>
      </w:pPr>
    </w:p>
    <w:p w14:paraId="21BE4226" w14:textId="1AFC8067" w:rsidR="001F5AC7" w:rsidRDefault="001F5AC7">
      <w:pPr>
        <w:rPr>
          <w:b/>
        </w:rPr>
      </w:pPr>
      <w:r>
        <w:rPr>
          <w:b/>
        </w:rPr>
        <w:br w:type="page"/>
      </w:r>
    </w:p>
    <w:p w14:paraId="63D6A5AA" w14:textId="0A361A88" w:rsidR="001F5AC7" w:rsidRDefault="001F5AC7">
      <w:pPr>
        <w:pStyle w:val="Heading2"/>
      </w:pPr>
      <w:r>
        <w:lastRenderedPageBreak/>
        <w:t>Supplementary Table 7</w:t>
      </w:r>
    </w:p>
    <w:p w14:paraId="7A5D2F29" w14:textId="77777777" w:rsidR="001F5AC7" w:rsidRDefault="001F5AC7" w:rsidP="00541241">
      <w:pPr>
        <w:rPr>
          <w:b/>
        </w:rPr>
      </w:pPr>
    </w:p>
    <w:p w14:paraId="58A48322" w14:textId="77777777" w:rsidR="001F5AC7" w:rsidRPr="00B10410" w:rsidRDefault="001F5AC7" w:rsidP="001F5AC7">
      <w:pPr>
        <w:pStyle w:val="para"/>
      </w:pPr>
      <w:r w:rsidRPr="00B10410">
        <w:t>Unique zinc finger DNA binding genes in the Miller and MutFam sets map to network modules, which are associated with common GO biological processes.</w:t>
      </w:r>
    </w:p>
    <w:p w14:paraId="3A47A43E" w14:textId="77777777" w:rsidR="001F5AC7" w:rsidRDefault="001F5AC7" w:rsidP="001F5AC7">
      <w:pPr>
        <w:rPr>
          <w:b/>
          <w:bCs/>
        </w:rPr>
      </w:pPr>
    </w:p>
    <w:tbl>
      <w:tblPr>
        <w:tblW w:w="8390" w:type="dxa"/>
        <w:tblLayout w:type="fixed"/>
        <w:tblCellMar>
          <w:left w:w="0" w:type="dxa"/>
          <w:right w:w="0" w:type="dxa"/>
        </w:tblCellMar>
        <w:tblLook w:val="04A0" w:firstRow="1" w:lastRow="0" w:firstColumn="1" w:lastColumn="0" w:noHBand="0" w:noVBand="1"/>
      </w:tblPr>
      <w:tblGrid>
        <w:gridCol w:w="1038"/>
        <w:gridCol w:w="2835"/>
        <w:gridCol w:w="4517"/>
      </w:tblGrid>
      <w:tr w:rsidR="001F5AC7" w:rsidRPr="001210E8" w14:paraId="2C5DBAE9" w14:textId="77777777" w:rsidTr="001F5AC7">
        <w:trPr>
          <w:trHeight w:val="315"/>
        </w:trPr>
        <w:tc>
          <w:tcPr>
            <w:tcW w:w="1038"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9749FC9" w14:textId="77777777" w:rsidR="001F5AC7" w:rsidRPr="001210E8" w:rsidRDefault="001F5AC7" w:rsidP="001F5AC7">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Module</w:t>
            </w:r>
            <w:r>
              <w:rPr>
                <w:rFonts w:ascii="Arial" w:eastAsia="Times New Roman" w:hAnsi="Arial" w:cs="Arial"/>
                <w:b/>
                <w:bCs/>
                <w:color w:val="000000"/>
                <w:sz w:val="18"/>
                <w:szCs w:val="18"/>
                <w:lang w:eastAsia="en-GB"/>
              </w:rPr>
              <w:t xml:space="preserve"> (MutFam)</w:t>
            </w:r>
          </w:p>
        </w:tc>
        <w:tc>
          <w:tcPr>
            <w:tcW w:w="283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22C3E0" w14:textId="77777777" w:rsidR="001F5AC7" w:rsidRPr="001210E8" w:rsidRDefault="001F5AC7" w:rsidP="001F5AC7">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GO biological process</w:t>
            </w:r>
          </w:p>
        </w:tc>
        <w:tc>
          <w:tcPr>
            <w:tcW w:w="451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C14AC1" w14:textId="77777777" w:rsidR="001F5AC7" w:rsidRPr="001210E8" w:rsidRDefault="001F5AC7" w:rsidP="001F5AC7">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Gene list</w:t>
            </w:r>
          </w:p>
        </w:tc>
      </w:tr>
      <w:tr w:rsidR="001F5AC7" w:rsidRPr="001210E8" w14:paraId="6CD27141" w14:textId="77777777" w:rsidTr="001F5AC7">
        <w:trPr>
          <w:trHeight w:val="315"/>
        </w:trPr>
        <w:tc>
          <w:tcPr>
            <w:tcW w:w="103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2D84C98" w14:textId="77777777" w:rsidR="001F5AC7" w:rsidRPr="001210E8" w:rsidRDefault="001F5AC7" w:rsidP="001F5AC7">
            <w:pPr>
              <w:jc w:val="right"/>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5</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FF35CA" w14:textId="77777777" w:rsidR="001F5AC7" w:rsidRPr="001210E8" w:rsidRDefault="001F5AC7" w:rsidP="001F5AC7">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R</w:t>
            </w:r>
            <w:r w:rsidRPr="001210E8">
              <w:rPr>
                <w:rFonts w:ascii="Arial" w:eastAsia="Times New Roman" w:hAnsi="Arial" w:cs="Arial"/>
                <w:color w:val="000000"/>
                <w:sz w:val="18"/>
                <w:szCs w:val="18"/>
                <w:lang w:eastAsia="en-GB"/>
              </w:rPr>
              <w:t>egulation of transcription, DNA-dependent</w:t>
            </w:r>
          </w:p>
        </w:tc>
        <w:tc>
          <w:tcPr>
            <w:tcW w:w="45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BF66A9" w14:textId="77777777" w:rsidR="001F5AC7" w:rsidRPr="001210E8" w:rsidRDefault="001F5AC7" w:rsidP="001F5AC7">
            <w:pPr>
              <w:rPr>
                <w:rFonts w:ascii="Arial" w:eastAsia="Times New Roman" w:hAnsi="Arial" w:cs="Arial"/>
                <w:color w:val="000000"/>
                <w:sz w:val="18"/>
                <w:szCs w:val="18"/>
                <w:lang w:eastAsia="en-GB"/>
              </w:rPr>
            </w:pPr>
            <w:r w:rsidRPr="0095464A">
              <w:rPr>
                <w:rFonts w:ascii="Arial" w:eastAsia="Times New Roman" w:hAnsi="Arial" w:cs="Arial"/>
                <w:color w:val="000000"/>
                <w:sz w:val="18"/>
                <w:szCs w:val="18"/>
                <w:lang w:eastAsia="en-GB"/>
              </w:rPr>
              <w:t>ZNF430, ZNF100, ZNF492, ZNF98, ZNF43, ZNF708, ZNF83, ZNF429, ZNF506, ZNF714, ZNF138, ZNF479, ZNF676, ZNF585B, ZNF267, ZNF431, ZNF585A</w:t>
            </w:r>
          </w:p>
        </w:tc>
      </w:tr>
      <w:tr w:rsidR="001F5AC7" w:rsidRPr="001210E8" w14:paraId="4C90C9C5" w14:textId="77777777" w:rsidTr="001F5AC7">
        <w:trPr>
          <w:trHeight w:val="315"/>
        </w:trPr>
        <w:tc>
          <w:tcPr>
            <w:tcW w:w="103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04FC139" w14:textId="77777777" w:rsidR="001F5AC7" w:rsidRPr="001210E8" w:rsidRDefault="001F5AC7" w:rsidP="001F5AC7">
            <w:pPr>
              <w:jc w:val="right"/>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5</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EB49639" w14:textId="77777777" w:rsidR="001F5AC7" w:rsidRPr="001210E8" w:rsidRDefault="001F5AC7" w:rsidP="001F5AC7">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T</w:t>
            </w:r>
            <w:r w:rsidRPr="001210E8">
              <w:rPr>
                <w:rFonts w:ascii="Arial" w:eastAsia="Times New Roman" w:hAnsi="Arial" w:cs="Arial"/>
                <w:color w:val="000000"/>
                <w:sz w:val="18"/>
                <w:szCs w:val="18"/>
                <w:lang w:eastAsia="en-GB"/>
              </w:rPr>
              <w:t>ranscription, DNA-dependent</w:t>
            </w:r>
          </w:p>
        </w:tc>
        <w:tc>
          <w:tcPr>
            <w:tcW w:w="45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F405D7" w14:textId="77777777" w:rsidR="001F5AC7" w:rsidRPr="001210E8" w:rsidRDefault="001F5AC7" w:rsidP="001F5AC7">
            <w:pPr>
              <w:rPr>
                <w:rFonts w:ascii="Arial" w:eastAsia="Times New Roman" w:hAnsi="Arial" w:cs="Arial"/>
                <w:color w:val="000000"/>
                <w:sz w:val="18"/>
                <w:szCs w:val="18"/>
                <w:lang w:eastAsia="en-GB"/>
              </w:rPr>
            </w:pPr>
            <w:r w:rsidRPr="0095464A">
              <w:rPr>
                <w:rFonts w:ascii="Arial" w:eastAsia="Times New Roman" w:hAnsi="Arial" w:cs="Arial"/>
                <w:color w:val="000000"/>
                <w:sz w:val="18"/>
                <w:szCs w:val="18"/>
                <w:lang w:eastAsia="en-GB"/>
              </w:rPr>
              <w:t>ZNF430, ZNF100, ZNF492, ZNF98, ZNF43, ZNF83, ZNF429, ZNF506, ZNF714, ZNF138, ZNF479, ZNF676, ZNF585B, ZNF267, ZNF431, ZNF585A</w:t>
            </w:r>
          </w:p>
        </w:tc>
      </w:tr>
      <w:tr w:rsidR="001F5AC7" w:rsidRPr="001210E8" w14:paraId="42124849" w14:textId="77777777" w:rsidTr="001F5AC7">
        <w:trPr>
          <w:trHeight w:val="315"/>
        </w:trPr>
        <w:tc>
          <w:tcPr>
            <w:tcW w:w="103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9995B0A" w14:textId="77777777" w:rsidR="001F5AC7" w:rsidRPr="001210E8" w:rsidRDefault="001F5AC7" w:rsidP="001F5AC7">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Module</w:t>
            </w:r>
            <w:r>
              <w:rPr>
                <w:rFonts w:ascii="Arial" w:eastAsia="Times New Roman" w:hAnsi="Arial" w:cs="Arial"/>
                <w:b/>
                <w:bCs/>
                <w:color w:val="000000"/>
                <w:sz w:val="18"/>
                <w:szCs w:val="18"/>
                <w:lang w:eastAsia="en-GB"/>
              </w:rPr>
              <w:t xml:space="preserve"> (Miller)</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466B9F" w14:textId="77777777" w:rsidR="001F5AC7" w:rsidRPr="001210E8" w:rsidRDefault="001F5AC7" w:rsidP="001F5AC7">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GO biological process</w:t>
            </w:r>
          </w:p>
        </w:tc>
        <w:tc>
          <w:tcPr>
            <w:tcW w:w="45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79B7633" w14:textId="77777777" w:rsidR="001F5AC7" w:rsidRPr="001210E8" w:rsidRDefault="001F5AC7" w:rsidP="001F5AC7">
            <w:pPr>
              <w:rPr>
                <w:rFonts w:ascii="Arial" w:eastAsia="Times New Roman" w:hAnsi="Arial" w:cs="Arial"/>
                <w:b/>
                <w:bCs/>
                <w:color w:val="000000"/>
                <w:sz w:val="18"/>
                <w:szCs w:val="18"/>
                <w:lang w:eastAsia="en-GB"/>
              </w:rPr>
            </w:pPr>
            <w:r w:rsidRPr="001210E8">
              <w:rPr>
                <w:rFonts w:ascii="Arial" w:eastAsia="Times New Roman" w:hAnsi="Arial" w:cs="Arial"/>
                <w:b/>
                <w:bCs/>
                <w:color w:val="000000"/>
                <w:sz w:val="18"/>
                <w:szCs w:val="18"/>
                <w:lang w:eastAsia="en-GB"/>
              </w:rPr>
              <w:t>Gene list</w:t>
            </w:r>
          </w:p>
        </w:tc>
      </w:tr>
      <w:tr w:rsidR="001F5AC7" w:rsidRPr="001210E8" w14:paraId="0EDA128D" w14:textId="77777777" w:rsidTr="001F5AC7">
        <w:trPr>
          <w:trHeight w:val="315"/>
        </w:trPr>
        <w:tc>
          <w:tcPr>
            <w:tcW w:w="103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6BF67B" w14:textId="77777777" w:rsidR="001F5AC7" w:rsidRPr="001210E8" w:rsidRDefault="001F5AC7" w:rsidP="001F5AC7">
            <w:pPr>
              <w:jc w:val="right"/>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1</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2DB9DFC" w14:textId="77777777" w:rsidR="001F5AC7" w:rsidRPr="001210E8" w:rsidRDefault="001F5AC7" w:rsidP="001F5AC7">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R</w:t>
            </w:r>
            <w:r w:rsidRPr="001210E8">
              <w:rPr>
                <w:rFonts w:ascii="Arial" w:eastAsia="Times New Roman" w:hAnsi="Arial" w:cs="Arial"/>
                <w:color w:val="000000"/>
                <w:sz w:val="18"/>
                <w:szCs w:val="18"/>
                <w:lang w:eastAsia="en-GB"/>
              </w:rPr>
              <w:t>egulation of transcription, DNA-dependent</w:t>
            </w:r>
          </w:p>
        </w:tc>
        <w:tc>
          <w:tcPr>
            <w:tcW w:w="45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488319" w14:textId="77777777" w:rsidR="001F5AC7" w:rsidRPr="001210E8" w:rsidRDefault="001F5AC7" w:rsidP="001F5AC7">
            <w:pPr>
              <w:rPr>
                <w:rFonts w:ascii="Arial" w:eastAsia="Times New Roman" w:hAnsi="Arial" w:cs="Arial"/>
                <w:color w:val="000000"/>
                <w:sz w:val="18"/>
                <w:szCs w:val="18"/>
                <w:lang w:eastAsia="en-GB"/>
              </w:rPr>
            </w:pPr>
            <w:r w:rsidRPr="007D4CDA">
              <w:rPr>
                <w:rFonts w:ascii="Arial" w:eastAsia="Times New Roman" w:hAnsi="Arial" w:cs="Arial"/>
                <w:color w:val="000000"/>
                <w:sz w:val="18"/>
                <w:szCs w:val="18"/>
                <w:lang w:eastAsia="en-GB"/>
              </w:rPr>
              <w:t>ZNF28, ZNF572, ZNF571, ZNF250, ZNF470, ZNF208, ZNF527, ZNF845, ZNF768, ZNF286B, ZNF624, ZNF568, ZNF546, ZNF468, ZNF620, ZNF883, ZNF286A, ZNF320, ZNF583, ZNF681, ZNF483, ZNF461, ZNF184, ZNF260, ZFP2, ZNF181, ZNF180, ZNF34, ZNF92, ZNF70, ZNF71, ZNF836, ZNF616, ZNF117, ZNF554</w:t>
            </w:r>
          </w:p>
        </w:tc>
      </w:tr>
      <w:tr w:rsidR="001F5AC7" w:rsidRPr="001210E8" w14:paraId="76F399B8" w14:textId="77777777" w:rsidTr="001F5AC7">
        <w:trPr>
          <w:trHeight w:val="315"/>
        </w:trPr>
        <w:tc>
          <w:tcPr>
            <w:tcW w:w="103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F06751A" w14:textId="77777777" w:rsidR="001F5AC7" w:rsidRPr="001210E8" w:rsidRDefault="001F5AC7" w:rsidP="001F5AC7">
            <w:pPr>
              <w:jc w:val="right"/>
              <w:rPr>
                <w:rFonts w:ascii="Arial" w:eastAsia="Times New Roman" w:hAnsi="Arial" w:cs="Arial"/>
                <w:color w:val="000000"/>
                <w:sz w:val="18"/>
                <w:szCs w:val="18"/>
                <w:lang w:eastAsia="en-GB"/>
              </w:rPr>
            </w:pPr>
            <w:r w:rsidRPr="001210E8">
              <w:rPr>
                <w:rFonts w:ascii="Arial" w:eastAsia="Times New Roman" w:hAnsi="Arial" w:cs="Arial"/>
                <w:color w:val="000000"/>
                <w:sz w:val="18"/>
                <w:szCs w:val="18"/>
                <w:lang w:eastAsia="en-GB"/>
              </w:rPr>
              <w:t>1</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5C74409" w14:textId="77777777" w:rsidR="001F5AC7" w:rsidRPr="001210E8" w:rsidRDefault="001F5AC7" w:rsidP="001F5AC7">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T</w:t>
            </w:r>
            <w:r w:rsidRPr="001210E8">
              <w:rPr>
                <w:rFonts w:ascii="Arial" w:eastAsia="Times New Roman" w:hAnsi="Arial" w:cs="Arial"/>
                <w:color w:val="000000"/>
                <w:sz w:val="18"/>
                <w:szCs w:val="18"/>
                <w:lang w:eastAsia="en-GB"/>
              </w:rPr>
              <w:t>ranscription, DNA-dependent</w:t>
            </w:r>
          </w:p>
        </w:tc>
        <w:tc>
          <w:tcPr>
            <w:tcW w:w="45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889BBBA" w14:textId="77777777" w:rsidR="001F5AC7" w:rsidRPr="001210E8" w:rsidRDefault="001F5AC7" w:rsidP="001F5AC7">
            <w:pPr>
              <w:rPr>
                <w:rFonts w:ascii="Arial" w:eastAsia="Times New Roman" w:hAnsi="Arial" w:cs="Arial"/>
                <w:color w:val="000000"/>
                <w:sz w:val="18"/>
                <w:szCs w:val="18"/>
                <w:lang w:eastAsia="en-GB"/>
              </w:rPr>
            </w:pPr>
            <w:r w:rsidRPr="007D4CDA">
              <w:rPr>
                <w:rFonts w:ascii="Arial" w:eastAsia="Times New Roman" w:hAnsi="Arial" w:cs="Arial"/>
                <w:color w:val="000000"/>
                <w:sz w:val="18"/>
                <w:szCs w:val="18"/>
                <w:lang w:eastAsia="en-GB"/>
              </w:rPr>
              <w:t>ZNF28, ZNF572, ZNF571, ZNF470, ZNF208, ZNF527, ZNF845, ZNF286B, ZNF624, ZNF568, ZNF546, ZNF468, ZNF620, ZNF883, ZNF286A, ZNF320, ZNF540, ZNF583, ZNF681, ZNF483, ZNF184, ZNF260, ZFP2, ZNF181, ZNF34, ZNF92, ZNF70, ZNF71, ZNF836, ZNF616, ZNF117, ZNF554</w:t>
            </w:r>
          </w:p>
        </w:tc>
      </w:tr>
    </w:tbl>
    <w:p w14:paraId="04AD5F85" w14:textId="77777777" w:rsidR="001F5AC7" w:rsidRDefault="001F5AC7" w:rsidP="00541241">
      <w:pPr>
        <w:rPr>
          <w:b/>
        </w:rPr>
      </w:pPr>
    </w:p>
    <w:p w14:paraId="31ADC456" w14:textId="7251D834" w:rsidR="000D138D" w:rsidRDefault="000D138D">
      <w:pPr>
        <w:rPr>
          <w:b/>
        </w:rPr>
      </w:pPr>
      <w:r>
        <w:rPr>
          <w:b/>
        </w:rPr>
        <w:br w:type="page"/>
      </w:r>
    </w:p>
    <w:p w14:paraId="48E02F3D" w14:textId="7F7C156E" w:rsidR="000D138D" w:rsidRDefault="000D138D">
      <w:pPr>
        <w:pStyle w:val="Heading2"/>
      </w:pPr>
      <w:r>
        <w:lastRenderedPageBreak/>
        <w:t>Supplementary Table 8</w:t>
      </w:r>
    </w:p>
    <w:p w14:paraId="4BB1102D" w14:textId="77777777" w:rsidR="000D138D" w:rsidRDefault="000D138D" w:rsidP="00541241">
      <w:pPr>
        <w:rPr>
          <w:b/>
        </w:rPr>
      </w:pPr>
    </w:p>
    <w:p w14:paraId="4069C8BC" w14:textId="77777777" w:rsidR="000D138D" w:rsidRDefault="000D138D" w:rsidP="000D138D">
      <w:pPr>
        <w:pStyle w:val="para"/>
      </w:pPr>
      <w:r w:rsidRPr="009D6529">
        <w:t>Enriched GO processes in network modules identified for MutFam genes in cellular development. Processes also common to Miller highlighted in bold.</w:t>
      </w:r>
    </w:p>
    <w:tbl>
      <w:tblPr>
        <w:tblW w:w="9773" w:type="dxa"/>
        <w:tblLayout w:type="fixed"/>
        <w:tblCellMar>
          <w:left w:w="0" w:type="dxa"/>
          <w:right w:w="0" w:type="dxa"/>
        </w:tblCellMar>
        <w:tblLook w:val="04A0" w:firstRow="1" w:lastRow="0" w:firstColumn="1" w:lastColumn="0" w:noHBand="0" w:noVBand="1"/>
      </w:tblPr>
      <w:tblGrid>
        <w:gridCol w:w="750"/>
        <w:gridCol w:w="3948"/>
        <w:gridCol w:w="5075"/>
      </w:tblGrid>
      <w:tr w:rsidR="000D138D" w:rsidRPr="004D0468" w14:paraId="18BE2077" w14:textId="77777777" w:rsidTr="000D138D">
        <w:trPr>
          <w:trHeight w:val="300"/>
        </w:trPr>
        <w:tc>
          <w:tcPr>
            <w:tcW w:w="7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5469EA0" w14:textId="77777777" w:rsidR="000D138D" w:rsidRPr="004D0468" w:rsidRDefault="000D138D" w:rsidP="008922C9">
            <w:pPr>
              <w:jc w:val="right"/>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Module</w:t>
            </w:r>
          </w:p>
        </w:tc>
        <w:tc>
          <w:tcPr>
            <w:tcW w:w="394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404128" w14:textId="77777777" w:rsidR="000D138D" w:rsidRPr="004D0468" w:rsidRDefault="000D138D" w:rsidP="008922C9">
            <w:pP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GO Biological process</w:t>
            </w:r>
          </w:p>
        </w:tc>
        <w:tc>
          <w:tcPr>
            <w:tcW w:w="507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107DFD" w14:textId="77777777" w:rsidR="000D138D" w:rsidRPr="004D0468" w:rsidRDefault="000D138D" w:rsidP="008922C9">
            <w:pP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Gene list</w:t>
            </w:r>
          </w:p>
        </w:tc>
      </w:tr>
      <w:tr w:rsidR="000D138D" w:rsidRPr="004D0468" w14:paraId="108E1EF0"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0F028A1"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853998F"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 xml:space="preserve">Ephrin receptor </w:t>
            </w:r>
            <w:proofErr w:type="spellStart"/>
            <w:r w:rsidRPr="00A56630">
              <w:rPr>
                <w:rFonts w:ascii="Arial" w:eastAsia="Times New Roman" w:hAnsi="Arial" w:cs="Arial"/>
                <w:color w:val="000000"/>
                <w:sz w:val="16"/>
                <w:szCs w:val="16"/>
                <w:lang w:eastAsia="en-GB"/>
              </w:rPr>
              <w:t>signaling</w:t>
            </w:r>
            <w:proofErr w:type="spellEnd"/>
            <w:r w:rsidRPr="00A56630">
              <w:rPr>
                <w:rFonts w:ascii="Arial" w:eastAsia="Times New Roman" w:hAnsi="Arial" w:cs="Arial"/>
                <w:color w:val="000000"/>
                <w:sz w:val="16"/>
                <w:szCs w:val="16"/>
                <w:lang w:eastAsia="en-GB"/>
              </w:rPr>
              <w:t xml:space="preserve"> pathway</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36BA19"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ITSN1, KALRN, EPHB1, EPHB3, EPHA7, VAV2, NGEF</w:t>
            </w:r>
          </w:p>
        </w:tc>
      </w:tr>
      <w:tr w:rsidR="000D138D" w:rsidRPr="004D0468" w14:paraId="26A3B255"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7458619"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364DAB" w14:textId="77777777" w:rsidR="000D138D" w:rsidRPr="00A56630" w:rsidRDefault="000D138D" w:rsidP="008922C9">
            <w:pPr>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Axon guidance</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4E51C5" w14:textId="77777777" w:rsidR="000D138D" w:rsidRPr="00A56630" w:rsidRDefault="000D138D" w:rsidP="008922C9">
            <w:pPr>
              <w:rPr>
                <w:rFonts w:ascii="Arial" w:eastAsia="Times New Roman" w:hAnsi="Arial" w:cs="Arial"/>
                <w:bCs/>
                <w:color w:val="000000"/>
                <w:sz w:val="16"/>
                <w:szCs w:val="16"/>
                <w:lang w:eastAsia="en-GB"/>
              </w:rPr>
            </w:pPr>
            <w:r w:rsidRPr="00A56630">
              <w:rPr>
                <w:rFonts w:ascii="Arial" w:eastAsia="Times New Roman" w:hAnsi="Arial" w:cs="Arial"/>
                <w:bCs/>
                <w:color w:val="000000"/>
                <w:sz w:val="16"/>
                <w:szCs w:val="16"/>
                <w:lang w:eastAsia="en-GB"/>
              </w:rPr>
              <w:t>ITSN1, KALRN, ROBO1, EPHB1, EPHB3, EPHA7, DCC, UNC5C, UNC5D, VAV2, NGEF</w:t>
            </w:r>
          </w:p>
        </w:tc>
      </w:tr>
      <w:tr w:rsidR="000D138D" w:rsidRPr="004D0468" w14:paraId="4BEDAA20" w14:textId="77777777" w:rsidTr="000D138D">
        <w:trPr>
          <w:trHeight w:val="235"/>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0FD3BF5"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DF21CBA"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Retinal ganglion cell axon guidance</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44F167"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EPHB1, EPHB3, EPHA7</w:t>
            </w:r>
          </w:p>
        </w:tc>
      </w:tr>
      <w:tr w:rsidR="000D138D" w:rsidRPr="004D0468" w14:paraId="27E54452"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7A45FD1"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FCDF17"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 xml:space="preserve">Nerve growth factor receptor </w:t>
            </w:r>
            <w:proofErr w:type="spellStart"/>
            <w:r w:rsidRPr="00A56630">
              <w:rPr>
                <w:rFonts w:ascii="Arial" w:eastAsia="Times New Roman" w:hAnsi="Arial" w:cs="Arial"/>
                <w:color w:val="000000"/>
                <w:sz w:val="16"/>
                <w:szCs w:val="16"/>
                <w:lang w:eastAsia="en-GB"/>
              </w:rPr>
              <w:t>signaling</w:t>
            </w:r>
            <w:proofErr w:type="spellEnd"/>
            <w:r w:rsidRPr="00A56630">
              <w:rPr>
                <w:rFonts w:ascii="Arial" w:eastAsia="Times New Roman" w:hAnsi="Arial" w:cs="Arial"/>
                <w:color w:val="000000"/>
                <w:sz w:val="16"/>
                <w:szCs w:val="16"/>
                <w:lang w:eastAsia="en-GB"/>
              </w:rPr>
              <w:t xml:space="preserve"> pathway</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077376"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ITSN1, KALRN, ARHGEF18, VAV2, NET1, OBSCN, NGEF</w:t>
            </w:r>
          </w:p>
        </w:tc>
      </w:tr>
      <w:tr w:rsidR="000D138D" w:rsidRPr="004D0468" w14:paraId="4F3C5461"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17AB816"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F4E39A"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 xml:space="preserve">Glutamate receptor </w:t>
            </w:r>
            <w:proofErr w:type="spellStart"/>
            <w:r w:rsidRPr="00A56630">
              <w:rPr>
                <w:rFonts w:ascii="Arial" w:eastAsia="Times New Roman" w:hAnsi="Arial" w:cs="Arial"/>
                <w:color w:val="000000"/>
                <w:sz w:val="16"/>
                <w:szCs w:val="16"/>
                <w:lang w:eastAsia="en-GB"/>
              </w:rPr>
              <w:t>signaling</w:t>
            </w:r>
            <w:proofErr w:type="spellEnd"/>
            <w:r w:rsidRPr="00A56630">
              <w:rPr>
                <w:rFonts w:ascii="Arial" w:eastAsia="Times New Roman" w:hAnsi="Arial" w:cs="Arial"/>
                <w:color w:val="000000"/>
                <w:sz w:val="16"/>
                <w:szCs w:val="16"/>
                <w:lang w:eastAsia="en-GB"/>
              </w:rPr>
              <w:t xml:space="preserve"> pathway</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CC9350"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GRIK4, GRIK1, GRIK2</w:t>
            </w:r>
          </w:p>
        </w:tc>
      </w:tr>
      <w:tr w:rsidR="000D138D" w:rsidRPr="004D0468" w14:paraId="2D937C44"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87DF1DE"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B4A950"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 xml:space="preserve">Ionotropic glutamate receptor </w:t>
            </w:r>
            <w:proofErr w:type="spellStart"/>
            <w:r w:rsidRPr="00A56630">
              <w:rPr>
                <w:rFonts w:ascii="Arial" w:eastAsia="Times New Roman" w:hAnsi="Arial" w:cs="Arial"/>
                <w:color w:val="000000"/>
                <w:sz w:val="16"/>
                <w:szCs w:val="16"/>
                <w:lang w:eastAsia="en-GB"/>
              </w:rPr>
              <w:t>signaling</w:t>
            </w:r>
            <w:proofErr w:type="spellEnd"/>
            <w:r w:rsidRPr="00A56630">
              <w:rPr>
                <w:rFonts w:ascii="Arial" w:eastAsia="Times New Roman" w:hAnsi="Arial" w:cs="Arial"/>
                <w:color w:val="000000"/>
                <w:sz w:val="16"/>
                <w:szCs w:val="16"/>
                <w:lang w:eastAsia="en-GB"/>
              </w:rPr>
              <w:t xml:space="preserve"> pathway</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7D04FD6"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GRIK4, GRIK1, GRIK2</w:t>
            </w:r>
          </w:p>
        </w:tc>
      </w:tr>
      <w:tr w:rsidR="000D138D" w:rsidRPr="004D0468" w14:paraId="74056A57"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130709"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019EF1"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Synaptic transmission, glutamatergic</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3B3FA4"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GRIK4, GRIK1, GRIK2</w:t>
            </w:r>
          </w:p>
        </w:tc>
      </w:tr>
      <w:tr w:rsidR="000D138D" w:rsidRPr="004D0468" w14:paraId="3C4918E0"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CD7DCD"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5FCE0D"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Anterior/posterior axon guidance</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70CBDA"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DCC, UNC5C</w:t>
            </w:r>
          </w:p>
        </w:tc>
      </w:tr>
      <w:tr w:rsidR="000D138D" w:rsidRPr="004D0468" w14:paraId="04B0E0F1"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B4C296F"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DE72ED"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Negative regulation of collateral sprouting</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EB9B47"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EPHA7, DCC</w:t>
            </w:r>
          </w:p>
        </w:tc>
      </w:tr>
      <w:tr w:rsidR="000D138D" w:rsidRPr="004D0468" w14:paraId="308489F4"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0B2317B"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20EA71"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Peptidyl-tyrosine phosphorylation</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CEB1B7"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TTN, EPHB1, EPHB3, EPHA7</w:t>
            </w:r>
          </w:p>
        </w:tc>
      </w:tr>
      <w:tr w:rsidR="000D138D" w:rsidRPr="004D0468" w14:paraId="1A8D6999"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7AD32A0"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7C0DEC"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Dendritic spine development</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2F02DC"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EPHB1, EPHB3</w:t>
            </w:r>
          </w:p>
        </w:tc>
      </w:tr>
      <w:tr w:rsidR="000D138D" w:rsidRPr="004D0468" w14:paraId="147F3DA3"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E18C47C"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36A1D6"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Regulation of cell-cell adhesion</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5EB71F2"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EPHB3, EPHA7</w:t>
            </w:r>
          </w:p>
        </w:tc>
      </w:tr>
      <w:tr w:rsidR="000D138D" w:rsidRPr="004D0468" w14:paraId="5D50BE1F"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06C5F31"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88CD7DC"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Regulation of GTPase activity</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41CC8B"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EPHB3, VAV2, NGEF</w:t>
            </w:r>
          </w:p>
        </w:tc>
      </w:tr>
      <w:tr w:rsidR="000D138D" w:rsidRPr="004D0468" w14:paraId="1E0EB782"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D9A8BFE"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F97C38"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Dendritic spine morphogenesis</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1F4E60"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EPHB1, EPHB3</w:t>
            </w:r>
          </w:p>
        </w:tc>
      </w:tr>
      <w:tr w:rsidR="000D138D" w:rsidRPr="004D0468" w14:paraId="1EB769AF"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5A2A8CE" w14:textId="77777777" w:rsidR="000D138D" w:rsidRPr="00A56630" w:rsidRDefault="000D138D" w:rsidP="008922C9">
            <w:pPr>
              <w:jc w:val="right"/>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1</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32B19D"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 xml:space="preserve">Central nervous system projection neuron </w:t>
            </w:r>
            <w:proofErr w:type="spellStart"/>
            <w:r w:rsidRPr="00A56630">
              <w:rPr>
                <w:rFonts w:ascii="Arial" w:eastAsia="Times New Roman" w:hAnsi="Arial" w:cs="Arial"/>
                <w:color w:val="000000"/>
                <w:sz w:val="16"/>
                <w:szCs w:val="16"/>
                <w:lang w:eastAsia="en-GB"/>
              </w:rPr>
              <w:t>axonogenesis</w:t>
            </w:r>
            <w:proofErr w:type="spellEnd"/>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D4B883"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EPHB1, EPHB3</w:t>
            </w:r>
          </w:p>
        </w:tc>
      </w:tr>
      <w:tr w:rsidR="000D138D" w:rsidRPr="004D0468" w14:paraId="1BF049D7"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D5E2E38"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3</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201DC5"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Nervous system development</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22D91E"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PCDHB12, PCDHA1, PCDHB2, PCDHA5, PCDHA4, PCDHA3, PCDHA2, PCDHB3, PCDHA8, PCDHA6</w:t>
            </w:r>
          </w:p>
        </w:tc>
      </w:tr>
      <w:tr w:rsidR="000D138D" w:rsidRPr="004D0468" w14:paraId="158C2C73"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C4D6CD5"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3</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551C44"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Synapse assembly</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92A4454"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PCDHB14, PCDHB13, PCDHB10, PCDHB2, PCDHB16, PCDHB3</w:t>
            </w:r>
          </w:p>
        </w:tc>
      </w:tr>
      <w:tr w:rsidR="000D138D" w:rsidRPr="004D0468" w14:paraId="271975D8"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D91FAC4"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3</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4DF384"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Synaptic transmission</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D83DF46"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PCDHB14, PCDHB13, PCDHB10, PCDHB2, PCDHB16, PCDHB3</w:t>
            </w:r>
          </w:p>
        </w:tc>
      </w:tr>
      <w:tr w:rsidR="000D138D" w:rsidRPr="004D0468" w14:paraId="29AE5BD2"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6CAAB26"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1495D0"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Regulation of axon extension involved in axon guidance</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8C43191"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PLXNA2, PLXNA1, PLXNA4</w:t>
            </w:r>
          </w:p>
        </w:tc>
      </w:tr>
      <w:tr w:rsidR="000D138D" w:rsidRPr="004D0468" w14:paraId="2BAE176C"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1056075"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65221D2"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Branchiomotor neuron axon guidance</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E873C4"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PLXNA2, PLXNA1, PLXNA4</w:t>
            </w:r>
          </w:p>
        </w:tc>
      </w:tr>
      <w:tr w:rsidR="000D138D" w:rsidRPr="004D0468" w14:paraId="71999001"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0C54F64"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83A245" w14:textId="77777777" w:rsidR="000D138D" w:rsidRPr="00A56630" w:rsidRDefault="000D138D" w:rsidP="008922C9">
            <w:pPr>
              <w:rPr>
                <w:rFonts w:ascii="Arial" w:eastAsia="Times New Roman" w:hAnsi="Arial" w:cs="Arial"/>
                <w:color w:val="000000"/>
                <w:sz w:val="16"/>
                <w:szCs w:val="16"/>
                <w:lang w:eastAsia="en-GB"/>
              </w:rPr>
            </w:pPr>
            <w:proofErr w:type="spellStart"/>
            <w:r w:rsidRPr="00A56630">
              <w:rPr>
                <w:rFonts w:ascii="Arial" w:eastAsia="Times New Roman" w:hAnsi="Arial" w:cs="Arial"/>
                <w:color w:val="000000"/>
                <w:sz w:val="16"/>
                <w:szCs w:val="16"/>
                <w:lang w:eastAsia="en-GB"/>
              </w:rPr>
              <w:t>Semaphorin</w:t>
            </w:r>
            <w:proofErr w:type="spellEnd"/>
            <w:r w:rsidRPr="00A56630">
              <w:rPr>
                <w:rFonts w:ascii="Arial" w:eastAsia="Times New Roman" w:hAnsi="Arial" w:cs="Arial"/>
                <w:color w:val="000000"/>
                <w:sz w:val="16"/>
                <w:szCs w:val="16"/>
                <w:lang w:eastAsia="en-GB"/>
              </w:rPr>
              <w:t xml:space="preserve">-plexin </w:t>
            </w:r>
            <w:proofErr w:type="spellStart"/>
            <w:r w:rsidRPr="00A56630">
              <w:rPr>
                <w:rFonts w:ascii="Arial" w:eastAsia="Times New Roman" w:hAnsi="Arial" w:cs="Arial"/>
                <w:color w:val="000000"/>
                <w:sz w:val="16"/>
                <w:szCs w:val="16"/>
                <w:lang w:eastAsia="en-GB"/>
              </w:rPr>
              <w:t>signaling</w:t>
            </w:r>
            <w:proofErr w:type="spellEnd"/>
            <w:r w:rsidRPr="00A56630">
              <w:rPr>
                <w:rFonts w:ascii="Arial" w:eastAsia="Times New Roman" w:hAnsi="Arial" w:cs="Arial"/>
                <w:color w:val="000000"/>
                <w:sz w:val="16"/>
                <w:szCs w:val="16"/>
                <w:lang w:eastAsia="en-GB"/>
              </w:rPr>
              <w:t xml:space="preserve"> pathway</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F4FCF9"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PLXNA2, PLXNA4</w:t>
            </w:r>
          </w:p>
        </w:tc>
      </w:tr>
      <w:tr w:rsidR="000D138D" w:rsidRPr="004D0468" w14:paraId="79E33B13"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B36755E"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416C7D" w14:textId="77777777" w:rsidR="000D138D" w:rsidRPr="00A56630" w:rsidRDefault="000D138D" w:rsidP="008922C9">
            <w:pPr>
              <w:rPr>
                <w:rFonts w:ascii="Arial" w:eastAsia="Times New Roman" w:hAnsi="Arial" w:cs="Arial"/>
                <w:b/>
                <w:bCs/>
                <w:color w:val="000000"/>
                <w:sz w:val="16"/>
                <w:szCs w:val="16"/>
                <w:lang w:eastAsia="en-GB"/>
              </w:rPr>
            </w:pPr>
            <w:r w:rsidRPr="00A56630">
              <w:rPr>
                <w:rFonts w:ascii="Arial" w:eastAsia="Times New Roman" w:hAnsi="Arial" w:cs="Arial"/>
                <w:b/>
                <w:bCs/>
                <w:color w:val="000000"/>
                <w:sz w:val="16"/>
                <w:szCs w:val="16"/>
                <w:lang w:eastAsia="en-GB"/>
              </w:rPr>
              <w:t>Axon guidance</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EBF357" w14:textId="77777777" w:rsidR="000D138D" w:rsidRPr="00A56630" w:rsidRDefault="000D138D" w:rsidP="008922C9">
            <w:pPr>
              <w:rPr>
                <w:rFonts w:ascii="Arial" w:eastAsia="Times New Roman" w:hAnsi="Arial" w:cs="Arial"/>
                <w:bCs/>
                <w:color w:val="000000"/>
                <w:sz w:val="16"/>
                <w:szCs w:val="16"/>
                <w:lang w:eastAsia="en-GB"/>
              </w:rPr>
            </w:pPr>
            <w:r w:rsidRPr="00A56630">
              <w:rPr>
                <w:rFonts w:ascii="Arial" w:eastAsia="Times New Roman" w:hAnsi="Arial" w:cs="Arial"/>
                <w:bCs/>
                <w:color w:val="000000"/>
                <w:sz w:val="16"/>
                <w:szCs w:val="16"/>
                <w:lang w:eastAsia="en-GB"/>
              </w:rPr>
              <w:t>PLXNA2, PLXNA1, PLXNA4</w:t>
            </w:r>
          </w:p>
        </w:tc>
      </w:tr>
      <w:tr w:rsidR="000D138D" w:rsidRPr="004D0468" w14:paraId="7F9897AE"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D5E4C61"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A4DE1C" w14:textId="77777777" w:rsidR="000D138D" w:rsidRPr="00A56630" w:rsidRDefault="000D138D" w:rsidP="008922C9">
            <w:pPr>
              <w:rPr>
                <w:rFonts w:ascii="Arial" w:eastAsia="Times New Roman" w:hAnsi="Arial" w:cs="Arial"/>
                <w:color w:val="000000"/>
                <w:sz w:val="16"/>
                <w:szCs w:val="16"/>
                <w:lang w:eastAsia="en-GB"/>
              </w:rPr>
            </w:pPr>
            <w:proofErr w:type="spellStart"/>
            <w:r w:rsidRPr="00A56630">
              <w:rPr>
                <w:rFonts w:ascii="Arial" w:eastAsia="Times New Roman" w:hAnsi="Arial" w:cs="Arial"/>
                <w:color w:val="000000"/>
                <w:sz w:val="16"/>
                <w:szCs w:val="16"/>
                <w:lang w:eastAsia="en-GB"/>
              </w:rPr>
              <w:t>Chemorepulsion</w:t>
            </w:r>
            <w:proofErr w:type="spellEnd"/>
            <w:r w:rsidRPr="00A56630">
              <w:rPr>
                <w:rFonts w:ascii="Arial" w:eastAsia="Times New Roman" w:hAnsi="Arial" w:cs="Arial"/>
                <w:color w:val="000000"/>
                <w:sz w:val="16"/>
                <w:szCs w:val="16"/>
                <w:lang w:eastAsia="en-GB"/>
              </w:rPr>
              <w:t xml:space="preserve"> of branchiomotor axon</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E9ACD7"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PLXNA4</w:t>
            </w:r>
          </w:p>
        </w:tc>
      </w:tr>
      <w:tr w:rsidR="000D138D" w:rsidRPr="004D0468" w14:paraId="71E9ED3C"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BFFFDC7"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6B76FAB"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Cerebellar granule cell precursor tangential migration</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43CBB1"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PLXNA2</w:t>
            </w:r>
          </w:p>
        </w:tc>
      </w:tr>
      <w:tr w:rsidR="000D138D" w:rsidRPr="004D0468" w14:paraId="6B0EEB56"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63F0FE2"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5118F6"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Postganglionic parasympathetic nervous system development</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375043"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PLXNA4</w:t>
            </w:r>
          </w:p>
        </w:tc>
      </w:tr>
      <w:tr w:rsidR="000D138D" w:rsidRPr="004D0468" w14:paraId="6A64E4B5" w14:textId="77777777" w:rsidTr="000D138D">
        <w:trPr>
          <w:trHeight w:val="216"/>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66729A5"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EB56BE5" w14:textId="77777777" w:rsidR="000D138D" w:rsidRPr="00A56630" w:rsidRDefault="000D138D" w:rsidP="008922C9">
            <w:pPr>
              <w:rPr>
                <w:rFonts w:ascii="Arial" w:eastAsia="Times New Roman" w:hAnsi="Arial" w:cs="Arial"/>
                <w:color w:val="000000"/>
                <w:sz w:val="16"/>
                <w:szCs w:val="16"/>
                <w:lang w:eastAsia="en-GB"/>
              </w:rPr>
            </w:pPr>
            <w:proofErr w:type="spellStart"/>
            <w:r w:rsidRPr="00A56630">
              <w:rPr>
                <w:rFonts w:ascii="Arial" w:eastAsia="Times New Roman" w:hAnsi="Arial" w:cs="Arial"/>
                <w:color w:val="000000"/>
                <w:sz w:val="16"/>
                <w:szCs w:val="16"/>
                <w:lang w:eastAsia="en-GB"/>
              </w:rPr>
              <w:t>Vagus</w:t>
            </w:r>
            <w:proofErr w:type="spellEnd"/>
            <w:r w:rsidRPr="00A56630">
              <w:rPr>
                <w:rFonts w:ascii="Arial" w:eastAsia="Times New Roman" w:hAnsi="Arial" w:cs="Arial"/>
                <w:color w:val="000000"/>
                <w:sz w:val="16"/>
                <w:szCs w:val="16"/>
                <w:lang w:eastAsia="en-GB"/>
              </w:rPr>
              <w:t xml:space="preserve"> nerve morphogenesis</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F8F894"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PLXNA4</w:t>
            </w:r>
          </w:p>
        </w:tc>
      </w:tr>
      <w:tr w:rsidR="000D138D" w:rsidRPr="004D0468" w14:paraId="03BA827C" w14:textId="77777777" w:rsidTr="000D138D">
        <w:trPr>
          <w:trHeight w:val="201"/>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BA6F4A2"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F03B9FB"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Anterior commissure morphogenesis</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027E78"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PLXNA4</w:t>
            </w:r>
          </w:p>
        </w:tc>
      </w:tr>
      <w:tr w:rsidR="000D138D" w:rsidRPr="004D0468" w14:paraId="2E5EB772"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52C8E10"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52CC70"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Dichotomous subdivision of terminal units involved in salivary gland branching</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79A93F"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PLXNA1</w:t>
            </w:r>
          </w:p>
        </w:tc>
      </w:tr>
      <w:tr w:rsidR="000D138D" w:rsidRPr="004D0468" w14:paraId="034C5990" w14:textId="77777777" w:rsidTr="000D138D">
        <w:trPr>
          <w:trHeight w:val="300"/>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2B056ED"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0372A7"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Glossopharyngeal nerve morphogenesis</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9523F1F"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PLXNA4</w:t>
            </w:r>
          </w:p>
        </w:tc>
      </w:tr>
      <w:tr w:rsidR="000D138D" w:rsidRPr="004D0468" w14:paraId="5D3B6C28" w14:textId="77777777" w:rsidTr="000D138D">
        <w:trPr>
          <w:trHeight w:val="228"/>
        </w:trPr>
        <w:tc>
          <w:tcPr>
            <w:tcW w:w="7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3149FDD" w14:textId="77777777" w:rsidR="000D138D" w:rsidRPr="00A56630" w:rsidRDefault="000D138D" w:rsidP="008922C9">
            <w:pPr>
              <w:jc w:val="right"/>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14</w:t>
            </w:r>
          </w:p>
        </w:tc>
        <w:tc>
          <w:tcPr>
            <w:tcW w:w="394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9459DC1"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Trigeminal nerve structural organization</w:t>
            </w:r>
          </w:p>
        </w:tc>
        <w:tc>
          <w:tcPr>
            <w:tcW w:w="507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EC1D5FF" w14:textId="77777777" w:rsidR="000D138D" w:rsidRPr="00A56630" w:rsidRDefault="000D138D" w:rsidP="008922C9">
            <w:pPr>
              <w:rPr>
                <w:rFonts w:ascii="Arial" w:eastAsia="Times New Roman" w:hAnsi="Arial" w:cs="Arial"/>
                <w:color w:val="000000"/>
                <w:sz w:val="16"/>
                <w:szCs w:val="16"/>
                <w:lang w:eastAsia="en-GB"/>
              </w:rPr>
            </w:pPr>
            <w:r w:rsidRPr="00A56630">
              <w:rPr>
                <w:rFonts w:ascii="Arial" w:eastAsia="Times New Roman" w:hAnsi="Arial" w:cs="Arial"/>
                <w:color w:val="000000"/>
                <w:sz w:val="16"/>
                <w:szCs w:val="16"/>
                <w:lang w:eastAsia="en-GB"/>
              </w:rPr>
              <w:t>PLXNA4</w:t>
            </w:r>
          </w:p>
        </w:tc>
      </w:tr>
    </w:tbl>
    <w:p w14:paraId="797881C1" w14:textId="77777777" w:rsidR="00A56630" w:rsidRDefault="00A56630" w:rsidP="00541241">
      <w:pPr>
        <w:rPr>
          <w:b/>
        </w:rPr>
      </w:pPr>
    </w:p>
    <w:p w14:paraId="5B8103CF" w14:textId="1F16BFCD" w:rsidR="007B2FD1" w:rsidRDefault="007B2FD1">
      <w:pPr>
        <w:pStyle w:val="Heading2"/>
      </w:pPr>
      <w:r>
        <w:lastRenderedPageBreak/>
        <w:t>Supplementary Table 9</w:t>
      </w:r>
    </w:p>
    <w:p w14:paraId="5D01DED9" w14:textId="3FB9F1E7" w:rsidR="007B2FD1" w:rsidRDefault="009A57E2" w:rsidP="00541241">
      <w:pPr>
        <w:rPr>
          <w:b/>
        </w:rPr>
      </w:pPr>
      <w:r>
        <w:rPr>
          <w:b/>
        </w:rPr>
        <w:tab/>
      </w:r>
    </w:p>
    <w:p w14:paraId="2B4D7B5E" w14:textId="6135837B" w:rsidR="007B2FD1" w:rsidRPr="00EB0CEB" w:rsidRDefault="007B2FD1" w:rsidP="007B2FD1">
      <w:pPr>
        <w:pStyle w:val="para"/>
        <w:rPr>
          <w:rFonts w:ascii="Times" w:hAnsi="Times"/>
          <w:sz w:val="20"/>
          <w:szCs w:val="20"/>
        </w:rPr>
      </w:pPr>
      <w:r w:rsidRPr="00EB0CEB">
        <w:t>Enriched GO processes in the network modules identified for the Miller genes in cellular development. Processes common to the MutFam genes are highlighted in bold.</w:t>
      </w:r>
    </w:p>
    <w:p w14:paraId="56829D30" w14:textId="77777777" w:rsidR="007B2FD1" w:rsidRDefault="007B2FD1" w:rsidP="007B2FD1">
      <w:pPr>
        <w:rPr>
          <w:b/>
          <w:bCs/>
        </w:rPr>
      </w:pPr>
    </w:p>
    <w:tbl>
      <w:tblPr>
        <w:tblW w:w="8390" w:type="dxa"/>
        <w:tblLayout w:type="fixed"/>
        <w:tblCellMar>
          <w:left w:w="0" w:type="dxa"/>
          <w:right w:w="0" w:type="dxa"/>
        </w:tblCellMar>
        <w:tblLook w:val="04A0" w:firstRow="1" w:lastRow="0" w:firstColumn="1" w:lastColumn="0" w:noHBand="0" w:noVBand="1"/>
      </w:tblPr>
      <w:tblGrid>
        <w:gridCol w:w="1463"/>
        <w:gridCol w:w="2551"/>
        <w:gridCol w:w="4376"/>
      </w:tblGrid>
      <w:tr w:rsidR="007B2FD1" w:rsidRPr="00E35C60" w14:paraId="45FE9557" w14:textId="77777777" w:rsidTr="008922C9">
        <w:trPr>
          <w:trHeight w:val="315"/>
        </w:trPr>
        <w:tc>
          <w:tcPr>
            <w:tcW w:w="146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BD524AF" w14:textId="77777777" w:rsidR="007B2FD1" w:rsidRPr="00E35C60" w:rsidRDefault="007B2FD1" w:rsidP="008922C9">
            <w:pPr>
              <w:jc w:val="center"/>
              <w:rPr>
                <w:rFonts w:ascii="Arial" w:eastAsia="Times New Roman" w:hAnsi="Arial" w:cs="Arial"/>
                <w:b/>
                <w:bCs/>
                <w:color w:val="000000"/>
                <w:sz w:val="18"/>
                <w:szCs w:val="18"/>
                <w:lang w:eastAsia="en-GB"/>
              </w:rPr>
            </w:pPr>
            <w:r w:rsidRPr="00E35C60">
              <w:rPr>
                <w:rFonts w:ascii="Arial" w:eastAsia="Times New Roman" w:hAnsi="Arial" w:cs="Arial"/>
                <w:b/>
                <w:bCs/>
                <w:color w:val="000000"/>
                <w:sz w:val="18"/>
                <w:szCs w:val="18"/>
                <w:lang w:eastAsia="en-GB"/>
              </w:rPr>
              <w:t>Module</w:t>
            </w:r>
          </w:p>
        </w:tc>
        <w:tc>
          <w:tcPr>
            <w:tcW w:w="255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ED3D24" w14:textId="77777777" w:rsidR="007B2FD1" w:rsidRPr="00E35C60" w:rsidRDefault="007B2FD1" w:rsidP="008922C9">
            <w:pPr>
              <w:rPr>
                <w:rFonts w:ascii="Arial" w:eastAsia="Times New Roman" w:hAnsi="Arial" w:cs="Arial"/>
                <w:b/>
                <w:bCs/>
                <w:color w:val="000000"/>
                <w:sz w:val="18"/>
                <w:szCs w:val="18"/>
                <w:lang w:eastAsia="en-GB"/>
              </w:rPr>
            </w:pPr>
            <w:r w:rsidRPr="00E35C60">
              <w:rPr>
                <w:rFonts w:ascii="Arial" w:eastAsia="Times New Roman" w:hAnsi="Arial" w:cs="Arial"/>
                <w:b/>
                <w:bCs/>
                <w:color w:val="000000"/>
                <w:sz w:val="18"/>
                <w:szCs w:val="18"/>
                <w:lang w:eastAsia="en-GB"/>
              </w:rPr>
              <w:t>GO Biological process</w:t>
            </w:r>
          </w:p>
        </w:tc>
        <w:tc>
          <w:tcPr>
            <w:tcW w:w="437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4F79C0" w14:textId="77777777" w:rsidR="007B2FD1" w:rsidRPr="00E35C60" w:rsidRDefault="007B2FD1" w:rsidP="008922C9">
            <w:pPr>
              <w:rPr>
                <w:rFonts w:ascii="Arial" w:eastAsia="Times New Roman" w:hAnsi="Arial" w:cs="Arial"/>
                <w:b/>
                <w:bCs/>
                <w:color w:val="000000"/>
                <w:sz w:val="18"/>
                <w:szCs w:val="18"/>
                <w:lang w:eastAsia="en-GB"/>
              </w:rPr>
            </w:pPr>
            <w:r w:rsidRPr="00E35C60">
              <w:rPr>
                <w:rFonts w:ascii="Arial" w:eastAsia="Times New Roman" w:hAnsi="Arial" w:cs="Arial"/>
                <w:b/>
                <w:bCs/>
                <w:color w:val="000000"/>
                <w:sz w:val="18"/>
                <w:szCs w:val="18"/>
                <w:lang w:eastAsia="en-GB"/>
              </w:rPr>
              <w:t>Gene list</w:t>
            </w:r>
          </w:p>
        </w:tc>
      </w:tr>
      <w:tr w:rsidR="007B2FD1" w:rsidRPr="00E35C60" w14:paraId="7B9CC8A9" w14:textId="77777777" w:rsidTr="008922C9">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B3F53C" w14:textId="77777777" w:rsidR="007B2FD1" w:rsidRPr="00E35C60" w:rsidRDefault="007B2FD1" w:rsidP="008922C9">
            <w:pPr>
              <w:jc w:val="center"/>
              <w:rPr>
                <w:rFonts w:ascii="Arial" w:eastAsia="Times New Roman" w:hAnsi="Arial" w:cs="Arial"/>
                <w:color w:val="000000"/>
                <w:sz w:val="18"/>
                <w:szCs w:val="18"/>
                <w:lang w:eastAsia="en-GB"/>
              </w:rPr>
            </w:pPr>
            <w:r w:rsidRPr="00E35C60">
              <w:rPr>
                <w:rFonts w:ascii="Arial" w:eastAsia="Times New Roman" w:hAnsi="Arial" w:cs="Arial"/>
                <w:color w:val="000000"/>
                <w:sz w:val="18"/>
                <w:szCs w:val="18"/>
                <w:lang w:eastAsia="en-GB"/>
              </w:rPr>
              <w:t>1</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CD3D556" w14:textId="77777777" w:rsidR="007B2FD1" w:rsidRPr="00E35C60" w:rsidRDefault="007B2FD1" w:rsidP="008922C9">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F</w:t>
            </w:r>
            <w:r w:rsidRPr="00E35C60">
              <w:rPr>
                <w:rFonts w:ascii="Arial" w:eastAsia="Times New Roman" w:hAnsi="Arial" w:cs="Arial"/>
                <w:color w:val="000000"/>
                <w:sz w:val="18"/>
                <w:szCs w:val="18"/>
                <w:lang w:eastAsia="en-GB"/>
              </w:rPr>
              <w:t>at cell differentiation</w:t>
            </w:r>
          </w:p>
        </w:tc>
        <w:tc>
          <w:tcPr>
            <w:tcW w:w="43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AC3C94" w14:textId="77777777" w:rsidR="007B2FD1" w:rsidRPr="00E35C60" w:rsidRDefault="007B2FD1" w:rsidP="008922C9">
            <w:pPr>
              <w:rPr>
                <w:rFonts w:ascii="Arial" w:eastAsia="Times New Roman" w:hAnsi="Arial" w:cs="Arial"/>
                <w:color w:val="000000"/>
                <w:sz w:val="18"/>
                <w:szCs w:val="18"/>
                <w:lang w:eastAsia="en-GB"/>
              </w:rPr>
            </w:pPr>
            <w:r w:rsidRPr="00E35C60">
              <w:rPr>
                <w:rFonts w:ascii="Arial" w:eastAsia="Times New Roman" w:hAnsi="Arial" w:cs="Arial"/>
                <w:color w:val="000000"/>
                <w:sz w:val="18"/>
                <w:szCs w:val="18"/>
                <w:lang w:eastAsia="en-GB"/>
              </w:rPr>
              <w:t>GSK3B,</w:t>
            </w:r>
            <w:r>
              <w:rPr>
                <w:rFonts w:ascii="Arial" w:eastAsia="Times New Roman" w:hAnsi="Arial" w:cs="Arial"/>
                <w:color w:val="000000"/>
                <w:sz w:val="18"/>
                <w:szCs w:val="18"/>
                <w:lang w:eastAsia="en-GB"/>
              </w:rPr>
              <w:t xml:space="preserve"> </w:t>
            </w:r>
            <w:r w:rsidRPr="00E35C60">
              <w:rPr>
                <w:rFonts w:ascii="Arial" w:eastAsia="Times New Roman" w:hAnsi="Arial" w:cs="Arial"/>
                <w:color w:val="000000"/>
                <w:sz w:val="18"/>
                <w:szCs w:val="18"/>
                <w:lang w:eastAsia="en-GB"/>
              </w:rPr>
              <w:t>AKT2,</w:t>
            </w:r>
            <w:r>
              <w:rPr>
                <w:rFonts w:ascii="Arial" w:eastAsia="Times New Roman" w:hAnsi="Arial" w:cs="Arial"/>
                <w:color w:val="000000"/>
                <w:sz w:val="18"/>
                <w:szCs w:val="18"/>
                <w:lang w:eastAsia="en-GB"/>
              </w:rPr>
              <w:t xml:space="preserve"> </w:t>
            </w:r>
            <w:r w:rsidRPr="00E35C60">
              <w:rPr>
                <w:rFonts w:ascii="Arial" w:eastAsia="Times New Roman" w:hAnsi="Arial" w:cs="Arial"/>
                <w:color w:val="000000"/>
                <w:sz w:val="18"/>
                <w:szCs w:val="18"/>
                <w:lang w:eastAsia="en-GB"/>
              </w:rPr>
              <w:t>EP300,</w:t>
            </w:r>
            <w:r>
              <w:rPr>
                <w:rFonts w:ascii="Arial" w:eastAsia="Times New Roman" w:hAnsi="Arial" w:cs="Arial"/>
                <w:color w:val="000000"/>
                <w:sz w:val="18"/>
                <w:szCs w:val="18"/>
                <w:lang w:eastAsia="en-GB"/>
              </w:rPr>
              <w:t xml:space="preserve"> </w:t>
            </w:r>
            <w:r w:rsidRPr="00E35C60">
              <w:rPr>
                <w:rFonts w:ascii="Arial" w:eastAsia="Times New Roman" w:hAnsi="Arial" w:cs="Arial"/>
                <w:color w:val="000000"/>
                <w:sz w:val="18"/>
                <w:szCs w:val="18"/>
                <w:lang w:eastAsia="en-GB"/>
              </w:rPr>
              <w:t>CEBPA,</w:t>
            </w:r>
            <w:r>
              <w:rPr>
                <w:rFonts w:ascii="Arial" w:eastAsia="Times New Roman" w:hAnsi="Arial" w:cs="Arial"/>
                <w:color w:val="000000"/>
                <w:sz w:val="18"/>
                <w:szCs w:val="18"/>
                <w:lang w:eastAsia="en-GB"/>
              </w:rPr>
              <w:t xml:space="preserve"> </w:t>
            </w:r>
            <w:r w:rsidRPr="00E35C60">
              <w:rPr>
                <w:rFonts w:ascii="Arial" w:eastAsia="Times New Roman" w:hAnsi="Arial" w:cs="Arial"/>
                <w:color w:val="000000"/>
                <w:sz w:val="18"/>
                <w:szCs w:val="18"/>
                <w:lang w:eastAsia="en-GB"/>
              </w:rPr>
              <w:t>EGR2</w:t>
            </w:r>
          </w:p>
        </w:tc>
      </w:tr>
      <w:tr w:rsidR="007B2FD1" w:rsidRPr="00E35C60" w14:paraId="25A5995F" w14:textId="77777777" w:rsidTr="008922C9">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8CB05DD" w14:textId="77777777" w:rsidR="007B2FD1" w:rsidRPr="00E35C60" w:rsidRDefault="007B2FD1" w:rsidP="008922C9">
            <w:pPr>
              <w:jc w:val="center"/>
              <w:rPr>
                <w:rFonts w:ascii="Arial" w:eastAsia="Times New Roman" w:hAnsi="Arial" w:cs="Arial"/>
                <w:color w:val="000000"/>
                <w:sz w:val="18"/>
                <w:szCs w:val="18"/>
                <w:lang w:eastAsia="en-GB"/>
              </w:rPr>
            </w:pPr>
            <w:r w:rsidRPr="00E35C60">
              <w:rPr>
                <w:rFonts w:ascii="Arial" w:eastAsia="Times New Roman" w:hAnsi="Arial" w:cs="Arial"/>
                <w:color w:val="000000"/>
                <w:sz w:val="18"/>
                <w:szCs w:val="18"/>
                <w:lang w:eastAsia="en-GB"/>
              </w:rPr>
              <w:t>1</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ACBC8A" w14:textId="77777777" w:rsidR="007B2FD1" w:rsidRPr="00E35C60" w:rsidRDefault="007B2FD1" w:rsidP="008922C9">
            <w:pP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A</w:t>
            </w:r>
            <w:r w:rsidRPr="00E35C60">
              <w:rPr>
                <w:rFonts w:ascii="Arial" w:eastAsia="Times New Roman" w:hAnsi="Arial" w:cs="Arial"/>
                <w:b/>
                <w:bCs/>
                <w:color w:val="000000"/>
                <w:sz w:val="18"/>
                <w:szCs w:val="18"/>
                <w:lang w:eastAsia="en-GB"/>
              </w:rPr>
              <w:t>xon guidance</w:t>
            </w:r>
          </w:p>
        </w:tc>
        <w:tc>
          <w:tcPr>
            <w:tcW w:w="43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C9B807" w14:textId="77777777" w:rsidR="007B2FD1" w:rsidRPr="00E35C60" w:rsidRDefault="007B2FD1" w:rsidP="008922C9">
            <w:pPr>
              <w:rPr>
                <w:rFonts w:ascii="Arial" w:eastAsia="Times New Roman" w:hAnsi="Arial" w:cs="Arial"/>
                <w:b/>
                <w:bCs/>
                <w:color w:val="000000"/>
                <w:sz w:val="18"/>
                <w:szCs w:val="18"/>
                <w:lang w:eastAsia="en-GB"/>
              </w:rPr>
            </w:pPr>
            <w:r w:rsidRPr="00E35C60">
              <w:rPr>
                <w:rFonts w:ascii="Arial" w:eastAsia="Times New Roman" w:hAnsi="Arial" w:cs="Arial"/>
                <w:b/>
                <w:bCs/>
                <w:color w:val="000000"/>
                <w:sz w:val="18"/>
                <w:szCs w:val="18"/>
                <w:lang w:eastAsia="en-GB"/>
              </w:rPr>
              <w:t>GSK3B,</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PDGFRA,</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RHOG,</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RHOB,</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RASA1,</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RASA2,</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EPHA2,</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RASAL1,</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RRAS,</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ERBB4,</w:t>
            </w:r>
            <w:r>
              <w:rPr>
                <w:rFonts w:ascii="Arial" w:eastAsia="Times New Roman" w:hAnsi="Arial" w:cs="Arial"/>
                <w:b/>
                <w:bCs/>
                <w:color w:val="000000"/>
                <w:sz w:val="18"/>
                <w:szCs w:val="18"/>
                <w:lang w:eastAsia="en-GB"/>
              </w:rPr>
              <w:t xml:space="preserve"> </w:t>
            </w:r>
            <w:r w:rsidRPr="00E35C60">
              <w:rPr>
                <w:rFonts w:ascii="Arial" w:eastAsia="Times New Roman" w:hAnsi="Arial" w:cs="Arial"/>
                <w:b/>
                <w:bCs/>
                <w:color w:val="000000"/>
                <w:sz w:val="18"/>
                <w:szCs w:val="18"/>
                <w:lang w:eastAsia="en-GB"/>
              </w:rPr>
              <w:t>FGFR1</w:t>
            </w:r>
          </w:p>
        </w:tc>
      </w:tr>
      <w:tr w:rsidR="007B2FD1" w:rsidRPr="00E35C60" w14:paraId="6F1E9292" w14:textId="77777777" w:rsidTr="008922C9">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CF98729" w14:textId="77777777" w:rsidR="007B2FD1" w:rsidRPr="00E35C60" w:rsidRDefault="007B2FD1" w:rsidP="008922C9">
            <w:pPr>
              <w:jc w:val="center"/>
              <w:rPr>
                <w:rFonts w:ascii="Arial" w:eastAsia="Times New Roman" w:hAnsi="Arial" w:cs="Arial"/>
                <w:color w:val="000000"/>
                <w:sz w:val="18"/>
                <w:szCs w:val="18"/>
                <w:lang w:eastAsia="en-GB"/>
              </w:rPr>
            </w:pPr>
            <w:r w:rsidRPr="00E35C60">
              <w:rPr>
                <w:rFonts w:ascii="Arial" w:eastAsia="Times New Roman" w:hAnsi="Arial" w:cs="Arial"/>
                <w:color w:val="000000"/>
                <w:sz w:val="18"/>
                <w:szCs w:val="18"/>
                <w:lang w:eastAsia="en-GB"/>
              </w:rPr>
              <w:t>1</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BC30BD4" w14:textId="77777777" w:rsidR="007B2FD1" w:rsidRPr="00E35C60" w:rsidRDefault="007B2FD1" w:rsidP="008922C9">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C</w:t>
            </w:r>
            <w:r w:rsidRPr="00E35C60">
              <w:rPr>
                <w:rFonts w:ascii="Arial" w:eastAsia="Times New Roman" w:hAnsi="Arial" w:cs="Arial"/>
                <w:color w:val="000000"/>
                <w:sz w:val="18"/>
                <w:szCs w:val="18"/>
                <w:lang w:eastAsia="en-GB"/>
              </w:rPr>
              <w:t>ircadian rhythm</w:t>
            </w:r>
          </w:p>
        </w:tc>
        <w:tc>
          <w:tcPr>
            <w:tcW w:w="43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A9BF59" w14:textId="77777777" w:rsidR="007B2FD1" w:rsidRPr="00E35C60" w:rsidRDefault="007B2FD1" w:rsidP="008922C9">
            <w:pPr>
              <w:rPr>
                <w:rFonts w:ascii="Arial" w:eastAsia="Times New Roman" w:hAnsi="Arial" w:cs="Arial"/>
                <w:color w:val="000000"/>
                <w:sz w:val="18"/>
                <w:szCs w:val="18"/>
                <w:lang w:eastAsia="en-GB"/>
              </w:rPr>
            </w:pPr>
            <w:r w:rsidRPr="00E35C60">
              <w:rPr>
                <w:rFonts w:ascii="Arial" w:eastAsia="Times New Roman" w:hAnsi="Arial" w:cs="Arial"/>
                <w:color w:val="000000"/>
                <w:sz w:val="18"/>
                <w:szCs w:val="18"/>
                <w:lang w:eastAsia="en-GB"/>
              </w:rPr>
              <w:t>GSK3B,</w:t>
            </w:r>
            <w:r>
              <w:rPr>
                <w:rFonts w:ascii="Arial" w:eastAsia="Times New Roman" w:hAnsi="Arial" w:cs="Arial"/>
                <w:color w:val="000000"/>
                <w:sz w:val="18"/>
                <w:szCs w:val="18"/>
                <w:lang w:eastAsia="en-GB"/>
              </w:rPr>
              <w:t xml:space="preserve"> </w:t>
            </w:r>
            <w:r w:rsidRPr="00E35C60">
              <w:rPr>
                <w:rFonts w:ascii="Arial" w:eastAsia="Times New Roman" w:hAnsi="Arial" w:cs="Arial"/>
                <w:color w:val="000000"/>
                <w:sz w:val="18"/>
                <w:szCs w:val="18"/>
                <w:lang w:eastAsia="en-GB"/>
              </w:rPr>
              <w:t>DBP,</w:t>
            </w:r>
            <w:r>
              <w:rPr>
                <w:rFonts w:ascii="Arial" w:eastAsia="Times New Roman" w:hAnsi="Arial" w:cs="Arial"/>
                <w:color w:val="000000"/>
                <w:sz w:val="18"/>
                <w:szCs w:val="18"/>
                <w:lang w:eastAsia="en-GB"/>
              </w:rPr>
              <w:t xml:space="preserve"> </w:t>
            </w:r>
            <w:r w:rsidRPr="00E35C60">
              <w:rPr>
                <w:rFonts w:ascii="Arial" w:eastAsia="Times New Roman" w:hAnsi="Arial" w:cs="Arial"/>
                <w:color w:val="000000"/>
                <w:sz w:val="18"/>
                <w:szCs w:val="18"/>
                <w:lang w:eastAsia="en-GB"/>
              </w:rPr>
              <w:t>EP300,</w:t>
            </w:r>
            <w:r>
              <w:rPr>
                <w:rFonts w:ascii="Arial" w:eastAsia="Times New Roman" w:hAnsi="Arial" w:cs="Arial"/>
                <w:color w:val="000000"/>
                <w:sz w:val="18"/>
                <w:szCs w:val="18"/>
                <w:lang w:eastAsia="en-GB"/>
              </w:rPr>
              <w:t xml:space="preserve"> </w:t>
            </w:r>
            <w:r w:rsidRPr="00E35C60">
              <w:rPr>
                <w:rFonts w:ascii="Arial" w:eastAsia="Times New Roman" w:hAnsi="Arial" w:cs="Arial"/>
                <w:color w:val="000000"/>
                <w:sz w:val="18"/>
                <w:szCs w:val="18"/>
                <w:lang w:eastAsia="en-GB"/>
              </w:rPr>
              <w:t>DYRK1A,</w:t>
            </w:r>
            <w:r>
              <w:rPr>
                <w:rFonts w:ascii="Arial" w:eastAsia="Times New Roman" w:hAnsi="Arial" w:cs="Arial"/>
                <w:color w:val="000000"/>
                <w:sz w:val="18"/>
                <w:szCs w:val="18"/>
                <w:lang w:eastAsia="en-GB"/>
              </w:rPr>
              <w:t xml:space="preserve"> </w:t>
            </w:r>
            <w:r w:rsidRPr="00E35C60">
              <w:rPr>
                <w:rFonts w:ascii="Arial" w:eastAsia="Times New Roman" w:hAnsi="Arial" w:cs="Arial"/>
                <w:color w:val="000000"/>
                <w:sz w:val="18"/>
                <w:szCs w:val="18"/>
                <w:lang w:eastAsia="en-GB"/>
              </w:rPr>
              <w:t>NFIL3</w:t>
            </w:r>
          </w:p>
        </w:tc>
      </w:tr>
      <w:tr w:rsidR="007B2FD1" w:rsidRPr="00E35C60" w14:paraId="68875973" w14:textId="77777777" w:rsidTr="008922C9">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2E9D1B2" w14:textId="77777777" w:rsidR="007B2FD1" w:rsidRPr="00E35C60" w:rsidRDefault="007B2FD1" w:rsidP="008922C9">
            <w:pPr>
              <w:jc w:val="center"/>
              <w:rPr>
                <w:rFonts w:ascii="Arial" w:eastAsia="Times New Roman" w:hAnsi="Arial" w:cs="Arial"/>
                <w:color w:val="000000"/>
                <w:sz w:val="18"/>
                <w:szCs w:val="18"/>
                <w:lang w:eastAsia="en-GB"/>
              </w:rPr>
            </w:pPr>
            <w:r w:rsidRPr="00E35C60">
              <w:rPr>
                <w:rFonts w:ascii="Arial" w:eastAsia="Times New Roman" w:hAnsi="Arial" w:cs="Arial"/>
                <w:color w:val="000000"/>
                <w:sz w:val="18"/>
                <w:szCs w:val="18"/>
                <w:lang w:eastAsia="en-GB"/>
              </w:rPr>
              <w:t>3</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1E4772" w14:textId="77777777" w:rsidR="007B2FD1" w:rsidRPr="00E35C60" w:rsidRDefault="007B2FD1" w:rsidP="008922C9">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R</w:t>
            </w:r>
            <w:r w:rsidRPr="00E35C60">
              <w:rPr>
                <w:rFonts w:ascii="Arial" w:eastAsia="Times New Roman" w:hAnsi="Arial" w:cs="Arial"/>
                <w:color w:val="000000"/>
                <w:sz w:val="18"/>
                <w:szCs w:val="18"/>
                <w:lang w:eastAsia="en-GB"/>
              </w:rPr>
              <w:t>egulation of smooth muscle contraction</w:t>
            </w:r>
          </w:p>
        </w:tc>
        <w:tc>
          <w:tcPr>
            <w:tcW w:w="43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A7B995" w14:textId="77777777" w:rsidR="007B2FD1" w:rsidRPr="00E35C60" w:rsidRDefault="007B2FD1" w:rsidP="008922C9">
            <w:pPr>
              <w:rPr>
                <w:rFonts w:ascii="Arial" w:eastAsia="Times New Roman" w:hAnsi="Arial" w:cs="Arial"/>
                <w:color w:val="000000"/>
                <w:sz w:val="18"/>
                <w:szCs w:val="18"/>
                <w:lang w:eastAsia="en-GB"/>
              </w:rPr>
            </w:pPr>
            <w:r w:rsidRPr="00E35C60">
              <w:rPr>
                <w:rFonts w:ascii="Arial" w:eastAsia="Times New Roman" w:hAnsi="Arial" w:cs="Arial"/>
                <w:color w:val="000000"/>
                <w:sz w:val="18"/>
                <w:szCs w:val="18"/>
                <w:lang w:eastAsia="en-GB"/>
              </w:rPr>
              <w:t>KCNB2</w:t>
            </w:r>
          </w:p>
        </w:tc>
      </w:tr>
      <w:tr w:rsidR="007B2FD1" w:rsidRPr="00E35C60" w14:paraId="40E30B4E" w14:textId="77777777" w:rsidTr="008922C9">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B7F8631" w14:textId="77777777" w:rsidR="007B2FD1" w:rsidRPr="00E35C60" w:rsidRDefault="007B2FD1" w:rsidP="008922C9">
            <w:pPr>
              <w:jc w:val="center"/>
              <w:rPr>
                <w:rFonts w:ascii="Arial" w:eastAsia="Times New Roman" w:hAnsi="Arial" w:cs="Arial"/>
                <w:color w:val="000000"/>
                <w:sz w:val="18"/>
                <w:szCs w:val="18"/>
                <w:lang w:eastAsia="en-GB"/>
              </w:rPr>
            </w:pPr>
            <w:r w:rsidRPr="00E35C60">
              <w:rPr>
                <w:rFonts w:ascii="Arial" w:eastAsia="Times New Roman" w:hAnsi="Arial" w:cs="Arial"/>
                <w:color w:val="000000"/>
                <w:sz w:val="18"/>
                <w:szCs w:val="18"/>
                <w:lang w:eastAsia="en-GB"/>
              </w:rPr>
              <w:t>3</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4BD17A" w14:textId="77777777" w:rsidR="007B2FD1" w:rsidRPr="00E35C60" w:rsidRDefault="007B2FD1" w:rsidP="008922C9">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L</w:t>
            </w:r>
            <w:r w:rsidRPr="00E35C60">
              <w:rPr>
                <w:rFonts w:ascii="Arial" w:eastAsia="Times New Roman" w:hAnsi="Arial" w:cs="Arial"/>
                <w:color w:val="000000"/>
                <w:sz w:val="18"/>
                <w:szCs w:val="18"/>
                <w:lang w:eastAsia="en-GB"/>
              </w:rPr>
              <w:t>ocomotor rhythm</w:t>
            </w:r>
          </w:p>
        </w:tc>
        <w:tc>
          <w:tcPr>
            <w:tcW w:w="43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B020B2" w14:textId="77777777" w:rsidR="007B2FD1" w:rsidRPr="00E35C60" w:rsidRDefault="007B2FD1" w:rsidP="008922C9">
            <w:pPr>
              <w:rPr>
                <w:rFonts w:ascii="Arial" w:eastAsia="Times New Roman" w:hAnsi="Arial" w:cs="Arial"/>
                <w:color w:val="000000"/>
                <w:sz w:val="18"/>
                <w:szCs w:val="18"/>
                <w:lang w:eastAsia="en-GB"/>
              </w:rPr>
            </w:pPr>
            <w:r w:rsidRPr="00E35C60">
              <w:rPr>
                <w:rFonts w:ascii="Arial" w:eastAsia="Times New Roman" w:hAnsi="Arial" w:cs="Arial"/>
                <w:color w:val="000000"/>
                <w:sz w:val="18"/>
                <w:szCs w:val="18"/>
                <w:lang w:eastAsia="en-GB"/>
              </w:rPr>
              <w:t>KCND2</w:t>
            </w:r>
          </w:p>
        </w:tc>
      </w:tr>
    </w:tbl>
    <w:p w14:paraId="495A9B14" w14:textId="4C368DF9" w:rsidR="007B2FD1" w:rsidRDefault="007B2FD1">
      <w:pPr>
        <w:pStyle w:val="Heading2"/>
      </w:pPr>
      <w:r>
        <w:br w:type="page"/>
      </w:r>
      <w:r w:rsidR="009A57E2">
        <w:lastRenderedPageBreak/>
        <w:t>Supplementary Table 10</w:t>
      </w:r>
    </w:p>
    <w:p w14:paraId="33FC1BD1" w14:textId="77777777" w:rsidR="009A57E2" w:rsidRDefault="009A57E2">
      <w:pPr>
        <w:rPr>
          <w:b/>
        </w:rPr>
      </w:pPr>
    </w:p>
    <w:p w14:paraId="3FDC39E3" w14:textId="21DF9E81" w:rsidR="009A57E2" w:rsidRDefault="009A57E2" w:rsidP="009A57E2">
      <w:pPr>
        <w:pStyle w:val="para"/>
      </w:pPr>
      <w:r>
        <w:t>Comparison of cancer types</w:t>
      </w:r>
      <w:r w:rsidRPr="00CF785F">
        <w:t xml:space="preserve"> within MutFam and Miller </w:t>
      </w:r>
      <w:r>
        <w:t>genes - t</w:t>
      </w:r>
      <w:r w:rsidRPr="00CF785F">
        <w:t>he 3 different gastrulation layer columns contain the numbers of the different cancers in each group.</w:t>
      </w:r>
    </w:p>
    <w:p w14:paraId="7EA597DF" w14:textId="77777777" w:rsidR="009A57E2" w:rsidRDefault="009A57E2" w:rsidP="009A57E2">
      <w:pPr>
        <w:rPr>
          <w:b/>
          <w:bCs/>
        </w:rPr>
      </w:pPr>
    </w:p>
    <w:tbl>
      <w:tblPr>
        <w:tblW w:w="0" w:type="dxa"/>
        <w:tblCellMar>
          <w:left w:w="0" w:type="dxa"/>
          <w:right w:w="0" w:type="dxa"/>
        </w:tblCellMar>
        <w:tblLook w:val="04A0" w:firstRow="1" w:lastRow="0" w:firstColumn="1" w:lastColumn="0" w:noHBand="0" w:noVBand="1"/>
      </w:tblPr>
      <w:tblGrid>
        <w:gridCol w:w="1074"/>
        <w:gridCol w:w="3736"/>
        <w:gridCol w:w="1105"/>
        <w:gridCol w:w="1191"/>
        <w:gridCol w:w="1178"/>
      </w:tblGrid>
      <w:tr w:rsidR="009A57E2" w:rsidRPr="00C430B5" w14:paraId="1BC66BA8" w14:textId="77777777" w:rsidTr="008922C9">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1C0411F" w14:textId="77777777" w:rsidR="009A57E2" w:rsidRPr="00C430B5" w:rsidRDefault="009A57E2" w:rsidP="008922C9">
            <w:pPr>
              <w:rPr>
                <w:rFonts w:ascii="Arial" w:eastAsia="Times New Roman" w:hAnsi="Arial" w:cs="Arial"/>
                <w:b/>
                <w:bCs/>
                <w:color w:val="000000"/>
                <w:sz w:val="22"/>
                <w:szCs w:val="22"/>
                <w:lang w:eastAsia="en-GB"/>
              </w:rPr>
            </w:pPr>
            <w:r w:rsidRPr="00C430B5">
              <w:rPr>
                <w:rFonts w:ascii="Arial" w:eastAsia="Times New Roman" w:hAnsi="Arial" w:cs="Arial"/>
                <w:b/>
                <w:bCs/>
                <w:color w:val="000000"/>
                <w:sz w:val="22"/>
                <w:szCs w:val="22"/>
                <w:lang w:eastAsia="en-GB"/>
              </w:rPr>
              <w:t>Datasets</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78F0686" w14:textId="77777777" w:rsidR="009A57E2" w:rsidRPr="00C430B5" w:rsidRDefault="009A57E2" w:rsidP="008922C9">
            <w:pPr>
              <w:rPr>
                <w:rFonts w:ascii="Arial" w:eastAsia="Times New Roman" w:hAnsi="Arial" w:cs="Arial"/>
                <w:b/>
                <w:bCs/>
                <w:color w:val="000000"/>
                <w:sz w:val="22"/>
                <w:szCs w:val="22"/>
                <w:lang w:eastAsia="en-GB"/>
              </w:rPr>
            </w:pPr>
            <w:r w:rsidRPr="00C430B5">
              <w:rPr>
                <w:rFonts w:ascii="Arial" w:eastAsia="Times New Roman" w:hAnsi="Arial" w:cs="Arial"/>
                <w:b/>
                <w:bCs/>
                <w:color w:val="000000"/>
                <w:sz w:val="22"/>
                <w:szCs w:val="22"/>
                <w:lang w:eastAsia="en-GB"/>
              </w:rPr>
              <w:t>Cancers</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FA085E" w14:textId="77777777" w:rsidR="009A57E2" w:rsidRPr="00C430B5" w:rsidRDefault="009A57E2" w:rsidP="008922C9">
            <w:pPr>
              <w:rPr>
                <w:rFonts w:ascii="Arial" w:eastAsia="Times New Roman" w:hAnsi="Arial" w:cs="Arial"/>
                <w:b/>
                <w:bCs/>
                <w:color w:val="000000"/>
                <w:sz w:val="22"/>
                <w:szCs w:val="22"/>
                <w:lang w:eastAsia="en-GB"/>
              </w:rPr>
            </w:pPr>
            <w:r w:rsidRPr="00C430B5">
              <w:rPr>
                <w:rFonts w:ascii="Arial" w:eastAsia="Times New Roman" w:hAnsi="Arial" w:cs="Arial"/>
                <w:b/>
                <w:bCs/>
                <w:color w:val="000000"/>
                <w:sz w:val="22"/>
                <w:szCs w:val="22"/>
                <w:lang w:eastAsia="en-GB"/>
              </w:rPr>
              <w:t>Ectoderm</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71FAEC8" w14:textId="77777777" w:rsidR="009A57E2" w:rsidRPr="00C430B5" w:rsidRDefault="009A57E2" w:rsidP="008922C9">
            <w:pPr>
              <w:rPr>
                <w:rFonts w:ascii="Arial" w:eastAsia="Times New Roman" w:hAnsi="Arial" w:cs="Arial"/>
                <w:b/>
                <w:bCs/>
                <w:color w:val="000000"/>
                <w:sz w:val="22"/>
                <w:szCs w:val="22"/>
                <w:lang w:eastAsia="en-GB"/>
              </w:rPr>
            </w:pPr>
            <w:r w:rsidRPr="00C430B5">
              <w:rPr>
                <w:rFonts w:ascii="Arial" w:eastAsia="Times New Roman" w:hAnsi="Arial" w:cs="Arial"/>
                <w:b/>
                <w:bCs/>
                <w:color w:val="000000"/>
                <w:sz w:val="22"/>
                <w:szCs w:val="22"/>
                <w:lang w:eastAsia="en-GB"/>
              </w:rPr>
              <w:t>Mesoderm</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580DDB6" w14:textId="77777777" w:rsidR="009A57E2" w:rsidRPr="00C430B5" w:rsidRDefault="009A57E2" w:rsidP="008922C9">
            <w:pPr>
              <w:rPr>
                <w:rFonts w:ascii="Arial" w:eastAsia="Times New Roman" w:hAnsi="Arial" w:cs="Arial"/>
                <w:b/>
                <w:bCs/>
                <w:color w:val="000000"/>
                <w:sz w:val="22"/>
                <w:szCs w:val="22"/>
                <w:lang w:eastAsia="en-GB"/>
              </w:rPr>
            </w:pPr>
            <w:r w:rsidRPr="00C430B5">
              <w:rPr>
                <w:rFonts w:ascii="Arial" w:eastAsia="Times New Roman" w:hAnsi="Arial" w:cs="Arial"/>
                <w:b/>
                <w:bCs/>
                <w:color w:val="000000"/>
                <w:sz w:val="22"/>
                <w:szCs w:val="22"/>
                <w:lang w:eastAsia="en-GB"/>
              </w:rPr>
              <w:t>Endoderm</w:t>
            </w:r>
          </w:p>
        </w:tc>
      </w:tr>
      <w:tr w:rsidR="009A57E2" w:rsidRPr="00C430B5" w14:paraId="29AE5DBC" w14:textId="77777777" w:rsidTr="008922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61CCC06" w14:textId="77777777" w:rsidR="009A57E2" w:rsidRPr="009A57E2" w:rsidRDefault="009A57E2" w:rsidP="008922C9">
            <w:pPr>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Miller MutFam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CBBA4D" w14:textId="77777777" w:rsidR="009A57E2" w:rsidRPr="009A57E2" w:rsidRDefault="009A57E2" w:rsidP="008922C9">
            <w:pPr>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SKCM, LIHC, GBM, STAD, UCS LUSC, BLCA, OV, LGG, UCEC, LUAD, COADREAD, THCA, KIRC, LAML, BRCA, PRAD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B6F7AF" w14:textId="77777777" w:rsidR="009A57E2" w:rsidRPr="009A57E2" w:rsidRDefault="009A57E2" w:rsidP="008922C9">
            <w:pPr>
              <w:jc w:val="right"/>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48DB01" w14:textId="77777777" w:rsidR="009A57E2" w:rsidRPr="009A57E2" w:rsidRDefault="009A57E2" w:rsidP="008922C9">
            <w:pPr>
              <w:jc w:val="right"/>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3067475" w14:textId="77777777" w:rsidR="009A57E2" w:rsidRPr="009A57E2" w:rsidRDefault="009A57E2" w:rsidP="008922C9">
            <w:pPr>
              <w:jc w:val="right"/>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8</w:t>
            </w:r>
          </w:p>
        </w:tc>
      </w:tr>
      <w:tr w:rsidR="009A57E2" w:rsidRPr="00C430B5" w14:paraId="53B11968" w14:textId="77777777" w:rsidTr="008922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14EB5BD" w14:textId="77777777" w:rsidR="009A57E2" w:rsidRPr="009A57E2" w:rsidRDefault="009A57E2" w:rsidP="008922C9">
            <w:pPr>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Miller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9EE63B" w14:textId="77777777" w:rsidR="009A57E2" w:rsidRPr="009A57E2" w:rsidRDefault="009A57E2" w:rsidP="008922C9">
            <w:pPr>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THCA, LUSC, KICH, OV, KICH, SKCM HNSC, CESC, ACC, UCS, LUAD, KIRP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F345B7" w14:textId="77777777" w:rsidR="009A57E2" w:rsidRPr="009A57E2" w:rsidRDefault="009A57E2" w:rsidP="008922C9">
            <w:pPr>
              <w:jc w:val="right"/>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C666FB" w14:textId="77777777" w:rsidR="009A57E2" w:rsidRPr="009A57E2" w:rsidRDefault="009A57E2" w:rsidP="008922C9">
            <w:pPr>
              <w:jc w:val="right"/>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697B6E" w14:textId="77777777" w:rsidR="009A57E2" w:rsidRPr="009A57E2" w:rsidRDefault="009A57E2" w:rsidP="008922C9">
            <w:pPr>
              <w:jc w:val="right"/>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4</w:t>
            </w:r>
          </w:p>
        </w:tc>
      </w:tr>
      <w:tr w:rsidR="009A57E2" w:rsidRPr="00C430B5" w14:paraId="4E9B008E" w14:textId="77777777" w:rsidTr="008922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C287ABB" w14:textId="77777777" w:rsidR="009A57E2" w:rsidRPr="009A57E2" w:rsidRDefault="009A57E2" w:rsidP="008922C9">
            <w:pPr>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MutFam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F92A81" w14:textId="77777777" w:rsidR="009A57E2" w:rsidRPr="009A57E2" w:rsidRDefault="009A57E2" w:rsidP="008922C9">
            <w:pPr>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DBLC, ESCA, GLI, PAAD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E07726" w14:textId="77777777" w:rsidR="009A57E2" w:rsidRPr="009A57E2" w:rsidRDefault="009A57E2" w:rsidP="008922C9">
            <w:pPr>
              <w:jc w:val="right"/>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47AFF2" w14:textId="77777777" w:rsidR="009A57E2" w:rsidRPr="009A57E2" w:rsidRDefault="009A57E2" w:rsidP="008922C9">
            <w:pPr>
              <w:jc w:val="right"/>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3580CC" w14:textId="77777777" w:rsidR="009A57E2" w:rsidRPr="009A57E2" w:rsidRDefault="009A57E2" w:rsidP="008922C9">
            <w:pPr>
              <w:jc w:val="right"/>
              <w:rPr>
                <w:rFonts w:ascii="Arial" w:eastAsia="Times New Roman" w:hAnsi="Arial" w:cs="Arial"/>
                <w:color w:val="000000"/>
                <w:sz w:val="18"/>
                <w:szCs w:val="18"/>
                <w:lang w:eastAsia="en-GB"/>
              </w:rPr>
            </w:pPr>
            <w:r w:rsidRPr="009A57E2">
              <w:rPr>
                <w:rFonts w:ascii="Arial" w:eastAsia="Times New Roman" w:hAnsi="Arial" w:cs="Arial"/>
                <w:color w:val="000000"/>
                <w:sz w:val="18"/>
                <w:szCs w:val="18"/>
                <w:lang w:eastAsia="en-GB"/>
              </w:rPr>
              <w:t>1</w:t>
            </w:r>
          </w:p>
        </w:tc>
      </w:tr>
    </w:tbl>
    <w:p w14:paraId="3DEDF471" w14:textId="13E26877" w:rsidR="00A56630" w:rsidRDefault="00A56630" w:rsidP="00541241">
      <w:pPr>
        <w:rPr>
          <w:b/>
        </w:rPr>
      </w:pPr>
    </w:p>
    <w:p w14:paraId="6FCE695B" w14:textId="77777777" w:rsidR="00A56630" w:rsidRDefault="00A56630">
      <w:pPr>
        <w:rPr>
          <w:b/>
        </w:rPr>
      </w:pPr>
      <w:r>
        <w:rPr>
          <w:b/>
        </w:rPr>
        <w:br w:type="page"/>
      </w:r>
    </w:p>
    <w:p w14:paraId="5CACB6E0" w14:textId="36168FC1" w:rsidR="00A56630" w:rsidRPr="007D79F2" w:rsidRDefault="00A56630">
      <w:pPr>
        <w:pStyle w:val="Heading2"/>
        <w:rPr>
          <w:color w:val="E36C0A" w:themeColor="accent6" w:themeShade="BF"/>
        </w:rPr>
      </w:pPr>
      <w:r>
        <w:lastRenderedPageBreak/>
        <w:t>Supplementary Table 11</w:t>
      </w:r>
    </w:p>
    <w:p w14:paraId="68F0A217" w14:textId="4201C960" w:rsidR="00A56630" w:rsidRPr="006923BE" w:rsidRDefault="00A56630" w:rsidP="00A56630">
      <w:pPr>
        <w:pStyle w:val="para"/>
        <w:rPr>
          <w:shd w:val="clear" w:color="auto" w:fill="FFFFFF"/>
        </w:rPr>
      </w:pPr>
      <w:r>
        <w:rPr>
          <w:shd w:val="clear" w:color="auto" w:fill="FFFFFF"/>
        </w:rPr>
        <w:t>Table summarises 472</w:t>
      </w:r>
      <w:r w:rsidRPr="00210C89">
        <w:rPr>
          <w:shd w:val="clear" w:color="auto" w:fill="FFFFFF"/>
        </w:rPr>
        <w:t xml:space="preserve"> </w:t>
      </w:r>
      <w:r>
        <w:rPr>
          <w:shd w:val="clear" w:color="auto" w:fill="FFFFFF"/>
        </w:rPr>
        <w:t>genes obtained from the top 25% mutated genes of all 405 MutFams. MutFam codes correspond to CATH Superfamily ID and FunFam number. Columns show MutFam enrichment factor (see Methods), mutations in each gene (within FunFam boundaries) and the evidence supporting gene's involvement in cancer: 3D cluster, GO module, CGC and Miller.</w:t>
      </w:r>
      <w:r w:rsidR="00457027">
        <w:rPr>
          <w:shd w:val="clear" w:color="auto" w:fill="FFFFFF"/>
        </w:rPr>
        <w:t xml:space="preserve">  A</w:t>
      </w:r>
      <w:r w:rsidR="008040C0">
        <w:rPr>
          <w:shd w:val="clear" w:color="auto" w:fill="FFFFFF"/>
        </w:rPr>
        <w:t xml:space="preserve"> </w:t>
      </w:r>
      <w:r w:rsidR="00457027">
        <w:rPr>
          <w:shd w:val="clear" w:color="auto" w:fill="FFFFFF"/>
        </w:rPr>
        <w:t xml:space="preserve">score is calculated by counting the number of supporting evidence </w:t>
      </w:r>
      <w:r w:rsidR="008040C0">
        <w:rPr>
          <w:shd w:val="clear" w:color="auto" w:fill="FFFFFF"/>
        </w:rPr>
        <w:t>types found for each gene. T</w:t>
      </w:r>
      <w:r w:rsidR="00457027">
        <w:rPr>
          <w:shd w:val="clear" w:color="auto" w:fill="FFFFFF"/>
        </w:rPr>
        <w:t>he table is sorted by score, MutFam enrichment factor and total number of mutations in the MutFam (highest to lowest</w:t>
      </w:r>
      <w:r w:rsidR="008040C0">
        <w:rPr>
          <w:shd w:val="clear" w:color="auto" w:fill="FFFFFF"/>
        </w:rPr>
        <w:t xml:space="preserve"> for each).</w:t>
      </w:r>
      <w:r w:rsidR="00457027">
        <w:rPr>
          <w:shd w:val="clear" w:color="auto" w:fill="FFFFFF"/>
        </w:rPr>
        <w:t xml:space="preserve"> </w:t>
      </w:r>
      <w:r w:rsidR="000477A5">
        <w:rPr>
          <w:shd w:val="clear" w:color="auto" w:fill="FFFFFF"/>
        </w:rPr>
        <w:t xml:space="preserve">The subset of 151 genes from MutFams with at least one other piece of evidence supporting a role in cancer is obtained by filtering for total score &gt; 0. </w:t>
      </w:r>
      <w:r w:rsidR="00457027">
        <w:rPr>
          <w:shd w:val="clear" w:color="auto" w:fill="FFFFFF"/>
        </w:rPr>
        <w:t xml:space="preserve">  </w:t>
      </w:r>
    </w:p>
    <w:p w14:paraId="728729B7" w14:textId="77777777" w:rsidR="00A56630" w:rsidRDefault="00A56630" w:rsidP="00A56630">
      <w:pPr>
        <w:pStyle w:val="para"/>
      </w:pPr>
    </w:p>
    <w:p w14:paraId="465837C2" w14:textId="60D44DB4" w:rsidR="00A56630" w:rsidRDefault="00A56630" w:rsidP="00A56630">
      <w:pPr>
        <w:pStyle w:val="para"/>
        <w:rPr>
          <w:b/>
        </w:rPr>
      </w:pPr>
      <w:r w:rsidRPr="00770B85">
        <w:rPr>
          <w:b/>
        </w:rPr>
        <w:t>This table</w:t>
      </w:r>
      <w:r>
        <w:rPr>
          <w:b/>
        </w:rPr>
        <w:t xml:space="preserve"> is included as an Excel spread</w:t>
      </w:r>
      <w:r w:rsidRPr="00770B85">
        <w:rPr>
          <w:b/>
        </w:rPr>
        <w:t>sheet</w:t>
      </w:r>
      <w:r w:rsidR="007A7B58">
        <w:rPr>
          <w:b/>
        </w:rPr>
        <w:t xml:space="preserve"> and </w:t>
      </w:r>
      <w:r w:rsidR="00510EA9">
        <w:rPr>
          <w:b/>
        </w:rPr>
        <w:t>online</w:t>
      </w:r>
      <w:r w:rsidR="007A7B58">
        <w:rPr>
          <w:b/>
        </w:rPr>
        <w:t xml:space="preserve"> at:</w:t>
      </w:r>
    </w:p>
    <w:p w14:paraId="5C6DE0FB" w14:textId="4ECC0299" w:rsidR="007A7B58" w:rsidRDefault="000C49AD" w:rsidP="00A56630">
      <w:pPr>
        <w:pStyle w:val="para"/>
        <w:rPr>
          <w:b/>
        </w:rPr>
      </w:pPr>
      <w:hyperlink r:id="rId17" w:history="1">
        <w:r w:rsidR="007A7B58" w:rsidRPr="00D27229">
          <w:rPr>
            <w:rStyle w:val="Hyperlink"/>
            <w:b/>
          </w:rPr>
          <w:t>https://paulashford.github.io/mutfam.github.io/</w:t>
        </w:r>
      </w:hyperlink>
    </w:p>
    <w:p w14:paraId="0384297A" w14:textId="77777777" w:rsidR="007A7B58" w:rsidRPr="00770B85" w:rsidRDefault="007A7B58" w:rsidP="00A56630">
      <w:pPr>
        <w:pStyle w:val="para"/>
        <w:rPr>
          <w:b/>
        </w:rPr>
      </w:pPr>
    </w:p>
    <w:p w14:paraId="2CFD72E0" w14:textId="09326CC9" w:rsidR="004D0BE5" w:rsidRPr="000F3A1F" w:rsidRDefault="004D0BE5">
      <w:pPr>
        <w:rPr>
          <w:b/>
          <w:color w:val="FF0000"/>
        </w:rPr>
      </w:pPr>
      <w:r w:rsidRPr="000F3A1F">
        <w:rPr>
          <w:b/>
          <w:color w:val="FF0000"/>
        </w:rPr>
        <w:br w:type="page"/>
      </w:r>
    </w:p>
    <w:p w14:paraId="5CC8B2FB" w14:textId="42BA1BA7" w:rsidR="004D0BE5" w:rsidRDefault="004D0BE5">
      <w:pPr>
        <w:pStyle w:val="Heading2"/>
      </w:pPr>
      <w:r>
        <w:lastRenderedPageBreak/>
        <w:t>Supplementary Table 12</w:t>
      </w:r>
    </w:p>
    <w:p w14:paraId="78C3B7F9" w14:textId="7BE209ED" w:rsidR="004D0BE5" w:rsidRDefault="004D0BE5" w:rsidP="004D0BE5">
      <w:pPr>
        <w:pStyle w:val="para"/>
      </w:pPr>
      <w:r w:rsidRPr="009D6529">
        <w:t>Unique GO biological processes identified in MutFam modules involved in cellular adhesion</w:t>
      </w:r>
      <w:r>
        <w:t>.</w:t>
      </w:r>
    </w:p>
    <w:p w14:paraId="0775B14A" w14:textId="77777777" w:rsidR="004D0BE5" w:rsidRDefault="004D0BE5" w:rsidP="004D0BE5">
      <w:pPr>
        <w:rPr>
          <w:b/>
          <w:bCs/>
        </w:rPr>
      </w:pPr>
    </w:p>
    <w:tbl>
      <w:tblPr>
        <w:tblW w:w="9117" w:type="dxa"/>
        <w:tblLayout w:type="fixed"/>
        <w:tblCellMar>
          <w:left w:w="0" w:type="dxa"/>
          <w:right w:w="0" w:type="dxa"/>
        </w:tblCellMar>
        <w:tblLook w:val="04A0" w:firstRow="1" w:lastRow="0" w:firstColumn="1" w:lastColumn="0" w:noHBand="0" w:noVBand="1"/>
      </w:tblPr>
      <w:tblGrid>
        <w:gridCol w:w="1463"/>
        <w:gridCol w:w="2977"/>
        <w:gridCol w:w="4677"/>
      </w:tblGrid>
      <w:tr w:rsidR="004D0BE5" w:rsidRPr="004D0468" w14:paraId="2434C0FD" w14:textId="77777777" w:rsidTr="004D0BE5">
        <w:trPr>
          <w:trHeight w:val="315"/>
        </w:trPr>
        <w:tc>
          <w:tcPr>
            <w:tcW w:w="146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91F11AA" w14:textId="77777777" w:rsidR="004D0BE5" w:rsidRPr="004D0468" w:rsidRDefault="004D0BE5" w:rsidP="004D0BE5">
            <w:pPr>
              <w:jc w:val="cente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Module</w:t>
            </w:r>
          </w:p>
        </w:tc>
        <w:tc>
          <w:tcPr>
            <w:tcW w:w="297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F57FEC" w14:textId="77777777" w:rsidR="004D0BE5" w:rsidRPr="004D0468" w:rsidRDefault="004D0BE5" w:rsidP="004D0BE5">
            <w:pP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GO biological process</w:t>
            </w:r>
          </w:p>
        </w:tc>
        <w:tc>
          <w:tcPr>
            <w:tcW w:w="467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39606B" w14:textId="77777777" w:rsidR="004D0BE5" w:rsidRPr="004D0468" w:rsidRDefault="004D0BE5" w:rsidP="004D0BE5">
            <w:pP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Gene list</w:t>
            </w:r>
          </w:p>
        </w:tc>
      </w:tr>
      <w:tr w:rsidR="004D0BE5" w:rsidRPr="004D0468" w14:paraId="130B25CD" w14:textId="77777777" w:rsidTr="004D0BE5">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6DC74C4" w14:textId="77777777" w:rsidR="004D0BE5" w:rsidRPr="004D0468" w:rsidRDefault="004D0BE5" w:rsidP="004D0BE5">
            <w:pPr>
              <w:jc w:val="cente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3</w:t>
            </w:r>
          </w:p>
        </w:tc>
        <w:tc>
          <w:tcPr>
            <w:tcW w:w="29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78484A" w14:textId="77777777" w:rsidR="004D0BE5" w:rsidRPr="004D0468" w:rsidRDefault="004D0BE5" w:rsidP="004D0BE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H</w:t>
            </w:r>
            <w:r w:rsidRPr="004D0468">
              <w:rPr>
                <w:rFonts w:ascii="Arial" w:eastAsia="Times New Roman" w:hAnsi="Arial" w:cs="Arial"/>
                <w:color w:val="000000"/>
                <w:sz w:val="18"/>
                <w:szCs w:val="18"/>
                <w:lang w:eastAsia="en-GB"/>
              </w:rPr>
              <w:t>omophilic cell adhesion</w:t>
            </w:r>
          </w:p>
        </w:tc>
        <w:tc>
          <w:tcPr>
            <w:tcW w:w="4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7A047D" w14:textId="77777777" w:rsidR="004D0BE5" w:rsidRPr="004D0468" w:rsidRDefault="004D0BE5" w:rsidP="004D0BE5">
            <w:pPr>
              <w:rPr>
                <w:rFonts w:ascii="Arial" w:eastAsia="Times New Roman" w:hAnsi="Arial" w:cs="Arial"/>
                <w:color w:val="000000"/>
                <w:sz w:val="18"/>
                <w:szCs w:val="18"/>
                <w:lang w:eastAsia="en-GB"/>
              </w:rPr>
            </w:pPr>
            <w:r w:rsidRPr="00E602A4">
              <w:rPr>
                <w:rFonts w:ascii="Arial" w:eastAsia="Times New Roman" w:hAnsi="Arial" w:cs="Arial"/>
                <w:color w:val="000000"/>
                <w:sz w:val="18"/>
                <w:szCs w:val="18"/>
                <w:lang w:eastAsia="en-GB"/>
              </w:rPr>
              <w:t>PCDHGA6, PCDHGA3, PCDHGA2, PCDHGA1, PCDHB14, PCDHB13, PCDHA13, PCDHB12, CELSR2, PCDHB10, CDH5, PCDHA1, PCDHB2, CDH1, PCDHB16, PCDHA5, PCDHA4, PCDHA3, PCDHA2, PCDHB3, PCDHA9, PCDHA8, PCDHB8, PCDHA6</w:t>
            </w:r>
          </w:p>
        </w:tc>
      </w:tr>
      <w:tr w:rsidR="004D0BE5" w:rsidRPr="004D0468" w14:paraId="42702389" w14:textId="77777777" w:rsidTr="004D0BE5">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DB5DCA6" w14:textId="77777777" w:rsidR="004D0BE5" w:rsidRPr="004D0468" w:rsidRDefault="004D0BE5" w:rsidP="004D0BE5">
            <w:pPr>
              <w:jc w:val="cente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3</w:t>
            </w:r>
          </w:p>
        </w:tc>
        <w:tc>
          <w:tcPr>
            <w:tcW w:w="29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DEA878" w14:textId="77777777" w:rsidR="004D0BE5" w:rsidRPr="004D0468" w:rsidRDefault="004D0BE5" w:rsidP="004D0BE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C</w:t>
            </w:r>
            <w:r w:rsidRPr="004D0468">
              <w:rPr>
                <w:rFonts w:ascii="Arial" w:eastAsia="Times New Roman" w:hAnsi="Arial" w:cs="Arial"/>
                <w:color w:val="000000"/>
                <w:sz w:val="18"/>
                <w:szCs w:val="18"/>
                <w:lang w:eastAsia="en-GB"/>
              </w:rPr>
              <w:t>alcium-dependent cell-cell adhesion</w:t>
            </w:r>
          </w:p>
        </w:tc>
        <w:tc>
          <w:tcPr>
            <w:tcW w:w="4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CF1C71A" w14:textId="77777777" w:rsidR="004D0BE5" w:rsidRPr="004D0468" w:rsidRDefault="004D0BE5" w:rsidP="004D0BE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PCDHB14,</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PCDHB13,</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PCDHB10,</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PCDHB2,</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PCDHB16,</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PCDHB3</w:t>
            </w:r>
          </w:p>
        </w:tc>
      </w:tr>
      <w:tr w:rsidR="004D0BE5" w:rsidRPr="004D0468" w14:paraId="714B96B8" w14:textId="77777777" w:rsidTr="004D0BE5">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310189B" w14:textId="77777777" w:rsidR="004D0BE5" w:rsidRPr="004D0468" w:rsidRDefault="004D0BE5" w:rsidP="004D0BE5">
            <w:pPr>
              <w:jc w:val="cente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3</w:t>
            </w:r>
          </w:p>
        </w:tc>
        <w:tc>
          <w:tcPr>
            <w:tcW w:w="29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8CEA57" w14:textId="77777777" w:rsidR="004D0BE5" w:rsidRPr="004D0468" w:rsidRDefault="004D0BE5" w:rsidP="004D0BE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C</w:t>
            </w:r>
            <w:r w:rsidRPr="004D0468">
              <w:rPr>
                <w:rFonts w:ascii="Arial" w:eastAsia="Times New Roman" w:hAnsi="Arial" w:cs="Arial"/>
                <w:color w:val="000000"/>
                <w:sz w:val="18"/>
                <w:szCs w:val="18"/>
                <w:lang w:eastAsia="en-GB"/>
              </w:rPr>
              <w:t>ell adhesion</w:t>
            </w:r>
          </w:p>
        </w:tc>
        <w:tc>
          <w:tcPr>
            <w:tcW w:w="4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070B5B" w14:textId="77777777" w:rsidR="004D0BE5" w:rsidRPr="004D0468" w:rsidRDefault="004D0BE5" w:rsidP="004D0BE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PCDHB12,</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PCDHA1,</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PCDHB2,</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PCDHA5,</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PCDHA4,</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PCDHA3,</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PCDHA2,</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PCDHB3,</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PCDHA8,</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PCDHA6</w:t>
            </w:r>
          </w:p>
        </w:tc>
      </w:tr>
    </w:tbl>
    <w:p w14:paraId="50CF7B4D" w14:textId="77777777" w:rsidR="004D0BE5" w:rsidRDefault="004D0BE5" w:rsidP="004D0BE5"/>
    <w:p w14:paraId="227888E2" w14:textId="05280C2A" w:rsidR="004D0BE5" w:rsidRDefault="004D0BE5">
      <w:r>
        <w:br w:type="page"/>
      </w:r>
    </w:p>
    <w:p w14:paraId="6C67545D" w14:textId="33B51FE9" w:rsidR="004D0BE5" w:rsidRDefault="004D0BE5">
      <w:pPr>
        <w:pStyle w:val="Heading2"/>
      </w:pPr>
      <w:r>
        <w:lastRenderedPageBreak/>
        <w:t>Supplementary Table 13</w:t>
      </w:r>
    </w:p>
    <w:p w14:paraId="4695EDB6" w14:textId="40C8432B" w:rsidR="004D0BE5" w:rsidRDefault="004D0BE5" w:rsidP="004D0BE5">
      <w:pPr>
        <w:pStyle w:val="para"/>
      </w:pPr>
      <w:r w:rsidRPr="00E602A4">
        <w:t>Unique GO biological processes identified in MutFam modules involved in RNA splicing</w:t>
      </w:r>
      <w:r>
        <w:t>.</w:t>
      </w:r>
    </w:p>
    <w:tbl>
      <w:tblPr>
        <w:tblW w:w="8390" w:type="dxa"/>
        <w:tblLayout w:type="fixed"/>
        <w:tblCellMar>
          <w:left w:w="0" w:type="dxa"/>
          <w:right w:w="0" w:type="dxa"/>
        </w:tblCellMar>
        <w:tblLook w:val="04A0" w:firstRow="1" w:lastRow="0" w:firstColumn="1" w:lastColumn="0" w:noHBand="0" w:noVBand="1"/>
      </w:tblPr>
      <w:tblGrid>
        <w:gridCol w:w="1605"/>
        <w:gridCol w:w="2693"/>
        <w:gridCol w:w="4092"/>
      </w:tblGrid>
      <w:tr w:rsidR="004D0BE5" w:rsidRPr="004D0468" w14:paraId="77B621B5" w14:textId="77777777" w:rsidTr="004D0BE5">
        <w:trPr>
          <w:trHeight w:val="315"/>
        </w:trPr>
        <w:tc>
          <w:tcPr>
            <w:tcW w:w="16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0CD3537" w14:textId="77777777" w:rsidR="004D0BE5" w:rsidRPr="004D0468" w:rsidRDefault="004D0BE5" w:rsidP="004D0BE5">
            <w:pPr>
              <w:jc w:val="cente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Module</w:t>
            </w:r>
          </w:p>
        </w:tc>
        <w:tc>
          <w:tcPr>
            <w:tcW w:w="269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B7F2724" w14:textId="77777777" w:rsidR="004D0BE5" w:rsidRPr="004D0468" w:rsidRDefault="004D0BE5" w:rsidP="004D0BE5">
            <w:pPr>
              <w:jc w:val="cente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GO biological process</w:t>
            </w:r>
          </w:p>
        </w:tc>
        <w:tc>
          <w:tcPr>
            <w:tcW w:w="409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0D77B5" w14:textId="77777777" w:rsidR="004D0BE5" w:rsidRPr="004D0468" w:rsidRDefault="004D0BE5" w:rsidP="004D0BE5">
            <w:pPr>
              <w:jc w:val="center"/>
              <w:rPr>
                <w:rFonts w:ascii="Arial" w:eastAsia="Times New Roman" w:hAnsi="Arial" w:cs="Arial"/>
                <w:b/>
                <w:bCs/>
                <w:color w:val="000000"/>
                <w:sz w:val="18"/>
                <w:szCs w:val="18"/>
                <w:lang w:eastAsia="en-GB"/>
              </w:rPr>
            </w:pPr>
            <w:r w:rsidRPr="004D0468">
              <w:rPr>
                <w:rFonts w:ascii="Arial" w:eastAsia="Times New Roman" w:hAnsi="Arial" w:cs="Arial"/>
                <w:b/>
                <w:bCs/>
                <w:color w:val="000000"/>
                <w:sz w:val="18"/>
                <w:szCs w:val="18"/>
                <w:lang w:eastAsia="en-GB"/>
              </w:rPr>
              <w:t>Gene list</w:t>
            </w:r>
          </w:p>
        </w:tc>
      </w:tr>
      <w:tr w:rsidR="004D0BE5" w:rsidRPr="004D0468" w14:paraId="20773997" w14:textId="77777777" w:rsidTr="004D0BE5">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1381D7C" w14:textId="77777777" w:rsidR="004D0BE5" w:rsidRPr="004D0468" w:rsidRDefault="004D0BE5" w:rsidP="004D0BE5">
            <w:pPr>
              <w:jc w:val="cente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2</w:t>
            </w:r>
          </w:p>
        </w:tc>
        <w:tc>
          <w:tcPr>
            <w:tcW w:w="26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CFD3ED" w14:textId="77777777" w:rsidR="004D0BE5" w:rsidRPr="004D0468" w:rsidRDefault="004D0BE5" w:rsidP="004D0BE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RNA splicing</w:t>
            </w:r>
          </w:p>
        </w:tc>
        <w:tc>
          <w:tcPr>
            <w:tcW w:w="40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01CF37" w14:textId="77777777" w:rsidR="004D0BE5" w:rsidRPr="004D0468" w:rsidRDefault="004D0BE5" w:rsidP="004D0BE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HNRNPA3,</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HNRNPH1,</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HNRNPF,</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HNRNPH2,</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CDK12,</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RBM5</w:t>
            </w:r>
          </w:p>
        </w:tc>
      </w:tr>
      <w:tr w:rsidR="004D0BE5" w:rsidRPr="004D0468" w14:paraId="182D524D" w14:textId="77777777" w:rsidTr="004D0BE5">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8E9152C" w14:textId="77777777" w:rsidR="004D0BE5" w:rsidRPr="004D0468" w:rsidRDefault="004D0BE5" w:rsidP="004D0BE5">
            <w:pPr>
              <w:jc w:val="cente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2</w:t>
            </w:r>
          </w:p>
        </w:tc>
        <w:tc>
          <w:tcPr>
            <w:tcW w:w="26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DDFF1E" w14:textId="77777777" w:rsidR="004D0BE5" w:rsidRPr="004D0468" w:rsidRDefault="004D0BE5" w:rsidP="004D0BE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N</w:t>
            </w:r>
            <w:r w:rsidRPr="004D0468">
              <w:rPr>
                <w:rFonts w:ascii="Arial" w:eastAsia="Times New Roman" w:hAnsi="Arial" w:cs="Arial"/>
                <w:color w:val="000000"/>
                <w:sz w:val="18"/>
                <w:szCs w:val="18"/>
                <w:lang w:eastAsia="en-GB"/>
              </w:rPr>
              <w:t>uclear mRNA splicing, via spliceosome</w:t>
            </w:r>
          </w:p>
        </w:tc>
        <w:tc>
          <w:tcPr>
            <w:tcW w:w="40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90FC57" w14:textId="77777777" w:rsidR="004D0BE5" w:rsidRPr="004D0468" w:rsidRDefault="004D0BE5" w:rsidP="004D0BE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HNRNPA3,</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HNRNPH1,</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HNRNPF,</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HNRNPH2,</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RBM5</w:t>
            </w:r>
          </w:p>
        </w:tc>
      </w:tr>
      <w:tr w:rsidR="004D0BE5" w:rsidRPr="004D0468" w14:paraId="6A1BE63A" w14:textId="77777777" w:rsidTr="004D0BE5">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DBB0C65" w14:textId="77777777" w:rsidR="004D0BE5" w:rsidRPr="004D0468" w:rsidRDefault="004D0BE5" w:rsidP="004D0BE5">
            <w:pPr>
              <w:jc w:val="cente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2</w:t>
            </w:r>
          </w:p>
        </w:tc>
        <w:tc>
          <w:tcPr>
            <w:tcW w:w="26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D74FEA" w14:textId="77777777" w:rsidR="004D0BE5" w:rsidRPr="004D0468" w:rsidRDefault="004D0BE5" w:rsidP="004D0BE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R</w:t>
            </w:r>
            <w:r w:rsidRPr="004D0468">
              <w:rPr>
                <w:rFonts w:ascii="Arial" w:eastAsia="Times New Roman" w:hAnsi="Arial" w:cs="Arial"/>
                <w:color w:val="000000"/>
                <w:sz w:val="18"/>
                <w:szCs w:val="18"/>
                <w:lang w:eastAsia="en-GB"/>
              </w:rPr>
              <w:t>egulation of RNA splicing</w:t>
            </w:r>
          </w:p>
        </w:tc>
        <w:tc>
          <w:tcPr>
            <w:tcW w:w="40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2199F2" w14:textId="77777777" w:rsidR="004D0BE5" w:rsidRPr="004D0468" w:rsidRDefault="004D0BE5" w:rsidP="004D0BE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HNRNPH1,</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HNRNPF,</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CDK12</w:t>
            </w:r>
          </w:p>
        </w:tc>
      </w:tr>
      <w:tr w:rsidR="004D0BE5" w:rsidRPr="004D0468" w14:paraId="06B77C2C" w14:textId="77777777" w:rsidTr="004D0BE5">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B5C2F16" w14:textId="77777777" w:rsidR="004D0BE5" w:rsidRPr="004D0468" w:rsidRDefault="004D0BE5" w:rsidP="004D0BE5">
            <w:pPr>
              <w:jc w:val="cente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2</w:t>
            </w:r>
          </w:p>
        </w:tc>
        <w:tc>
          <w:tcPr>
            <w:tcW w:w="26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874E0A" w14:textId="77777777" w:rsidR="004D0BE5" w:rsidRPr="004D0468" w:rsidRDefault="004D0BE5" w:rsidP="004D0BE5">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G</w:t>
            </w:r>
            <w:r w:rsidRPr="004D0468">
              <w:rPr>
                <w:rFonts w:ascii="Arial" w:eastAsia="Times New Roman" w:hAnsi="Arial" w:cs="Arial"/>
                <w:color w:val="000000"/>
                <w:sz w:val="18"/>
                <w:szCs w:val="18"/>
                <w:lang w:eastAsia="en-GB"/>
              </w:rPr>
              <w:t>ene expression</w:t>
            </w:r>
          </w:p>
        </w:tc>
        <w:tc>
          <w:tcPr>
            <w:tcW w:w="40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C99074" w14:textId="77777777" w:rsidR="004D0BE5" w:rsidRPr="004D0468" w:rsidRDefault="004D0BE5" w:rsidP="004D0BE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HNRNPA3,</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HNRNPH1,</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HNRNPF,</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MAPKAPK2,</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HNRNPH2,</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RBM5</w:t>
            </w:r>
          </w:p>
        </w:tc>
      </w:tr>
      <w:tr w:rsidR="004D0BE5" w:rsidRPr="004D0468" w14:paraId="03CE10C3" w14:textId="77777777" w:rsidTr="004D0BE5">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8236925" w14:textId="77777777" w:rsidR="004D0BE5" w:rsidRPr="004D0468" w:rsidRDefault="004D0BE5" w:rsidP="004D0BE5">
            <w:pPr>
              <w:jc w:val="cente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2</w:t>
            </w:r>
          </w:p>
        </w:tc>
        <w:tc>
          <w:tcPr>
            <w:tcW w:w="26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857D05" w14:textId="77777777" w:rsidR="004D0BE5" w:rsidRPr="004D0468" w:rsidRDefault="004D0BE5" w:rsidP="004D0BE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RNA processing</w:t>
            </w:r>
          </w:p>
        </w:tc>
        <w:tc>
          <w:tcPr>
            <w:tcW w:w="40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19F4B8" w14:textId="77777777" w:rsidR="004D0BE5" w:rsidRPr="004D0468" w:rsidRDefault="004D0BE5" w:rsidP="004D0BE5">
            <w:pPr>
              <w:rPr>
                <w:rFonts w:ascii="Arial" w:eastAsia="Times New Roman" w:hAnsi="Arial" w:cs="Arial"/>
                <w:color w:val="000000"/>
                <w:sz w:val="18"/>
                <w:szCs w:val="18"/>
                <w:lang w:eastAsia="en-GB"/>
              </w:rPr>
            </w:pPr>
            <w:r w:rsidRPr="004D0468">
              <w:rPr>
                <w:rFonts w:ascii="Arial" w:eastAsia="Times New Roman" w:hAnsi="Arial" w:cs="Arial"/>
                <w:color w:val="000000"/>
                <w:sz w:val="18"/>
                <w:szCs w:val="18"/>
                <w:lang w:eastAsia="en-GB"/>
              </w:rPr>
              <w:t>HNRNPH1,</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HNRNPF,</w:t>
            </w:r>
            <w:r>
              <w:rPr>
                <w:rFonts w:ascii="Arial" w:eastAsia="Times New Roman" w:hAnsi="Arial" w:cs="Arial"/>
                <w:color w:val="000000"/>
                <w:sz w:val="18"/>
                <w:szCs w:val="18"/>
                <w:lang w:eastAsia="en-GB"/>
              </w:rPr>
              <w:t xml:space="preserve"> </w:t>
            </w:r>
            <w:r w:rsidRPr="004D0468">
              <w:rPr>
                <w:rFonts w:ascii="Arial" w:eastAsia="Times New Roman" w:hAnsi="Arial" w:cs="Arial"/>
                <w:color w:val="000000"/>
                <w:sz w:val="18"/>
                <w:szCs w:val="18"/>
                <w:lang w:eastAsia="en-GB"/>
              </w:rPr>
              <w:t>RBM5</w:t>
            </w:r>
          </w:p>
        </w:tc>
      </w:tr>
    </w:tbl>
    <w:p w14:paraId="1365BB1F" w14:textId="77777777" w:rsidR="004D0BE5" w:rsidRDefault="004D0BE5" w:rsidP="004D0BE5">
      <w:pPr>
        <w:rPr>
          <w:b/>
          <w:bCs/>
        </w:rPr>
      </w:pPr>
    </w:p>
    <w:p w14:paraId="01DA6DDB" w14:textId="39708B98" w:rsidR="007A07D4" w:rsidRDefault="007A07D4">
      <w:r>
        <w:br w:type="page"/>
      </w:r>
    </w:p>
    <w:p w14:paraId="2DA82980" w14:textId="4B59E9E0" w:rsidR="004D0BE5" w:rsidRDefault="007A07D4">
      <w:pPr>
        <w:pStyle w:val="Heading2"/>
      </w:pPr>
      <w:r>
        <w:lastRenderedPageBreak/>
        <w:t>Supplementary Table 14</w:t>
      </w:r>
    </w:p>
    <w:p w14:paraId="40068470" w14:textId="60D828E4" w:rsidR="007A07D4" w:rsidRDefault="007A07D4" w:rsidP="007A07D4">
      <w:pPr>
        <w:pStyle w:val="para"/>
      </w:pPr>
      <w:r>
        <w:t>Functional network module genes identified in gliomas.</w:t>
      </w:r>
    </w:p>
    <w:tbl>
      <w:tblPr>
        <w:tblW w:w="104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2619"/>
        <w:gridCol w:w="2621"/>
        <w:gridCol w:w="2621"/>
        <w:gridCol w:w="2611"/>
      </w:tblGrid>
      <w:tr w:rsidR="006B649A" w:rsidRPr="00480A37" w14:paraId="24499150" w14:textId="52EFA331" w:rsidTr="006B649A">
        <w:trPr>
          <w:trHeight w:val="315"/>
          <w:jc w:val="center"/>
        </w:trPr>
        <w:tc>
          <w:tcPr>
            <w:tcW w:w="2619" w:type="dxa"/>
            <w:shd w:val="clear" w:color="auto" w:fill="auto"/>
            <w:tcMar>
              <w:top w:w="30" w:type="dxa"/>
              <w:left w:w="45" w:type="dxa"/>
              <w:bottom w:w="30" w:type="dxa"/>
              <w:right w:w="45" w:type="dxa"/>
            </w:tcMar>
            <w:vAlign w:val="bottom"/>
            <w:hideMark/>
          </w:tcPr>
          <w:p w14:paraId="1365E8F2" w14:textId="77777777" w:rsidR="006B649A" w:rsidRPr="00480A37" w:rsidRDefault="006B649A" w:rsidP="00480A37">
            <w:pPr>
              <w:jc w:val="center"/>
              <w:rPr>
                <w:rFonts w:ascii="Arial" w:eastAsia="Times New Roman" w:hAnsi="Arial" w:cs="Arial"/>
                <w:b/>
                <w:color w:val="000000"/>
                <w:sz w:val="18"/>
                <w:szCs w:val="18"/>
                <w:lang w:eastAsia="en-GB"/>
              </w:rPr>
            </w:pPr>
            <w:r w:rsidRPr="00480A37">
              <w:rPr>
                <w:rFonts w:ascii="Arial" w:eastAsia="Times New Roman" w:hAnsi="Arial" w:cs="Arial"/>
                <w:b/>
                <w:color w:val="000000"/>
                <w:sz w:val="18"/>
                <w:szCs w:val="18"/>
                <w:lang w:eastAsia="en-GB"/>
              </w:rPr>
              <w:t>Cancer</w:t>
            </w:r>
          </w:p>
        </w:tc>
        <w:tc>
          <w:tcPr>
            <w:tcW w:w="2621" w:type="dxa"/>
            <w:shd w:val="clear" w:color="auto" w:fill="auto"/>
            <w:tcMar>
              <w:top w:w="30" w:type="dxa"/>
              <w:left w:w="45" w:type="dxa"/>
              <w:bottom w:w="30" w:type="dxa"/>
              <w:right w:w="45" w:type="dxa"/>
            </w:tcMar>
            <w:vAlign w:val="bottom"/>
            <w:hideMark/>
          </w:tcPr>
          <w:p w14:paraId="47A64E73" w14:textId="77777777" w:rsidR="006B649A" w:rsidRPr="00480A37" w:rsidRDefault="006B649A" w:rsidP="00480A37">
            <w:pPr>
              <w:jc w:val="center"/>
              <w:rPr>
                <w:rFonts w:ascii="Arial" w:eastAsia="Times New Roman" w:hAnsi="Arial" w:cs="Arial"/>
                <w:b/>
                <w:color w:val="000000"/>
                <w:sz w:val="18"/>
                <w:szCs w:val="18"/>
                <w:lang w:eastAsia="en-GB"/>
              </w:rPr>
            </w:pPr>
            <w:r w:rsidRPr="00480A37">
              <w:rPr>
                <w:rFonts w:ascii="Arial" w:eastAsia="Times New Roman" w:hAnsi="Arial" w:cs="Arial"/>
                <w:b/>
                <w:color w:val="000000"/>
                <w:sz w:val="18"/>
                <w:szCs w:val="18"/>
                <w:lang w:eastAsia="en-GB"/>
              </w:rPr>
              <w:t>Module</w:t>
            </w:r>
          </w:p>
        </w:tc>
        <w:tc>
          <w:tcPr>
            <w:tcW w:w="2621" w:type="dxa"/>
            <w:shd w:val="clear" w:color="auto" w:fill="auto"/>
            <w:tcMar>
              <w:top w:w="30" w:type="dxa"/>
              <w:left w:w="45" w:type="dxa"/>
              <w:bottom w:w="30" w:type="dxa"/>
              <w:right w:w="45" w:type="dxa"/>
            </w:tcMar>
            <w:vAlign w:val="bottom"/>
            <w:hideMark/>
          </w:tcPr>
          <w:p w14:paraId="521C7701" w14:textId="77777777" w:rsidR="006B649A" w:rsidRPr="00480A37" w:rsidRDefault="006B649A" w:rsidP="00480A37">
            <w:pPr>
              <w:jc w:val="center"/>
              <w:rPr>
                <w:rFonts w:ascii="Arial" w:eastAsia="Times New Roman" w:hAnsi="Arial" w:cs="Arial"/>
                <w:b/>
                <w:color w:val="000000"/>
                <w:sz w:val="18"/>
                <w:szCs w:val="18"/>
                <w:lang w:eastAsia="en-GB"/>
              </w:rPr>
            </w:pPr>
            <w:r w:rsidRPr="00480A37">
              <w:rPr>
                <w:rFonts w:ascii="Arial" w:eastAsia="Times New Roman" w:hAnsi="Arial" w:cs="Arial"/>
                <w:b/>
                <w:color w:val="000000"/>
                <w:sz w:val="18"/>
                <w:szCs w:val="18"/>
                <w:lang w:eastAsia="en-GB"/>
              </w:rPr>
              <w:t>Nodes in modules</w:t>
            </w:r>
          </w:p>
        </w:tc>
        <w:tc>
          <w:tcPr>
            <w:tcW w:w="2611" w:type="dxa"/>
            <w:shd w:val="clear" w:color="auto" w:fill="auto"/>
          </w:tcPr>
          <w:p w14:paraId="2D38D3CE" w14:textId="77777777" w:rsidR="006B649A" w:rsidRDefault="006B649A" w:rsidP="00480A37">
            <w:pPr>
              <w:rPr>
                <w:rFonts w:ascii="Arial" w:eastAsia="Times New Roman" w:hAnsi="Arial" w:cs="Arial"/>
                <w:b/>
                <w:color w:val="000000"/>
                <w:sz w:val="18"/>
                <w:szCs w:val="18"/>
                <w:lang w:eastAsia="en-GB"/>
              </w:rPr>
            </w:pPr>
          </w:p>
          <w:p w14:paraId="290E4A6A" w14:textId="77777777" w:rsidR="006B649A" w:rsidRPr="00480A37" w:rsidRDefault="006B649A" w:rsidP="00480A37">
            <w:pPr>
              <w:rPr>
                <w:rFonts w:ascii="Arial" w:eastAsia="Times New Roman" w:hAnsi="Arial" w:cs="Arial"/>
                <w:b/>
                <w:color w:val="000000"/>
                <w:sz w:val="18"/>
                <w:szCs w:val="18"/>
                <w:lang w:eastAsia="en-GB"/>
              </w:rPr>
            </w:pPr>
            <w:r w:rsidRPr="00480A37">
              <w:rPr>
                <w:rFonts w:ascii="Arial" w:eastAsia="Times New Roman" w:hAnsi="Arial" w:cs="Arial"/>
                <w:b/>
                <w:color w:val="000000"/>
                <w:sz w:val="18"/>
                <w:szCs w:val="18"/>
                <w:lang w:eastAsia="en-GB"/>
              </w:rPr>
              <w:t>Node list</w:t>
            </w:r>
          </w:p>
        </w:tc>
      </w:tr>
      <w:tr w:rsidR="006B649A" w:rsidRPr="00480A37" w14:paraId="09C96FAF" w14:textId="1730CDE6" w:rsidTr="006B649A">
        <w:trPr>
          <w:trHeight w:val="315"/>
          <w:jc w:val="center"/>
        </w:trPr>
        <w:tc>
          <w:tcPr>
            <w:tcW w:w="2619" w:type="dxa"/>
            <w:shd w:val="clear" w:color="auto" w:fill="auto"/>
            <w:tcMar>
              <w:top w:w="30" w:type="dxa"/>
              <w:left w:w="45" w:type="dxa"/>
              <w:bottom w:w="30" w:type="dxa"/>
              <w:right w:w="45" w:type="dxa"/>
            </w:tcMar>
            <w:vAlign w:val="bottom"/>
            <w:hideMark/>
          </w:tcPr>
          <w:p w14:paraId="35586482"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LGG</w:t>
            </w:r>
          </w:p>
        </w:tc>
        <w:tc>
          <w:tcPr>
            <w:tcW w:w="2621" w:type="dxa"/>
            <w:shd w:val="clear" w:color="auto" w:fill="auto"/>
            <w:tcMar>
              <w:top w:w="30" w:type="dxa"/>
              <w:left w:w="45" w:type="dxa"/>
              <w:bottom w:w="30" w:type="dxa"/>
              <w:right w:w="45" w:type="dxa"/>
            </w:tcMar>
            <w:vAlign w:val="bottom"/>
            <w:hideMark/>
          </w:tcPr>
          <w:p w14:paraId="1B149CC8"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1</w:t>
            </w:r>
          </w:p>
        </w:tc>
        <w:tc>
          <w:tcPr>
            <w:tcW w:w="2621" w:type="dxa"/>
            <w:shd w:val="clear" w:color="auto" w:fill="auto"/>
            <w:tcMar>
              <w:top w:w="30" w:type="dxa"/>
              <w:left w:w="45" w:type="dxa"/>
              <w:bottom w:w="30" w:type="dxa"/>
              <w:right w:w="45" w:type="dxa"/>
            </w:tcMar>
            <w:vAlign w:val="bottom"/>
            <w:hideMark/>
          </w:tcPr>
          <w:p w14:paraId="00CF5810"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3</w:t>
            </w:r>
          </w:p>
        </w:tc>
        <w:tc>
          <w:tcPr>
            <w:tcW w:w="2611" w:type="dxa"/>
            <w:shd w:val="clear" w:color="auto" w:fill="auto"/>
          </w:tcPr>
          <w:p w14:paraId="2D720227" w14:textId="68347701" w:rsidR="006B649A" w:rsidRPr="00480A37" w:rsidRDefault="006B649A" w:rsidP="00480A37">
            <w:pP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CHEK2,</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PTEN,</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TP53</w:t>
            </w:r>
          </w:p>
        </w:tc>
      </w:tr>
      <w:tr w:rsidR="006B649A" w:rsidRPr="00480A37" w14:paraId="188AAC39" w14:textId="2E41D5CA" w:rsidTr="006B649A">
        <w:trPr>
          <w:trHeight w:val="315"/>
          <w:jc w:val="center"/>
        </w:trPr>
        <w:tc>
          <w:tcPr>
            <w:tcW w:w="2619" w:type="dxa"/>
            <w:shd w:val="clear" w:color="auto" w:fill="auto"/>
            <w:tcMar>
              <w:top w:w="30" w:type="dxa"/>
              <w:left w:w="45" w:type="dxa"/>
              <w:bottom w:w="30" w:type="dxa"/>
              <w:right w:w="45" w:type="dxa"/>
            </w:tcMar>
            <w:vAlign w:val="bottom"/>
            <w:hideMark/>
          </w:tcPr>
          <w:p w14:paraId="0FCE3F91"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GBM</w:t>
            </w:r>
          </w:p>
        </w:tc>
        <w:tc>
          <w:tcPr>
            <w:tcW w:w="2621" w:type="dxa"/>
            <w:shd w:val="clear" w:color="auto" w:fill="auto"/>
            <w:tcMar>
              <w:top w:w="30" w:type="dxa"/>
              <w:left w:w="45" w:type="dxa"/>
              <w:bottom w:w="30" w:type="dxa"/>
              <w:right w:w="45" w:type="dxa"/>
            </w:tcMar>
            <w:vAlign w:val="bottom"/>
            <w:hideMark/>
          </w:tcPr>
          <w:p w14:paraId="7669553B"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1</w:t>
            </w:r>
          </w:p>
        </w:tc>
        <w:tc>
          <w:tcPr>
            <w:tcW w:w="2621" w:type="dxa"/>
            <w:shd w:val="clear" w:color="auto" w:fill="auto"/>
            <w:tcMar>
              <w:top w:w="30" w:type="dxa"/>
              <w:left w:w="45" w:type="dxa"/>
              <w:bottom w:w="30" w:type="dxa"/>
              <w:right w:w="45" w:type="dxa"/>
            </w:tcMar>
            <w:vAlign w:val="bottom"/>
            <w:hideMark/>
          </w:tcPr>
          <w:p w14:paraId="41F7BFCB"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5</w:t>
            </w:r>
          </w:p>
        </w:tc>
        <w:tc>
          <w:tcPr>
            <w:tcW w:w="2611" w:type="dxa"/>
            <w:shd w:val="clear" w:color="auto" w:fill="auto"/>
          </w:tcPr>
          <w:p w14:paraId="58859AA6" w14:textId="2BEA0BB5" w:rsidR="006B649A" w:rsidRPr="00480A37" w:rsidRDefault="006B649A" w:rsidP="00480A37">
            <w:pP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CHEK2,</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HIF1A,</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PIK3R1,</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PTEN,</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TP53</w:t>
            </w:r>
          </w:p>
        </w:tc>
      </w:tr>
      <w:tr w:rsidR="006B649A" w:rsidRPr="00480A37" w14:paraId="1AB4C22B" w14:textId="37D1F64D" w:rsidTr="006B649A">
        <w:trPr>
          <w:trHeight w:val="315"/>
          <w:jc w:val="center"/>
        </w:trPr>
        <w:tc>
          <w:tcPr>
            <w:tcW w:w="2619" w:type="dxa"/>
            <w:shd w:val="clear" w:color="auto" w:fill="auto"/>
            <w:tcMar>
              <w:top w:w="30" w:type="dxa"/>
              <w:left w:w="45" w:type="dxa"/>
              <w:bottom w:w="30" w:type="dxa"/>
              <w:right w:w="45" w:type="dxa"/>
            </w:tcMar>
            <w:vAlign w:val="bottom"/>
            <w:hideMark/>
          </w:tcPr>
          <w:p w14:paraId="1AFDB8FD"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GBM</w:t>
            </w:r>
          </w:p>
        </w:tc>
        <w:tc>
          <w:tcPr>
            <w:tcW w:w="2621" w:type="dxa"/>
            <w:shd w:val="clear" w:color="auto" w:fill="auto"/>
            <w:tcMar>
              <w:top w:w="30" w:type="dxa"/>
              <w:left w:w="45" w:type="dxa"/>
              <w:bottom w:w="30" w:type="dxa"/>
              <w:right w:w="45" w:type="dxa"/>
            </w:tcMar>
            <w:vAlign w:val="bottom"/>
            <w:hideMark/>
          </w:tcPr>
          <w:p w14:paraId="12AE70D2"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2</w:t>
            </w:r>
          </w:p>
        </w:tc>
        <w:tc>
          <w:tcPr>
            <w:tcW w:w="2621" w:type="dxa"/>
            <w:shd w:val="clear" w:color="auto" w:fill="auto"/>
            <w:tcMar>
              <w:top w:w="30" w:type="dxa"/>
              <w:left w:w="45" w:type="dxa"/>
              <w:bottom w:w="30" w:type="dxa"/>
              <w:right w:w="45" w:type="dxa"/>
            </w:tcMar>
            <w:vAlign w:val="bottom"/>
            <w:hideMark/>
          </w:tcPr>
          <w:p w14:paraId="492AD086"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3</w:t>
            </w:r>
          </w:p>
        </w:tc>
        <w:tc>
          <w:tcPr>
            <w:tcW w:w="2611" w:type="dxa"/>
            <w:shd w:val="clear" w:color="auto" w:fill="auto"/>
          </w:tcPr>
          <w:p w14:paraId="0A8E9347" w14:textId="5E148E22" w:rsidR="006B649A" w:rsidRPr="00480A37" w:rsidRDefault="006B649A" w:rsidP="00480A37">
            <w:pP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EGFR,</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HSPA8,</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TBK1</w:t>
            </w:r>
          </w:p>
        </w:tc>
      </w:tr>
      <w:tr w:rsidR="006B649A" w:rsidRPr="00480A37" w14:paraId="5F165E04" w14:textId="71D8FE3E" w:rsidTr="006B649A">
        <w:trPr>
          <w:trHeight w:val="315"/>
          <w:jc w:val="center"/>
        </w:trPr>
        <w:tc>
          <w:tcPr>
            <w:tcW w:w="2619" w:type="dxa"/>
            <w:shd w:val="clear" w:color="auto" w:fill="auto"/>
            <w:tcMar>
              <w:top w:w="30" w:type="dxa"/>
              <w:left w:w="45" w:type="dxa"/>
              <w:bottom w:w="30" w:type="dxa"/>
              <w:right w:w="45" w:type="dxa"/>
            </w:tcMar>
            <w:vAlign w:val="bottom"/>
            <w:hideMark/>
          </w:tcPr>
          <w:p w14:paraId="2389A804"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GLI</w:t>
            </w:r>
          </w:p>
        </w:tc>
        <w:tc>
          <w:tcPr>
            <w:tcW w:w="2621" w:type="dxa"/>
            <w:shd w:val="clear" w:color="auto" w:fill="auto"/>
            <w:tcMar>
              <w:top w:w="30" w:type="dxa"/>
              <w:left w:w="45" w:type="dxa"/>
              <w:bottom w:w="30" w:type="dxa"/>
              <w:right w:w="45" w:type="dxa"/>
            </w:tcMar>
            <w:vAlign w:val="bottom"/>
            <w:hideMark/>
          </w:tcPr>
          <w:p w14:paraId="72FF645C"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1</w:t>
            </w:r>
          </w:p>
        </w:tc>
        <w:tc>
          <w:tcPr>
            <w:tcW w:w="2621" w:type="dxa"/>
            <w:shd w:val="clear" w:color="auto" w:fill="auto"/>
            <w:tcMar>
              <w:top w:w="30" w:type="dxa"/>
              <w:left w:w="45" w:type="dxa"/>
              <w:bottom w:w="30" w:type="dxa"/>
              <w:right w:w="45" w:type="dxa"/>
            </w:tcMar>
            <w:vAlign w:val="bottom"/>
            <w:hideMark/>
          </w:tcPr>
          <w:p w14:paraId="4ABA257E"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6</w:t>
            </w:r>
          </w:p>
        </w:tc>
        <w:tc>
          <w:tcPr>
            <w:tcW w:w="2611" w:type="dxa"/>
            <w:shd w:val="clear" w:color="auto" w:fill="auto"/>
          </w:tcPr>
          <w:p w14:paraId="623D2737" w14:textId="28B74B44" w:rsidR="006B649A" w:rsidRPr="00480A37" w:rsidRDefault="006B649A" w:rsidP="00480A37">
            <w:pP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HIF1A,</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NOTCH1,</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PIK3CA,</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PIK3R1,</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PTEN,</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TP53</w:t>
            </w:r>
          </w:p>
        </w:tc>
      </w:tr>
      <w:tr w:rsidR="006B649A" w:rsidRPr="00480A37" w14:paraId="23C6E875" w14:textId="5637CE87" w:rsidTr="006B649A">
        <w:trPr>
          <w:trHeight w:val="315"/>
          <w:jc w:val="center"/>
        </w:trPr>
        <w:tc>
          <w:tcPr>
            <w:tcW w:w="2619" w:type="dxa"/>
            <w:shd w:val="clear" w:color="auto" w:fill="auto"/>
            <w:tcMar>
              <w:top w:w="30" w:type="dxa"/>
              <w:left w:w="45" w:type="dxa"/>
              <w:bottom w:w="30" w:type="dxa"/>
              <w:right w:w="45" w:type="dxa"/>
            </w:tcMar>
            <w:vAlign w:val="bottom"/>
            <w:hideMark/>
          </w:tcPr>
          <w:p w14:paraId="7821B503"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GLI</w:t>
            </w:r>
          </w:p>
        </w:tc>
        <w:tc>
          <w:tcPr>
            <w:tcW w:w="2621" w:type="dxa"/>
            <w:shd w:val="clear" w:color="auto" w:fill="auto"/>
            <w:tcMar>
              <w:top w:w="30" w:type="dxa"/>
              <w:left w:w="45" w:type="dxa"/>
              <w:bottom w:w="30" w:type="dxa"/>
              <w:right w:w="45" w:type="dxa"/>
            </w:tcMar>
            <w:vAlign w:val="bottom"/>
            <w:hideMark/>
          </w:tcPr>
          <w:p w14:paraId="402A3411"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2</w:t>
            </w:r>
          </w:p>
        </w:tc>
        <w:tc>
          <w:tcPr>
            <w:tcW w:w="2621" w:type="dxa"/>
            <w:shd w:val="clear" w:color="auto" w:fill="auto"/>
            <w:tcMar>
              <w:top w:w="30" w:type="dxa"/>
              <w:left w:w="45" w:type="dxa"/>
              <w:bottom w:w="30" w:type="dxa"/>
              <w:right w:w="45" w:type="dxa"/>
            </w:tcMar>
            <w:vAlign w:val="bottom"/>
            <w:hideMark/>
          </w:tcPr>
          <w:p w14:paraId="2E1C534F"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4</w:t>
            </w:r>
          </w:p>
        </w:tc>
        <w:tc>
          <w:tcPr>
            <w:tcW w:w="2611" w:type="dxa"/>
            <w:shd w:val="clear" w:color="auto" w:fill="auto"/>
          </w:tcPr>
          <w:p w14:paraId="0FB4BD18" w14:textId="1E3716BA" w:rsidR="006B649A" w:rsidRPr="00480A37" w:rsidRDefault="006B649A" w:rsidP="00480A37">
            <w:pP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CHEK2,</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EGFR,</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HSPA8,</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TBK1</w:t>
            </w:r>
          </w:p>
        </w:tc>
      </w:tr>
      <w:tr w:rsidR="006B649A" w:rsidRPr="00480A37" w14:paraId="5EB6FDF0" w14:textId="7528DC3F" w:rsidTr="006B649A">
        <w:trPr>
          <w:trHeight w:val="315"/>
          <w:jc w:val="center"/>
        </w:trPr>
        <w:tc>
          <w:tcPr>
            <w:tcW w:w="2619" w:type="dxa"/>
            <w:shd w:val="clear" w:color="auto" w:fill="auto"/>
            <w:tcMar>
              <w:top w:w="30" w:type="dxa"/>
              <w:left w:w="45" w:type="dxa"/>
              <w:bottom w:w="30" w:type="dxa"/>
              <w:right w:w="45" w:type="dxa"/>
            </w:tcMar>
            <w:vAlign w:val="bottom"/>
            <w:hideMark/>
          </w:tcPr>
          <w:p w14:paraId="20D0A6D3"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GLI</w:t>
            </w:r>
          </w:p>
        </w:tc>
        <w:tc>
          <w:tcPr>
            <w:tcW w:w="2621" w:type="dxa"/>
            <w:shd w:val="clear" w:color="auto" w:fill="auto"/>
            <w:tcMar>
              <w:top w:w="30" w:type="dxa"/>
              <w:left w:w="45" w:type="dxa"/>
              <w:bottom w:w="30" w:type="dxa"/>
              <w:right w:w="45" w:type="dxa"/>
            </w:tcMar>
            <w:vAlign w:val="bottom"/>
            <w:hideMark/>
          </w:tcPr>
          <w:p w14:paraId="7F9CA9B7"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3</w:t>
            </w:r>
          </w:p>
        </w:tc>
        <w:tc>
          <w:tcPr>
            <w:tcW w:w="2621" w:type="dxa"/>
            <w:shd w:val="clear" w:color="auto" w:fill="auto"/>
            <w:tcMar>
              <w:top w:w="30" w:type="dxa"/>
              <w:left w:w="45" w:type="dxa"/>
              <w:bottom w:w="30" w:type="dxa"/>
              <w:right w:w="45" w:type="dxa"/>
            </w:tcMar>
            <w:vAlign w:val="bottom"/>
            <w:hideMark/>
          </w:tcPr>
          <w:p w14:paraId="3827D31B" w14:textId="77777777" w:rsidR="006B649A" w:rsidRPr="00480A37" w:rsidRDefault="006B649A" w:rsidP="00480A37">
            <w:pPr>
              <w:jc w:val="cente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2</w:t>
            </w:r>
          </w:p>
        </w:tc>
        <w:tc>
          <w:tcPr>
            <w:tcW w:w="2611" w:type="dxa"/>
            <w:shd w:val="clear" w:color="auto" w:fill="auto"/>
          </w:tcPr>
          <w:p w14:paraId="6ADA95F0" w14:textId="426FA726" w:rsidR="006B649A" w:rsidRPr="00480A37" w:rsidRDefault="006B649A" w:rsidP="00480A37">
            <w:pPr>
              <w:rPr>
                <w:rFonts w:ascii="Arial" w:eastAsia="Times New Roman" w:hAnsi="Arial" w:cs="Arial"/>
                <w:color w:val="000000"/>
                <w:sz w:val="18"/>
                <w:szCs w:val="18"/>
                <w:lang w:eastAsia="en-GB"/>
              </w:rPr>
            </w:pPr>
            <w:r w:rsidRPr="00480A37">
              <w:rPr>
                <w:rFonts w:ascii="Arial" w:eastAsia="Times New Roman" w:hAnsi="Arial" w:cs="Arial"/>
                <w:color w:val="000000"/>
                <w:sz w:val="18"/>
                <w:szCs w:val="18"/>
                <w:lang w:eastAsia="en-GB"/>
              </w:rPr>
              <w:t>PCDHA1,</w:t>
            </w:r>
            <w:r>
              <w:rPr>
                <w:rFonts w:ascii="Arial" w:eastAsia="Times New Roman" w:hAnsi="Arial" w:cs="Arial"/>
                <w:color w:val="000000"/>
                <w:sz w:val="18"/>
                <w:szCs w:val="18"/>
                <w:lang w:eastAsia="en-GB"/>
              </w:rPr>
              <w:t xml:space="preserve"> </w:t>
            </w:r>
            <w:r w:rsidRPr="00480A37">
              <w:rPr>
                <w:rFonts w:ascii="Arial" w:eastAsia="Times New Roman" w:hAnsi="Arial" w:cs="Arial"/>
                <w:color w:val="000000"/>
                <w:sz w:val="18"/>
                <w:szCs w:val="18"/>
                <w:lang w:eastAsia="en-GB"/>
              </w:rPr>
              <w:t>PCDHA3</w:t>
            </w:r>
          </w:p>
        </w:tc>
      </w:tr>
    </w:tbl>
    <w:p w14:paraId="4227F6FD" w14:textId="77777777" w:rsidR="009F7592" w:rsidRDefault="009F7592" w:rsidP="009F75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00" w:hanging="400"/>
        <w:sectPr w:rsidR="009F7592" w:rsidSect="001F195A">
          <w:headerReference w:type="default" r:id="rId18"/>
          <w:pgSz w:w="11900" w:h="16840"/>
          <w:pgMar w:top="1440" w:right="1800" w:bottom="1440" w:left="1800" w:header="708" w:footer="708" w:gutter="0"/>
          <w:cols w:space="708"/>
          <w:docGrid w:linePitch="360"/>
        </w:sectPr>
      </w:pPr>
    </w:p>
    <w:p w14:paraId="13863BD5" w14:textId="77777777" w:rsidR="00187389" w:rsidRDefault="009F7592" w:rsidP="00187389">
      <w:pPr>
        <w:tabs>
          <w:tab w:val="left" w:pos="640"/>
        </w:tabs>
        <w:autoSpaceDE w:val="0"/>
        <w:autoSpaceDN w:val="0"/>
        <w:adjustRightInd w:val="0"/>
        <w:ind w:left="640" w:hanging="640"/>
        <w:rPr>
          <w:rFonts w:ascii="Times New Roman" w:hAnsi="Times New Roman" w:cs="Times New Roman"/>
          <w:sz w:val="22"/>
          <w:szCs w:val="22"/>
          <w:lang w:val="en-US"/>
        </w:rPr>
      </w:pPr>
      <w:r>
        <w:lastRenderedPageBreak/>
        <w:fldChar w:fldCharType="begin"/>
      </w:r>
      <w:r>
        <w:instrText xml:space="preserve"> ADDIN PAPERS2_CITATIONS &lt;papers2_bibliography/&gt;</w:instrText>
      </w:r>
      <w:r>
        <w:fldChar w:fldCharType="separate"/>
      </w:r>
      <w:r w:rsidR="00187389">
        <w:rPr>
          <w:rFonts w:ascii="Times New Roman" w:hAnsi="Times New Roman" w:cs="Times New Roman"/>
          <w:sz w:val="22"/>
          <w:szCs w:val="22"/>
          <w:lang w:val="en-US"/>
        </w:rPr>
        <w:t>1.</w:t>
      </w:r>
      <w:r w:rsidR="00187389">
        <w:rPr>
          <w:rFonts w:ascii="Times New Roman" w:hAnsi="Times New Roman" w:cs="Times New Roman"/>
          <w:sz w:val="22"/>
          <w:szCs w:val="22"/>
          <w:lang w:val="en-US"/>
        </w:rPr>
        <w:tab/>
        <w:t xml:space="preserve">Hanahan, D. &amp; Weinberg, R. A. Hallmarks of Cancer: The Next Generation. </w:t>
      </w:r>
      <w:r w:rsidR="00187389">
        <w:rPr>
          <w:rFonts w:ascii="Times New Roman" w:hAnsi="Times New Roman" w:cs="Times New Roman"/>
          <w:i/>
          <w:iCs/>
          <w:sz w:val="22"/>
          <w:szCs w:val="22"/>
          <w:lang w:val="en-US"/>
        </w:rPr>
        <w:t>Cell</w:t>
      </w:r>
      <w:r w:rsidR="00187389">
        <w:rPr>
          <w:rFonts w:ascii="Times New Roman" w:hAnsi="Times New Roman" w:cs="Times New Roman"/>
          <w:sz w:val="22"/>
          <w:szCs w:val="22"/>
          <w:lang w:val="en-US"/>
        </w:rPr>
        <w:t xml:space="preserve"> </w:t>
      </w:r>
      <w:r w:rsidR="00187389">
        <w:rPr>
          <w:rFonts w:ascii="Times New Roman" w:hAnsi="Times New Roman" w:cs="Times New Roman"/>
          <w:b/>
          <w:bCs/>
          <w:sz w:val="22"/>
          <w:szCs w:val="22"/>
          <w:lang w:val="en-US"/>
        </w:rPr>
        <w:t>144,</w:t>
      </w:r>
      <w:r w:rsidR="00187389">
        <w:rPr>
          <w:rFonts w:ascii="Times New Roman" w:hAnsi="Times New Roman" w:cs="Times New Roman"/>
          <w:sz w:val="22"/>
          <w:szCs w:val="22"/>
          <w:lang w:val="en-US"/>
        </w:rPr>
        <w:t xml:space="preserve"> 646–674 (2011).</w:t>
      </w:r>
    </w:p>
    <w:p w14:paraId="1FB2211E"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2.</w:t>
      </w:r>
      <w:r>
        <w:rPr>
          <w:rFonts w:ascii="Times New Roman" w:hAnsi="Times New Roman" w:cs="Times New Roman"/>
          <w:sz w:val="22"/>
          <w:szCs w:val="22"/>
          <w:lang w:val="en-US"/>
        </w:rPr>
        <w:tab/>
        <w:t xml:space="preserve">Giachino, C. </w:t>
      </w:r>
      <w:r>
        <w:rPr>
          <w:rFonts w:ascii="Times New Roman" w:hAnsi="Times New Roman" w:cs="Times New Roman"/>
          <w:i/>
          <w:iCs/>
          <w:sz w:val="22"/>
          <w:szCs w:val="22"/>
          <w:lang w:val="en-US"/>
        </w:rPr>
        <w:t>et al.</w:t>
      </w:r>
      <w:r>
        <w:rPr>
          <w:rFonts w:ascii="Times New Roman" w:hAnsi="Times New Roman" w:cs="Times New Roman"/>
          <w:sz w:val="22"/>
          <w:szCs w:val="22"/>
          <w:lang w:val="en-US"/>
        </w:rPr>
        <w:t xml:space="preserve"> A Tumor Suppressor Function for Notch Signaling in Forebrain Tumor Subtypes. </w:t>
      </w:r>
      <w:r>
        <w:rPr>
          <w:rFonts w:ascii="Times New Roman" w:hAnsi="Times New Roman" w:cs="Times New Roman"/>
          <w:i/>
          <w:iCs/>
          <w:sz w:val="22"/>
          <w:szCs w:val="22"/>
          <w:lang w:val="en-US"/>
        </w:rPr>
        <w:t>Cancer Cell</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28,</w:t>
      </w:r>
      <w:r>
        <w:rPr>
          <w:rFonts w:ascii="Times New Roman" w:hAnsi="Times New Roman" w:cs="Times New Roman"/>
          <w:sz w:val="22"/>
          <w:szCs w:val="22"/>
          <w:lang w:val="en-US"/>
        </w:rPr>
        <w:t xml:space="preserve"> 730–742 (2015).</w:t>
      </w:r>
    </w:p>
    <w:p w14:paraId="0FAD3200"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3.</w:t>
      </w:r>
      <w:r>
        <w:rPr>
          <w:rFonts w:ascii="Times New Roman" w:hAnsi="Times New Roman" w:cs="Times New Roman"/>
          <w:sz w:val="22"/>
          <w:szCs w:val="22"/>
          <w:lang w:val="en-US"/>
        </w:rPr>
        <w:tab/>
        <w:t xml:space="preserve">Jen, J. &amp; Wang, Y.-C. Zinc finger proteins in cancer progression. </w:t>
      </w:r>
      <w:r>
        <w:rPr>
          <w:rFonts w:ascii="Times New Roman" w:hAnsi="Times New Roman" w:cs="Times New Roman"/>
          <w:i/>
          <w:iCs/>
          <w:sz w:val="22"/>
          <w:szCs w:val="22"/>
          <w:lang w:val="en-US"/>
        </w:rPr>
        <w:t>Journal of Biomedical Science</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23,</w:t>
      </w:r>
      <w:r>
        <w:rPr>
          <w:rFonts w:ascii="Times New Roman" w:hAnsi="Times New Roman" w:cs="Times New Roman"/>
          <w:sz w:val="22"/>
          <w:szCs w:val="22"/>
          <w:lang w:val="en-US"/>
        </w:rPr>
        <w:t xml:space="preserve"> 53 (2016).</w:t>
      </w:r>
    </w:p>
    <w:p w14:paraId="0263E306"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4.</w:t>
      </w:r>
      <w:r>
        <w:rPr>
          <w:rFonts w:ascii="Times New Roman" w:hAnsi="Times New Roman" w:cs="Times New Roman"/>
          <w:sz w:val="22"/>
          <w:szCs w:val="22"/>
          <w:lang w:val="en-US"/>
        </w:rPr>
        <w:tab/>
        <w:t xml:space="preserve">Harburg, G. C. &amp; Hinck, L. Navigating breast cancer: axon guidance molecules as breast cancer tumor suppressors and oncogenes. </w:t>
      </w:r>
      <w:r>
        <w:rPr>
          <w:rFonts w:ascii="Times New Roman" w:hAnsi="Times New Roman" w:cs="Times New Roman"/>
          <w:i/>
          <w:iCs/>
          <w:sz w:val="22"/>
          <w:szCs w:val="22"/>
          <w:lang w:val="en-US"/>
        </w:rPr>
        <w:t>J Mammary Gland Biol Neoplasia</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16,</w:t>
      </w:r>
      <w:r>
        <w:rPr>
          <w:rFonts w:ascii="Times New Roman" w:hAnsi="Times New Roman" w:cs="Times New Roman"/>
          <w:sz w:val="22"/>
          <w:szCs w:val="22"/>
          <w:lang w:val="en-US"/>
        </w:rPr>
        <w:t xml:space="preserve"> 257–270 (2011).</w:t>
      </w:r>
    </w:p>
    <w:p w14:paraId="4D09196C"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5.</w:t>
      </w:r>
      <w:r>
        <w:rPr>
          <w:rFonts w:ascii="Times New Roman" w:hAnsi="Times New Roman" w:cs="Times New Roman"/>
          <w:sz w:val="22"/>
          <w:szCs w:val="22"/>
          <w:lang w:val="en-US"/>
        </w:rPr>
        <w:tab/>
        <w:t xml:space="preserve">Nasarre, P., Potiron, V., Drabkin, H. &amp; Roche, J. Guidance molecules in lung cancer. </w:t>
      </w:r>
      <w:r>
        <w:rPr>
          <w:rFonts w:ascii="Times New Roman" w:hAnsi="Times New Roman" w:cs="Times New Roman"/>
          <w:i/>
          <w:iCs/>
          <w:sz w:val="22"/>
          <w:szCs w:val="22"/>
          <w:lang w:val="en-US"/>
        </w:rPr>
        <w:t>Cell Adhesion &amp; Migration</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4,</w:t>
      </w:r>
      <w:r>
        <w:rPr>
          <w:rFonts w:ascii="Times New Roman" w:hAnsi="Times New Roman" w:cs="Times New Roman"/>
          <w:sz w:val="22"/>
          <w:szCs w:val="22"/>
          <w:lang w:val="en-US"/>
        </w:rPr>
        <w:t xml:space="preserve"> 130–145 (2014).</w:t>
      </w:r>
    </w:p>
    <w:p w14:paraId="71211F92"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6.</w:t>
      </w:r>
      <w:r>
        <w:rPr>
          <w:rFonts w:ascii="Times New Roman" w:hAnsi="Times New Roman" w:cs="Times New Roman"/>
          <w:sz w:val="22"/>
          <w:szCs w:val="22"/>
          <w:lang w:val="en-US"/>
        </w:rPr>
        <w:tab/>
        <w:t xml:space="preserve">Paňková, K., Rösel, D., Novotný, M. &amp; Brábek, J. The molecular mechanisms of transition between mesenchymal and amoeboid invasiveness in tumor cells. </w:t>
      </w:r>
      <w:r>
        <w:rPr>
          <w:rFonts w:ascii="Times New Roman" w:hAnsi="Times New Roman" w:cs="Times New Roman"/>
          <w:i/>
          <w:iCs/>
          <w:sz w:val="22"/>
          <w:szCs w:val="22"/>
          <w:lang w:val="en-US"/>
        </w:rPr>
        <w:t>Cell. Mol. Life Sci.</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67,</w:t>
      </w:r>
      <w:r>
        <w:rPr>
          <w:rFonts w:ascii="Times New Roman" w:hAnsi="Times New Roman" w:cs="Times New Roman"/>
          <w:sz w:val="22"/>
          <w:szCs w:val="22"/>
          <w:lang w:val="en-US"/>
        </w:rPr>
        <w:t xml:space="preserve"> 63–71 (2010).</w:t>
      </w:r>
    </w:p>
    <w:p w14:paraId="1EC524FE"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7.</w:t>
      </w:r>
      <w:r>
        <w:rPr>
          <w:rFonts w:ascii="Times New Roman" w:hAnsi="Times New Roman" w:cs="Times New Roman"/>
          <w:sz w:val="22"/>
          <w:szCs w:val="22"/>
          <w:lang w:val="en-US"/>
        </w:rPr>
        <w:tab/>
        <w:t xml:space="preserve">Sanz-Moreno, V. &amp; Marshall, C. J. The plasticity of cytoskeletal dynamics underlying neoplastic cell migration. </w:t>
      </w:r>
      <w:r>
        <w:rPr>
          <w:rFonts w:ascii="Times New Roman" w:hAnsi="Times New Roman" w:cs="Times New Roman"/>
          <w:i/>
          <w:iCs/>
          <w:sz w:val="22"/>
          <w:szCs w:val="22"/>
          <w:lang w:val="en-US"/>
        </w:rPr>
        <w:t>Current Opinion in Cell Biology</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22,</w:t>
      </w:r>
      <w:r>
        <w:rPr>
          <w:rFonts w:ascii="Times New Roman" w:hAnsi="Times New Roman" w:cs="Times New Roman"/>
          <w:sz w:val="22"/>
          <w:szCs w:val="22"/>
          <w:lang w:val="en-US"/>
        </w:rPr>
        <w:t xml:space="preserve"> 690–696 (2010).</w:t>
      </w:r>
    </w:p>
    <w:p w14:paraId="0C28EEFB"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8.</w:t>
      </w:r>
      <w:r>
        <w:rPr>
          <w:rFonts w:ascii="Times New Roman" w:hAnsi="Times New Roman" w:cs="Times New Roman"/>
          <w:sz w:val="22"/>
          <w:szCs w:val="22"/>
          <w:lang w:val="en-US"/>
        </w:rPr>
        <w:tab/>
        <w:t xml:space="preserve">Hulpiau, P. &amp; van Roy, F. Molecular evolution of the cadherin superfamily. </w:t>
      </w:r>
      <w:r>
        <w:rPr>
          <w:rFonts w:ascii="Times New Roman" w:hAnsi="Times New Roman" w:cs="Times New Roman"/>
          <w:i/>
          <w:iCs/>
          <w:sz w:val="22"/>
          <w:szCs w:val="22"/>
          <w:lang w:val="en-US"/>
        </w:rPr>
        <w:t>Int. J. Biochem. Cell Biol.</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41,</w:t>
      </w:r>
      <w:r>
        <w:rPr>
          <w:rFonts w:ascii="Times New Roman" w:hAnsi="Times New Roman" w:cs="Times New Roman"/>
          <w:sz w:val="22"/>
          <w:szCs w:val="22"/>
          <w:lang w:val="en-US"/>
        </w:rPr>
        <w:t xml:space="preserve"> 349–369 (2009).</w:t>
      </w:r>
    </w:p>
    <w:p w14:paraId="1964CA55"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9.</w:t>
      </w:r>
      <w:r>
        <w:rPr>
          <w:rFonts w:ascii="Times New Roman" w:hAnsi="Times New Roman" w:cs="Times New Roman"/>
          <w:sz w:val="22"/>
          <w:szCs w:val="22"/>
          <w:lang w:val="en-US"/>
        </w:rPr>
        <w:tab/>
        <w:t xml:space="preserve">Berx, G. &amp; van Roy, F. Involvement of members of the cadherin superfamily in cancer. </w:t>
      </w:r>
      <w:r>
        <w:rPr>
          <w:rFonts w:ascii="Times New Roman" w:hAnsi="Times New Roman" w:cs="Times New Roman"/>
          <w:i/>
          <w:iCs/>
          <w:sz w:val="22"/>
          <w:szCs w:val="22"/>
          <w:lang w:val="en-US"/>
        </w:rPr>
        <w:t>Cold Spring Harb Perspect Biol</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1,</w:t>
      </w:r>
      <w:r>
        <w:rPr>
          <w:rFonts w:ascii="Times New Roman" w:hAnsi="Times New Roman" w:cs="Times New Roman"/>
          <w:sz w:val="22"/>
          <w:szCs w:val="22"/>
          <w:lang w:val="en-US"/>
        </w:rPr>
        <w:t xml:space="preserve"> a003129–a003129 (2009).</w:t>
      </w:r>
    </w:p>
    <w:p w14:paraId="4AB2ECBB"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10.</w:t>
      </w:r>
      <w:r>
        <w:rPr>
          <w:rFonts w:ascii="Times New Roman" w:hAnsi="Times New Roman" w:cs="Times New Roman"/>
          <w:sz w:val="22"/>
          <w:szCs w:val="22"/>
          <w:lang w:val="en-US"/>
        </w:rPr>
        <w:tab/>
        <w:t xml:space="preserve">Piñero, J., Berenstein, A., Gonzalez-Perez, A., Chernomoretz, A. &amp; Furlong, L. I. Uncovering disease mechanisms through network biology in the era of Next Generation Sequencing. </w:t>
      </w:r>
      <w:r>
        <w:rPr>
          <w:rFonts w:ascii="Times New Roman" w:hAnsi="Times New Roman" w:cs="Times New Roman"/>
          <w:i/>
          <w:iCs/>
          <w:sz w:val="22"/>
          <w:szCs w:val="22"/>
          <w:lang w:val="en-US"/>
        </w:rPr>
        <w:t>Scientific Reports</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6,</w:t>
      </w:r>
      <w:r>
        <w:rPr>
          <w:rFonts w:ascii="Times New Roman" w:hAnsi="Times New Roman" w:cs="Times New Roman"/>
          <w:sz w:val="22"/>
          <w:szCs w:val="22"/>
          <w:lang w:val="en-US"/>
        </w:rPr>
        <w:t xml:space="preserve"> 24570 (2016).</w:t>
      </w:r>
    </w:p>
    <w:p w14:paraId="4D309135"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11.</w:t>
      </w:r>
      <w:r>
        <w:rPr>
          <w:rFonts w:ascii="Times New Roman" w:hAnsi="Times New Roman" w:cs="Times New Roman"/>
          <w:sz w:val="22"/>
          <w:szCs w:val="22"/>
          <w:lang w:val="en-US"/>
        </w:rPr>
        <w:tab/>
        <w:t xml:space="preserve">Tien, J. F. </w:t>
      </w:r>
      <w:r>
        <w:rPr>
          <w:rFonts w:ascii="Times New Roman" w:hAnsi="Times New Roman" w:cs="Times New Roman"/>
          <w:i/>
          <w:iCs/>
          <w:sz w:val="22"/>
          <w:szCs w:val="22"/>
          <w:lang w:val="en-US"/>
        </w:rPr>
        <w:t>et al.</w:t>
      </w:r>
      <w:r>
        <w:rPr>
          <w:rFonts w:ascii="Times New Roman" w:hAnsi="Times New Roman" w:cs="Times New Roman"/>
          <w:sz w:val="22"/>
          <w:szCs w:val="22"/>
          <w:lang w:val="en-US"/>
        </w:rPr>
        <w:t xml:space="preserve"> CDK12 regulates alternative last exon mRNA splicing and promotes breast cancer cell invasion. </w:t>
      </w:r>
      <w:r>
        <w:rPr>
          <w:rFonts w:ascii="Times New Roman" w:hAnsi="Times New Roman" w:cs="Times New Roman"/>
          <w:i/>
          <w:iCs/>
          <w:sz w:val="22"/>
          <w:szCs w:val="22"/>
          <w:lang w:val="en-US"/>
        </w:rPr>
        <w:t>Nucleic Acids Res</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45,</w:t>
      </w:r>
      <w:r>
        <w:rPr>
          <w:rFonts w:ascii="Times New Roman" w:hAnsi="Times New Roman" w:cs="Times New Roman"/>
          <w:sz w:val="22"/>
          <w:szCs w:val="22"/>
          <w:lang w:val="en-US"/>
        </w:rPr>
        <w:t xml:space="preserve"> 6698–6716 (2017).</w:t>
      </w:r>
    </w:p>
    <w:p w14:paraId="5B3F7ED6"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12.</w:t>
      </w:r>
      <w:r>
        <w:rPr>
          <w:rFonts w:ascii="Times New Roman" w:hAnsi="Times New Roman" w:cs="Times New Roman"/>
          <w:sz w:val="22"/>
          <w:szCs w:val="22"/>
          <w:lang w:val="en-US"/>
        </w:rPr>
        <w:tab/>
        <w:t xml:space="preserve">Walid, M. S. Prognostic factors for long-term survival after glioblastoma. </w:t>
      </w:r>
      <w:r>
        <w:rPr>
          <w:rFonts w:ascii="Times New Roman" w:hAnsi="Times New Roman" w:cs="Times New Roman"/>
          <w:i/>
          <w:iCs/>
          <w:sz w:val="22"/>
          <w:szCs w:val="22"/>
          <w:lang w:val="en-US"/>
        </w:rPr>
        <w:t>The Permanente journal</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12,</w:t>
      </w:r>
      <w:r>
        <w:rPr>
          <w:rFonts w:ascii="Times New Roman" w:hAnsi="Times New Roman" w:cs="Times New Roman"/>
          <w:sz w:val="22"/>
          <w:szCs w:val="22"/>
          <w:lang w:val="en-US"/>
        </w:rPr>
        <w:t xml:space="preserve"> 45–48 (2008).</w:t>
      </w:r>
    </w:p>
    <w:p w14:paraId="2DF1B6C1"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13.</w:t>
      </w:r>
      <w:r>
        <w:rPr>
          <w:rFonts w:ascii="Times New Roman" w:hAnsi="Times New Roman" w:cs="Times New Roman"/>
          <w:sz w:val="22"/>
          <w:szCs w:val="22"/>
          <w:lang w:val="en-US"/>
        </w:rPr>
        <w:tab/>
        <w:t xml:space="preserve">de Voer, R. M. </w:t>
      </w:r>
      <w:r>
        <w:rPr>
          <w:rFonts w:ascii="Times New Roman" w:hAnsi="Times New Roman" w:cs="Times New Roman"/>
          <w:i/>
          <w:iCs/>
          <w:sz w:val="22"/>
          <w:szCs w:val="22"/>
          <w:lang w:val="en-US"/>
        </w:rPr>
        <w:t>et al.</w:t>
      </w:r>
      <w:r>
        <w:rPr>
          <w:rFonts w:ascii="Times New Roman" w:hAnsi="Times New Roman" w:cs="Times New Roman"/>
          <w:sz w:val="22"/>
          <w:szCs w:val="22"/>
          <w:lang w:val="en-US"/>
        </w:rPr>
        <w:t xml:space="preserve"> Identification of Novel Candidate Genes for Early-Onset Colorectal Cancer Susceptibility. </w:t>
      </w:r>
      <w:r>
        <w:rPr>
          <w:rFonts w:ascii="Times New Roman" w:hAnsi="Times New Roman" w:cs="Times New Roman"/>
          <w:i/>
          <w:iCs/>
          <w:sz w:val="22"/>
          <w:szCs w:val="22"/>
          <w:lang w:val="en-US"/>
        </w:rPr>
        <w:t>PLoS genetics</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12,</w:t>
      </w:r>
      <w:r>
        <w:rPr>
          <w:rFonts w:ascii="Times New Roman" w:hAnsi="Times New Roman" w:cs="Times New Roman"/>
          <w:sz w:val="22"/>
          <w:szCs w:val="22"/>
          <w:lang w:val="en-US"/>
        </w:rPr>
        <w:t xml:space="preserve"> e1005880–19 (2016).</w:t>
      </w:r>
    </w:p>
    <w:p w14:paraId="2CFCC9E1"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14.</w:t>
      </w:r>
      <w:r>
        <w:rPr>
          <w:rFonts w:ascii="Times New Roman" w:hAnsi="Times New Roman" w:cs="Times New Roman"/>
          <w:sz w:val="22"/>
          <w:szCs w:val="22"/>
          <w:lang w:val="en-US"/>
        </w:rPr>
        <w:tab/>
        <w:t xml:space="preserve">Vilar, E. &amp; Tabernero, J. Molecular dissection of microsatellite instable colorectal cancer. </w:t>
      </w:r>
      <w:r>
        <w:rPr>
          <w:rFonts w:ascii="Times New Roman" w:hAnsi="Times New Roman" w:cs="Times New Roman"/>
          <w:i/>
          <w:iCs/>
          <w:sz w:val="22"/>
          <w:szCs w:val="22"/>
          <w:lang w:val="en-US"/>
        </w:rPr>
        <w:t>Cancer discovery</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3,</w:t>
      </w:r>
      <w:r>
        <w:rPr>
          <w:rFonts w:ascii="Times New Roman" w:hAnsi="Times New Roman" w:cs="Times New Roman"/>
          <w:sz w:val="22"/>
          <w:szCs w:val="22"/>
          <w:lang w:val="en-US"/>
        </w:rPr>
        <w:t xml:space="preserve"> 502–511 (2013).</w:t>
      </w:r>
    </w:p>
    <w:p w14:paraId="78D98651"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15.</w:t>
      </w:r>
      <w:r>
        <w:rPr>
          <w:rFonts w:ascii="Times New Roman" w:hAnsi="Times New Roman" w:cs="Times New Roman"/>
          <w:sz w:val="22"/>
          <w:szCs w:val="22"/>
          <w:lang w:val="en-US"/>
        </w:rPr>
        <w:tab/>
        <w:t xml:space="preserve">Maimaiti, Y. </w:t>
      </w:r>
      <w:r>
        <w:rPr>
          <w:rFonts w:ascii="Times New Roman" w:hAnsi="Times New Roman" w:cs="Times New Roman"/>
          <w:i/>
          <w:iCs/>
          <w:sz w:val="22"/>
          <w:szCs w:val="22"/>
          <w:lang w:val="en-US"/>
        </w:rPr>
        <w:t>et al.</w:t>
      </w:r>
      <w:r>
        <w:rPr>
          <w:rFonts w:ascii="Times New Roman" w:hAnsi="Times New Roman" w:cs="Times New Roman"/>
          <w:sz w:val="22"/>
          <w:szCs w:val="22"/>
          <w:lang w:val="en-US"/>
        </w:rPr>
        <w:t xml:space="preserve"> SSH1 expression is associated with gastric cancer progression and predicts a poor prognosis. 1–7 (2018). doi:10.1186/s12876-018-0739-5</w:t>
      </w:r>
    </w:p>
    <w:p w14:paraId="4C02B980"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16.</w:t>
      </w:r>
      <w:r>
        <w:rPr>
          <w:rFonts w:ascii="Times New Roman" w:hAnsi="Times New Roman" w:cs="Times New Roman"/>
          <w:sz w:val="22"/>
          <w:szCs w:val="22"/>
          <w:lang w:val="en-US"/>
        </w:rPr>
        <w:tab/>
        <w:t xml:space="preserve">Sharpe, L. J., Luu, W. &amp; Brown, A. J. Akt Phosphorylates Sec24: New Clues into the Regulation of ER-to-Golgi Trafficking. </w:t>
      </w:r>
      <w:r>
        <w:rPr>
          <w:rFonts w:ascii="Times New Roman" w:hAnsi="Times New Roman" w:cs="Times New Roman"/>
          <w:i/>
          <w:iCs/>
          <w:sz w:val="22"/>
          <w:szCs w:val="22"/>
          <w:lang w:val="en-US"/>
        </w:rPr>
        <w:t>Traffic</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12,</w:t>
      </w:r>
      <w:r>
        <w:rPr>
          <w:rFonts w:ascii="Times New Roman" w:hAnsi="Times New Roman" w:cs="Times New Roman"/>
          <w:sz w:val="22"/>
          <w:szCs w:val="22"/>
          <w:lang w:val="en-US"/>
        </w:rPr>
        <w:t xml:space="preserve"> 19–27 (2010).</w:t>
      </w:r>
    </w:p>
    <w:p w14:paraId="1F9348E1" w14:textId="77777777" w:rsidR="00187389" w:rsidRDefault="00187389" w:rsidP="00187389">
      <w:pPr>
        <w:tabs>
          <w:tab w:val="left" w:pos="640"/>
        </w:tabs>
        <w:autoSpaceDE w:val="0"/>
        <w:autoSpaceDN w:val="0"/>
        <w:adjustRightInd w:val="0"/>
        <w:ind w:left="640" w:hanging="640"/>
        <w:rPr>
          <w:rFonts w:ascii="Times New Roman" w:hAnsi="Times New Roman" w:cs="Times New Roman"/>
          <w:sz w:val="22"/>
          <w:szCs w:val="22"/>
          <w:lang w:val="en-US"/>
        </w:rPr>
      </w:pPr>
      <w:r>
        <w:rPr>
          <w:rFonts w:ascii="Times New Roman" w:hAnsi="Times New Roman" w:cs="Times New Roman"/>
          <w:sz w:val="22"/>
          <w:szCs w:val="22"/>
          <w:lang w:val="en-US"/>
        </w:rPr>
        <w:t>17.</w:t>
      </w:r>
      <w:r>
        <w:rPr>
          <w:rFonts w:ascii="Times New Roman" w:hAnsi="Times New Roman" w:cs="Times New Roman"/>
          <w:sz w:val="22"/>
          <w:szCs w:val="22"/>
          <w:lang w:val="en-US"/>
        </w:rPr>
        <w:tab/>
        <w:t xml:space="preserve">Ma, C. </w:t>
      </w:r>
      <w:r>
        <w:rPr>
          <w:rFonts w:ascii="Times New Roman" w:hAnsi="Times New Roman" w:cs="Times New Roman"/>
          <w:i/>
          <w:iCs/>
          <w:sz w:val="22"/>
          <w:szCs w:val="22"/>
          <w:lang w:val="en-US"/>
        </w:rPr>
        <w:t>et al.</w:t>
      </w:r>
      <w:r>
        <w:rPr>
          <w:rFonts w:ascii="Times New Roman" w:hAnsi="Times New Roman" w:cs="Times New Roman"/>
          <w:sz w:val="22"/>
          <w:szCs w:val="22"/>
          <w:lang w:val="en-US"/>
        </w:rPr>
        <w:t xml:space="preserve"> Characterization CSMD1 in a large set of primary lung, head and neck, breast and skin cancer tissues. </w:t>
      </w:r>
      <w:r>
        <w:rPr>
          <w:rFonts w:ascii="Times New Roman" w:hAnsi="Times New Roman" w:cs="Times New Roman"/>
          <w:i/>
          <w:iCs/>
          <w:sz w:val="22"/>
          <w:szCs w:val="22"/>
          <w:lang w:val="en-US"/>
        </w:rPr>
        <w:t>Cancer Biol. Ther.</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8,</w:t>
      </w:r>
      <w:r>
        <w:rPr>
          <w:rFonts w:ascii="Times New Roman" w:hAnsi="Times New Roman" w:cs="Times New Roman"/>
          <w:sz w:val="22"/>
          <w:szCs w:val="22"/>
          <w:lang w:val="en-US"/>
        </w:rPr>
        <w:t xml:space="preserve"> 907–916 (2009).</w:t>
      </w:r>
    </w:p>
    <w:p w14:paraId="5B1A2B2C" w14:textId="73AEC078" w:rsidR="005676E6" w:rsidRPr="005676E6" w:rsidRDefault="009F7592" w:rsidP="00187389">
      <w:pPr>
        <w:tabs>
          <w:tab w:val="left" w:pos="640"/>
        </w:tabs>
        <w:autoSpaceDE w:val="0"/>
        <w:autoSpaceDN w:val="0"/>
        <w:adjustRightInd w:val="0"/>
        <w:ind w:left="640" w:hanging="640"/>
      </w:pPr>
      <w:r>
        <w:fldChar w:fldCharType="end"/>
      </w:r>
      <w:bookmarkStart w:id="3" w:name="_GoBack"/>
      <w:bookmarkEnd w:id="3"/>
    </w:p>
    <w:sectPr w:rsidR="005676E6" w:rsidRPr="005676E6" w:rsidSect="001F195A">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D05255" w14:textId="77777777" w:rsidR="00F30608" w:rsidRDefault="00F30608" w:rsidP="001C140A">
      <w:r>
        <w:separator/>
      </w:r>
    </w:p>
  </w:endnote>
  <w:endnote w:type="continuationSeparator" w:id="0">
    <w:p w14:paraId="2B3FAB1D" w14:textId="77777777" w:rsidR="00F30608" w:rsidRDefault="00F30608" w:rsidP="001C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15514" w14:textId="77777777" w:rsidR="00F30608" w:rsidRDefault="00F30608" w:rsidP="001C140A">
      <w:r>
        <w:separator/>
      </w:r>
    </w:p>
  </w:footnote>
  <w:footnote w:type="continuationSeparator" w:id="0">
    <w:p w14:paraId="02F9038C" w14:textId="77777777" w:rsidR="00F30608" w:rsidRDefault="00F30608" w:rsidP="001C1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FB71F" w14:textId="6FC9FE81" w:rsidR="000C49AD" w:rsidRPr="007D79F2" w:rsidRDefault="000C49AD">
    <w:pPr>
      <w:pStyle w:val="Header"/>
      <w:rPr>
        <w:color w:val="F79646" w:themeColor="accent6"/>
      </w:rPr>
    </w:pPr>
    <w:r w:rsidRPr="007D79F2">
      <w:t xml:space="preserve">Ashford </w:t>
    </w:r>
    <w:r w:rsidRPr="007D79F2">
      <w:rPr>
        <w:i/>
      </w:rPr>
      <w:t xml:space="preserve">et al </w:t>
    </w:r>
    <w:r w:rsidRPr="007D79F2">
      <w:t>Supplementary Materials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AEFC4" w14:textId="07AF673A" w:rsidR="000C49AD" w:rsidRPr="001D7CA6" w:rsidRDefault="000C49AD">
    <w:pPr>
      <w:pStyle w:val="Header"/>
      <w:rPr>
        <w:b/>
        <w:sz w:val="20"/>
        <w:szCs w:val="20"/>
      </w:rPr>
    </w:pPr>
    <w:r w:rsidRPr="001D7CA6">
      <w:rPr>
        <w:b/>
        <w:sz w:val="20"/>
        <w:szCs w:val="20"/>
      </w:rPr>
      <w:t xml:space="preserve">Ashford </w:t>
    </w:r>
    <w:r w:rsidRPr="001D7CA6">
      <w:rPr>
        <w:b/>
        <w:i/>
        <w:sz w:val="20"/>
        <w:szCs w:val="20"/>
      </w:rPr>
      <w:t>et al</w:t>
    </w:r>
    <w:r w:rsidRPr="001D7CA6">
      <w:rPr>
        <w:b/>
        <w:sz w:val="20"/>
        <w:szCs w:val="20"/>
      </w:rPr>
      <w:t xml:space="preserve"> Supplementary Materials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0539F"/>
    <w:multiLevelType w:val="hybridMultilevel"/>
    <w:tmpl w:val="E19E21BC"/>
    <w:lvl w:ilvl="0" w:tplc="9D646F8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4100F"/>
    <w:multiLevelType w:val="hybridMultilevel"/>
    <w:tmpl w:val="F9B6592E"/>
    <w:lvl w:ilvl="0" w:tplc="AA76DE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7952ED"/>
    <w:multiLevelType w:val="multilevel"/>
    <w:tmpl w:val="15C2140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rPr>
        <w:color w:val="660066"/>
      </w:rPr>
    </w:lvl>
    <w:lvl w:ilvl="3">
      <w:start w:val="1"/>
      <w:numFmt w:val="decimal"/>
      <w:lvlText w:val="%1.%2.%3.%4"/>
      <w:lvlJc w:val="left"/>
      <w:pPr>
        <w:ind w:left="1431"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E933461"/>
    <w:multiLevelType w:val="multilevel"/>
    <w:tmpl w:val="1500FA86"/>
    <w:lvl w:ilvl="0">
      <w:start w:val="1"/>
      <w:numFmt w:val="decimal"/>
      <w:lvlText w:val="%1."/>
      <w:lvlJc w:val="left"/>
      <w:pPr>
        <w:ind w:left="360" w:hanging="360"/>
      </w:pPr>
    </w:lvl>
    <w:lvl w:ilvl="1">
      <w:start w:val="1"/>
      <w:numFmt w:val="decimal"/>
      <w:pStyle w:val="Heading2-supp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0A"/>
    <w:rsid w:val="0001151D"/>
    <w:rsid w:val="00011B83"/>
    <w:rsid w:val="00025501"/>
    <w:rsid w:val="00035344"/>
    <w:rsid w:val="00044835"/>
    <w:rsid w:val="000477A5"/>
    <w:rsid w:val="00070EDB"/>
    <w:rsid w:val="00074C17"/>
    <w:rsid w:val="000B6579"/>
    <w:rsid w:val="000C37A4"/>
    <w:rsid w:val="000C49AD"/>
    <w:rsid w:val="000D138D"/>
    <w:rsid w:val="000D5905"/>
    <w:rsid w:val="000F3A1F"/>
    <w:rsid w:val="00105721"/>
    <w:rsid w:val="00116B37"/>
    <w:rsid w:val="00137257"/>
    <w:rsid w:val="00140BEC"/>
    <w:rsid w:val="00175BB8"/>
    <w:rsid w:val="00187389"/>
    <w:rsid w:val="001922FD"/>
    <w:rsid w:val="0019433D"/>
    <w:rsid w:val="001B387A"/>
    <w:rsid w:val="001B528F"/>
    <w:rsid w:val="001C140A"/>
    <w:rsid w:val="001D313D"/>
    <w:rsid w:val="001D7CA6"/>
    <w:rsid w:val="001D7E7F"/>
    <w:rsid w:val="001F195A"/>
    <w:rsid w:val="001F5AC7"/>
    <w:rsid w:val="00211278"/>
    <w:rsid w:val="00215A92"/>
    <w:rsid w:val="0024264D"/>
    <w:rsid w:val="002523BA"/>
    <w:rsid w:val="002763D4"/>
    <w:rsid w:val="00280B27"/>
    <w:rsid w:val="00282D9A"/>
    <w:rsid w:val="00294EB1"/>
    <w:rsid w:val="002A7051"/>
    <w:rsid w:val="002D248F"/>
    <w:rsid w:val="002E3B27"/>
    <w:rsid w:val="002E3FEC"/>
    <w:rsid w:val="002E75EE"/>
    <w:rsid w:val="003206C7"/>
    <w:rsid w:val="0032634C"/>
    <w:rsid w:val="00334CB4"/>
    <w:rsid w:val="00345856"/>
    <w:rsid w:val="00353072"/>
    <w:rsid w:val="0036260D"/>
    <w:rsid w:val="003812A9"/>
    <w:rsid w:val="0038784D"/>
    <w:rsid w:val="003A4F05"/>
    <w:rsid w:val="003C5255"/>
    <w:rsid w:val="003E5172"/>
    <w:rsid w:val="00406B06"/>
    <w:rsid w:val="00423FD6"/>
    <w:rsid w:val="0045449A"/>
    <w:rsid w:val="00457027"/>
    <w:rsid w:val="00480A37"/>
    <w:rsid w:val="004908EB"/>
    <w:rsid w:val="004B3888"/>
    <w:rsid w:val="004C4B94"/>
    <w:rsid w:val="004D0BE5"/>
    <w:rsid w:val="004D6C51"/>
    <w:rsid w:val="004F167C"/>
    <w:rsid w:val="004F4CB4"/>
    <w:rsid w:val="00506C75"/>
    <w:rsid w:val="00510EA9"/>
    <w:rsid w:val="005205C1"/>
    <w:rsid w:val="00541241"/>
    <w:rsid w:val="005636AF"/>
    <w:rsid w:val="005676E6"/>
    <w:rsid w:val="00577329"/>
    <w:rsid w:val="005968D7"/>
    <w:rsid w:val="005B0B78"/>
    <w:rsid w:val="005B7445"/>
    <w:rsid w:val="005E509B"/>
    <w:rsid w:val="0067442A"/>
    <w:rsid w:val="006923BE"/>
    <w:rsid w:val="006B03FF"/>
    <w:rsid w:val="006B649A"/>
    <w:rsid w:val="006D0E18"/>
    <w:rsid w:val="006E672E"/>
    <w:rsid w:val="007330CD"/>
    <w:rsid w:val="007343F8"/>
    <w:rsid w:val="007429D2"/>
    <w:rsid w:val="00770B85"/>
    <w:rsid w:val="007748C5"/>
    <w:rsid w:val="0078700C"/>
    <w:rsid w:val="007A07D4"/>
    <w:rsid w:val="007A7B58"/>
    <w:rsid w:val="007B2FD1"/>
    <w:rsid w:val="007C791B"/>
    <w:rsid w:val="007D6D74"/>
    <w:rsid w:val="007D79F2"/>
    <w:rsid w:val="008040C0"/>
    <w:rsid w:val="00812D44"/>
    <w:rsid w:val="00842C04"/>
    <w:rsid w:val="00850CE1"/>
    <w:rsid w:val="008747D0"/>
    <w:rsid w:val="00881362"/>
    <w:rsid w:val="00882598"/>
    <w:rsid w:val="008922C9"/>
    <w:rsid w:val="008C1814"/>
    <w:rsid w:val="008C450A"/>
    <w:rsid w:val="008C5CB5"/>
    <w:rsid w:val="009306FE"/>
    <w:rsid w:val="00931DA0"/>
    <w:rsid w:val="0093467E"/>
    <w:rsid w:val="00952277"/>
    <w:rsid w:val="00954936"/>
    <w:rsid w:val="00963FBC"/>
    <w:rsid w:val="009A57E2"/>
    <w:rsid w:val="009C2CE3"/>
    <w:rsid w:val="009F7592"/>
    <w:rsid w:val="00A210B3"/>
    <w:rsid w:val="00A37E12"/>
    <w:rsid w:val="00A506DA"/>
    <w:rsid w:val="00A56630"/>
    <w:rsid w:val="00A95783"/>
    <w:rsid w:val="00AA11E7"/>
    <w:rsid w:val="00AA18CB"/>
    <w:rsid w:val="00AC1443"/>
    <w:rsid w:val="00AF755D"/>
    <w:rsid w:val="00B01058"/>
    <w:rsid w:val="00B0749C"/>
    <w:rsid w:val="00B33560"/>
    <w:rsid w:val="00B34CF8"/>
    <w:rsid w:val="00B42312"/>
    <w:rsid w:val="00B51A40"/>
    <w:rsid w:val="00B861B4"/>
    <w:rsid w:val="00B93184"/>
    <w:rsid w:val="00B95652"/>
    <w:rsid w:val="00BA67C7"/>
    <w:rsid w:val="00BC3DEF"/>
    <w:rsid w:val="00BC62D2"/>
    <w:rsid w:val="00BD22BE"/>
    <w:rsid w:val="00C202EC"/>
    <w:rsid w:val="00C233AD"/>
    <w:rsid w:val="00C36BFA"/>
    <w:rsid w:val="00C76B69"/>
    <w:rsid w:val="00C809B5"/>
    <w:rsid w:val="00CB6048"/>
    <w:rsid w:val="00CD10CD"/>
    <w:rsid w:val="00CE1B73"/>
    <w:rsid w:val="00CF6C1D"/>
    <w:rsid w:val="00D43B88"/>
    <w:rsid w:val="00D4766C"/>
    <w:rsid w:val="00D73466"/>
    <w:rsid w:val="00D74C28"/>
    <w:rsid w:val="00D75CB8"/>
    <w:rsid w:val="00D83811"/>
    <w:rsid w:val="00D95A14"/>
    <w:rsid w:val="00DB0EBE"/>
    <w:rsid w:val="00E07F37"/>
    <w:rsid w:val="00E27BBE"/>
    <w:rsid w:val="00E334B8"/>
    <w:rsid w:val="00E6081F"/>
    <w:rsid w:val="00E610F1"/>
    <w:rsid w:val="00E74D33"/>
    <w:rsid w:val="00EC6829"/>
    <w:rsid w:val="00EC6FFD"/>
    <w:rsid w:val="00ED2478"/>
    <w:rsid w:val="00ED4D34"/>
    <w:rsid w:val="00EF0534"/>
    <w:rsid w:val="00EF4D6C"/>
    <w:rsid w:val="00F16E02"/>
    <w:rsid w:val="00F220A3"/>
    <w:rsid w:val="00F30608"/>
    <w:rsid w:val="00F371B2"/>
    <w:rsid w:val="00F47499"/>
    <w:rsid w:val="00F93537"/>
    <w:rsid w:val="00F96E5C"/>
    <w:rsid w:val="00FA009A"/>
    <w:rsid w:val="00FB5155"/>
    <w:rsid w:val="00FD455E"/>
    <w:rsid w:val="00FE70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B5B336"/>
  <w14:defaultImageDpi w14:val="300"/>
  <w15:docId w15:val="{E75CF705-B788-AF47-B6BB-106EDB04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qFormat/>
    <w:rsid w:val="00B51A40"/>
    <w:pPr>
      <w:spacing w:before="360" w:after="50" w:line="480" w:lineRule="auto"/>
      <w:outlineLvl w:val="0"/>
    </w:pPr>
    <w:rPr>
      <w:rFonts w:ascii="Helvetica" w:eastAsia="Times New Roman" w:hAnsi="Helvetica" w:cs="Times New Roman"/>
      <w:b/>
      <w:sz w:val="32"/>
      <w:szCs w:val="20"/>
      <w:lang w:val="en-US"/>
    </w:rPr>
  </w:style>
  <w:style w:type="paragraph" w:styleId="Heading2">
    <w:name w:val="heading 2"/>
    <w:next w:val="Normal"/>
    <w:link w:val="Heading2Char"/>
    <w:autoRedefine/>
    <w:qFormat/>
    <w:rsid w:val="00070EDB"/>
    <w:pPr>
      <w:spacing w:before="360" w:after="52" w:line="480" w:lineRule="auto"/>
      <w:outlineLvl w:val="1"/>
    </w:pPr>
    <w:rPr>
      <w:rFonts w:ascii="Times New Roman" w:eastAsia="Times New Roman" w:hAnsi="Times New Roman" w:cs="Times New Roman"/>
      <w:b/>
      <w:bCs/>
      <w:lang w:val="en-US"/>
    </w:rPr>
  </w:style>
  <w:style w:type="paragraph" w:styleId="Heading3">
    <w:name w:val="heading 3"/>
    <w:next w:val="Normal"/>
    <w:link w:val="Heading3Char"/>
    <w:qFormat/>
    <w:rsid w:val="00B51A40"/>
    <w:pPr>
      <w:spacing w:before="360" w:after="60" w:line="480" w:lineRule="auto"/>
      <w:outlineLvl w:val="2"/>
    </w:pPr>
    <w:rPr>
      <w:rFonts w:ascii="Times New Roman" w:eastAsia="Times New Roman" w:hAnsi="Times New Roman" w:cs="Times New Roman"/>
      <w:b/>
      <w:i/>
      <w:szCs w:val="22"/>
    </w:rPr>
  </w:style>
  <w:style w:type="paragraph" w:styleId="Heading4">
    <w:name w:val="heading 4"/>
    <w:next w:val="Normal"/>
    <w:link w:val="Heading4Char"/>
    <w:qFormat/>
    <w:rsid w:val="00B51A40"/>
    <w:pPr>
      <w:keepNext/>
      <w:spacing w:before="360" w:after="60" w:line="480" w:lineRule="auto"/>
      <w:outlineLvl w:val="3"/>
    </w:pPr>
    <w:rPr>
      <w:rFonts w:ascii="Times New Roman" w:eastAsia="Times New Roman" w:hAnsi="Times New Roman" w:cs="Times New Roman"/>
      <w:b/>
      <w:bCs/>
      <w:sz w:val="22"/>
      <w:szCs w:val="28"/>
    </w:rPr>
  </w:style>
  <w:style w:type="paragraph" w:styleId="Heading5">
    <w:name w:val="heading 5"/>
    <w:next w:val="Normal"/>
    <w:link w:val="Heading5Char"/>
    <w:qFormat/>
    <w:rsid w:val="00B51A40"/>
    <w:pPr>
      <w:spacing w:before="240" w:after="60" w:line="480" w:lineRule="auto"/>
      <w:outlineLvl w:val="4"/>
    </w:pPr>
    <w:rPr>
      <w:rFonts w:ascii="Times" w:eastAsia="Times New Roman" w:hAnsi="Times" w:cs="Times New Roman"/>
      <w:b/>
      <w:bCs/>
      <w:i/>
      <w:iCs/>
      <w:sz w:val="22"/>
      <w:szCs w:val="26"/>
    </w:rPr>
  </w:style>
  <w:style w:type="paragraph" w:styleId="Heading6">
    <w:name w:val="heading 6"/>
    <w:basedOn w:val="Normal"/>
    <w:next w:val="Normal"/>
    <w:link w:val="Heading6Char"/>
    <w:qFormat/>
    <w:rsid w:val="00B51A40"/>
    <w:pPr>
      <w:numPr>
        <w:ilvl w:val="5"/>
        <w:numId w:val="1"/>
      </w:numPr>
      <w:spacing w:before="240" w:after="60" w:line="240" w:lineRule="exact"/>
      <w:jc w:val="both"/>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1A40"/>
    <w:rPr>
      <w:rFonts w:ascii="Helvetica" w:eastAsia="Times New Roman" w:hAnsi="Helvetica" w:cs="Times New Roman"/>
      <w:b/>
      <w:sz w:val="32"/>
      <w:szCs w:val="20"/>
      <w:lang w:val="en-US"/>
    </w:rPr>
  </w:style>
  <w:style w:type="character" w:customStyle="1" w:styleId="Heading2Char">
    <w:name w:val="Heading 2 Char"/>
    <w:basedOn w:val="DefaultParagraphFont"/>
    <w:link w:val="Heading2"/>
    <w:rsid w:val="00070EDB"/>
    <w:rPr>
      <w:rFonts w:ascii="Times New Roman" w:eastAsia="Times New Roman" w:hAnsi="Times New Roman" w:cs="Times New Roman"/>
      <w:b/>
      <w:bCs/>
      <w:lang w:val="en-US"/>
    </w:rPr>
  </w:style>
  <w:style w:type="character" w:customStyle="1" w:styleId="Heading3Char">
    <w:name w:val="Heading 3 Char"/>
    <w:basedOn w:val="DefaultParagraphFont"/>
    <w:link w:val="Heading3"/>
    <w:rsid w:val="00B51A40"/>
    <w:rPr>
      <w:rFonts w:ascii="Times New Roman" w:eastAsia="Times New Roman" w:hAnsi="Times New Roman" w:cs="Times New Roman"/>
      <w:b/>
      <w:i/>
      <w:szCs w:val="22"/>
    </w:rPr>
  </w:style>
  <w:style w:type="character" w:customStyle="1" w:styleId="Heading4Char">
    <w:name w:val="Heading 4 Char"/>
    <w:basedOn w:val="DefaultParagraphFont"/>
    <w:link w:val="Heading4"/>
    <w:rsid w:val="00B51A40"/>
    <w:rPr>
      <w:rFonts w:ascii="Times New Roman" w:eastAsia="Times New Roman" w:hAnsi="Times New Roman" w:cs="Times New Roman"/>
      <w:b/>
      <w:bCs/>
      <w:sz w:val="22"/>
      <w:szCs w:val="28"/>
    </w:rPr>
  </w:style>
  <w:style w:type="character" w:customStyle="1" w:styleId="Heading5Char">
    <w:name w:val="Heading 5 Char"/>
    <w:basedOn w:val="DefaultParagraphFont"/>
    <w:link w:val="Heading5"/>
    <w:rsid w:val="00B51A40"/>
    <w:rPr>
      <w:rFonts w:ascii="Times" w:eastAsia="Times New Roman" w:hAnsi="Times" w:cs="Times New Roman"/>
      <w:b/>
      <w:bCs/>
      <w:i/>
      <w:iCs/>
      <w:sz w:val="22"/>
      <w:szCs w:val="26"/>
    </w:rPr>
  </w:style>
  <w:style w:type="character" w:customStyle="1" w:styleId="Heading6Char">
    <w:name w:val="Heading 6 Char"/>
    <w:basedOn w:val="DefaultParagraphFont"/>
    <w:link w:val="Heading6"/>
    <w:rsid w:val="00B51A40"/>
    <w:rPr>
      <w:rFonts w:ascii="Times New Roman" w:eastAsia="Times New Roman" w:hAnsi="Times New Roman" w:cs="Times New Roman"/>
      <w:b/>
      <w:bCs/>
      <w:sz w:val="22"/>
      <w:szCs w:val="22"/>
    </w:rPr>
  </w:style>
  <w:style w:type="paragraph" w:customStyle="1" w:styleId="para">
    <w:name w:val="para"/>
    <w:basedOn w:val="Normal"/>
    <w:link w:val="paraChar"/>
    <w:autoRedefine/>
    <w:qFormat/>
    <w:rsid w:val="006923BE"/>
    <w:pPr>
      <w:spacing w:line="480" w:lineRule="auto"/>
      <w:jc w:val="both"/>
    </w:pPr>
    <w:rPr>
      <w:rFonts w:ascii="Times New Roman" w:eastAsia="Times New Roman" w:hAnsi="Times New Roman" w:cs="Times New Roman"/>
      <w:sz w:val="22"/>
      <w:szCs w:val="22"/>
    </w:rPr>
  </w:style>
  <w:style w:type="character" w:customStyle="1" w:styleId="paraChar">
    <w:name w:val="para Char"/>
    <w:basedOn w:val="DefaultParagraphFont"/>
    <w:link w:val="para"/>
    <w:rsid w:val="006923BE"/>
    <w:rPr>
      <w:rFonts w:ascii="Times New Roman" w:eastAsia="Times New Roman" w:hAnsi="Times New Roman" w:cs="Times New Roman"/>
      <w:sz w:val="22"/>
      <w:szCs w:val="22"/>
    </w:rPr>
  </w:style>
  <w:style w:type="paragraph" w:styleId="Title">
    <w:name w:val="Title"/>
    <w:basedOn w:val="Normal"/>
    <w:next w:val="Normal"/>
    <w:link w:val="TitleChar"/>
    <w:uiPriority w:val="10"/>
    <w:qFormat/>
    <w:rsid w:val="001C140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C140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C140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1C140A"/>
    <w:rPr>
      <w:rFonts w:asciiTheme="majorHAnsi" w:eastAsiaTheme="majorEastAsia" w:hAnsiTheme="majorHAnsi" w:cstheme="majorBidi"/>
      <w:i/>
      <w:iCs/>
      <w:color w:val="4F81BD" w:themeColor="accent1"/>
      <w:spacing w:val="15"/>
    </w:rPr>
  </w:style>
  <w:style w:type="paragraph" w:styleId="Header">
    <w:name w:val="header"/>
    <w:basedOn w:val="Normal"/>
    <w:link w:val="HeaderChar"/>
    <w:uiPriority w:val="99"/>
    <w:unhideWhenUsed/>
    <w:rsid w:val="001C140A"/>
    <w:pPr>
      <w:tabs>
        <w:tab w:val="center" w:pos="4320"/>
        <w:tab w:val="right" w:pos="8640"/>
      </w:tabs>
    </w:pPr>
  </w:style>
  <w:style w:type="character" w:customStyle="1" w:styleId="HeaderChar">
    <w:name w:val="Header Char"/>
    <w:basedOn w:val="DefaultParagraphFont"/>
    <w:link w:val="Header"/>
    <w:uiPriority w:val="99"/>
    <w:rsid w:val="001C140A"/>
  </w:style>
  <w:style w:type="paragraph" w:styleId="Footer">
    <w:name w:val="footer"/>
    <w:basedOn w:val="Normal"/>
    <w:link w:val="FooterChar"/>
    <w:uiPriority w:val="99"/>
    <w:unhideWhenUsed/>
    <w:rsid w:val="001C140A"/>
    <w:pPr>
      <w:tabs>
        <w:tab w:val="center" w:pos="4320"/>
        <w:tab w:val="right" w:pos="8640"/>
      </w:tabs>
    </w:pPr>
  </w:style>
  <w:style w:type="character" w:customStyle="1" w:styleId="FooterChar">
    <w:name w:val="Footer Char"/>
    <w:basedOn w:val="DefaultParagraphFont"/>
    <w:link w:val="Footer"/>
    <w:uiPriority w:val="99"/>
    <w:rsid w:val="001C140A"/>
  </w:style>
  <w:style w:type="paragraph" w:styleId="BalloonText">
    <w:name w:val="Balloon Text"/>
    <w:basedOn w:val="Normal"/>
    <w:link w:val="BalloonTextChar"/>
    <w:uiPriority w:val="99"/>
    <w:semiHidden/>
    <w:unhideWhenUsed/>
    <w:rsid w:val="0054124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1241"/>
    <w:rPr>
      <w:rFonts w:ascii="Lucida Grande" w:hAnsi="Lucida Grande" w:cs="Lucida Grande"/>
      <w:sz w:val="18"/>
      <w:szCs w:val="18"/>
    </w:rPr>
  </w:style>
  <w:style w:type="table" w:styleId="TableGrid">
    <w:name w:val="Table Grid"/>
    <w:basedOn w:val="TableNormal"/>
    <w:uiPriority w:val="39"/>
    <w:rsid w:val="00280B2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D79F2"/>
    <w:pPr>
      <w:jc w:val="both"/>
    </w:pPr>
    <w:rPr>
      <w:rFonts w:ascii="Times New Roman" w:eastAsiaTheme="minorHAnsi" w:hAnsi="Times New Roman"/>
      <w:sz w:val="22"/>
      <w:szCs w:val="22"/>
    </w:rPr>
  </w:style>
  <w:style w:type="paragraph" w:styleId="ListParagraph">
    <w:name w:val="List Paragraph"/>
    <w:basedOn w:val="Normal"/>
    <w:uiPriority w:val="34"/>
    <w:qFormat/>
    <w:rsid w:val="005676E6"/>
    <w:pPr>
      <w:ind w:left="720"/>
      <w:contextualSpacing/>
    </w:pPr>
  </w:style>
  <w:style w:type="paragraph" w:customStyle="1" w:styleId="Heading2-suppl">
    <w:name w:val="Heading2-suppl"/>
    <w:basedOn w:val="Heading2"/>
    <w:link w:val="Heading2-supplChar"/>
    <w:qFormat/>
    <w:rsid w:val="005676E6"/>
    <w:pPr>
      <w:numPr>
        <w:ilvl w:val="1"/>
        <w:numId w:val="2"/>
      </w:numPr>
    </w:pPr>
  </w:style>
  <w:style w:type="character" w:customStyle="1" w:styleId="Heading2-supplChar">
    <w:name w:val="Heading2-suppl Char"/>
    <w:basedOn w:val="Heading2Char"/>
    <w:link w:val="Heading2-suppl"/>
    <w:rsid w:val="005676E6"/>
    <w:rPr>
      <w:rFonts w:ascii="Times New Roman" w:eastAsia="Times New Roman" w:hAnsi="Times New Roman" w:cs="Times New Roman"/>
      <w:b/>
      <w:bCs/>
      <w:color w:val="FF0000"/>
      <w:lang w:val="en-US"/>
    </w:rPr>
  </w:style>
  <w:style w:type="paragraph" w:styleId="Caption">
    <w:name w:val="caption"/>
    <w:basedOn w:val="Normal"/>
    <w:next w:val="Normal"/>
    <w:unhideWhenUsed/>
    <w:qFormat/>
    <w:rsid w:val="005676E6"/>
    <w:pPr>
      <w:spacing w:after="200"/>
      <w:jc w:val="both"/>
    </w:pPr>
    <w:rPr>
      <w:rFonts w:ascii="Times" w:eastAsia="Times New Roman" w:hAnsi="Times" w:cs="Times New Roman"/>
      <w:b/>
      <w:bCs/>
      <w:color w:val="4F81BD" w:themeColor="accent1"/>
      <w:sz w:val="18"/>
      <w:szCs w:val="18"/>
    </w:rPr>
  </w:style>
  <w:style w:type="character" w:styleId="Hyperlink">
    <w:name w:val="Hyperlink"/>
    <w:basedOn w:val="DefaultParagraphFont"/>
    <w:uiPriority w:val="99"/>
    <w:unhideWhenUsed/>
    <w:rsid w:val="001B387A"/>
    <w:rPr>
      <w:color w:val="0000FF"/>
      <w:u w:val="single"/>
    </w:rPr>
  </w:style>
  <w:style w:type="character" w:styleId="UnresolvedMention">
    <w:name w:val="Unresolved Mention"/>
    <w:basedOn w:val="DefaultParagraphFont"/>
    <w:uiPriority w:val="99"/>
    <w:semiHidden/>
    <w:unhideWhenUsed/>
    <w:rsid w:val="007A7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362896">
      <w:bodyDiv w:val="1"/>
      <w:marLeft w:val="0"/>
      <w:marRight w:val="0"/>
      <w:marTop w:val="0"/>
      <w:marBottom w:val="0"/>
      <w:divBdr>
        <w:top w:val="none" w:sz="0" w:space="0" w:color="auto"/>
        <w:left w:val="none" w:sz="0" w:space="0" w:color="auto"/>
        <w:bottom w:val="none" w:sz="0" w:space="0" w:color="auto"/>
        <w:right w:val="none" w:sz="0" w:space="0" w:color="auto"/>
      </w:divBdr>
    </w:div>
    <w:div w:id="721827411">
      <w:bodyDiv w:val="1"/>
      <w:marLeft w:val="0"/>
      <w:marRight w:val="0"/>
      <w:marTop w:val="0"/>
      <w:marBottom w:val="0"/>
      <w:divBdr>
        <w:top w:val="none" w:sz="0" w:space="0" w:color="auto"/>
        <w:left w:val="none" w:sz="0" w:space="0" w:color="auto"/>
        <w:bottom w:val="none" w:sz="0" w:space="0" w:color="auto"/>
        <w:right w:val="none" w:sz="0" w:space="0" w:color="auto"/>
      </w:divBdr>
      <w:divsChild>
        <w:div w:id="528882511">
          <w:marLeft w:val="0"/>
          <w:marRight w:val="0"/>
          <w:marTop w:val="0"/>
          <w:marBottom w:val="0"/>
          <w:divBdr>
            <w:top w:val="none" w:sz="0" w:space="0" w:color="auto"/>
            <w:left w:val="none" w:sz="0" w:space="0" w:color="auto"/>
            <w:bottom w:val="none" w:sz="0" w:space="0" w:color="auto"/>
            <w:right w:val="none" w:sz="0" w:space="0" w:color="auto"/>
          </w:divBdr>
          <w:divsChild>
            <w:div w:id="211840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44632">
      <w:bodyDiv w:val="1"/>
      <w:marLeft w:val="0"/>
      <w:marRight w:val="0"/>
      <w:marTop w:val="0"/>
      <w:marBottom w:val="0"/>
      <w:divBdr>
        <w:top w:val="none" w:sz="0" w:space="0" w:color="auto"/>
        <w:left w:val="none" w:sz="0" w:space="0" w:color="auto"/>
        <w:bottom w:val="none" w:sz="0" w:space="0" w:color="auto"/>
        <w:right w:val="none" w:sz="0" w:space="0" w:color="auto"/>
      </w:divBdr>
    </w:div>
    <w:div w:id="1300068825">
      <w:bodyDiv w:val="1"/>
      <w:marLeft w:val="0"/>
      <w:marRight w:val="0"/>
      <w:marTop w:val="0"/>
      <w:marBottom w:val="0"/>
      <w:divBdr>
        <w:top w:val="none" w:sz="0" w:space="0" w:color="auto"/>
        <w:left w:val="none" w:sz="0" w:space="0" w:color="auto"/>
        <w:bottom w:val="none" w:sz="0" w:space="0" w:color="auto"/>
        <w:right w:val="none" w:sz="0" w:space="0" w:color="auto"/>
      </w:divBdr>
      <w:divsChild>
        <w:div w:id="1078359085">
          <w:marLeft w:val="0"/>
          <w:marRight w:val="0"/>
          <w:marTop w:val="0"/>
          <w:marBottom w:val="0"/>
          <w:divBdr>
            <w:top w:val="none" w:sz="0" w:space="0" w:color="auto"/>
            <w:left w:val="none" w:sz="0" w:space="0" w:color="auto"/>
            <w:bottom w:val="none" w:sz="0" w:space="0" w:color="auto"/>
            <w:right w:val="none" w:sz="0" w:space="0" w:color="auto"/>
          </w:divBdr>
        </w:div>
        <w:div w:id="252321790">
          <w:marLeft w:val="0"/>
          <w:marRight w:val="0"/>
          <w:marTop w:val="0"/>
          <w:marBottom w:val="0"/>
          <w:divBdr>
            <w:top w:val="none" w:sz="0" w:space="0" w:color="auto"/>
            <w:left w:val="none" w:sz="0" w:space="0" w:color="auto"/>
            <w:bottom w:val="none" w:sz="0" w:space="0" w:color="auto"/>
            <w:right w:val="none" w:sz="0" w:space="0" w:color="auto"/>
          </w:divBdr>
        </w:div>
        <w:div w:id="1734935241">
          <w:marLeft w:val="0"/>
          <w:marRight w:val="0"/>
          <w:marTop w:val="0"/>
          <w:marBottom w:val="0"/>
          <w:divBdr>
            <w:top w:val="none" w:sz="0" w:space="0" w:color="auto"/>
            <w:left w:val="none" w:sz="0" w:space="0" w:color="auto"/>
            <w:bottom w:val="none" w:sz="0" w:space="0" w:color="auto"/>
            <w:right w:val="none" w:sz="0" w:space="0" w:color="auto"/>
          </w:divBdr>
        </w:div>
        <w:div w:id="1846633033">
          <w:marLeft w:val="0"/>
          <w:marRight w:val="0"/>
          <w:marTop w:val="0"/>
          <w:marBottom w:val="0"/>
          <w:divBdr>
            <w:top w:val="none" w:sz="0" w:space="0" w:color="auto"/>
            <w:left w:val="none" w:sz="0" w:space="0" w:color="auto"/>
            <w:bottom w:val="none" w:sz="0" w:space="0" w:color="auto"/>
            <w:right w:val="none" w:sz="0" w:space="0" w:color="auto"/>
          </w:divBdr>
        </w:div>
        <w:div w:id="781992453">
          <w:marLeft w:val="0"/>
          <w:marRight w:val="0"/>
          <w:marTop w:val="0"/>
          <w:marBottom w:val="0"/>
          <w:divBdr>
            <w:top w:val="none" w:sz="0" w:space="0" w:color="auto"/>
            <w:left w:val="none" w:sz="0" w:space="0" w:color="auto"/>
            <w:bottom w:val="none" w:sz="0" w:space="0" w:color="auto"/>
            <w:right w:val="none" w:sz="0" w:space="0" w:color="auto"/>
          </w:divBdr>
        </w:div>
        <w:div w:id="1537352693">
          <w:marLeft w:val="0"/>
          <w:marRight w:val="0"/>
          <w:marTop w:val="0"/>
          <w:marBottom w:val="0"/>
          <w:divBdr>
            <w:top w:val="none" w:sz="0" w:space="0" w:color="auto"/>
            <w:left w:val="none" w:sz="0" w:space="0" w:color="auto"/>
            <w:bottom w:val="none" w:sz="0" w:space="0" w:color="auto"/>
            <w:right w:val="none" w:sz="0" w:space="0" w:color="auto"/>
          </w:divBdr>
        </w:div>
        <w:div w:id="82383674">
          <w:marLeft w:val="0"/>
          <w:marRight w:val="0"/>
          <w:marTop w:val="0"/>
          <w:marBottom w:val="0"/>
          <w:divBdr>
            <w:top w:val="none" w:sz="0" w:space="0" w:color="auto"/>
            <w:left w:val="none" w:sz="0" w:space="0" w:color="auto"/>
            <w:bottom w:val="none" w:sz="0" w:space="0" w:color="auto"/>
            <w:right w:val="none" w:sz="0" w:space="0" w:color="auto"/>
          </w:divBdr>
        </w:div>
        <w:div w:id="532811120">
          <w:marLeft w:val="0"/>
          <w:marRight w:val="0"/>
          <w:marTop w:val="0"/>
          <w:marBottom w:val="0"/>
          <w:divBdr>
            <w:top w:val="none" w:sz="0" w:space="0" w:color="auto"/>
            <w:left w:val="none" w:sz="0" w:space="0" w:color="auto"/>
            <w:bottom w:val="none" w:sz="0" w:space="0" w:color="auto"/>
            <w:right w:val="none" w:sz="0" w:space="0" w:color="auto"/>
          </w:divBdr>
        </w:div>
        <w:div w:id="206065677">
          <w:marLeft w:val="0"/>
          <w:marRight w:val="0"/>
          <w:marTop w:val="0"/>
          <w:marBottom w:val="0"/>
          <w:divBdr>
            <w:top w:val="none" w:sz="0" w:space="0" w:color="auto"/>
            <w:left w:val="none" w:sz="0" w:space="0" w:color="auto"/>
            <w:bottom w:val="none" w:sz="0" w:space="0" w:color="auto"/>
            <w:right w:val="none" w:sz="0" w:space="0" w:color="auto"/>
          </w:divBdr>
        </w:div>
        <w:div w:id="379330856">
          <w:marLeft w:val="0"/>
          <w:marRight w:val="0"/>
          <w:marTop w:val="0"/>
          <w:marBottom w:val="0"/>
          <w:divBdr>
            <w:top w:val="none" w:sz="0" w:space="0" w:color="auto"/>
            <w:left w:val="none" w:sz="0" w:space="0" w:color="auto"/>
            <w:bottom w:val="none" w:sz="0" w:space="0" w:color="auto"/>
            <w:right w:val="none" w:sz="0" w:space="0" w:color="auto"/>
          </w:divBdr>
        </w:div>
        <w:div w:id="2084911005">
          <w:marLeft w:val="0"/>
          <w:marRight w:val="0"/>
          <w:marTop w:val="0"/>
          <w:marBottom w:val="0"/>
          <w:divBdr>
            <w:top w:val="none" w:sz="0" w:space="0" w:color="auto"/>
            <w:left w:val="none" w:sz="0" w:space="0" w:color="auto"/>
            <w:bottom w:val="none" w:sz="0" w:space="0" w:color="auto"/>
            <w:right w:val="none" w:sz="0" w:space="0" w:color="auto"/>
          </w:divBdr>
        </w:div>
        <w:div w:id="539784826">
          <w:marLeft w:val="0"/>
          <w:marRight w:val="0"/>
          <w:marTop w:val="0"/>
          <w:marBottom w:val="0"/>
          <w:divBdr>
            <w:top w:val="none" w:sz="0" w:space="0" w:color="auto"/>
            <w:left w:val="none" w:sz="0" w:space="0" w:color="auto"/>
            <w:bottom w:val="none" w:sz="0" w:space="0" w:color="auto"/>
            <w:right w:val="none" w:sz="0" w:space="0" w:color="auto"/>
          </w:divBdr>
        </w:div>
        <w:div w:id="1085148535">
          <w:marLeft w:val="0"/>
          <w:marRight w:val="0"/>
          <w:marTop w:val="0"/>
          <w:marBottom w:val="0"/>
          <w:divBdr>
            <w:top w:val="none" w:sz="0" w:space="0" w:color="auto"/>
            <w:left w:val="none" w:sz="0" w:space="0" w:color="auto"/>
            <w:bottom w:val="none" w:sz="0" w:space="0" w:color="auto"/>
            <w:right w:val="none" w:sz="0" w:space="0" w:color="auto"/>
          </w:divBdr>
        </w:div>
        <w:div w:id="667102254">
          <w:marLeft w:val="0"/>
          <w:marRight w:val="0"/>
          <w:marTop w:val="0"/>
          <w:marBottom w:val="0"/>
          <w:divBdr>
            <w:top w:val="none" w:sz="0" w:space="0" w:color="auto"/>
            <w:left w:val="none" w:sz="0" w:space="0" w:color="auto"/>
            <w:bottom w:val="none" w:sz="0" w:space="0" w:color="auto"/>
            <w:right w:val="none" w:sz="0" w:space="0" w:color="auto"/>
          </w:divBdr>
        </w:div>
        <w:div w:id="1666083237">
          <w:marLeft w:val="0"/>
          <w:marRight w:val="0"/>
          <w:marTop w:val="0"/>
          <w:marBottom w:val="0"/>
          <w:divBdr>
            <w:top w:val="none" w:sz="0" w:space="0" w:color="auto"/>
            <w:left w:val="none" w:sz="0" w:space="0" w:color="auto"/>
            <w:bottom w:val="none" w:sz="0" w:space="0" w:color="auto"/>
            <w:right w:val="none" w:sz="0" w:space="0" w:color="auto"/>
          </w:divBdr>
        </w:div>
        <w:div w:id="174810964">
          <w:marLeft w:val="0"/>
          <w:marRight w:val="0"/>
          <w:marTop w:val="0"/>
          <w:marBottom w:val="0"/>
          <w:divBdr>
            <w:top w:val="none" w:sz="0" w:space="0" w:color="auto"/>
            <w:left w:val="none" w:sz="0" w:space="0" w:color="auto"/>
            <w:bottom w:val="none" w:sz="0" w:space="0" w:color="auto"/>
            <w:right w:val="none" w:sz="0" w:space="0" w:color="auto"/>
          </w:divBdr>
        </w:div>
        <w:div w:id="591623012">
          <w:marLeft w:val="0"/>
          <w:marRight w:val="0"/>
          <w:marTop w:val="0"/>
          <w:marBottom w:val="0"/>
          <w:divBdr>
            <w:top w:val="none" w:sz="0" w:space="0" w:color="auto"/>
            <w:left w:val="none" w:sz="0" w:space="0" w:color="auto"/>
            <w:bottom w:val="none" w:sz="0" w:space="0" w:color="auto"/>
            <w:right w:val="none" w:sz="0" w:space="0" w:color="auto"/>
          </w:divBdr>
        </w:div>
        <w:div w:id="2128500043">
          <w:marLeft w:val="0"/>
          <w:marRight w:val="0"/>
          <w:marTop w:val="0"/>
          <w:marBottom w:val="0"/>
          <w:divBdr>
            <w:top w:val="none" w:sz="0" w:space="0" w:color="auto"/>
            <w:left w:val="none" w:sz="0" w:space="0" w:color="auto"/>
            <w:bottom w:val="none" w:sz="0" w:space="0" w:color="auto"/>
            <w:right w:val="none" w:sz="0" w:space="0" w:color="auto"/>
          </w:divBdr>
        </w:div>
        <w:div w:id="796220933">
          <w:marLeft w:val="0"/>
          <w:marRight w:val="0"/>
          <w:marTop w:val="0"/>
          <w:marBottom w:val="0"/>
          <w:divBdr>
            <w:top w:val="none" w:sz="0" w:space="0" w:color="auto"/>
            <w:left w:val="none" w:sz="0" w:space="0" w:color="auto"/>
            <w:bottom w:val="none" w:sz="0" w:space="0" w:color="auto"/>
            <w:right w:val="none" w:sz="0" w:space="0" w:color="auto"/>
          </w:divBdr>
        </w:div>
        <w:div w:id="413205593">
          <w:marLeft w:val="0"/>
          <w:marRight w:val="0"/>
          <w:marTop w:val="0"/>
          <w:marBottom w:val="0"/>
          <w:divBdr>
            <w:top w:val="none" w:sz="0" w:space="0" w:color="auto"/>
            <w:left w:val="none" w:sz="0" w:space="0" w:color="auto"/>
            <w:bottom w:val="none" w:sz="0" w:space="0" w:color="auto"/>
            <w:right w:val="none" w:sz="0" w:space="0" w:color="auto"/>
          </w:divBdr>
        </w:div>
      </w:divsChild>
    </w:div>
    <w:div w:id="1963460666">
      <w:bodyDiv w:val="1"/>
      <w:marLeft w:val="0"/>
      <w:marRight w:val="0"/>
      <w:marTop w:val="0"/>
      <w:marBottom w:val="0"/>
      <w:divBdr>
        <w:top w:val="none" w:sz="0" w:space="0" w:color="auto"/>
        <w:left w:val="none" w:sz="0" w:space="0" w:color="auto"/>
        <w:bottom w:val="none" w:sz="0" w:space="0" w:color="auto"/>
        <w:right w:val="none" w:sz="0" w:space="0" w:color="auto"/>
      </w:divBdr>
      <w:divsChild>
        <w:div w:id="2014800219">
          <w:marLeft w:val="0"/>
          <w:marRight w:val="0"/>
          <w:marTop w:val="0"/>
          <w:marBottom w:val="0"/>
          <w:divBdr>
            <w:top w:val="none" w:sz="0" w:space="0" w:color="auto"/>
            <w:left w:val="none" w:sz="0" w:space="0" w:color="auto"/>
            <w:bottom w:val="none" w:sz="0" w:space="0" w:color="auto"/>
            <w:right w:val="none" w:sz="0" w:space="0" w:color="auto"/>
          </w:divBdr>
          <w:divsChild>
            <w:div w:id="58348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1293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hyperlink" Target="https://paulashford.github.io/mutfam.github.io/" TargetMode="Externa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paulashford.github.io/mutfam.github.io/" TargetMode="Externa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30</Pages>
  <Words>8523</Words>
  <Characters>48587</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56997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Ashford</dc:creator>
  <cp:keywords/>
  <dc:description/>
  <cp:lastModifiedBy>Ashford, Paul</cp:lastModifiedBy>
  <cp:revision>13</cp:revision>
  <cp:lastPrinted>2018-08-10T18:23:00Z</cp:lastPrinted>
  <dcterms:created xsi:type="dcterms:W3CDTF">2018-10-30T19:07:00Z</dcterms:created>
  <dcterms:modified xsi:type="dcterms:W3CDTF">2018-10-31T12:16:00Z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id="http://www.zotero.org/styles/nature"/&gt;&lt;hasBiblio/&gt;&lt;format class="21"/&gt;&lt;count citations="18" publications="17"/&gt;&lt;/info&gt;PAPERS2_INFO_END</vt:lpwstr>
  </property>
</Properties>
</file>