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5D3" w:rsidRDefault="008B45D3" w:rsidP="003C7AF4">
      <w:pPr>
        <w:pStyle w:val="NoSpacing"/>
        <w:spacing w:line="480" w:lineRule="auto"/>
        <w:jc w:val="both"/>
        <w:rPr>
          <w:b/>
          <w:szCs w:val="24"/>
        </w:rPr>
      </w:pPr>
      <w:bookmarkStart w:id="0" w:name="h.gjdgxs" w:colFirst="0" w:colLast="0"/>
      <w:bookmarkEnd w:id="0"/>
      <w:r w:rsidRPr="008B45D3">
        <w:rPr>
          <w:b/>
          <w:szCs w:val="24"/>
        </w:rPr>
        <w:t xml:space="preserve">Enhanced </w:t>
      </w:r>
      <w:proofErr w:type="gramStart"/>
      <w:r w:rsidRPr="008B45D3">
        <w:rPr>
          <w:b/>
          <w:szCs w:val="24"/>
        </w:rPr>
        <w:t>Electrochemical</w:t>
      </w:r>
      <w:proofErr w:type="gramEnd"/>
      <w:r w:rsidRPr="008B45D3">
        <w:rPr>
          <w:b/>
          <w:szCs w:val="24"/>
        </w:rPr>
        <w:t xml:space="preserve"> performance at high temperature of Cobalt Oxide/Reduced Graphene Oxide Nanocomposites and its application in lithium-ion batteries</w:t>
      </w:r>
    </w:p>
    <w:p w:rsidR="003C7AF4" w:rsidRPr="00F93E6B" w:rsidRDefault="003C7AF4" w:rsidP="003C7AF4">
      <w:pPr>
        <w:pStyle w:val="NoSpacing"/>
        <w:spacing w:line="480" w:lineRule="auto"/>
        <w:jc w:val="both"/>
        <w:rPr>
          <w:szCs w:val="24"/>
        </w:rPr>
      </w:pPr>
      <w:r w:rsidRPr="00F93E6B">
        <w:rPr>
          <w:szCs w:val="24"/>
        </w:rPr>
        <w:t>Yasmin Mussa</w:t>
      </w:r>
      <w:r w:rsidRPr="00F93E6B">
        <w:rPr>
          <w:szCs w:val="24"/>
          <w:vertAlign w:val="superscript"/>
        </w:rPr>
        <w:t>1</w:t>
      </w:r>
      <w:r w:rsidRPr="00F93E6B">
        <w:rPr>
          <w:szCs w:val="24"/>
        </w:rPr>
        <w:t>, Faheem Ahmed</w:t>
      </w:r>
      <w:r w:rsidRPr="00F93E6B">
        <w:rPr>
          <w:szCs w:val="24"/>
          <w:vertAlign w:val="superscript"/>
        </w:rPr>
        <w:t>1</w:t>
      </w:r>
      <w:r w:rsidRPr="00F93E6B">
        <w:rPr>
          <w:szCs w:val="24"/>
        </w:rPr>
        <w:t>, Hatem Abuhimd</w:t>
      </w:r>
      <w:r w:rsidRPr="00F93E6B">
        <w:rPr>
          <w:szCs w:val="24"/>
          <w:vertAlign w:val="superscript"/>
        </w:rPr>
        <w:t>2</w:t>
      </w:r>
      <w:r w:rsidRPr="00F93E6B">
        <w:rPr>
          <w:szCs w:val="24"/>
        </w:rPr>
        <w:t xml:space="preserve"> Muhammad Arsalan</w:t>
      </w:r>
      <w:r w:rsidRPr="00F93E6B">
        <w:rPr>
          <w:szCs w:val="24"/>
          <w:vertAlign w:val="superscript"/>
        </w:rPr>
        <w:t>3</w:t>
      </w:r>
      <w:r w:rsidRPr="00F93E6B">
        <w:rPr>
          <w:szCs w:val="24"/>
        </w:rPr>
        <w:t xml:space="preserve">, </w:t>
      </w:r>
      <w:proofErr w:type="spellStart"/>
      <w:r w:rsidRPr="00F93E6B">
        <w:rPr>
          <w:szCs w:val="24"/>
        </w:rPr>
        <w:t>Edreese</w:t>
      </w:r>
      <w:proofErr w:type="spellEnd"/>
      <w:r w:rsidRPr="00F93E6B">
        <w:rPr>
          <w:szCs w:val="24"/>
        </w:rPr>
        <w:t xml:space="preserve"> </w:t>
      </w:r>
      <w:proofErr w:type="spellStart"/>
      <w:r w:rsidRPr="00F93E6B">
        <w:rPr>
          <w:szCs w:val="24"/>
        </w:rPr>
        <w:t>Alsharaeh</w:t>
      </w:r>
      <w:proofErr w:type="spellEnd"/>
      <w:r w:rsidRPr="00F93E6B">
        <w:rPr>
          <w:szCs w:val="24"/>
        </w:rPr>
        <w:t>*</w:t>
      </w:r>
      <w:r w:rsidRPr="00F93E6B">
        <w:rPr>
          <w:szCs w:val="24"/>
          <w:vertAlign w:val="superscript"/>
        </w:rPr>
        <w:t>1</w:t>
      </w:r>
    </w:p>
    <w:p w:rsidR="003C7AF4" w:rsidRPr="00F93E6B" w:rsidRDefault="003C7AF4" w:rsidP="003C7AF4">
      <w:pPr>
        <w:pStyle w:val="NoSpacing"/>
        <w:spacing w:line="480" w:lineRule="auto"/>
        <w:jc w:val="both"/>
        <w:rPr>
          <w:szCs w:val="24"/>
        </w:rPr>
      </w:pPr>
      <w:r w:rsidRPr="00F93E6B">
        <w:rPr>
          <w:szCs w:val="24"/>
          <w:vertAlign w:val="superscript"/>
        </w:rPr>
        <w:t>1</w:t>
      </w:r>
      <w:r w:rsidRPr="00F93E6B">
        <w:rPr>
          <w:szCs w:val="24"/>
        </w:rPr>
        <w:t xml:space="preserve">College of Science and General Studies, </w:t>
      </w:r>
      <w:proofErr w:type="spellStart"/>
      <w:r w:rsidRPr="00F93E6B">
        <w:rPr>
          <w:szCs w:val="24"/>
        </w:rPr>
        <w:t>Alfaisal</w:t>
      </w:r>
      <w:proofErr w:type="spellEnd"/>
      <w:r w:rsidRPr="00F93E6B">
        <w:rPr>
          <w:szCs w:val="24"/>
        </w:rPr>
        <w:t xml:space="preserve"> University, P.O. Box 50927, Riyadh, 11533, Saudi Arabia</w:t>
      </w:r>
    </w:p>
    <w:p w:rsidR="003C7AF4" w:rsidRPr="00F93E6B" w:rsidRDefault="003C7AF4" w:rsidP="003C7AF4">
      <w:pPr>
        <w:pStyle w:val="NoSpacing"/>
        <w:spacing w:line="480" w:lineRule="auto"/>
        <w:jc w:val="both"/>
        <w:rPr>
          <w:szCs w:val="24"/>
        </w:rPr>
      </w:pPr>
      <w:r w:rsidRPr="00F93E6B">
        <w:rPr>
          <w:szCs w:val="24"/>
          <w:vertAlign w:val="superscript"/>
        </w:rPr>
        <w:t>2</w:t>
      </w:r>
      <w:r w:rsidRPr="00F93E6B">
        <w:rPr>
          <w:szCs w:val="24"/>
        </w:rPr>
        <w:t xml:space="preserve">National Nanotechnology Center, King </w:t>
      </w:r>
      <w:proofErr w:type="spellStart"/>
      <w:r w:rsidRPr="00F93E6B">
        <w:rPr>
          <w:szCs w:val="24"/>
        </w:rPr>
        <w:t>Abdulaziz</w:t>
      </w:r>
      <w:proofErr w:type="spellEnd"/>
      <w:r w:rsidRPr="00F93E6B">
        <w:rPr>
          <w:szCs w:val="24"/>
        </w:rPr>
        <w:t xml:space="preserve"> City for Science and Technology, P.O</w:t>
      </w:r>
      <w:r>
        <w:rPr>
          <w:szCs w:val="24"/>
        </w:rPr>
        <w:t>.</w:t>
      </w:r>
      <w:r w:rsidRPr="00F93E6B">
        <w:rPr>
          <w:szCs w:val="24"/>
        </w:rPr>
        <w:t xml:space="preserve"> Box 6086, Riyadh 11442, Saudi Arabia</w:t>
      </w:r>
    </w:p>
    <w:p w:rsidR="003C7AF4" w:rsidRPr="00F93E6B" w:rsidRDefault="003C7AF4" w:rsidP="003C7AF4">
      <w:pPr>
        <w:pStyle w:val="NoSpacing"/>
        <w:spacing w:line="480" w:lineRule="auto"/>
        <w:jc w:val="both"/>
        <w:rPr>
          <w:szCs w:val="24"/>
        </w:rPr>
      </w:pPr>
      <w:r w:rsidRPr="00F93E6B">
        <w:rPr>
          <w:szCs w:val="24"/>
          <w:vertAlign w:val="superscript"/>
        </w:rPr>
        <w:t>3</w:t>
      </w:r>
      <w:r w:rsidRPr="00F93E6B">
        <w:rPr>
          <w:szCs w:val="24"/>
        </w:rPr>
        <w:t>EXPEC Advanced Research Center, Saudi Aramco, P.O. Box 5000, Dhahran, 31311, Saudi Arabia</w:t>
      </w:r>
    </w:p>
    <w:p w:rsidR="003C7AF4" w:rsidRPr="00F93E6B" w:rsidRDefault="003C7AF4" w:rsidP="003C7AF4">
      <w:pPr>
        <w:pStyle w:val="NoSpacing"/>
        <w:spacing w:line="480" w:lineRule="auto"/>
        <w:jc w:val="both"/>
        <w:rPr>
          <w:szCs w:val="24"/>
        </w:rPr>
      </w:pPr>
      <w:r w:rsidRPr="00F93E6B">
        <w:rPr>
          <w:szCs w:val="24"/>
        </w:rPr>
        <w:t>*</w:t>
      </w:r>
      <w:hyperlink r:id="rId4">
        <w:r w:rsidRPr="00F93E6B">
          <w:rPr>
            <w:szCs w:val="24"/>
          </w:rPr>
          <w:t>ealsharaeh@alfaisal.edu</w:t>
        </w:r>
      </w:hyperlink>
    </w:p>
    <w:p w:rsidR="00F959E0" w:rsidRPr="00F93E6B" w:rsidRDefault="00F959E0" w:rsidP="00F959E0">
      <w:pPr>
        <w:pStyle w:val="NoSpacing"/>
        <w:keepNext/>
        <w:spacing w:line="480" w:lineRule="auto"/>
        <w:rPr>
          <w:szCs w:val="24"/>
        </w:rPr>
      </w:pPr>
      <w:r w:rsidRPr="00F93E6B">
        <w:rPr>
          <w:noProof/>
          <w:szCs w:val="24"/>
          <w:lang w:val="en-GB" w:eastAsia="en-GB"/>
        </w:rPr>
        <w:lastRenderedPageBreak/>
        <w:drawing>
          <wp:inline distT="0" distB="0" distL="0" distR="0" wp14:anchorId="58C4ED76" wp14:editId="15D6BA10">
            <wp:extent cx="5733288" cy="5040381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288" cy="504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9E0" w:rsidRPr="00F93E6B" w:rsidRDefault="009059D8" w:rsidP="00BE05C7">
      <w:pPr>
        <w:pStyle w:val="Caption"/>
        <w:spacing w:after="0" w:line="48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bookmarkStart w:id="1" w:name="_Ref515458481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Figure</w:t>
      </w:r>
      <w:r w:rsidR="00F959E0" w:rsidRPr="00F93E6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 </w:t>
      </w:r>
      <w:bookmarkEnd w:id="1"/>
      <w:r w:rsidR="00BE05C7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S1</w:t>
      </w:r>
      <w:r w:rsidR="00F959E0" w:rsidRPr="00F93E6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: Coulombic efficiency of </w:t>
      </w:r>
      <w:r w:rsidR="00F959E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the </w:t>
      </w:r>
      <w:r w:rsidR="00F959E0" w:rsidRPr="00F93E6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Co</w:t>
      </w:r>
      <w:r w:rsidR="00F959E0" w:rsidRPr="00F93E6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vertAlign w:val="subscript"/>
          <w:lang w:val="en-US"/>
        </w:rPr>
        <w:t>3</w:t>
      </w:r>
      <w:r w:rsidR="00F959E0" w:rsidRPr="00F93E6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O</w:t>
      </w:r>
      <w:r w:rsidR="00F959E0" w:rsidRPr="00F93E6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vertAlign w:val="subscript"/>
          <w:lang w:val="en-US"/>
        </w:rPr>
        <w:t>4</w:t>
      </w:r>
      <w:r w:rsidR="00F959E0" w:rsidRPr="00F93E6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 nanoparticles </w:t>
      </w:r>
      <w:r w:rsidR="00F959E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over</w:t>
      </w:r>
      <w:r w:rsidR="00F959E0" w:rsidRPr="00F93E6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 50 cycles.</w:t>
      </w:r>
    </w:p>
    <w:p w:rsidR="00C65C4D" w:rsidRDefault="009063DD">
      <w:pPr>
        <w:rPr>
          <w:lang w:val="en-US"/>
        </w:rPr>
      </w:pPr>
    </w:p>
    <w:p w:rsidR="000403A4" w:rsidRPr="003C1946" w:rsidRDefault="000403A4" w:rsidP="000403A4">
      <w:pPr>
        <w:rPr>
          <w:rFonts w:ascii="Times New Roman" w:hAnsi="Times New Roman" w:cs="Times New Roman"/>
          <w:sz w:val="24"/>
          <w:szCs w:val="24"/>
        </w:rPr>
      </w:pPr>
      <w:r w:rsidRPr="003C1946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41EFAEA1" wp14:editId="230B35E0">
            <wp:extent cx="5731510" cy="476999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6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3A4" w:rsidRPr="003C1946" w:rsidRDefault="009059D8" w:rsidP="00BE05C7">
      <w:pPr>
        <w:rPr>
          <w:rFonts w:ascii="Times New Roman" w:hAnsi="Times New Roman" w:cs="Times New Roman"/>
          <w:sz w:val="24"/>
          <w:szCs w:val="24"/>
        </w:rPr>
      </w:pPr>
      <w:r w:rsidRPr="009063DD">
        <w:rPr>
          <w:rFonts w:ascii="Times New Roman" w:hAnsi="Times New Roman" w:cs="Times New Roman"/>
          <w:sz w:val="24"/>
          <w:szCs w:val="24"/>
        </w:rPr>
        <w:t>Figure</w:t>
      </w:r>
      <w:r w:rsidR="000403A4" w:rsidRPr="009063DD">
        <w:rPr>
          <w:rFonts w:ascii="Times New Roman" w:hAnsi="Times New Roman" w:cs="Times New Roman"/>
          <w:sz w:val="24"/>
          <w:szCs w:val="24"/>
        </w:rPr>
        <w:t xml:space="preserve"> </w:t>
      </w:r>
      <w:r w:rsidR="00BE05C7" w:rsidRPr="009063DD">
        <w:rPr>
          <w:rFonts w:ascii="Times New Roman" w:hAnsi="Times New Roman" w:cs="Times New Roman"/>
          <w:sz w:val="24"/>
          <w:szCs w:val="24"/>
        </w:rPr>
        <w:t>S2</w:t>
      </w:r>
      <w:r w:rsidR="000403A4" w:rsidRPr="009063DD">
        <w:rPr>
          <w:rFonts w:ascii="Times New Roman" w:hAnsi="Times New Roman" w:cs="Times New Roman"/>
          <w:sz w:val="24"/>
          <w:szCs w:val="24"/>
        </w:rPr>
        <w:t>: CV of the Co</w:t>
      </w:r>
      <w:r w:rsidR="000403A4" w:rsidRPr="009063D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403A4" w:rsidRPr="009063DD">
        <w:rPr>
          <w:rFonts w:ascii="Times New Roman" w:hAnsi="Times New Roman" w:cs="Times New Roman"/>
          <w:sz w:val="24"/>
          <w:szCs w:val="24"/>
        </w:rPr>
        <w:t>O</w:t>
      </w:r>
      <w:r w:rsidR="000403A4" w:rsidRPr="009063D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0403A4" w:rsidRPr="009063DD">
        <w:rPr>
          <w:rFonts w:ascii="Times New Roman" w:hAnsi="Times New Roman" w:cs="Times New Roman"/>
          <w:sz w:val="24"/>
          <w:szCs w:val="24"/>
        </w:rPr>
        <w:t>/RGO nanocomposites at 0.1 mV/s.</w:t>
      </w:r>
    </w:p>
    <w:p w:rsidR="000403A4" w:rsidRPr="003C1946" w:rsidRDefault="000403A4" w:rsidP="000403A4">
      <w:pPr>
        <w:rPr>
          <w:rFonts w:ascii="Times New Roman" w:hAnsi="Times New Roman" w:cs="Times New Roman"/>
          <w:sz w:val="24"/>
          <w:szCs w:val="24"/>
        </w:rPr>
      </w:pPr>
    </w:p>
    <w:p w:rsidR="000403A4" w:rsidRPr="003C1946" w:rsidRDefault="000403A4" w:rsidP="000403A4">
      <w:pPr>
        <w:rPr>
          <w:rFonts w:ascii="Times New Roman" w:hAnsi="Times New Roman" w:cs="Times New Roman"/>
          <w:sz w:val="24"/>
          <w:szCs w:val="24"/>
        </w:rPr>
      </w:pPr>
      <w:r w:rsidRPr="003C1946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01E8E9F" wp14:editId="2F521EBD">
            <wp:extent cx="5733288" cy="485695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288" cy="485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3A4" w:rsidRPr="003C1946" w:rsidRDefault="009059D8" w:rsidP="00BE05C7">
      <w:pPr>
        <w:pStyle w:val="NoSpacing"/>
        <w:spacing w:line="480" w:lineRule="auto"/>
        <w:jc w:val="both"/>
        <w:rPr>
          <w:szCs w:val="24"/>
        </w:rPr>
      </w:pPr>
      <w:r w:rsidRPr="009063DD">
        <w:rPr>
          <w:szCs w:val="24"/>
        </w:rPr>
        <w:t>Figure</w:t>
      </w:r>
      <w:r w:rsidR="000403A4" w:rsidRPr="009063DD">
        <w:rPr>
          <w:szCs w:val="24"/>
        </w:rPr>
        <w:t xml:space="preserve"> </w:t>
      </w:r>
      <w:r w:rsidR="00BE05C7" w:rsidRPr="009063DD">
        <w:rPr>
          <w:szCs w:val="24"/>
        </w:rPr>
        <w:t>S3</w:t>
      </w:r>
      <w:r w:rsidR="000403A4" w:rsidRPr="009063DD">
        <w:rPr>
          <w:szCs w:val="24"/>
        </w:rPr>
        <w:t>: Nyquist plots of the Co</w:t>
      </w:r>
      <w:r w:rsidR="000403A4" w:rsidRPr="009063DD">
        <w:rPr>
          <w:szCs w:val="24"/>
          <w:vertAlign w:val="subscript"/>
        </w:rPr>
        <w:t>3</w:t>
      </w:r>
      <w:r w:rsidR="000403A4" w:rsidRPr="009063DD">
        <w:rPr>
          <w:szCs w:val="24"/>
        </w:rPr>
        <w:t>O</w:t>
      </w:r>
      <w:r w:rsidR="000403A4" w:rsidRPr="009063DD">
        <w:rPr>
          <w:szCs w:val="24"/>
          <w:vertAlign w:val="subscript"/>
        </w:rPr>
        <w:t>4</w:t>
      </w:r>
      <w:r w:rsidR="000403A4" w:rsidRPr="009063DD">
        <w:rPr>
          <w:szCs w:val="24"/>
        </w:rPr>
        <w:t>/RGO nanocomposites after 100 charge/discharge cycles performed at 100 mA/g.</w:t>
      </w:r>
      <w:bookmarkStart w:id="2" w:name="_GoBack"/>
      <w:bookmarkEnd w:id="2"/>
    </w:p>
    <w:p w:rsidR="000403A4" w:rsidRPr="00F959E0" w:rsidRDefault="000403A4">
      <w:pPr>
        <w:rPr>
          <w:lang w:val="en-US"/>
        </w:rPr>
      </w:pPr>
    </w:p>
    <w:sectPr w:rsidR="000403A4" w:rsidRPr="00F959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450"/>
    <w:rsid w:val="000403A4"/>
    <w:rsid w:val="0006798E"/>
    <w:rsid w:val="003C7AF4"/>
    <w:rsid w:val="007855F7"/>
    <w:rsid w:val="008B45D3"/>
    <w:rsid w:val="009059D8"/>
    <w:rsid w:val="009063DD"/>
    <w:rsid w:val="00984A3B"/>
    <w:rsid w:val="00BE05C7"/>
    <w:rsid w:val="00D05450"/>
    <w:rsid w:val="00E46EDC"/>
    <w:rsid w:val="00F9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A2B650-0B9D-4AE9-B1DA-5C37B8A0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59E0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8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F959E0"/>
    <w:pPr>
      <w:spacing w:after="120" w:line="240" w:lineRule="auto"/>
      <w:jc w:val="both"/>
    </w:pPr>
    <w:rPr>
      <w:rFonts w:eastAsiaTheme="minorEastAsia"/>
      <w:b/>
      <w:b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mailto:ealsharaeh@alfaisal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Yasmin Mussa Ahmed Mussa</dc:creator>
  <cp:lastModifiedBy>Y M</cp:lastModifiedBy>
  <cp:revision>2</cp:revision>
  <cp:lastPrinted>2018-09-01T00:39:00Z</cp:lastPrinted>
  <dcterms:created xsi:type="dcterms:W3CDTF">2018-10-24T18:49:00Z</dcterms:created>
  <dcterms:modified xsi:type="dcterms:W3CDTF">2018-10-24T18:49:00Z</dcterms:modified>
</cp:coreProperties>
</file>