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C0" w:rsidRDefault="006976C0" w:rsidP="006976C0">
      <w:pPr>
        <w:rPr>
          <w:rFonts w:ascii="Times New Roman" w:eastAsia="Times New Roman" w:hAnsi="Times New Roman" w:cs="Times New Roman"/>
          <w:b/>
          <w:bCs/>
        </w:rPr>
      </w:pPr>
      <w:r w:rsidRPr="13CFD10F">
        <w:rPr>
          <w:rFonts w:ascii="Times New Roman" w:eastAsia="Times New Roman" w:hAnsi="Times New Roman" w:cs="Times New Roman"/>
          <w:b/>
          <w:bCs/>
        </w:rPr>
        <w:t>Frequency conversion of microwave signal without direct bias current using nanoscale magnetic tunnel junctions.</w:t>
      </w:r>
    </w:p>
    <w:p w:rsidR="006976C0" w:rsidRDefault="006976C0" w:rsidP="006976C0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J.M. Algarin</w:t>
      </w:r>
      <w:r w:rsidRPr="00744293">
        <w:rPr>
          <w:rFonts w:ascii="Times New Roman" w:eastAsia="Times New Roman" w:hAnsi="Times New Roman" w:cs="Times New Roman"/>
          <w:bCs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</w:rPr>
        <w:t>, B. Ramaswamy</w:t>
      </w:r>
      <w:r w:rsidRPr="00744293">
        <w:rPr>
          <w:rFonts w:ascii="Times New Roman" w:eastAsia="Times New Roman" w:hAnsi="Times New Roman" w:cs="Times New Roman"/>
          <w:bCs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</w:rPr>
        <w:t>, I.N. Weinberg</w:t>
      </w:r>
      <w:r w:rsidRPr="00744293">
        <w:rPr>
          <w:rFonts w:ascii="Times New Roman" w:eastAsia="Times New Roman" w:hAnsi="Times New Roman" w:cs="Times New Roman"/>
          <w:bCs/>
          <w:vertAlign w:val="superscript"/>
        </w:rPr>
        <w:t>3</w:t>
      </w:r>
      <w:r>
        <w:rPr>
          <w:rFonts w:ascii="Times New Roman" w:eastAsia="Times New Roman" w:hAnsi="Times New Roman" w:cs="Times New Roman"/>
          <w:bCs/>
        </w:rPr>
        <w:t>, Y.J. Chen</w:t>
      </w:r>
      <w:r w:rsidRPr="00744293">
        <w:rPr>
          <w:rFonts w:ascii="Times New Roman" w:eastAsia="Times New Roman" w:hAnsi="Times New Roman" w:cs="Times New Roman"/>
          <w:bCs/>
          <w:vertAlign w:val="superscript"/>
        </w:rPr>
        <w:t>4</w:t>
      </w:r>
      <w:r>
        <w:rPr>
          <w:rFonts w:ascii="Times New Roman" w:eastAsia="Times New Roman" w:hAnsi="Times New Roman" w:cs="Times New Roman"/>
          <w:bCs/>
        </w:rPr>
        <w:t>, I.N. Krivorotov</w:t>
      </w:r>
      <w:r w:rsidRPr="00744293">
        <w:rPr>
          <w:rFonts w:ascii="Times New Roman" w:eastAsia="Times New Roman" w:hAnsi="Times New Roman" w:cs="Times New Roman"/>
          <w:bCs/>
          <w:vertAlign w:val="superscript"/>
        </w:rPr>
        <w:t>4</w:t>
      </w:r>
      <w:r>
        <w:rPr>
          <w:rFonts w:ascii="Times New Roman" w:eastAsia="Times New Roman" w:hAnsi="Times New Roman" w:cs="Times New Roman"/>
          <w:bCs/>
        </w:rPr>
        <w:t>, J. A. Katine</w:t>
      </w:r>
      <w:r w:rsidRPr="00744293">
        <w:rPr>
          <w:rFonts w:ascii="Times New Roman" w:eastAsia="Times New Roman" w:hAnsi="Times New Roman" w:cs="Times New Roman"/>
          <w:bCs/>
          <w:vertAlign w:val="superscript"/>
        </w:rPr>
        <w:t>5</w:t>
      </w:r>
      <w:r>
        <w:rPr>
          <w:rFonts w:ascii="Times New Roman" w:eastAsia="Times New Roman" w:hAnsi="Times New Roman" w:cs="Times New Roman"/>
          <w:bCs/>
        </w:rPr>
        <w:t>, B. Shapiro</w:t>
      </w:r>
      <w:r w:rsidRPr="00744293">
        <w:rPr>
          <w:rFonts w:ascii="Times New Roman" w:eastAsia="Times New Roman" w:hAnsi="Times New Roman" w:cs="Times New Roman"/>
          <w:bCs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vertAlign w:val="superscript"/>
        </w:rPr>
        <w:t>,6</w:t>
      </w:r>
      <w:r>
        <w:rPr>
          <w:rFonts w:ascii="Times New Roman" w:eastAsia="Times New Roman" w:hAnsi="Times New Roman" w:cs="Times New Roman"/>
          <w:bCs/>
        </w:rPr>
        <w:t>, and E. Waks</w:t>
      </w:r>
      <w:r w:rsidRPr="00744293">
        <w:rPr>
          <w:rFonts w:ascii="Times New Roman" w:eastAsia="Times New Roman" w:hAnsi="Times New Roman" w:cs="Times New Roman"/>
          <w:bCs/>
          <w:vertAlign w:val="superscript"/>
        </w:rPr>
        <w:t>1</w:t>
      </w:r>
    </w:p>
    <w:p w:rsidR="006976C0" w:rsidRDefault="006976C0" w:rsidP="006976C0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Supplementary Material I: Results from permanent magnet.</w:t>
      </w:r>
    </w:p>
    <w:p w:rsidR="000D1DDC" w:rsidRDefault="006976C0" w:rsidP="000D1DDC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As we mention in the discussion section, we </w:t>
      </w:r>
      <w:r w:rsidR="00FA6A5B">
        <w:rPr>
          <w:rFonts w:ascii="Times New Roman" w:eastAsia="Times New Roman" w:hAnsi="Times New Roman" w:cs="Times New Roman"/>
          <w:bCs/>
        </w:rPr>
        <w:t xml:space="preserve">also </w:t>
      </w:r>
      <w:r>
        <w:rPr>
          <w:rFonts w:ascii="Times New Roman" w:eastAsia="Times New Roman" w:hAnsi="Times New Roman" w:cs="Times New Roman"/>
          <w:bCs/>
        </w:rPr>
        <w:t xml:space="preserve">obtained </w:t>
      </w:r>
      <w:r w:rsidR="00FA6A5B">
        <w:rPr>
          <w:rFonts w:ascii="Times New Roman" w:eastAsia="Times New Roman" w:hAnsi="Times New Roman" w:cs="Times New Roman"/>
          <w:bCs/>
        </w:rPr>
        <w:t xml:space="preserve">up-conversion and down-conversion </w:t>
      </w:r>
      <w:r>
        <w:rPr>
          <w:rFonts w:ascii="Times New Roman" w:eastAsia="Times New Roman" w:hAnsi="Times New Roman" w:cs="Times New Roman"/>
          <w:bCs/>
        </w:rPr>
        <w:t>results with similar devices but employing a permanent magnet</w:t>
      </w:r>
      <w:r w:rsidR="00FA6A5B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FA6A5B">
        <w:rPr>
          <w:rFonts w:ascii="Times New Roman" w:eastAsia="Times New Roman" w:hAnsi="Times New Roman" w:cs="Times New Roman"/>
          <w:bCs/>
        </w:rPr>
        <w:t>With a permanent magnet we</w:t>
      </w:r>
      <w:r>
        <w:rPr>
          <w:rFonts w:ascii="Times New Roman" w:eastAsia="Times New Roman" w:hAnsi="Times New Roman" w:cs="Times New Roman"/>
          <w:bCs/>
        </w:rPr>
        <w:t xml:space="preserve"> do not need any external power supply. </w:t>
      </w:r>
      <w:r w:rsidR="00FA6A5B">
        <w:rPr>
          <w:rFonts w:ascii="Times New Roman" w:eastAsia="Times New Roman" w:hAnsi="Times New Roman" w:cs="Times New Roman"/>
          <w:bCs/>
        </w:rPr>
        <w:t>We place the permanent magnet</w:t>
      </w:r>
      <w:r w:rsidR="000D1DDC">
        <w:rPr>
          <w:rFonts w:ascii="Times New Roman" w:eastAsia="Times New Roman" w:hAnsi="Times New Roman" w:cs="Times New Roman"/>
          <w:bCs/>
        </w:rPr>
        <w:t xml:space="preserve"> on the top of the chip at some distance in such a way that magnetic field is approximately perpendicular to the device surface. </w:t>
      </w:r>
    </w:p>
    <w:p w:rsidR="006976C0" w:rsidRDefault="006976C0" w:rsidP="000D1DDC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We first obtain the power spectral density of the device when we input a direct current of 100 µA. The external magnetic field is produced by a permanent magnet over the device sited at 23.2 mm. Fig. S1(a) shows the corresponding power spectral density of the device. We observe two different oscillation modes at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a</m:t>
            </m:r>
          </m:sub>
        </m:sSub>
        <m:r>
          <w:rPr>
            <w:rFonts w:ascii="Cambria Math" w:eastAsia="Times New Roman" w:hAnsi="Cambria Math" w:cs="Times New Roman"/>
          </w:rPr>
          <m:t>=1.3</m:t>
        </m:r>
      </m:oMath>
      <w:r>
        <w:rPr>
          <w:rFonts w:ascii="Times New Roman" w:eastAsia="Times New Roman" w:hAnsi="Times New Roman" w:cs="Times New Roman"/>
          <w:bCs/>
        </w:rPr>
        <w:t xml:space="preserve"> GHz and at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b</m:t>
            </m:r>
          </m:sub>
        </m:sSub>
        <m:r>
          <w:rPr>
            <w:rFonts w:ascii="Cambria Math" w:eastAsia="Times New Roman" w:hAnsi="Cambria Math" w:cs="Times New Roman"/>
          </w:rPr>
          <m:t>=</m:t>
        </m:r>
      </m:oMath>
      <w:r>
        <w:rPr>
          <w:rFonts w:ascii="Times New Roman" w:eastAsia="Times New Roman" w:hAnsi="Times New Roman" w:cs="Times New Roman"/>
          <w:bCs/>
        </w:rPr>
        <w:t xml:space="preserve"> </w:t>
      </w:r>
      <w:r w:rsidR="000D1DDC">
        <w:rPr>
          <w:rFonts w:ascii="Times New Roman" w:eastAsia="Times New Roman" w:hAnsi="Times New Roman" w:cs="Times New Roman"/>
          <w:bCs/>
        </w:rPr>
        <w:t xml:space="preserve">2.6 </w:t>
      </w:r>
      <w:r>
        <w:rPr>
          <w:rFonts w:ascii="Times New Roman" w:eastAsia="Times New Roman" w:hAnsi="Times New Roman" w:cs="Times New Roman"/>
          <w:bCs/>
        </w:rPr>
        <w:t xml:space="preserve">GHz. </w:t>
      </w:r>
    </w:p>
    <w:p w:rsidR="006976C0" w:rsidRDefault="006976C0" w:rsidP="000D1DDC">
      <w:pPr>
        <w:jc w:val="both"/>
        <w:rPr>
          <w:rFonts w:ascii="Times New Roman" w:eastAsia="Times New Roman" w:hAnsi="Times New Roman" w:cs="Times New Roman"/>
          <w:bCs/>
        </w:rPr>
      </w:pPr>
      <w:r w:rsidRPr="006976C0">
        <w:rPr>
          <w:rFonts w:ascii="Times New Roman" w:eastAsia="Times New Roman" w:hAnsi="Times New Roman" w:cs="Times New Roman"/>
          <w:bCs/>
          <w:noProof/>
          <w:lang w:val="es-ES"/>
        </w:rPr>
        <w:drawing>
          <wp:inline distT="0" distB="0" distL="0" distR="0" wp14:anchorId="0EF4E29D" wp14:editId="63A65B67">
            <wp:extent cx="5400040" cy="1551271"/>
            <wp:effectExtent l="0" t="0" r="0" b="0"/>
            <wp:docPr id="1" name="Imagen 1" descr="C:\Users\josal\Dropbox\Wireless rectification\Review #1\Fig 1. Suppl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al\Dropbox\Wireless rectification\Review #1\Fig 1. Supplemen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5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6C0" w:rsidRPr="006976C0" w:rsidRDefault="006976C0" w:rsidP="000D1DDC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Figure S1. (a) Power spectral density of the device that we employ with permanent magnet when the permanent magnet is over the device at 23.2 mm.</w:t>
      </w:r>
    </w:p>
    <w:p w:rsidR="006976C0" w:rsidRDefault="006976C0" w:rsidP="000D1DDC">
      <w:pPr>
        <w:jc w:val="both"/>
        <w:rPr>
          <w:rFonts w:ascii="Times New Roman" w:eastAsia="Times New Roman" w:hAnsi="Times New Roman" w:cs="Times New Roman"/>
          <w:bCs/>
        </w:rPr>
      </w:pPr>
    </w:p>
    <w:p w:rsidR="006976C0" w:rsidRDefault="006976C0" w:rsidP="000D1DDC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Second, we remove the direct current from the device and</w:t>
      </w:r>
      <w:r w:rsidR="00FA6A5B">
        <w:rPr>
          <w:rFonts w:ascii="Times New Roman" w:eastAsia="Times New Roman" w:hAnsi="Times New Roman" w:cs="Times New Roman"/>
          <w:bCs/>
        </w:rPr>
        <w:t xml:space="preserve"> we</w:t>
      </w:r>
      <w:r>
        <w:rPr>
          <w:rFonts w:ascii="Times New Roman" w:eastAsia="Times New Roman" w:hAnsi="Times New Roman" w:cs="Times New Roman"/>
          <w:bCs/>
        </w:rPr>
        <w:t xml:space="preserve"> input microwave signal to the solenoid to w</w:t>
      </w:r>
      <w:r w:rsidR="00FA6A5B">
        <w:rPr>
          <w:rFonts w:ascii="Times New Roman" w:eastAsia="Times New Roman" w:hAnsi="Times New Roman" w:cs="Times New Roman"/>
          <w:bCs/>
        </w:rPr>
        <w:t>irelessly induce microwave current</w:t>
      </w:r>
      <w:r>
        <w:rPr>
          <w:rFonts w:ascii="Times New Roman" w:eastAsia="Times New Roman" w:hAnsi="Times New Roman" w:cs="Times New Roman"/>
          <w:bCs/>
        </w:rPr>
        <w:t xml:space="preserve"> to the device. Fig. S1 (b) shows the power spectral density from the device when we sweep the input signal frequency.</w:t>
      </w:r>
      <w:r w:rsidR="000D1DDC">
        <w:rPr>
          <w:rFonts w:ascii="Times New Roman" w:eastAsia="Times New Roman" w:hAnsi="Times New Roman" w:cs="Times New Roman"/>
          <w:bCs/>
        </w:rPr>
        <w:t xml:space="preserve"> Results shows that there are two up-converted and two down-converted branches. The frequency differences </w: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Δ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a</m:t>
            </m:r>
          </m:sub>
        </m:sSub>
      </m:oMath>
      <w:r w:rsidR="000D1DDC">
        <w:rPr>
          <w:rFonts w:ascii="Times New Roman" w:eastAsia="Times New Roman" w:hAnsi="Times New Roman" w:cs="Times New Roman"/>
          <w:bCs/>
        </w:rPr>
        <w:t xml:space="preserve"> and </w: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Δ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b</m:t>
            </m:r>
          </m:sub>
        </m:sSub>
      </m:oMath>
      <w:r w:rsidR="000D1DDC">
        <w:rPr>
          <w:rFonts w:ascii="Times New Roman" w:eastAsia="Times New Roman" w:hAnsi="Times New Roman" w:cs="Times New Roman"/>
          <w:bCs/>
        </w:rPr>
        <w:t xml:space="preserve"> matches to the natural oscillation frequencies </w: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Δ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a</m:t>
            </m:r>
          </m:sub>
        </m:sSub>
        <m: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a</m:t>
            </m:r>
          </m:sub>
        </m:sSub>
        <m:r>
          <w:rPr>
            <w:rFonts w:ascii="Cambria Math" w:eastAsia="Times New Roman" w:hAnsi="Cambria Math" w:cs="Times New Roman"/>
          </w:rPr>
          <m:t>=1.3</m:t>
        </m:r>
      </m:oMath>
      <w:r w:rsidR="000D1DDC">
        <w:rPr>
          <w:rFonts w:ascii="Times New Roman" w:eastAsia="Times New Roman" w:hAnsi="Times New Roman" w:cs="Times New Roman"/>
          <w:bCs/>
        </w:rPr>
        <w:t xml:space="preserve"> GHz and </w: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Δ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b</m:t>
            </m:r>
          </m:sub>
        </m:sSub>
        <m:r>
          <w:rPr>
            <w:rFonts w:ascii="Cambria Math" w:eastAsia="Times New Roman" w:hAnsi="Cambria Math" w:cs="Times New Roman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b</m:t>
            </m:r>
          </m:sub>
        </m:sSub>
        <m:r>
          <w:rPr>
            <w:rFonts w:ascii="Cambria Math" w:eastAsia="Times New Roman" w:hAnsi="Cambria Math" w:cs="Times New Roman"/>
          </w:rPr>
          <m:t>=2.6</m:t>
        </m:r>
      </m:oMath>
      <w:r w:rsidR="000D1DDC">
        <w:rPr>
          <w:rFonts w:ascii="Times New Roman" w:eastAsia="Times New Roman" w:hAnsi="Times New Roman" w:cs="Times New Roman"/>
          <w:bCs/>
        </w:rPr>
        <w:t xml:space="preserve"> GHz. This shows that the two up-converted and the two down-converted branches correspond to mixing between the wirelessly induced microwave signal and the two oscillation modes excited in the magnetic tunnel junction.</w:t>
      </w:r>
    </w:p>
    <w:p w:rsidR="000D1DDC" w:rsidRPr="006976C0" w:rsidRDefault="000D1DDC" w:rsidP="000D1DDC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Third, we input signal to the solenoid at 4 GHz and moved the permanent magnet to change the external magnetic field. Fig. S1(c) shows the power spectral density when we sweep the distance between the magnet and the device.</w:t>
      </w:r>
      <w:r w:rsidR="009C483F">
        <w:rPr>
          <w:rFonts w:ascii="Times New Roman" w:eastAsia="Times New Roman" w:hAnsi="Times New Roman" w:cs="Times New Roman"/>
          <w:bCs/>
        </w:rPr>
        <w:t xml:space="preserve"> We observe how the up-converted and the down-converted branches changes depending on the magnetic field position and then, by the magnetic field on the devi</w:t>
      </w:r>
      <w:bookmarkStart w:id="0" w:name="_GoBack"/>
      <w:bookmarkEnd w:id="0"/>
      <w:r w:rsidR="009C483F">
        <w:rPr>
          <w:rFonts w:ascii="Times New Roman" w:eastAsia="Times New Roman" w:hAnsi="Times New Roman" w:cs="Times New Roman"/>
          <w:bCs/>
        </w:rPr>
        <w:t>ce.</w:t>
      </w:r>
    </w:p>
    <w:sectPr w:rsidR="000D1DDC" w:rsidRPr="006976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C0"/>
    <w:rsid w:val="000D1DDC"/>
    <w:rsid w:val="006976C0"/>
    <w:rsid w:val="007537F4"/>
    <w:rsid w:val="008D1B7A"/>
    <w:rsid w:val="009C483F"/>
    <w:rsid w:val="00FA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6F4C52"/>
  <w15:chartTrackingRefBased/>
  <w15:docId w15:val="{99D8F3B2-558D-4DEB-8A43-BB3DEFF3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976C0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D1D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Miguel Algarín Guisado</dc:creator>
  <cp:keywords/>
  <dc:description/>
  <cp:lastModifiedBy>José Miguel Algarín Guisado</cp:lastModifiedBy>
  <cp:revision>3</cp:revision>
  <dcterms:created xsi:type="dcterms:W3CDTF">2018-07-29T15:33:00Z</dcterms:created>
  <dcterms:modified xsi:type="dcterms:W3CDTF">2018-08-06T15:36:00Z</dcterms:modified>
</cp:coreProperties>
</file>