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F6" w:rsidRPr="002B23C9" w:rsidRDefault="001852F6" w:rsidP="001852F6">
      <w:pPr>
        <w:spacing w:line="480" w:lineRule="auto"/>
        <w:rPr>
          <w:rFonts w:ascii="Arial" w:hAnsi="Arial" w:cs="Arial"/>
          <w:b/>
          <w:sz w:val="36"/>
          <w:szCs w:val="36"/>
        </w:rPr>
      </w:pPr>
      <w:r w:rsidRPr="002B23C9">
        <w:rPr>
          <w:rFonts w:ascii="Arial" w:hAnsi="Arial" w:cs="Arial"/>
          <w:b/>
          <w:sz w:val="36"/>
          <w:szCs w:val="36"/>
        </w:rPr>
        <w:t xml:space="preserve">Nanoparticle-mediated magnetic hyperthermia is an effective method for killing the human-infective protozoan parasite </w:t>
      </w:r>
      <w:r w:rsidRPr="002B23C9">
        <w:rPr>
          <w:rFonts w:ascii="Arial" w:hAnsi="Arial" w:cs="Arial"/>
          <w:b/>
          <w:i/>
          <w:sz w:val="36"/>
          <w:szCs w:val="36"/>
        </w:rPr>
        <w:t>Leishmania mexicana</w:t>
      </w:r>
      <w:r w:rsidRPr="002B23C9">
        <w:rPr>
          <w:rFonts w:ascii="Arial" w:hAnsi="Arial" w:cs="Arial"/>
          <w:b/>
          <w:sz w:val="36"/>
          <w:szCs w:val="36"/>
        </w:rPr>
        <w:t xml:space="preserve"> </w:t>
      </w:r>
      <w:r w:rsidRPr="002B23C9">
        <w:rPr>
          <w:rFonts w:ascii="Arial" w:hAnsi="Arial" w:cs="Arial"/>
          <w:b/>
          <w:i/>
          <w:sz w:val="36"/>
          <w:szCs w:val="36"/>
        </w:rPr>
        <w:t>in vitro</w:t>
      </w:r>
      <w:r w:rsidRPr="002B23C9">
        <w:rPr>
          <w:rFonts w:ascii="Arial" w:hAnsi="Arial" w:cs="Arial"/>
          <w:b/>
          <w:sz w:val="36"/>
          <w:szCs w:val="36"/>
        </w:rPr>
        <w:t>.</w:t>
      </w:r>
    </w:p>
    <w:p w:rsidR="001852F6" w:rsidRPr="002B23C9" w:rsidRDefault="001852F6" w:rsidP="001852F6">
      <w:pPr>
        <w:spacing w:line="480" w:lineRule="auto"/>
        <w:rPr>
          <w:rFonts w:ascii="Arial" w:hAnsi="Arial" w:cs="Arial"/>
        </w:rPr>
      </w:pPr>
      <w:r w:rsidRPr="002B23C9">
        <w:rPr>
          <w:rFonts w:ascii="Arial" w:hAnsi="Arial" w:cs="Arial"/>
        </w:rPr>
        <w:t xml:space="preserve">Sarah L Berry </w:t>
      </w:r>
      <w:r w:rsidRPr="002B23C9">
        <w:rPr>
          <w:rFonts w:ascii="Arial" w:hAnsi="Arial" w:cs="Arial"/>
          <w:vertAlign w:val="superscript"/>
        </w:rPr>
        <w:t>1</w:t>
      </w:r>
      <w:r w:rsidRPr="002B23C9">
        <w:rPr>
          <w:rFonts w:ascii="Arial" w:hAnsi="Arial" w:cs="Arial"/>
        </w:rPr>
        <w:t xml:space="preserve">, Karen Walker </w:t>
      </w:r>
      <w:r w:rsidRPr="002B23C9">
        <w:rPr>
          <w:rFonts w:ascii="Arial" w:hAnsi="Arial" w:cs="Arial"/>
          <w:vertAlign w:val="superscript"/>
        </w:rPr>
        <w:t>2</w:t>
      </w:r>
      <w:r w:rsidRPr="002B23C9">
        <w:rPr>
          <w:rFonts w:ascii="Arial" w:hAnsi="Arial" w:cs="Arial"/>
        </w:rPr>
        <w:t>, Clare Hoskins</w:t>
      </w:r>
      <w:r w:rsidRPr="002B23C9">
        <w:rPr>
          <w:rFonts w:ascii="Arial" w:hAnsi="Arial" w:cs="Arial"/>
          <w:vertAlign w:val="superscript"/>
        </w:rPr>
        <w:t xml:space="preserve"> 3</w:t>
      </w:r>
      <w:r w:rsidRPr="002B23C9">
        <w:rPr>
          <w:rFonts w:ascii="Arial" w:hAnsi="Arial" w:cs="Arial"/>
        </w:rPr>
        <w:t xml:space="preserve">, Neil D Telling </w:t>
      </w:r>
      <w:r w:rsidRPr="002B23C9">
        <w:rPr>
          <w:rFonts w:ascii="Arial" w:hAnsi="Arial" w:cs="Arial"/>
          <w:vertAlign w:val="superscript"/>
        </w:rPr>
        <w:t>4*</w:t>
      </w:r>
      <w:r w:rsidRPr="002B23C9">
        <w:rPr>
          <w:rFonts w:ascii="Arial" w:hAnsi="Arial" w:cs="Arial"/>
        </w:rPr>
        <w:t xml:space="preserve"> and Helen P Price</w:t>
      </w:r>
      <w:r w:rsidRPr="002B23C9">
        <w:rPr>
          <w:rFonts w:ascii="Arial" w:hAnsi="Arial" w:cs="Arial"/>
          <w:vertAlign w:val="superscript"/>
        </w:rPr>
        <w:t>1*</w:t>
      </w:r>
    </w:p>
    <w:p w:rsidR="001852F6" w:rsidRPr="002B23C9" w:rsidRDefault="001852F6" w:rsidP="001852F6">
      <w:pPr>
        <w:spacing w:after="0" w:line="480" w:lineRule="auto"/>
        <w:rPr>
          <w:rFonts w:ascii="Arial" w:hAnsi="Arial" w:cs="Arial"/>
        </w:rPr>
      </w:pPr>
      <w:r w:rsidRPr="002B23C9">
        <w:rPr>
          <w:rFonts w:ascii="Arial" w:hAnsi="Arial" w:cs="Arial"/>
          <w:vertAlign w:val="superscript"/>
        </w:rPr>
        <w:t>1.</w:t>
      </w:r>
      <w:r w:rsidRPr="002B23C9">
        <w:rPr>
          <w:rFonts w:ascii="Arial" w:hAnsi="Arial" w:cs="Arial"/>
        </w:rPr>
        <w:t xml:space="preserve"> Centre for Applied Entomology and Parasitology, School of Life Sciences, Keele University, ST5 5BG, UK.</w:t>
      </w:r>
    </w:p>
    <w:p w:rsidR="001852F6" w:rsidRPr="002B23C9" w:rsidRDefault="001852F6" w:rsidP="001852F6">
      <w:pPr>
        <w:spacing w:after="0" w:line="480" w:lineRule="auto"/>
        <w:rPr>
          <w:rFonts w:ascii="Arial" w:hAnsi="Arial" w:cs="Arial"/>
        </w:rPr>
      </w:pPr>
      <w:r w:rsidRPr="002B23C9">
        <w:rPr>
          <w:rFonts w:ascii="Arial" w:hAnsi="Arial" w:cs="Arial"/>
          <w:vertAlign w:val="superscript"/>
        </w:rPr>
        <w:t>2.</w:t>
      </w:r>
      <w:r w:rsidRPr="002B23C9">
        <w:rPr>
          <w:rFonts w:ascii="Arial" w:hAnsi="Arial" w:cs="Arial"/>
        </w:rPr>
        <w:t xml:space="preserve"> Central Electron Microscope Unit, School of Life Sciences, Keele University, Newcastle-under-Lyme, Staffordshire, ST5 5BG, UK.</w:t>
      </w:r>
    </w:p>
    <w:p w:rsidR="001852F6" w:rsidRPr="002B23C9" w:rsidRDefault="001852F6" w:rsidP="001852F6">
      <w:pPr>
        <w:spacing w:after="0" w:line="480" w:lineRule="auto"/>
        <w:rPr>
          <w:rFonts w:ascii="Arial" w:hAnsi="Arial" w:cs="Arial"/>
        </w:rPr>
      </w:pPr>
      <w:r w:rsidRPr="002B23C9">
        <w:rPr>
          <w:rFonts w:ascii="Arial" w:hAnsi="Arial" w:cs="Arial"/>
          <w:vertAlign w:val="superscript"/>
        </w:rPr>
        <w:t>3.</w:t>
      </w:r>
      <w:r w:rsidRPr="002B23C9">
        <w:rPr>
          <w:rFonts w:ascii="Arial" w:hAnsi="Arial" w:cs="Arial"/>
        </w:rPr>
        <w:t xml:space="preserve"> School of Pharmacy, Keele University, Newcastle-under-Lyme, Staffordshire, ST5 5BG, UK.</w:t>
      </w:r>
    </w:p>
    <w:p w:rsidR="001852F6" w:rsidRPr="002B23C9" w:rsidRDefault="001852F6" w:rsidP="001852F6">
      <w:pPr>
        <w:spacing w:after="0" w:line="480" w:lineRule="auto"/>
        <w:rPr>
          <w:rFonts w:ascii="Arial" w:hAnsi="Arial" w:cs="Arial"/>
        </w:rPr>
      </w:pPr>
      <w:r w:rsidRPr="002B23C9">
        <w:rPr>
          <w:rFonts w:ascii="Arial" w:hAnsi="Arial" w:cs="Arial"/>
          <w:vertAlign w:val="superscript"/>
        </w:rPr>
        <w:t>4.</w:t>
      </w:r>
      <w:r w:rsidRPr="002B23C9">
        <w:rPr>
          <w:rFonts w:ascii="Arial" w:hAnsi="Arial" w:cs="Arial"/>
        </w:rPr>
        <w:t xml:space="preserve"> Institute for Science and Technology in Medicine, Guy Hilton Research Centre, Keele University, Newcastle-under-Lyme, Staffordshire, ST4 7QB, UK.</w:t>
      </w:r>
    </w:p>
    <w:p w:rsidR="001852F6" w:rsidRPr="002B23C9" w:rsidRDefault="001852F6" w:rsidP="001852F6">
      <w:pPr>
        <w:spacing w:line="480" w:lineRule="auto"/>
        <w:rPr>
          <w:rFonts w:ascii="Arial" w:hAnsi="Arial" w:cs="Arial"/>
        </w:rPr>
      </w:pPr>
      <w:r w:rsidRPr="002B23C9">
        <w:rPr>
          <w:rFonts w:ascii="Arial" w:hAnsi="Arial" w:cs="Arial"/>
        </w:rPr>
        <w:t>*Corresponding author</w:t>
      </w:r>
    </w:p>
    <w:p w:rsidR="001852F6" w:rsidRPr="002B23C9" w:rsidRDefault="001852F6" w:rsidP="001852F6">
      <w:pPr>
        <w:spacing w:after="0" w:line="480" w:lineRule="auto"/>
        <w:rPr>
          <w:rFonts w:ascii="Arial" w:hAnsi="Arial" w:cs="Arial"/>
        </w:rPr>
      </w:pPr>
      <w:r w:rsidRPr="002B23C9">
        <w:rPr>
          <w:rFonts w:ascii="Arial" w:hAnsi="Arial" w:cs="Arial"/>
        </w:rPr>
        <w:t>Email:</w:t>
      </w:r>
    </w:p>
    <w:p w:rsidR="001852F6" w:rsidRPr="002B23C9" w:rsidRDefault="001852F6" w:rsidP="001852F6">
      <w:pPr>
        <w:spacing w:after="0" w:line="480" w:lineRule="auto"/>
        <w:rPr>
          <w:rStyle w:val="Hyperlink"/>
          <w:rFonts w:ascii="Arial" w:hAnsi="Arial" w:cs="Arial"/>
        </w:rPr>
      </w:pPr>
      <w:r w:rsidRPr="002B23C9">
        <w:rPr>
          <w:rFonts w:ascii="Arial" w:hAnsi="Arial" w:cs="Arial"/>
        </w:rPr>
        <w:t xml:space="preserve">HPP: </w:t>
      </w:r>
      <w:hyperlink r:id="rId7" w:history="1">
        <w:r w:rsidRPr="002B23C9">
          <w:rPr>
            <w:rStyle w:val="Hyperlink"/>
            <w:rFonts w:ascii="Arial" w:hAnsi="Arial" w:cs="Arial"/>
          </w:rPr>
          <w:t>h.price@keele.ac.uk</w:t>
        </w:r>
      </w:hyperlink>
    </w:p>
    <w:p w:rsidR="001852F6" w:rsidRPr="002B23C9" w:rsidRDefault="001852F6" w:rsidP="001852F6">
      <w:pPr>
        <w:spacing w:line="480" w:lineRule="auto"/>
        <w:rPr>
          <w:rFonts w:ascii="Arial" w:hAnsi="Arial" w:cs="Arial"/>
        </w:rPr>
      </w:pPr>
      <w:r w:rsidRPr="002B23C9">
        <w:rPr>
          <w:rFonts w:ascii="Arial" w:hAnsi="Arial" w:cs="Arial"/>
        </w:rPr>
        <w:t xml:space="preserve">NDT: </w:t>
      </w:r>
      <w:hyperlink r:id="rId8" w:history="1">
        <w:r w:rsidRPr="002B23C9">
          <w:rPr>
            <w:rStyle w:val="Hyperlink"/>
            <w:rFonts w:ascii="Arial" w:hAnsi="Arial" w:cs="Arial"/>
          </w:rPr>
          <w:t>n.d.telling@keele.ac.uk</w:t>
        </w:r>
      </w:hyperlink>
      <w:r w:rsidRPr="002B23C9">
        <w:rPr>
          <w:rFonts w:ascii="Arial" w:hAnsi="Arial" w:cs="Arial"/>
        </w:rPr>
        <w:t xml:space="preserve"> </w:t>
      </w:r>
    </w:p>
    <w:p w:rsidR="001852F6" w:rsidRPr="002B23C9" w:rsidRDefault="001852F6" w:rsidP="002B23C9">
      <w:pPr>
        <w:pStyle w:val="Heading1"/>
      </w:pPr>
    </w:p>
    <w:p w:rsidR="001852F6" w:rsidRPr="002B23C9" w:rsidRDefault="001852F6" w:rsidP="001852F6">
      <w:pPr>
        <w:rPr>
          <w:rFonts w:ascii="Arial" w:eastAsiaTheme="majorEastAsia" w:hAnsi="Arial" w:cs="Arial"/>
          <w:sz w:val="36"/>
          <w:szCs w:val="32"/>
        </w:rPr>
      </w:pPr>
      <w:r w:rsidRPr="002B23C9">
        <w:rPr>
          <w:rFonts w:ascii="Arial" w:hAnsi="Arial" w:cs="Arial"/>
        </w:rPr>
        <w:br w:type="page"/>
      </w:r>
    </w:p>
    <w:p w:rsidR="00403B06" w:rsidRPr="002B23C9" w:rsidRDefault="00403B06" w:rsidP="002B23C9">
      <w:pPr>
        <w:pStyle w:val="Heading1"/>
      </w:pPr>
      <w:r w:rsidRPr="002B23C9">
        <w:lastRenderedPageBreak/>
        <w:t>Supp</w:t>
      </w:r>
      <w:r w:rsidR="007513D3" w:rsidRPr="002B23C9">
        <w:t>lementary</w:t>
      </w:r>
      <w:r w:rsidRPr="002B23C9">
        <w:t xml:space="preserve"> Information</w:t>
      </w:r>
    </w:p>
    <w:p w:rsidR="00403B06" w:rsidRPr="002B23C9" w:rsidRDefault="00403B06" w:rsidP="00403B06">
      <w:pPr>
        <w:spacing w:line="480" w:lineRule="auto"/>
        <w:rPr>
          <w:rFonts w:ascii="Arial" w:hAnsi="Arial" w:cs="Arial"/>
          <w:b/>
          <w:sz w:val="18"/>
          <w:szCs w:val="18"/>
          <w:lang w:val="en-US"/>
        </w:rPr>
      </w:pPr>
      <w:r w:rsidRPr="002B23C9">
        <w:rPr>
          <w:rFonts w:ascii="Arial" w:hAnsi="Arial" w:cs="Arial"/>
          <w:b/>
          <w:sz w:val="18"/>
          <w:szCs w:val="18"/>
          <w:lang w:val="en-US"/>
        </w:rPr>
        <w:t>S</w:t>
      </w:r>
      <w:r w:rsidR="00BF7BAB" w:rsidRPr="002B23C9">
        <w:rPr>
          <w:rFonts w:ascii="Arial" w:hAnsi="Arial" w:cs="Arial"/>
          <w:b/>
          <w:sz w:val="18"/>
          <w:szCs w:val="18"/>
          <w:lang w:val="en-US"/>
        </w:rPr>
        <w:t>upplementary</w:t>
      </w:r>
      <w:r w:rsidRPr="002B23C9">
        <w:rPr>
          <w:rFonts w:ascii="Arial" w:hAnsi="Arial" w:cs="Arial"/>
          <w:b/>
          <w:sz w:val="18"/>
          <w:szCs w:val="18"/>
          <w:lang w:val="en-US"/>
        </w:rPr>
        <w:t xml:space="preserve"> Table</w:t>
      </w:r>
      <w:r w:rsidR="00BF7BAB" w:rsidRPr="002B23C9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F122FB" w:rsidRPr="002B23C9">
        <w:rPr>
          <w:rFonts w:ascii="Arial" w:hAnsi="Arial" w:cs="Arial"/>
          <w:b/>
          <w:sz w:val="18"/>
          <w:szCs w:val="18"/>
          <w:lang w:val="en-US"/>
        </w:rPr>
        <w:t>S</w:t>
      </w:r>
      <w:r w:rsidR="00BF7BAB" w:rsidRPr="002B23C9">
        <w:rPr>
          <w:rFonts w:ascii="Arial" w:hAnsi="Arial" w:cs="Arial"/>
          <w:b/>
          <w:sz w:val="18"/>
          <w:szCs w:val="18"/>
          <w:lang w:val="en-US"/>
        </w:rPr>
        <w:t>1</w:t>
      </w:r>
      <w:r w:rsidRPr="002B23C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 w:rsidRPr="002B23C9">
        <w:rPr>
          <w:rFonts w:ascii="Arial" w:hAnsi="Arial" w:cs="Arial"/>
          <w:b/>
          <w:sz w:val="18"/>
          <w:szCs w:val="18"/>
          <w:lang w:val="en-US"/>
        </w:rPr>
        <w:t>-  Intracellular</w:t>
      </w:r>
      <w:proofErr w:type="gramEnd"/>
      <w:r w:rsidRPr="002B23C9">
        <w:rPr>
          <w:rFonts w:ascii="Arial" w:hAnsi="Arial" w:cs="Arial"/>
          <w:b/>
          <w:sz w:val="18"/>
          <w:szCs w:val="18"/>
          <w:lang w:val="en-US"/>
        </w:rPr>
        <w:t xml:space="preserve"> iron content of </w:t>
      </w:r>
      <w:r w:rsidRPr="002B23C9">
        <w:rPr>
          <w:rFonts w:ascii="Arial" w:hAnsi="Arial" w:cs="Arial"/>
          <w:b/>
          <w:i/>
          <w:sz w:val="18"/>
          <w:szCs w:val="18"/>
          <w:lang w:val="en-US"/>
        </w:rPr>
        <w:t>L. mexicana</w:t>
      </w:r>
      <w:r w:rsidRPr="002B23C9">
        <w:rPr>
          <w:rFonts w:ascii="Arial" w:hAnsi="Arial" w:cs="Arial"/>
          <w:b/>
          <w:sz w:val="18"/>
          <w:szCs w:val="18"/>
          <w:lang w:val="en-US"/>
        </w:rPr>
        <w:t xml:space="preserve"> axenic amastigotes following incubation with FBS-coated MNPs.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993"/>
        <w:gridCol w:w="1275"/>
      </w:tblGrid>
      <w:tr w:rsidR="00403B06" w:rsidRPr="002B23C9" w:rsidTr="00450EFD">
        <w:trPr>
          <w:trHeight w:val="20"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3C9">
              <w:rPr>
                <w:rFonts w:ascii="Arial" w:hAnsi="Arial" w:cs="Arial"/>
                <w:b/>
                <w:sz w:val="18"/>
                <w:szCs w:val="18"/>
              </w:rPr>
              <w:t>Average Fe content/cell (pg)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03B06" w:rsidRPr="002B23C9" w:rsidRDefault="00F122FB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3C9">
              <w:rPr>
                <w:rFonts w:ascii="Arial" w:hAnsi="Arial" w:cs="Arial"/>
                <w:b/>
                <w:sz w:val="18"/>
                <w:szCs w:val="18"/>
              </w:rPr>
              <w:t>s.d.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23C9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23C9">
              <w:rPr>
                <w:rFonts w:ascii="Arial" w:hAnsi="Arial" w:cs="Arial"/>
                <w:b/>
                <w:sz w:val="18"/>
                <w:szCs w:val="18"/>
              </w:rPr>
              <w:t xml:space="preserve"> value</w:t>
            </w:r>
          </w:p>
        </w:tc>
      </w:tr>
      <w:tr w:rsidR="00403B06" w:rsidRPr="002B23C9" w:rsidTr="00450EFD">
        <w:trPr>
          <w:trHeight w:val="20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B23C9">
              <w:rPr>
                <w:rFonts w:ascii="Arial" w:hAnsi="Arial" w:cs="Arial"/>
                <w:i/>
                <w:sz w:val="18"/>
                <w:szCs w:val="18"/>
              </w:rPr>
              <w:t>0 hr</w:t>
            </w:r>
          </w:p>
        </w:tc>
        <w:tc>
          <w:tcPr>
            <w:tcW w:w="3118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993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1275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403B06" w:rsidRPr="002B23C9" w:rsidTr="00450EFD">
        <w:trPr>
          <w:trHeight w:val="20"/>
        </w:trPr>
        <w:tc>
          <w:tcPr>
            <w:tcW w:w="959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B23C9">
              <w:rPr>
                <w:rFonts w:ascii="Arial" w:hAnsi="Arial" w:cs="Arial"/>
                <w:i/>
                <w:sz w:val="18"/>
                <w:szCs w:val="18"/>
              </w:rPr>
              <w:t>1 hr</w:t>
            </w:r>
          </w:p>
        </w:tc>
        <w:tc>
          <w:tcPr>
            <w:tcW w:w="3118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  <w:tc>
          <w:tcPr>
            <w:tcW w:w="993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1275" w:type="dxa"/>
            <w:vAlign w:val="center"/>
          </w:tcPr>
          <w:p w:rsidR="00403B06" w:rsidRPr="002B23C9" w:rsidRDefault="00403B06" w:rsidP="00492C26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</w:t>
            </w:r>
            <w:r w:rsidR="00984A2C" w:rsidRPr="002B23C9">
              <w:rPr>
                <w:rFonts w:ascii="Arial" w:hAnsi="Arial" w:cs="Arial"/>
                <w:sz w:val="18"/>
                <w:szCs w:val="18"/>
              </w:rPr>
              <w:t>99</w:t>
            </w:r>
          </w:p>
        </w:tc>
      </w:tr>
      <w:tr w:rsidR="00403B06" w:rsidRPr="002B23C9" w:rsidTr="00450EFD">
        <w:trPr>
          <w:trHeight w:val="20"/>
        </w:trPr>
        <w:tc>
          <w:tcPr>
            <w:tcW w:w="959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B23C9">
              <w:rPr>
                <w:rFonts w:ascii="Arial" w:hAnsi="Arial" w:cs="Arial"/>
                <w:i/>
                <w:sz w:val="18"/>
                <w:szCs w:val="18"/>
              </w:rPr>
              <w:t>4 hr</w:t>
            </w:r>
          </w:p>
        </w:tc>
        <w:tc>
          <w:tcPr>
            <w:tcW w:w="3118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0.026</w:t>
            </w:r>
          </w:p>
        </w:tc>
        <w:tc>
          <w:tcPr>
            <w:tcW w:w="993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275" w:type="dxa"/>
            <w:vAlign w:val="center"/>
          </w:tcPr>
          <w:p w:rsidR="00403B06" w:rsidRPr="002B23C9" w:rsidRDefault="00403B06" w:rsidP="00492C26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</w:t>
            </w:r>
            <w:r w:rsidR="00984A2C" w:rsidRPr="002B23C9"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403B06" w:rsidRPr="002B23C9" w:rsidTr="00450EFD">
        <w:trPr>
          <w:trHeight w:val="20"/>
        </w:trPr>
        <w:tc>
          <w:tcPr>
            <w:tcW w:w="959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B23C9">
              <w:rPr>
                <w:rFonts w:ascii="Arial" w:hAnsi="Arial" w:cs="Arial"/>
                <w:i/>
                <w:sz w:val="18"/>
                <w:szCs w:val="18"/>
              </w:rPr>
              <w:t>24 hr</w:t>
            </w:r>
          </w:p>
        </w:tc>
        <w:tc>
          <w:tcPr>
            <w:tcW w:w="3118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  <w:tc>
          <w:tcPr>
            <w:tcW w:w="993" w:type="dxa"/>
            <w:vAlign w:val="center"/>
          </w:tcPr>
          <w:p w:rsidR="00403B06" w:rsidRPr="002B23C9" w:rsidRDefault="00403B06" w:rsidP="00450EFD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1275" w:type="dxa"/>
            <w:vAlign w:val="center"/>
          </w:tcPr>
          <w:p w:rsidR="00403B06" w:rsidRPr="002B23C9" w:rsidRDefault="00403B06" w:rsidP="00492C26">
            <w:pPr>
              <w:pStyle w:val="RSCB01ARTAbstract"/>
              <w:spacing w:before="240"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</w:t>
            </w:r>
            <w:r w:rsidR="00984A2C" w:rsidRPr="002B23C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</w:tr>
    </w:tbl>
    <w:p w:rsidR="00492C26" w:rsidRPr="002B23C9" w:rsidRDefault="00492C26" w:rsidP="00492C26">
      <w:pPr>
        <w:pStyle w:val="TESupportingInformation"/>
        <w:spacing w:before="240" w:after="240"/>
        <w:ind w:firstLine="0"/>
        <w:jc w:val="left"/>
        <w:rPr>
          <w:rFonts w:ascii="Arial" w:hAnsi="Arial" w:cs="Arial"/>
          <w:sz w:val="18"/>
          <w:szCs w:val="18"/>
        </w:rPr>
      </w:pPr>
      <w:r w:rsidRPr="002B23C9">
        <w:rPr>
          <w:rFonts w:ascii="Arial" w:hAnsi="Arial" w:cs="Arial"/>
          <w:sz w:val="18"/>
          <w:szCs w:val="18"/>
        </w:rPr>
        <w:t>Intrac</w:t>
      </w:r>
      <w:r w:rsidR="00403B06" w:rsidRPr="002B23C9">
        <w:rPr>
          <w:rFonts w:ascii="Arial" w:hAnsi="Arial" w:cs="Arial"/>
          <w:sz w:val="18"/>
          <w:szCs w:val="18"/>
        </w:rPr>
        <w:t xml:space="preserve">ellular iron content after 1, 4 and 24 hours was directly compared to the 0 hour control. Statistical analysis was performed in </w:t>
      </w:r>
      <w:r w:rsidRPr="002B23C9">
        <w:rPr>
          <w:rFonts w:ascii="Arial" w:hAnsi="Arial" w:cs="Arial"/>
          <w:sz w:val="18"/>
          <w:szCs w:val="18"/>
        </w:rPr>
        <w:t>IBM SPSS Statistics 24 using a one-way ANOVA with the Games-Howell post-hoc test (n=6 from two biological replicates). This test has a significance level (or alpha) of 0.05.</w:t>
      </w:r>
    </w:p>
    <w:p w:rsidR="00492C26" w:rsidRPr="002B23C9" w:rsidRDefault="00492C26" w:rsidP="00403B06">
      <w:pPr>
        <w:pStyle w:val="RSCT05TableFootnotewithoutbottombar"/>
        <w:spacing w:line="480" w:lineRule="auto"/>
        <w:rPr>
          <w:rFonts w:ascii="Arial" w:hAnsi="Arial" w:cs="Arial"/>
          <w:sz w:val="18"/>
          <w:szCs w:val="18"/>
        </w:rPr>
      </w:pPr>
    </w:p>
    <w:p w:rsidR="00553562" w:rsidRPr="002B23C9" w:rsidRDefault="00553562">
      <w:pPr>
        <w:rPr>
          <w:rFonts w:ascii="Arial" w:hAnsi="Arial" w:cs="Arial"/>
          <w:b/>
          <w:bCs/>
          <w:sz w:val="18"/>
          <w:szCs w:val="18"/>
        </w:rPr>
      </w:pPr>
      <w:r w:rsidRPr="002B23C9">
        <w:rPr>
          <w:rFonts w:ascii="Arial" w:hAnsi="Arial" w:cs="Arial"/>
          <w:b/>
          <w:sz w:val="18"/>
        </w:rPr>
        <w:br w:type="page"/>
      </w:r>
    </w:p>
    <w:p w:rsidR="00E519F9" w:rsidRPr="002B23C9" w:rsidRDefault="00E519F9" w:rsidP="00403B06">
      <w:pPr>
        <w:pStyle w:val="Caption"/>
        <w:spacing w:after="0" w:line="480" w:lineRule="auto"/>
        <w:rPr>
          <w:rFonts w:ascii="Arial" w:hAnsi="Arial" w:cs="Arial"/>
          <w:b/>
          <w:sz w:val="18"/>
        </w:rPr>
      </w:pPr>
      <w:proofErr w:type="gramStart"/>
      <w:r w:rsidRPr="002B23C9">
        <w:rPr>
          <w:rFonts w:ascii="Arial" w:hAnsi="Arial" w:cs="Arial"/>
          <w:b/>
          <w:sz w:val="18"/>
        </w:rPr>
        <w:lastRenderedPageBreak/>
        <w:t xml:space="preserve">Supplementary Table </w:t>
      </w:r>
      <w:r w:rsidR="00F122FB" w:rsidRPr="002B23C9">
        <w:rPr>
          <w:rFonts w:ascii="Arial" w:hAnsi="Arial" w:cs="Arial"/>
          <w:b/>
          <w:sz w:val="18"/>
        </w:rPr>
        <w:t>S</w:t>
      </w:r>
      <w:r w:rsidRPr="002B23C9">
        <w:rPr>
          <w:rFonts w:ascii="Arial" w:hAnsi="Arial" w:cs="Arial"/>
          <w:b/>
          <w:sz w:val="18"/>
        </w:rPr>
        <w:t xml:space="preserve">2 – </w:t>
      </w:r>
      <w:r w:rsidR="00670F85" w:rsidRPr="002B23C9">
        <w:rPr>
          <w:rFonts w:ascii="Arial" w:hAnsi="Arial" w:cs="Arial"/>
          <w:b/>
          <w:sz w:val="18"/>
        </w:rPr>
        <w:t>Statistical analysis for normality</w:t>
      </w:r>
      <w:r w:rsidR="00631756" w:rsidRPr="002B23C9">
        <w:rPr>
          <w:rFonts w:ascii="Arial" w:hAnsi="Arial" w:cs="Arial"/>
          <w:b/>
          <w:sz w:val="18"/>
        </w:rPr>
        <w:t>.</w:t>
      </w:r>
      <w:proofErr w:type="gramEnd"/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1547"/>
        <w:gridCol w:w="2105"/>
        <w:gridCol w:w="1276"/>
        <w:gridCol w:w="1984"/>
        <w:gridCol w:w="1276"/>
      </w:tblGrid>
      <w:tr w:rsidR="00E519F9" w:rsidRPr="002B23C9" w:rsidTr="00670F85"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19F9" w:rsidRPr="002B23C9" w:rsidRDefault="00E519F9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Merge w:val="restart"/>
            <w:vAlign w:val="center"/>
          </w:tcPr>
          <w:p w:rsidR="00E519F9" w:rsidRPr="002B23C9" w:rsidRDefault="00E519F9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4536" w:type="dxa"/>
            <w:gridSpan w:val="3"/>
            <w:vAlign w:val="center"/>
          </w:tcPr>
          <w:p w:rsidR="00E519F9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Shapiro-Wilk Test</w:t>
            </w:r>
          </w:p>
        </w:tc>
      </w:tr>
      <w:tr w:rsidR="00E519F9" w:rsidRPr="002B23C9" w:rsidTr="00670F85">
        <w:tc>
          <w:tcPr>
            <w:tcW w:w="15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9F9" w:rsidRPr="002B23C9" w:rsidRDefault="00E519F9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Merge/>
            <w:vAlign w:val="center"/>
          </w:tcPr>
          <w:p w:rsidR="00E519F9" w:rsidRPr="002B23C9" w:rsidRDefault="00E519F9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519F9" w:rsidRPr="002B23C9" w:rsidRDefault="00E519F9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1984" w:type="dxa"/>
            <w:vAlign w:val="center"/>
          </w:tcPr>
          <w:p w:rsidR="00E519F9" w:rsidRPr="002B23C9" w:rsidRDefault="00E519F9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Degrees of freedom</w:t>
            </w:r>
          </w:p>
        </w:tc>
        <w:tc>
          <w:tcPr>
            <w:tcW w:w="1276" w:type="dxa"/>
            <w:vAlign w:val="center"/>
          </w:tcPr>
          <w:p w:rsidR="00E519F9" w:rsidRPr="002B23C9" w:rsidRDefault="00E519F9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670F85" w:rsidRPr="002B23C9" w:rsidTr="00670F85">
        <w:tc>
          <w:tcPr>
            <w:tcW w:w="1547" w:type="dxa"/>
            <w:vMerge w:val="restart"/>
            <w:tcBorders>
              <w:top w:val="single" w:sz="4" w:space="0" w:color="auto"/>
            </w:tcBorders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 xml:space="preserve">Luminescence-Based </w:t>
            </w:r>
            <w:r w:rsidR="00553562" w:rsidRPr="002B23C9">
              <w:rPr>
                <w:rFonts w:ascii="Arial" w:hAnsi="Arial" w:cs="Arial"/>
                <w:sz w:val="18"/>
                <w:szCs w:val="18"/>
              </w:rPr>
              <w:t xml:space="preserve">Viability </w:t>
            </w:r>
            <w:r w:rsidRPr="002B23C9">
              <w:rPr>
                <w:rFonts w:ascii="Arial" w:hAnsi="Arial" w:cs="Arial"/>
                <w:sz w:val="18"/>
                <w:szCs w:val="18"/>
              </w:rPr>
              <w:t>Assay</w:t>
            </w: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-MNP,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0.691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+MNP,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0.802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70°C Incubation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0.933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0.417</w:t>
            </w:r>
          </w:p>
        </w:tc>
      </w:tr>
      <w:tr w:rsidR="00670F85" w:rsidRPr="002B23C9" w:rsidTr="00670F85">
        <w:tc>
          <w:tcPr>
            <w:tcW w:w="1547" w:type="dxa"/>
            <w:vMerge w:val="restart"/>
            <w:vAlign w:val="center"/>
          </w:tcPr>
          <w:p w:rsidR="00670F85" w:rsidRPr="002B23C9" w:rsidRDefault="00670F85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 xml:space="preserve">Fluorescence-Based </w:t>
            </w:r>
            <w:r w:rsidR="00553562" w:rsidRPr="002B23C9">
              <w:rPr>
                <w:rFonts w:ascii="Arial" w:hAnsi="Arial" w:cs="Arial"/>
                <w:sz w:val="18"/>
                <w:szCs w:val="18"/>
              </w:rPr>
              <w:t xml:space="preserve">Viability </w:t>
            </w:r>
            <w:r w:rsidRPr="002B23C9">
              <w:rPr>
                <w:rFonts w:ascii="Arial" w:hAnsi="Arial" w:cs="Arial"/>
                <w:sz w:val="18"/>
                <w:szCs w:val="18"/>
              </w:rPr>
              <w:t>Assay</w:t>
            </w: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-MNP,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0.837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0.025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+MNP,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0.934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0.425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70°C Incubation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0.892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0.125</w:t>
            </w:r>
          </w:p>
        </w:tc>
      </w:tr>
      <w:tr w:rsidR="00670F85" w:rsidRPr="002B23C9" w:rsidTr="00670F85">
        <w:tc>
          <w:tcPr>
            <w:tcW w:w="1547" w:type="dxa"/>
            <w:vMerge w:val="restart"/>
            <w:vAlign w:val="center"/>
          </w:tcPr>
          <w:p w:rsidR="00670F85" w:rsidRPr="002B23C9" w:rsidRDefault="00553562" w:rsidP="00670F85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Flow Cytometric Viability Assay</w:t>
            </w: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-MNP,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0.940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0.528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+MNP, +AC Field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0.888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0.348</w:t>
            </w:r>
          </w:p>
        </w:tc>
      </w:tr>
      <w:tr w:rsidR="00670F85" w:rsidRPr="002B23C9" w:rsidTr="00670F85">
        <w:tc>
          <w:tcPr>
            <w:tcW w:w="1547" w:type="dxa"/>
            <w:vMerge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70°C Incubation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0.853</w:t>
            </w:r>
          </w:p>
        </w:tc>
        <w:tc>
          <w:tcPr>
            <w:tcW w:w="1984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670F85" w:rsidRPr="002B23C9" w:rsidRDefault="00670F85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0.249</w:t>
            </w:r>
          </w:p>
        </w:tc>
      </w:tr>
      <w:tr w:rsidR="00553562" w:rsidRPr="002B23C9" w:rsidTr="00670F85">
        <w:tc>
          <w:tcPr>
            <w:tcW w:w="1547" w:type="dxa"/>
            <w:vMerge w:val="restart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Intracellular Iron Content</w:t>
            </w:r>
          </w:p>
        </w:tc>
        <w:tc>
          <w:tcPr>
            <w:tcW w:w="2105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 hours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0.772</w:t>
            </w:r>
          </w:p>
        </w:tc>
        <w:tc>
          <w:tcPr>
            <w:tcW w:w="1984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0.033</w:t>
            </w:r>
          </w:p>
        </w:tc>
      </w:tr>
      <w:tr w:rsidR="00553562" w:rsidRPr="002B23C9" w:rsidTr="00670F85">
        <w:tc>
          <w:tcPr>
            <w:tcW w:w="1547" w:type="dxa"/>
            <w:vMerge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 hour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0.908</w:t>
            </w:r>
          </w:p>
        </w:tc>
        <w:tc>
          <w:tcPr>
            <w:tcW w:w="1984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0.423</w:t>
            </w:r>
          </w:p>
        </w:tc>
      </w:tr>
      <w:tr w:rsidR="00553562" w:rsidRPr="002B23C9" w:rsidTr="00670F85">
        <w:tc>
          <w:tcPr>
            <w:tcW w:w="1547" w:type="dxa"/>
            <w:vMerge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4 hours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0.961</w:t>
            </w:r>
          </w:p>
        </w:tc>
        <w:tc>
          <w:tcPr>
            <w:tcW w:w="1984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0.828</w:t>
            </w:r>
          </w:p>
        </w:tc>
      </w:tr>
      <w:tr w:rsidR="00553562" w:rsidRPr="002B23C9" w:rsidTr="00670F85">
        <w:tc>
          <w:tcPr>
            <w:tcW w:w="1547" w:type="dxa"/>
            <w:vMerge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24 hours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0.846</w:t>
            </w:r>
          </w:p>
        </w:tc>
        <w:tc>
          <w:tcPr>
            <w:tcW w:w="1984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553562" w:rsidRPr="002B23C9" w:rsidRDefault="00553562" w:rsidP="00670F85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0.146</w:t>
            </w:r>
          </w:p>
        </w:tc>
      </w:tr>
    </w:tbl>
    <w:p w:rsidR="00E519F9" w:rsidRPr="002B23C9" w:rsidRDefault="00E519F9" w:rsidP="00E519F9">
      <w:pPr>
        <w:rPr>
          <w:rFonts w:ascii="Arial" w:hAnsi="Arial" w:cs="Arial"/>
        </w:rPr>
      </w:pPr>
    </w:p>
    <w:p w:rsidR="00670F85" w:rsidRPr="002B23C9" w:rsidRDefault="00670F85">
      <w:pPr>
        <w:rPr>
          <w:rFonts w:ascii="Arial" w:hAnsi="Arial" w:cs="Arial"/>
          <w:b/>
          <w:bCs/>
          <w:sz w:val="18"/>
          <w:szCs w:val="18"/>
        </w:rPr>
      </w:pPr>
      <w:r w:rsidRPr="002B23C9">
        <w:rPr>
          <w:rFonts w:ascii="Arial" w:hAnsi="Arial" w:cs="Arial"/>
          <w:b/>
          <w:sz w:val="18"/>
        </w:rPr>
        <w:br w:type="page"/>
      </w:r>
    </w:p>
    <w:p w:rsidR="00E519F9" w:rsidRPr="002B23C9" w:rsidRDefault="00E519F9" w:rsidP="00E519F9">
      <w:pPr>
        <w:pStyle w:val="Caption"/>
        <w:spacing w:after="0" w:line="480" w:lineRule="auto"/>
        <w:rPr>
          <w:rFonts w:ascii="Arial" w:hAnsi="Arial" w:cs="Arial"/>
          <w:b/>
          <w:sz w:val="18"/>
        </w:rPr>
      </w:pPr>
      <w:proofErr w:type="gramStart"/>
      <w:r w:rsidRPr="002B23C9">
        <w:rPr>
          <w:rFonts w:ascii="Arial" w:hAnsi="Arial" w:cs="Arial"/>
          <w:b/>
          <w:sz w:val="18"/>
        </w:rPr>
        <w:lastRenderedPageBreak/>
        <w:t xml:space="preserve">Supplementary Table </w:t>
      </w:r>
      <w:r w:rsidR="00F122FB" w:rsidRPr="002B23C9">
        <w:rPr>
          <w:rFonts w:ascii="Arial" w:hAnsi="Arial" w:cs="Arial"/>
          <w:b/>
          <w:sz w:val="18"/>
        </w:rPr>
        <w:t>S</w:t>
      </w:r>
      <w:r w:rsidRPr="002B23C9">
        <w:rPr>
          <w:rFonts w:ascii="Arial" w:hAnsi="Arial" w:cs="Arial"/>
          <w:b/>
          <w:sz w:val="18"/>
        </w:rPr>
        <w:t xml:space="preserve">3 – </w:t>
      </w:r>
      <w:r w:rsidR="00670F85" w:rsidRPr="002B23C9">
        <w:rPr>
          <w:rFonts w:ascii="Arial" w:hAnsi="Arial" w:cs="Arial"/>
          <w:b/>
          <w:sz w:val="18"/>
        </w:rPr>
        <w:t>Statistical analysis for homogeneity of variance</w:t>
      </w:r>
      <w:r w:rsidR="00631756" w:rsidRPr="002B23C9">
        <w:rPr>
          <w:rFonts w:ascii="Arial" w:hAnsi="Arial" w:cs="Arial"/>
          <w:b/>
          <w:sz w:val="18"/>
        </w:rPr>
        <w:t>.</w:t>
      </w:r>
      <w:proofErr w:type="gramEnd"/>
    </w:p>
    <w:tbl>
      <w:tblPr>
        <w:tblStyle w:val="TableGrid"/>
        <w:tblW w:w="7339" w:type="dxa"/>
        <w:tblLook w:val="04A0" w:firstRow="1" w:lastRow="0" w:firstColumn="1" w:lastColumn="0" w:noHBand="0" w:noVBand="1"/>
      </w:tblPr>
      <w:tblGrid>
        <w:gridCol w:w="2093"/>
        <w:gridCol w:w="1843"/>
        <w:gridCol w:w="992"/>
        <w:gridCol w:w="1134"/>
        <w:gridCol w:w="1277"/>
      </w:tblGrid>
      <w:tr w:rsidR="00436779" w:rsidRPr="002B23C9" w:rsidTr="00553562"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6" w:type="dxa"/>
            <w:gridSpan w:val="4"/>
            <w:vAlign w:val="center"/>
          </w:tcPr>
          <w:p w:rsidR="00436779" w:rsidRPr="002B23C9" w:rsidRDefault="00436779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Homogeneity of Variance (Levene’s Test)</w:t>
            </w:r>
          </w:p>
        </w:tc>
      </w:tr>
      <w:tr w:rsidR="00436779" w:rsidRPr="002B23C9" w:rsidTr="00553562">
        <w:tc>
          <w:tcPr>
            <w:tcW w:w="20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Test statistic (F)</w:t>
            </w:r>
          </w:p>
        </w:tc>
        <w:tc>
          <w:tcPr>
            <w:tcW w:w="992" w:type="dxa"/>
            <w:vAlign w:val="center"/>
          </w:tcPr>
          <w:p w:rsidR="00436779" w:rsidRPr="002B23C9" w:rsidRDefault="00436779" w:rsidP="00553562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d</w:t>
            </w:r>
            <w:r w:rsidR="00553562" w:rsidRPr="002B23C9">
              <w:rPr>
                <w:rFonts w:ascii="Arial" w:hAnsi="Arial" w:cs="Arial"/>
                <w:sz w:val="18"/>
                <w:szCs w:val="18"/>
              </w:rPr>
              <w:t>f</w:t>
            </w:r>
            <w:r w:rsidRPr="002B23C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1277" w:type="dxa"/>
            <w:vAlign w:val="center"/>
          </w:tcPr>
          <w:p w:rsidR="00436779" w:rsidRPr="002B23C9" w:rsidRDefault="00436779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436779" w:rsidRPr="002B23C9" w:rsidTr="00553562"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 xml:space="preserve">Luminescence-Based </w:t>
            </w:r>
            <w:r w:rsidR="00553562" w:rsidRPr="002B23C9">
              <w:rPr>
                <w:rFonts w:ascii="Arial" w:hAnsi="Arial" w:cs="Arial"/>
                <w:sz w:val="18"/>
                <w:szCs w:val="18"/>
              </w:rPr>
              <w:t xml:space="preserve">Viability </w:t>
            </w:r>
            <w:r w:rsidRPr="002B23C9">
              <w:rPr>
                <w:rFonts w:ascii="Arial" w:hAnsi="Arial" w:cs="Arial"/>
                <w:sz w:val="18"/>
                <w:szCs w:val="18"/>
              </w:rPr>
              <w:t>Assay</w:t>
            </w:r>
          </w:p>
        </w:tc>
        <w:tc>
          <w:tcPr>
            <w:tcW w:w="1843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50.716</w:t>
            </w:r>
          </w:p>
        </w:tc>
        <w:tc>
          <w:tcPr>
            <w:tcW w:w="992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77" w:type="dxa"/>
            <w:vAlign w:val="center"/>
          </w:tcPr>
          <w:p w:rsidR="00436779" w:rsidRPr="002B23C9" w:rsidRDefault="00436779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436779" w:rsidRPr="002B23C9" w:rsidTr="00553562">
        <w:tc>
          <w:tcPr>
            <w:tcW w:w="2093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 xml:space="preserve">Fluorescence-Based </w:t>
            </w:r>
            <w:r w:rsidR="00553562" w:rsidRPr="002B23C9">
              <w:rPr>
                <w:rFonts w:ascii="Arial" w:hAnsi="Arial" w:cs="Arial"/>
                <w:sz w:val="18"/>
                <w:szCs w:val="18"/>
              </w:rPr>
              <w:t xml:space="preserve">Viability </w:t>
            </w:r>
            <w:r w:rsidRPr="002B23C9">
              <w:rPr>
                <w:rFonts w:ascii="Arial" w:hAnsi="Arial" w:cs="Arial"/>
                <w:sz w:val="18"/>
                <w:szCs w:val="18"/>
              </w:rPr>
              <w:t>Assay</w:t>
            </w:r>
          </w:p>
        </w:tc>
        <w:tc>
          <w:tcPr>
            <w:tcW w:w="1843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77.545</w:t>
            </w:r>
          </w:p>
        </w:tc>
        <w:tc>
          <w:tcPr>
            <w:tcW w:w="992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77" w:type="dxa"/>
            <w:vAlign w:val="center"/>
          </w:tcPr>
          <w:p w:rsidR="00436779" w:rsidRPr="002B23C9" w:rsidRDefault="00436779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436779" w:rsidRPr="002B23C9" w:rsidTr="00553562">
        <w:tc>
          <w:tcPr>
            <w:tcW w:w="2093" w:type="dxa"/>
            <w:vAlign w:val="center"/>
          </w:tcPr>
          <w:p w:rsidR="00436779" w:rsidRPr="002B23C9" w:rsidRDefault="00553562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Flow Cytometric Viability Assay</w:t>
            </w:r>
          </w:p>
        </w:tc>
        <w:tc>
          <w:tcPr>
            <w:tcW w:w="1843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4.403</w:t>
            </w:r>
          </w:p>
        </w:tc>
        <w:tc>
          <w:tcPr>
            <w:tcW w:w="992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436779" w:rsidRPr="002B23C9" w:rsidRDefault="00436779" w:rsidP="00436779">
            <w:pPr>
              <w:spacing w:before="24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7" w:type="dxa"/>
            <w:vAlign w:val="center"/>
          </w:tcPr>
          <w:p w:rsidR="00436779" w:rsidRPr="002B23C9" w:rsidRDefault="00436779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0.067</w:t>
            </w:r>
          </w:p>
        </w:tc>
      </w:tr>
      <w:tr w:rsidR="00553562" w:rsidRPr="002B23C9" w:rsidTr="00553562">
        <w:tc>
          <w:tcPr>
            <w:tcW w:w="2093" w:type="dxa"/>
            <w:vAlign w:val="center"/>
          </w:tcPr>
          <w:p w:rsidR="00553562" w:rsidRPr="002B23C9" w:rsidRDefault="00553562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Intracellular Iron Content</w:t>
            </w:r>
          </w:p>
        </w:tc>
        <w:tc>
          <w:tcPr>
            <w:tcW w:w="1843" w:type="dxa"/>
            <w:vAlign w:val="center"/>
          </w:tcPr>
          <w:p w:rsidR="00553562" w:rsidRPr="002B23C9" w:rsidRDefault="00553562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43.207</w:t>
            </w:r>
          </w:p>
        </w:tc>
        <w:tc>
          <w:tcPr>
            <w:tcW w:w="992" w:type="dxa"/>
            <w:vAlign w:val="center"/>
          </w:tcPr>
          <w:p w:rsidR="00553562" w:rsidRPr="002B23C9" w:rsidRDefault="00553562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53562" w:rsidRPr="002B23C9" w:rsidRDefault="00553562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7" w:type="dxa"/>
            <w:vAlign w:val="center"/>
          </w:tcPr>
          <w:p w:rsidR="00553562" w:rsidRPr="002B23C9" w:rsidRDefault="00553562" w:rsidP="00436779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</w:tbl>
    <w:p w:rsidR="00E519F9" w:rsidRPr="002B23C9" w:rsidRDefault="00E519F9" w:rsidP="00E519F9">
      <w:pPr>
        <w:rPr>
          <w:rFonts w:ascii="Arial" w:hAnsi="Arial" w:cs="Arial"/>
        </w:rPr>
      </w:pPr>
    </w:p>
    <w:p w:rsidR="00F122FB" w:rsidRPr="002B23C9" w:rsidRDefault="00F122FB">
      <w:pPr>
        <w:rPr>
          <w:rFonts w:ascii="Arial" w:hAnsi="Arial" w:cs="Arial"/>
          <w:b/>
          <w:bCs/>
          <w:sz w:val="18"/>
          <w:szCs w:val="18"/>
        </w:rPr>
      </w:pPr>
      <w:r w:rsidRPr="002B23C9">
        <w:rPr>
          <w:rFonts w:ascii="Arial" w:hAnsi="Arial" w:cs="Arial"/>
          <w:b/>
          <w:sz w:val="18"/>
        </w:rPr>
        <w:br w:type="page"/>
      </w:r>
    </w:p>
    <w:p w:rsidR="00631756" w:rsidRPr="002B23C9" w:rsidRDefault="00631756" w:rsidP="00403B06">
      <w:pPr>
        <w:pStyle w:val="Caption"/>
        <w:spacing w:after="0" w:line="480" w:lineRule="auto"/>
        <w:rPr>
          <w:rFonts w:ascii="Arial" w:hAnsi="Arial" w:cs="Arial"/>
          <w:b/>
          <w:sz w:val="18"/>
        </w:rPr>
      </w:pPr>
      <w:r w:rsidRPr="002B23C9">
        <w:rPr>
          <w:rFonts w:ascii="Arial" w:hAnsi="Arial" w:cs="Arial"/>
          <w:b/>
          <w:sz w:val="18"/>
        </w:rPr>
        <w:lastRenderedPageBreak/>
        <w:t xml:space="preserve">Supplementary Table </w:t>
      </w:r>
      <w:r w:rsidR="00F122FB" w:rsidRPr="002B23C9">
        <w:rPr>
          <w:rFonts w:ascii="Arial" w:hAnsi="Arial" w:cs="Arial"/>
          <w:b/>
          <w:sz w:val="18"/>
        </w:rPr>
        <w:t>S</w:t>
      </w:r>
      <w:r w:rsidRPr="002B23C9">
        <w:rPr>
          <w:rFonts w:ascii="Arial" w:hAnsi="Arial" w:cs="Arial"/>
          <w:b/>
          <w:sz w:val="18"/>
        </w:rPr>
        <w:t xml:space="preserve">4 – </w:t>
      </w:r>
      <w:r w:rsidR="00093CA1" w:rsidRPr="002B23C9">
        <w:rPr>
          <w:rFonts w:ascii="Arial" w:hAnsi="Arial" w:cs="Arial"/>
          <w:b/>
          <w:sz w:val="18"/>
        </w:rPr>
        <w:t>Zeiss LSM 710 m</w:t>
      </w:r>
      <w:r w:rsidRPr="002B23C9">
        <w:rPr>
          <w:rFonts w:ascii="Arial" w:hAnsi="Arial" w:cs="Arial"/>
          <w:b/>
          <w:sz w:val="18"/>
        </w:rPr>
        <w:t>icroscopy settings.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843"/>
      </w:tblGrid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Objective Lens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100x 1.45 NA oil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Bit depth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16 bit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AF488 laser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5% intensity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AF488 pinhole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78 (1 AU)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Detector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490-579 nm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Gain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995 V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Offset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1756" w:rsidRPr="002B23C9" w:rsidTr="00093CA1">
        <w:tc>
          <w:tcPr>
            <w:tcW w:w="3227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Digital gain</w:t>
            </w:r>
          </w:p>
        </w:tc>
        <w:tc>
          <w:tcPr>
            <w:tcW w:w="1843" w:type="dxa"/>
            <w:vAlign w:val="center"/>
          </w:tcPr>
          <w:p w:rsidR="00631756" w:rsidRPr="002B23C9" w:rsidRDefault="00631756" w:rsidP="00093CA1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23C9">
              <w:rPr>
                <w:rFonts w:ascii="Arial" w:hAnsi="Arial" w:cs="Arial"/>
                <w:sz w:val="18"/>
                <w:szCs w:val="18"/>
              </w:rPr>
              <w:t>0.3</w:t>
            </w:r>
          </w:p>
        </w:tc>
      </w:tr>
    </w:tbl>
    <w:p w:rsidR="00631756" w:rsidRPr="002B23C9" w:rsidRDefault="00631756" w:rsidP="00631756">
      <w:pPr>
        <w:rPr>
          <w:rFonts w:ascii="Arial" w:hAnsi="Arial" w:cs="Arial"/>
        </w:rPr>
      </w:pPr>
    </w:p>
    <w:p w:rsidR="00F122FB" w:rsidRPr="002B23C9" w:rsidRDefault="00F122FB">
      <w:pPr>
        <w:rPr>
          <w:rFonts w:ascii="Arial" w:hAnsi="Arial" w:cs="Arial"/>
          <w:b/>
          <w:bCs/>
          <w:sz w:val="18"/>
          <w:szCs w:val="18"/>
        </w:rPr>
      </w:pPr>
      <w:r w:rsidRPr="002B23C9">
        <w:rPr>
          <w:rFonts w:ascii="Arial" w:hAnsi="Arial" w:cs="Arial"/>
          <w:b/>
          <w:sz w:val="18"/>
        </w:rPr>
        <w:br w:type="page"/>
      </w:r>
    </w:p>
    <w:p w:rsidR="00403B06" w:rsidRPr="002B23C9" w:rsidRDefault="00403B06" w:rsidP="00403B06">
      <w:pPr>
        <w:pStyle w:val="Caption"/>
        <w:spacing w:after="0" w:line="480" w:lineRule="auto"/>
        <w:rPr>
          <w:rFonts w:ascii="Arial" w:hAnsi="Arial" w:cs="Arial"/>
          <w:b/>
          <w:sz w:val="18"/>
        </w:rPr>
      </w:pPr>
      <w:proofErr w:type="gramStart"/>
      <w:r w:rsidRPr="002B23C9">
        <w:rPr>
          <w:rFonts w:ascii="Arial" w:hAnsi="Arial" w:cs="Arial"/>
          <w:b/>
          <w:sz w:val="18"/>
        </w:rPr>
        <w:lastRenderedPageBreak/>
        <w:t>S</w:t>
      </w:r>
      <w:r w:rsidR="00BF7BAB" w:rsidRPr="002B23C9">
        <w:rPr>
          <w:rFonts w:ascii="Arial" w:hAnsi="Arial" w:cs="Arial"/>
          <w:b/>
          <w:sz w:val="18"/>
        </w:rPr>
        <w:t>upplementary</w:t>
      </w:r>
      <w:r w:rsidRPr="002B23C9">
        <w:rPr>
          <w:rFonts w:ascii="Arial" w:hAnsi="Arial" w:cs="Arial"/>
          <w:b/>
          <w:sz w:val="18"/>
        </w:rPr>
        <w:t xml:space="preserve"> Fig</w:t>
      </w:r>
      <w:r w:rsidR="00BF7BAB" w:rsidRPr="002B23C9">
        <w:rPr>
          <w:rFonts w:ascii="Arial" w:hAnsi="Arial" w:cs="Arial"/>
          <w:b/>
          <w:sz w:val="18"/>
        </w:rPr>
        <w:t xml:space="preserve">ure </w:t>
      </w:r>
      <w:r w:rsidR="00F122FB" w:rsidRPr="002B23C9">
        <w:rPr>
          <w:rFonts w:ascii="Arial" w:hAnsi="Arial" w:cs="Arial"/>
          <w:b/>
          <w:sz w:val="18"/>
        </w:rPr>
        <w:t>S</w:t>
      </w:r>
      <w:r w:rsidR="00BF7BAB" w:rsidRPr="002B23C9">
        <w:rPr>
          <w:rFonts w:ascii="Arial" w:hAnsi="Arial" w:cs="Arial"/>
          <w:b/>
          <w:sz w:val="18"/>
        </w:rPr>
        <w:t>1</w:t>
      </w:r>
      <w:r w:rsidRPr="002B23C9">
        <w:rPr>
          <w:rFonts w:ascii="Arial" w:hAnsi="Arial" w:cs="Arial"/>
          <w:b/>
          <w:sz w:val="18"/>
        </w:rPr>
        <w:t>.</w:t>
      </w:r>
      <w:proofErr w:type="gramEnd"/>
      <w:r w:rsidRPr="002B23C9">
        <w:rPr>
          <w:rFonts w:ascii="Arial" w:hAnsi="Arial" w:cs="Arial"/>
          <w:b/>
          <w:sz w:val="18"/>
        </w:rPr>
        <w:t xml:space="preserve"> Flow cytometric analysis of cell granularity, to assess MNP uptake by axenic amastigotes.</w:t>
      </w:r>
    </w:p>
    <w:p w:rsidR="00403B06" w:rsidRPr="002B23C9" w:rsidRDefault="00403B06" w:rsidP="00403B06">
      <w:pPr>
        <w:pStyle w:val="Caption"/>
        <w:spacing w:line="480" w:lineRule="auto"/>
        <w:rPr>
          <w:rFonts w:ascii="Arial" w:hAnsi="Arial" w:cs="Arial"/>
          <w:sz w:val="18"/>
        </w:rPr>
      </w:pPr>
      <w:r w:rsidRPr="002B23C9">
        <w:rPr>
          <w:rFonts w:ascii="Arial" w:hAnsi="Arial" w:cs="Arial"/>
          <w:sz w:val="18"/>
        </w:rPr>
        <w:t xml:space="preserve"> The three columns indicate results for three biological replicates. Histograms depict side scatter (SSC) against number of gated cells.</w:t>
      </w:r>
    </w:p>
    <w:p w:rsidR="00F122FB" w:rsidRPr="002B23C9" w:rsidRDefault="00F122FB">
      <w:pPr>
        <w:rPr>
          <w:rFonts w:ascii="Arial" w:hAnsi="Arial" w:cs="Arial"/>
          <w:b/>
          <w:bCs/>
          <w:sz w:val="18"/>
          <w:szCs w:val="18"/>
        </w:rPr>
      </w:pPr>
      <w:r w:rsidRPr="002B23C9">
        <w:rPr>
          <w:rFonts w:ascii="Arial" w:hAnsi="Arial" w:cs="Arial"/>
          <w:b/>
          <w:noProof/>
          <w:sz w:val="18"/>
          <w:lang w:eastAsia="en-GB"/>
        </w:rPr>
        <w:drawing>
          <wp:inline distT="0" distB="0" distL="0" distR="0" wp14:anchorId="24377F5A" wp14:editId="001D6DED">
            <wp:extent cx="5731510" cy="49288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-1 (Price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23C9">
        <w:rPr>
          <w:rFonts w:ascii="Arial" w:hAnsi="Arial" w:cs="Arial"/>
          <w:b/>
          <w:sz w:val="18"/>
        </w:rPr>
        <w:br w:type="page"/>
      </w:r>
    </w:p>
    <w:p w:rsidR="00403B06" w:rsidRPr="002B23C9" w:rsidRDefault="00403B06" w:rsidP="00403B06">
      <w:pPr>
        <w:pStyle w:val="Caption"/>
        <w:spacing w:after="0" w:line="480" w:lineRule="auto"/>
        <w:rPr>
          <w:rFonts w:ascii="Arial" w:hAnsi="Arial" w:cs="Arial"/>
          <w:b/>
          <w:sz w:val="18"/>
        </w:rPr>
      </w:pPr>
      <w:proofErr w:type="gramStart"/>
      <w:r w:rsidRPr="002B23C9">
        <w:rPr>
          <w:rFonts w:ascii="Arial" w:hAnsi="Arial" w:cs="Arial"/>
          <w:b/>
          <w:sz w:val="18"/>
        </w:rPr>
        <w:lastRenderedPageBreak/>
        <w:t>S</w:t>
      </w:r>
      <w:r w:rsidR="00BF7BAB" w:rsidRPr="002B23C9">
        <w:rPr>
          <w:rFonts w:ascii="Arial" w:hAnsi="Arial" w:cs="Arial"/>
          <w:b/>
          <w:sz w:val="18"/>
        </w:rPr>
        <w:t xml:space="preserve">upplementary </w:t>
      </w:r>
      <w:r w:rsidRPr="002B23C9">
        <w:rPr>
          <w:rFonts w:ascii="Arial" w:hAnsi="Arial" w:cs="Arial"/>
          <w:b/>
          <w:sz w:val="18"/>
        </w:rPr>
        <w:t>Fig</w:t>
      </w:r>
      <w:r w:rsidR="00BF7BAB" w:rsidRPr="002B23C9">
        <w:rPr>
          <w:rFonts w:ascii="Arial" w:hAnsi="Arial" w:cs="Arial"/>
          <w:b/>
          <w:sz w:val="18"/>
        </w:rPr>
        <w:t xml:space="preserve">ure </w:t>
      </w:r>
      <w:r w:rsidR="00F122FB" w:rsidRPr="002B23C9">
        <w:rPr>
          <w:rFonts w:ascii="Arial" w:hAnsi="Arial" w:cs="Arial"/>
          <w:b/>
          <w:sz w:val="18"/>
        </w:rPr>
        <w:t>S</w:t>
      </w:r>
      <w:r w:rsidR="00BF7BAB" w:rsidRPr="002B23C9">
        <w:rPr>
          <w:rFonts w:ascii="Arial" w:hAnsi="Arial" w:cs="Arial"/>
          <w:b/>
          <w:sz w:val="18"/>
        </w:rPr>
        <w:t>2</w:t>
      </w:r>
      <w:r w:rsidRPr="002B23C9">
        <w:rPr>
          <w:rFonts w:ascii="Arial" w:hAnsi="Arial" w:cs="Arial"/>
          <w:b/>
          <w:sz w:val="18"/>
        </w:rPr>
        <w:t>.</w:t>
      </w:r>
      <w:proofErr w:type="gramEnd"/>
      <w:r w:rsidRPr="002B23C9">
        <w:rPr>
          <w:rFonts w:ascii="Arial" w:hAnsi="Arial" w:cs="Arial"/>
          <w:b/>
          <w:sz w:val="18"/>
        </w:rPr>
        <w:t xml:space="preserve"> Live/dead flow cytometric analysis following treatment, for all biological replicates. </w:t>
      </w:r>
    </w:p>
    <w:p w:rsidR="00403B06" w:rsidRPr="002B23C9" w:rsidRDefault="00403B06" w:rsidP="00403B06">
      <w:pPr>
        <w:pStyle w:val="Caption"/>
        <w:spacing w:line="480" w:lineRule="auto"/>
        <w:rPr>
          <w:rFonts w:ascii="Arial" w:eastAsia="Times New Roman" w:hAnsi="Arial" w:cs="Arial"/>
          <w:noProof/>
          <w:sz w:val="18"/>
        </w:rPr>
      </w:pPr>
      <w:r w:rsidRPr="002B23C9">
        <w:rPr>
          <w:rFonts w:ascii="Arial" w:hAnsi="Arial" w:cs="Arial"/>
          <w:sz w:val="18"/>
        </w:rPr>
        <w:t>The three columns indicate results for the three biological replicates. Graphs depict live/dead staining of the axenic amastigotes. Viability was assessed using the amine reactive live/dead fixable stain (FSC vs YEL-B).</w:t>
      </w:r>
      <w:r w:rsidR="006A1F0B" w:rsidRPr="002B23C9">
        <w:rPr>
          <w:rFonts w:ascii="Arial" w:hAnsi="Arial" w:cs="Arial"/>
          <w:sz w:val="18"/>
        </w:rPr>
        <w:t xml:space="preserve"> Axes are depicted as a log scale.</w:t>
      </w:r>
    </w:p>
    <w:p w:rsidR="00300F2A" w:rsidRPr="002B23C9" w:rsidRDefault="00F122FB">
      <w:pPr>
        <w:rPr>
          <w:rFonts w:ascii="Arial" w:eastAsia="Times New Roman" w:hAnsi="Arial" w:cs="Arial"/>
          <w:sz w:val="15"/>
          <w:szCs w:val="20"/>
          <w:lang w:eastAsia="en-GB"/>
        </w:rPr>
      </w:pPr>
      <w:r w:rsidRPr="002B23C9">
        <w:rPr>
          <w:rFonts w:ascii="Arial" w:eastAsia="Times New Roman" w:hAnsi="Arial" w:cs="Arial"/>
          <w:noProof/>
          <w:sz w:val="15"/>
          <w:szCs w:val="20"/>
          <w:lang w:eastAsia="en-GB"/>
        </w:rPr>
        <w:drawing>
          <wp:inline distT="0" distB="0" distL="0" distR="0" wp14:anchorId="040EC27E" wp14:editId="45480164">
            <wp:extent cx="3954850" cy="7200000"/>
            <wp:effectExtent l="0" t="0" r="762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-2 (Price)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85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F2A" w:rsidRPr="002B2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A78"/>
    <w:multiLevelType w:val="multilevel"/>
    <w:tmpl w:val="0F522772"/>
    <w:lvl w:ilvl="0">
      <w:start w:val="1"/>
      <w:numFmt w:val="decimal"/>
      <w:lvlText w:val="%1. "/>
      <w:lvlJc w:val="left"/>
      <w:pPr>
        <w:ind w:left="794" w:hanging="510"/>
      </w:pPr>
      <w:rPr>
        <w:rFonts w:hint="default"/>
      </w:rPr>
    </w:lvl>
    <w:lvl w:ilvl="1">
      <w:start w:val="1"/>
      <w:numFmt w:val="decimal"/>
      <w:lvlRestart w:val="0"/>
      <w:pStyle w:val="Heading2"/>
      <w:lvlText w:val="%1.1"/>
      <w:lvlJc w:val="left"/>
      <w:pPr>
        <w:ind w:left="1531" w:hanging="851"/>
      </w:pPr>
      <w:rPr>
        <w:rFonts w:hint="default"/>
      </w:rPr>
    </w:lvl>
    <w:lvl w:ilvl="2">
      <w:start w:val="1"/>
      <w:numFmt w:val="none"/>
      <w:pStyle w:val="Heading3"/>
      <w:lvlText w:val="%1.1.1"/>
      <w:lvlJc w:val="right"/>
      <w:pPr>
        <w:ind w:left="2155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383E7233"/>
    <w:multiLevelType w:val="hybridMultilevel"/>
    <w:tmpl w:val="D7F09066"/>
    <w:lvl w:ilvl="0" w:tplc="6936BAFC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06"/>
    <w:rsid w:val="00006737"/>
    <w:rsid w:val="000436F0"/>
    <w:rsid w:val="000536CA"/>
    <w:rsid w:val="00093CA1"/>
    <w:rsid w:val="00101A5D"/>
    <w:rsid w:val="001562D4"/>
    <w:rsid w:val="00166708"/>
    <w:rsid w:val="001852F6"/>
    <w:rsid w:val="001F6453"/>
    <w:rsid w:val="00280931"/>
    <w:rsid w:val="002B23C9"/>
    <w:rsid w:val="002E1955"/>
    <w:rsid w:val="00300F2A"/>
    <w:rsid w:val="00353F0C"/>
    <w:rsid w:val="00403B06"/>
    <w:rsid w:val="00436779"/>
    <w:rsid w:val="00492C26"/>
    <w:rsid w:val="004F2B1B"/>
    <w:rsid w:val="00553562"/>
    <w:rsid w:val="005A71BF"/>
    <w:rsid w:val="00600E94"/>
    <w:rsid w:val="00631756"/>
    <w:rsid w:val="00670375"/>
    <w:rsid w:val="00670F85"/>
    <w:rsid w:val="006A1F0B"/>
    <w:rsid w:val="006B3A5F"/>
    <w:rsid w:val="007513D3"/>
    <w:rsid w:val="009413F4"/>
    <w:rsid w:val="00974726"/>
    <w:rsid w:val="00984A2C"/>
    <w:rsid w:val="00B51FFF"/>
    <w:rsid w:val="00BE6262"/>
    <w:rsid w:val="00BF7BAB"/>
    <w:rsid w:val="00C14345"/>
    <w:rsid w:val="00CC31D9"/>
    <w:rsid w:val="00D16D81"/>
    <w:rsid w:val="00D616FA"/>
    <w:rsid w:val="00E27A7A"/>
    <w:rsid w:val="00E519F9"/>
    <w:rsid w:val="00EE554B"/>
    <w:rsid w:val="00F122FB"/>
    <w:rsid w:val="00F21CBD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0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23C9"/>
    <w:pPr>
      <w:keepNext/>
      <w:keepLines/>
      <w:spacing w:before="240" w:after="240" w:line="259" w:lineRule="auto"/>
      <w:outlineLvl w:val="0"/>
    </w:pPr>
    <w:rPr>
      <w:rFonts w:ascii="Arial" w:eastAsiaTheme="majorEastAsia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00E94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0E9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3C9"/>
    <w:rPr>
      <w:rFonts w:ascii="Arial" w:eastAsiaTheme="majorEastAsia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0E9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0E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link w:val="NoSpacingChar"/>
    <w:uiPriority w:val="1"/>
    <w:qFormat/>
    <w:rsid w:val="00600E94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00E94"/>
    <w:rPr>
      <w:rFonts w:eastAsiaTheme="minorEastAsia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rsid w:val="00403B06"/>
    <w:pPr>
      <w:spacing w:line="200" w:lineRule="exact"/>
    </w:pPr>
    <w:rPr>
      <w:bCs/>
      <w:sz w:val="14"/>
      <w:szCs w:val="18"/>
    </w:rPr>
  </w:style>
  <w:style w:type="table" w:styleId="TableGrid">
    <w:name w:val="Table Grid"/>
    <w:basedOn w:val="TableNormal"/>
    <w:rsid w:val="0040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Normal"/>
    <w:link w:val="RSCB01ARTAbstractChar"/>
    <w:qFormat/>
    <w:rsid w:val="00403B06"/>
    <w:pPr>
      <w:spacing w:line="240" w:lineRule="exact"/>
      <w:jc w:val="both"/>
    </w:pPr>
    <w:rPr>
      <w:noProof/>
      <w:sz w:val="16"/>
      <w:lang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403B06"/>
    <w:rPr>
      <w:noProof/>
      <w:sz w:val="16"/>
      <w:lang w:eastAsia="en-GB"/>
    </w:rPr>
  </w:style>
  <w:style w:type="paragraph" w:customStyle="1" w:styleId="RSCT05TableFootnotewithoutbottombar">
    <w:name w:val="RSC T05 Table Footnote without bottom bar"/>
    <w:basedOn w:val="Normal"/>
    <w:link w:val="RSCT05TableFootnotewithoutbottombarChar"/>
    <w:qFormat/>
    <w:rsid w:val="00403B06"/>
    <w:pPr>
      <w:keepLines/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5TableFootnotewithoutbottombarChar">
    <w:name w:val="RSC T05 Table Footnote without bottom bar Char"/>
    <w:basedOn w:val="DefaultParagraphFont"/>
    <w:link w:val="RSCT05TableFootnotewithoutbottombar"/>
    <w:rsid w:val="00403B06"/>
    <w:rPr>
      <w:rFonts w:eastAsia="Times New Roman" w:cs="Times New Roman"/>
      <w:sz w:val="15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852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19F9"/>
    <w:pPr>
      <w:ind w:left="720"/>
      <w:contextualSpacing/>
    </w:pPr>
  </w:style>
  <w:style w:type="paragraph" w:customStyle="1" w:styleId="TESupportingInformation">
    <w:name w:val="TE_Supporting_Information"/>
    <w:basedOn w:val="Normal"/>
    <w:next w:val="Normal"/>
    <w:link w:val="TESupportingInformationChar"/>
    <w:rsid w:val="00492C26"/>
    <w:pPr>
      <w:spacing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TESupportingInformationChar">
    <w:name w:val="TE_Supporting_Information Char"/>
    <w:basedOn w:val="DefaultParagraphFont"/>
    <w:link w:val="TESupportingInformation"/>
    <w:rsid w:val="00492C26"/>
    <w:rPr>
      <w:rFonts w:ascii="Times" w:eastAsia="Times New Roman" w:hAnsi="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0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23C9"/>
    <w:pPr>
      <w:keepNext/>
      <w:keepLines/>
      <w:spacing w:before="240" w:after="240" w:line="259" w:lineRule="auto"/>
      <w:outlineLvl w:val="0"/>
    </w:pPr>
    <w:rPr>
      <w:rFonts w:ascii="Arial" w:eastAsiaTheme="majorEastAsia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00E94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0E9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3C9"/>
    <w:rPr>
      <w:rFonts w:ascii="Arial" w:eastAsiaTheme="majorEastAsia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0E9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0E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link w:val="NoSpacingChar"/>
    <w:uiPriority w:val="1"/>
    <w:qFormat/>
    <w:rsid w:val="00600E94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00E94"/>
    <w:rPr>
      <w:rFonts w:eastAsiaTheme="minorEastAsia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rsid w:val="00403B06"/>
    <w:pPr>
      <w:spacing w:line="200" w:lineRule="exact"/>
    </w:pPr>
    <w:rPr>
      <w:bCs/>
      <w:sz w:val="14"/>
      <w:szCs w:val="18"/>
    </w:rPr>
  </w:style>
  <w:style w:type="table" w:styleId="TableGrid">
    <w:name w:val="Table Grid"/>
    <w:basedOn w:val="TableNormal"/>
    <w:rsid w:val="0040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Normal"/>
    <w:link w:val="RSCB01ARTAbstractChar"/>
    <w:qFormat/>
    <w:rsid w:val="00403B06"/>
    <w:pPr>
      <w:spacing w:line="240" w:lineRule="exact"/>
      <w:jc w:val="both"/>
    </w:pPr>
    <w:rPr>
      <w:noProof/>
      <w:sz w:val="16"/>
      <w:lang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403B06"/>
    <w:rPr>
      <w:noProof/>
      <w:sz w:val="16"/>
      <w:lang w:eastAsia="en-GB"/>
    </w:rPr>
  </w:style>
  <w:style w:type="paragraph" w:customStyle="1" w:styleId="RSCT05TableFootnotewithoutbottombar">
    <w:name w:val="RSC T05 Table Footnote without bottom bar"/>
    <w:basedOn w:val="Normal"/>
    <w:link w:val="RSCT05TableFootnotewithoutbottombarChar"/>
    <w:qFormat/>
    <w:rsid w:val="00403B06"/>
    <w:pPr>
      <w:keepLines/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5TableFootnotewithoutbottombarChar">
    <w:name w:val="RSC T05 Table Footnote without bottom bar Char"/>
    <w:basedOn w:val="DefaultParagraphFont"/>
    <w:link w:val="RSCT05TableFootnotewithoutbottombar"/>
    <w:rsid w:val="00403B06"/>
    <w:rPr>
      <w:rFonts w:eastAsia="Times New Roman" w:cs="Times New Roman"/>
      <w:sz w:val="15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852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19F9"/>
    <w:pPr>
      <w:ind w:left="720"/>
      <w:contextualSpacing/>
    </w:pPr>
  </w:style>
  <w:style w:type="paragraph" w:customStyle="1" w:styleId="TESupportingInformation">
    <w:name w:val="TE_Supporting_Information"/>
    <w:basedOn w:val="Normal"/>
    <w:next w:val="Normal"/>
    <w:link w:val="TESupportingInformationChar"/>
    <w:rsid w:val="00492C26"/>
    <w:pPr>
      <w:spacing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TESupportingInformationChar">
    <w:name w:val="TE_Supporting_Information Char"/>
    <w:basedOn w:val="DefaultParagraphFont"/>
    <w:link w:val="TESupportingInformation"/>
    <w:rsid w:val="00492C26"/>
    <w:rPr>
      <w:rFonts w:ascii="Times" w:eastAsia="Times New Roman" w:hAnsi="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d.telling@keele.ac.uk" TargetMode="External"/><Relationship Id="rId3" Type="http://schemas.openxmlformats.org/officeDocument/2006/relationships/styles" Target="styles.xml"/><Relationship Id="rId7" Type="http://schemas.openxmlformats.org/officeDocument/2006/relationships/hyperlink" Target="mailto:h.price@keele.ac.u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59B6-EC56-44E4-A132-422F9FFC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Keele University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KeeleUni</dc:creator>
  <cp:lastModifiedBy>KeeleUni</cp:lastModifiedBy>
  <cp:revision>5</cp:revision>
  <dcterms:created xsi:type="dcterms:W3CDTF">2018-10-02T08:35:00Z</dcterms:created>
  <dcterms:modified xsi:type="dcterms:W3CDTF">2018-10-08T16:12:00Z</dcterms:modified>
</cp:coreProperties>
</file>