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993" w:rsidRPr="002B5179" w:rsidRDefault="00627993" w:rsidP="006279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2B517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Visit-to-visit HbA1c and glucose variability and the risks of macrovascular and microvascular events in the general population </w:t>
      </w:r>
    </w:p>
    <w:p w:rsidR="00627993" w:rsidRPr="002B5179" w:rsidRDefault="00627993" w:rsidP="00627993">
      <w:pPr>
        <w:spacing w:line="480" w:lineRule="auto"/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</w:pPr>
    </w:p>
    <w:p w:rsidR="00627993" w:rsidRPr="002B5179" w:rsidRDefault="00627993" w:rsidP="00627993">
      <w:pPr>
        <w:spacing w:line="480" w:lineRule="auto"/>
        <w:rPr>
          <w:rFonts w:ascii="Times New Roman" w:eastAsia="바탕" w:hAnsi="Times New Roman" w:cs="Times New Roman"/>
          <w:color w:val="000000" w:themeColor="text1"/>
          <w:sz w:val="24"/>
          <w:szCs w:val="24"/>
          <w:vertAlign w:val="superscript"/>
          <w:lang w:val="en-GB"/>
        </w:rPr>
      </w:pPr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  <w:t xml:space="preserve">Ji-Yong Jang, </w:t>
      </w:r>
      <w:r w:rsidRPr="002B5179">
        <w:rPr>
          <w:rFonts w:ascii="Times New Roman" w:eastAsia="Times New Roman Uni" w:hAnsi="Times New Roman" w:cs="Times New Roman"/>
          <w:noProof/>
          <w:color w:val="000000" w:themeColor="text1"/>
          <w:sz w:val="24"/>
          <w:szCs w:val="24"/>
          <w:lang w:val="en-GB"/>
        </w:rPr>
        <w:t>Shinje</w:t>
      </w:r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  <w:t xml:space="preserve"> Moon, </w:t>
      </w:r>
      <w:proofErr w:type="spellStart"/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  <w:t>Sungsoo</w:t>
      </w:r>
      <w:proofErr w:type="spellEnd"/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  <w:t xml:space="preserve"> Cho, </w:t>
      </w:r>
      <w:proofErr w:type="spellStart"/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  <w:t>Kyoo</w:t>
      </w:r>
      <w:proofErr w:type="spellEnd"/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  <w:t>Ho</w:t>
      </w:r>
      <w:proofErr w:type="spellEnd"/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  <w:t xml:space="preserve"> Cho,</w:t>
      </w:r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vertAlign w:val="superscript"/>
          <w:lang w:val="en-GB"/>
        </w:rPr>
        <w:t xml:space="preserve"> </w:t>
      </w:r>
      <w:r w:rsidRPr="002B5179">
        <w:rPr>
          <w:rFonts w:ascii="Times New Roman" w:eastAsia="Times New Roman Uni" w:hAnsi="Times New Roman" w:cs="Times New Roman"/>
          <w:color w:val="000000" w:themeColor="text1"/>
          <w:sz w:val="24"/>
          <w:szCs w:val="24"/>
          <w:lang w:val="en-GB"/>
        </w:rPr>
        <w:t>Chang-Myung Oh</w:t>
      </w:r>
    </w:p>
    <w:p w:rsidR="00627993" w:rsidRPr="002B5179" w:rsidRDefault="00627993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GB"/>
        </w:rPr>
      </w:pPr>
      <w:r w:rsidRPr="002B5179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GB"/>
        </w:rPr>
        <w:br w:type="page"/>
      </w:r>
    </w:p>
    <w:p w:rsidR="00627993" w:rsidRPr="002B5179" w:rsidRDefault="00627993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GB"/>
        </w:rPr>
      </w:pPr>
    </w:p>
    <w:p w:rsidR="00174BF7" w:rsidRPr="002B5179" w:rsidRDefault="00174BF7" w:rsidP="00174BF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B5179">
        <w:rPr>
          <w:rFonts w:ascii="Times New Roman" w:eastAsia="TimesNewRoman" w:hAnsi="Times New Roman" w:cs="Times New Roman"/>
          <w:noProof/>
          <w:color w:val="000000" w:themeColor="text1"/>
          <w:kern w:val="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F7FEB1E">
            <wp:simplePos x="0" y="0"/>
            <wp:positionH relativeFrom="column">
              <wp:posOffset>-333375</wp:posOffset>
            </wp:positionH>
            <wp:positionV relativeFrom="paragraph">
              <wp:posOffset>451485</wp:posOffset>
            </wp:positionV>
            <wp:extent cx="5608955" cy="3154680"/>
            <wp:effectExtent l="0" t="0" r="0" b="7620"/>
            <wp:wrapTopAndBottom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5179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Supplement Figure 1. Study profile.</w:t>
      </w:r>
    </w:p>
    <w:p w:rsidR="00174BF7" w:rsidRPr="002B5179" w:rsidRDefault="00174BF7" w:rsidP="00174BF7">
      <w:pPr>
        <w:spacing w:line="480" w:lineRule="auto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2B5179">
        <w:rPr>
          <w:rFonts w:ascii="Times New Roman" w:eastAsia="TimesNewRoman" w:hAnsi="Times New Roman" w:cs="Times New Roman"/>
          <w:color w:val="000000" w:themeColor="text1"/>
          <w:kern w:val="0"/>
          <w:sz w:val="24"/>
          <w:szCs w:val="24"/>
        </w:rPr>
        <w:t xml:space="preserve">HbA1c variability assessed using the </w:t>
      </w:r>
      <w:r w:rsidRPr="002B5179">
        <w:rPr>
          <w:rFonts w:ascii="Times New Roman" w:eastAsia="TimesNewRoman" w:hAnsi="Times New Roman" w:cs="Times New Roman"/>
          <w:noProof/>
          <w:color w:val="000000" w:themeColor="text1"/>
          <w:kern w:val="0"/>
          <w:sz w:val="24"/>
          <w:szCs w:val="24"/>
        </w:rPr>
        <w:t>coefficient</w:t>
      </w:r>
      <w:r w:rsidRPr="002B5179">
        <w:rPr>
          <w:rFonts w:ascii="Times New Roman" w:eastAsia="TimesNewRoman" w:hAnsi="Times New Roman" w:cs="Times New Roman"/>
          <w:color w:val="000000" w:themeColor="text1"/>
          <w:kern w:val="0"/>
          <w:sz w:val="24"/>
          <w:szCs w:val="24"/>
        </w:rPr>
        <w:t xml:space="preserve"> of variation (CV) of HbA1c measurements obtained throughout the study period. HbA1c, glycated hemoglobin</w:t>
      </w:r>
    </w:p>
    <w:p w:rsidR="00174BF7" w:rsidRPr="002B5179" w:rsidRDefault="00174BF7">
      <w:pPr>
        <w:widowControl/>
        <w:wordWrap/>
        <w:autoSpaceDE/>
        <w:autoSpaceDN/>
        <w:rPr>
          <w:rFonts w:ascii="Times New Roman" w:eastAsia="TimesNewRoman" w:hAnsi="Times New Roman" w:cs="Times New Roman"/>
          <w:color w:val="000000" w:themeColor="text1"/>
          <w:kern w:val="0"/>
          <w:sz w:val="24"/>
          <w:szCs w:val="24"/>
        </w:rPr>
      </w:pPr>
      <w:r w:rsidRPr="002B5179">
        <w:rPr>
          <w:rFonts w:ascii="Times New Roman" w:eastAsia="TimesNewRoman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:rsidR="00174BF7" w:rsidRPr="002B5179" w:rsidRDefault="00174BF7" w:rsidP="00174BF7">
      <w:pPr>
        <w:spacing w:line="480" w:lineRule="auto"/>
        <w:rPr>
          <w:rFonts w:ascii="Times New Roman" w:eastAsia="바탕" w:hAnsi="Times New Roman" w:cs="Times New Roman"/>
          <w:b/>
          <w:color w:val="000000" w:themeColor="text1"/>
          <w:kern w:val="0"/>
          <w:sz w:val="24"/>
          <w:szCs w:val="24"/>
        </w:rPr>
      </w:pPr>
      <w:r w:rsidRPr="002B5179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 xml:space="preserve">Supplement Figure 2. </w:t>
      </w:r>
      <w:r w:rsidR="00C16DEB" w:rsidRPr="002B5179">
        <w:rPr>
          <w:rFonts w:ascii="Times New Roman" w:eastAsia="바탕" w:hAnsi="Times New Roman" w:cs="Times New Roman"/>
          <w:b/>
          <w:color w:val="000000" w:themeColor="text1"/>
          <w:kern w:val="0"/>
          <w:sz w:val="24"/>
          <w:szCs w:val="24"/>
        </w:rPr>
        <w:t xml:space="preserve">The relationship between the percentile of each glucose measures and the odds ratio for primary endpoints* adjusted for age and sex. </w:t>
      </w:r>
      <w:r w:rsidR="00C16DEB" w:rsidRPr="002B5179">
        <w:rPr>
          <w:rFonts w:ascii="Times New Roman" w:eastAsia="바탕" w:hAnsi="Times New Roman" w:cs="Times New Roman"/>
          <w:b/>
          <w:noProof/>
          <w:color w:val="000000" w:themeColor="text1"/>
          <w:kern w:val="0"/>
          <w:sz w:val="24"/>
          <w:szCs w:val="24"/>
        </w:rPr>
        <w:t>A,</w:t>
      </w:r>
      <w:r w:rsidR="00C16DEB" w:rsidRPr="002B5179">
        <w:rPr>
          <w:rFonts w:ascii="Times New Roman" w:eastAsia="바탕" w:hAnsi="Times New Roman" w:cs="Times New Roman"/>
          <w:b/>
          <w:color w:val="000000" w:themeColor="text1"/>
          <w:kern w:val="0"/>
          <w:sz w:val="24"/>
          <w:szCs w:val="24"/>
        </w:rPr>
        <w:t xml:space="preserve"> HbA1c-CV; B, FBG-CV; C, PBG-CV</w:t>
      </w:r>
    </w:p>
    <w:p w:rsidR="00C16DEB" w:rsidRPr="002B5179" w:rsidRDefault="00C16DEB" w:rsidP="00174BF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2B5179">
        <w:rPr>
          <w:rFonts w:ascii="Times New Roman" w:hAnsi="Times New Roman" w:cs="Times New Roman" w:hint="eastAsia"/>
          <w:b/>
          <w:bCs/>
          <w:noProof/>
          <w:color w:val="000000" w:themeColor="text1"/>
          <w:kern w:val="0"/>
          <w:sz w:val="24"/>
          <w:szCs w:val="24"/>
        </w:rPr>
        <w:drawing>
          <wp:inline distT="0" distB="0" distL="0" distR="0">
            <wp:extent cx="2861953" cy="6380690"/>
            <wp:effectExtent l="0" t="0" r="0" b="127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764" cy="641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FCE" w:rsidRPr="002B5179" w:rsidRDefault="00A10FCE" w:rsidP="00A10FCE">
      <w:pPr>
        <w:spacing w:after="0" w:line="480" w:lineRule="auto"/>
        <w:rPr>
          <w:rFonts w:ascii="Times New Roman" w:eastAsia="바탕" w:hAnsi="Times New Roman" w:cs="Times New Roman"/>
          <w:b/>
          <w:bCs/>
          <w:color w:val="000000" w:themeColor="text1"/>
          <w:sz w:val="24"/>
          <w:szCs w:val="24"/>
        </w:rPr>
      </w:pP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CV: Coefficient of Variation. </w:t>
      </w:r>
      <w:r w:rsidRPr="002B5179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*Primary endpoint was composite of Macro (composite of CAD, MI, CHF or ischemic </w:t>
      </w:r>
      <w:proofErr w:type="gramStart"/>
      <w:r w:rsidRPr="002B5179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stroke )</w:t>
      </w:r>
      <w:proofErr w:type="gramEnd"/>
      <w:r w:rsidRPr="002B5179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- and Microvascular event (defined as Creatine Clearance &lt; 60ml/min/ 1.73m</w:t>
      </w:r>
      <w:r w:rsidRPr="002B5179">
        <w:rPr>
          <w:rFonts w:ascii="Times New Roman" w:eastAsia="바탕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2B5179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)</w:t>
      </w:r>
    </w:p>
    <w:p w:rsidR="00174BF7" w:rsidRPr="002B5179" w:rsidRDefault="00174BF7" w:rsidP="00174BF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529564447"/>
      <w:r w:rsidRPr="002B51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 Table 1. </w:t>
      </w:r>
      <w:r w:rsidRPr="002B5179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Serial</w:t>
      </w:r>
      <w:r w:rsidRPr="002B51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change of </w:t>
      </w:r>
      <w:r w:rsidR="009A31D4" w:rsidRPr="002B51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Coefficient of </w:t>
      </w:r>
      <w:proofErr w:type="gramStart"/>
      <w:r w:rsidR="009A31D4" w:rsidRPr="002B51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variation(</w:t>
      </w:r>
      <w:proofErr w:type="gramEnd"/>
      <w:r w:rsidR="009A31D4" w:rsidRPr="002B51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CV), </w:t>
      </w:r>
      <w:r w:rsidRPr="002B51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HbA1c, Fasting blood glucose, post </w:t>
      </w:r>
      <w:r w:rsidRPr="002B5179"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</w:rPr>
        <w:t xml:space="preserve">2hour blood </w:t>
      </w:r>
      <w:r w:rsidRPr="002B5179">
        <w:rPr>
          <w:rFonts w:ascii="Times New Roman" w:eastAsia="맑은 고딕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glucose, muscle mass and fat mass through follow-up duration. </w:t>
      </w:r>
    </w:p>
    <w:tbl>
      <w:tblPr>
        <w:tblStyle w:val="a3"/>
        <w:tblW w:w="9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798"/>
        <w:gridCol w:w="1798"/>
        <w:gridCol w:w="1798"/>
        <w:gridCol w:w="797"/>
        <w:gridCol w:w="227"/>
      </w:tblGrid>
      <w:tr w:rsidR="002B5179" w:rsidRPr="002B5179" w:rsidTr="00D100EB">
        <w:trPr>
          <w:gridAfter w:val="1"/>
          <w:wAfter w:w="227" w:type="dxa"/>
        </w:trPr>
        <w:tc>
          <w:tcPr>
            <w:tcW w:w="90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HbA1c variability groups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HbA1c, %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 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25864" w:rsidRPr="002B5179" w:rsidRDefault="00025864" w:rsidP="00D100EB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New onset DM, </w:t>
            </w:r>
            <w:proofErr w:type="gramStart"/>
            <w:r w:rsidRPr="002B51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n(</w:t>
            </w:r>
            <w:proofErr w:type="gramEnd"/>
            <w:r w:rsidRPr="002B51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025864" w:rsidRPr="002B5179" w:rsidRDefault="00025864" w:rsidP="00D100EB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</w:t>
            </w:r>
            <w:r w:rsidRPr="002B51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(0.3)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025864" w:rsidRPr="002B5179" w:rsidRDefault="00025864" w:rsidP="00D100EB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26</w:t>
            </w:r>
            <w:r w:rsidRPr="002B51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(1.2)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025864" w:rsidRPr="002B5179" w:rsidRDefault="00025864" w:rsidP="00D100EB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254</w:t>
            </w:r>
            <w:r w:rsidRPr="002B51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(11.9)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5864" w:rsidRPr="002B5179" w:rsidRDefault="00025864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</w:tcBorders>
          </w:tcPr>
          <w:p w:rsidR="00174BF7" w:rsidRPr="002B5179" w:rsidRDefault="00174BF7" w:rsidP="009A31D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1 </w:t>
            </w:r>
            <w:r w:rsidR="009A31D4"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9A31D4"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mean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±SD</w:t>
            </w:r>
            <w:proofErr w:type="spellEnd"/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, (</w:t>
            </w:r>
            <w:r w:rsidR="009A31D4"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CV)) 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±0.3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(0.056)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5.5±0.3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(0.059)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5.6±0.4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(0.076)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2 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5.7±0.3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(0.060)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5.7±0.3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(0.058)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5.8±0.5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(0.096)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0.35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5.4±0.3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(0.056)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5.4±0.3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(0.062)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5.4±0.4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(0.082)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4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5.5±0.3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(0.056)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5.5±0.4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(0.066)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5.5±0.5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(0.088)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5.5±0.3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(0.075)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5.6±0.4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(0.065)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5.7±0.5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(0.096)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6 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5.5±0.3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(0.074)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5.5±0.4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(0.065)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5.7±0.5</w:t>
            </w:r>
            <w:r w:rsidR="009A31D4"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 xml:space="preserve"> (0.093)</w:t>
            </w:r>
          </w:p>
        </w:tc>
        <w:tc>
          <w:tcPr>
            <w:tcW w:w="1024" w:type="dxa"/>
            <w:gridSpan w:val="2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Difference between </w:t>
            </w:r>
          </w:p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1 and Visit 6 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0.00±0.17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0.01±0.29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0.11±0.55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bookmarkEnd w:id="0"/>
      <w:tr w:rsidR="002B5179" w:rsidRPr="002B5179" w:rsidTr="00D100EB">
        <w:tc>
          <w:tcPr>
            <w:tcW w:w="2835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24" w:type="dxa"/>
            <w:gridSpan w:val="2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FBG, mg/dL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 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1 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87±9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87±9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88±10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2 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90±10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90±10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91±10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90±9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90±9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91±10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4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91±9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92±10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94±13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94±9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95±10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98±14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6 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93±9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94±9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97±14</w:t>
            </w:r>
          </w:p>
        </w:tc>
        <w:tc>
          <w:tcPr>
            <w:tcW w:w="1024" w:type="dxa"/>
            <w:gridSpan w:val="2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Difference between </w:t>
            </w:r>
          </w:p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1 and Visit 6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6±10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7±10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8±12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24" w:type="dxa"/>
            <w:gridSpan w:val="2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PBG, mg/dL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 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1 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120±32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121±34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128±40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2 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119±34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120±35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124±38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123±37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124±37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131±44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4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128±38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127±38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137±47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126±36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127±38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137±49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6 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126±36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127±38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136±49</w:t>
            </w:r>
          </w:p>
        </w:tc>
        <w:tc>
          <w:tcPr>
            <w:tcW w:w="1024" w:type="dxa"/>
            <w:gridSpan w:val="2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Difference between </w:t>
            </w:r>
          </w:p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Visit 1 and Visit 6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lastRenderedPageBreak/>
              <w:t>7±36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8±37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12±45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Muscle mass /BMI, </w:t>
            </w:r>
            <w:r w:rsidRPr="002B517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</w:rPr>
              <w:t>m</w:t>
            </w:r>
            <w:r w:rsidRPr="002B517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 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1 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1.80±0.33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1.81±0.32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1.80±0.32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2 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1.82±0.33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1.83±0.33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1.81±0.33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1.82±0.34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1.83±0.33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1.81±0.33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4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1.82±0.34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1.82±0.33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1.79±0.33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1.80±0.33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1.81±0.33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1.78±0.33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</w:tr>
      <w:tr w:rsidR="002B5179" w:rsidRPr="002B5179" w:rsidTr="00D100EB">
        <w:tc>
          <w:tcPr>
            <w:tcW w:w="2835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6 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1.78±0.33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1.80±0.34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1.76±0.33</w:t>
            </w:r>
          </w:p>
        </w:tc>
        <w:tc>
          <w:tcPr>
            <w:tcW w:w="1024" w:type="dxa"/>
            <w:gridSpan w:val="2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0.006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Difference between </w:t>
            </w:r>
          </w:p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1 and Visit 6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-0.009±0.091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-0.015±0.091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-0.018±0.097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</w:t>
            </w:r>
          </w:p>
        </w:tc>
      </w:tr>
      <w:tr w:rsidR="002B5179" w:rsidRPr="002B5179" w:rsidTr="00D100EB">
        <w:tc>
          <w:tcPr>
            <w:tcW w:w="2835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24" w:type="dxa"/>
            <w:gridSpan w:val="2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Fat mass/BMI</w:t>
            </w:r>
            <w:r w:rsidRPr="002B517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m</w:t>
            </w:r>
            <w:r w:rsidRPr="002B517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 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tertile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1 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0.67±0.15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0.67±0.15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0.68±0.15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2 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0.66±0.15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0.66±0.15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0.66±0.15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3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0.66±0.15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0.66±0.15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0.67±0.15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4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0.66±0.15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0.66±0.15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0.68±0.15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2B5179" w:rsidRPr="002B5179" w:rsidTr="00D100EB">
        <w:tc>
          <w:tcPr>
            <w:tcW w:w="2835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0.66±0.15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0.66±0.15</w:t>
            </w:r>
          </w:p>
        </w:tc>
        <w:tc>
          <w:tcPr>
            <w:tcW w:w="1798" w:type="dxa"/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0.68±0.15</w:t>
            </w:r>
          </w:p>
        </w:tc>
        <w:tc>
          <w:tcPr>
            <w:tcW w:w="1024" w:type="dxa"/>
            <w:gridSpan w:val="2"/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Visit 6 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0.67±0.15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0.67±0.15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0.69±0.15</w:t>
            </w:r>
          </w:p>
        </w:tc>
        <w:tc>
          <w:tcPr>
            <w:tcW w:w="1024" w:type="dxa"/>
            <w:gridSpan w:val="2"/>
            <w:tcBorders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B5179" w:rsidRPr="002B5179" w:rsidTr="00D100EB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Difference between </w:t>
            </w:r>
          </w:p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 1 and Visit 6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0.003±0.087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0.001±0.089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0.003±0.094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4BF7" w:rsidRPr="002B5179" w:rsidRDefault="00174BF7" w:rsidP="00D100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0.35</w:t>
            </w:r>
          </w:p>
        </w:tc>
      </w:tr>
    </w:tbl>
    <w:p w:rsidR="00174BF7" w:rsidRPr="002B5179" w:rsidRDefault="00174BF7" w:rsidP="00460A4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5179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Values are presented as mean 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±</w:t>
      </w:r>
      <w:r w:rsidRPr="002B5179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standard deviation (SD). 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Abbreviation: BMI</w:t>
      </w:r>
      <w:r w:rsidRPr="002B5179">
        <w:rPr>
          <w:rFonts w:ascii="Times New Roman" w:eastAsia="맑은 고딕" w:hAnsi="Times New Roman" w:cs="Times New Roman"/>
          <w:noProof/>
          <w:color w:val="000000" w:themeColor="text1"/>
          <w:sz w:val="24"/>
          <w:szCs w:val="24"/>
        </w:rPr>
        <w:t>, body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mass index</w:t>
      </w:r>
      <w:r w:rsidRPr="002B5179">
        <w:rPr>
          <w:rFonts w:ascii="Times New Roman" w:eastAsia="맑은 고딕" w:hAnsi="Times New Roman" w:cs="Times New Roman"/>
          <w:noProof/>
          <w:color w:val="000000" w:themeColor="text1"/>
          <w:sz w:val="24"/>
          <w:szCs w:val="24"/>
        </w:rPr>
        <w:t>; FBG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fasting blood glucose; PBG, post 2hour blood </w:t>
      </w:r>
      <w:r w:rsidRPr="002B5179">
        <w:rPr>
          <w:rFonts w:ascii="Times New Roman" w:eastAsia="맑은 고딕" w:hAnsi="Times New Roman" w:cs="Times New Roman"/>
          <w:noProof/>
          <w:color w:val="000000" w:themeColor="text1"/>
          <w:sz w:val="24"/>
          <w:szCs w:val="24"/>
        </w:rPr>
        <w:t>glucose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. *</w:t>
      </w:r>
      <w:r w:rsidRPr="002B51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Difference between Visit 1 and Visit 6 was calculated by subtracted the value of Visit 1 from the value of Visit 6.</w:t>
      </w:r>
    </w:p>
    <w:p w:rsidR="00174BF7" w:rsidRPr="002B5179" w:rsidRDefault="00174BF7" w:rsidP="00174BF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74BF7" w:rsidRPr="002B5179" w:rsidRDefault="00174BF7" w:rsidP="00174BF7">
      <w:pPr>
        <w:rPr>
          <w:color w:val="000000" w:themeColor="text1"/>
        </w:rPr>
      </w:pPr>
    </w:p>
    <w:p w:rsidR="00460A4E" w:rsidRPr="002B5179" w:rsidRDefault="00460A4E" w:rsidP="00174BF7">
      <w:pPr>
        <w:rPr>
          <w:color w:val="000000" w:themeColor="text1"/>
        </w:rPr>
      </w:pPr>
    </w:p>
    <w:p w:rsidR="00460A4E" w:rsidRPr="002B5179" w:rsidRDefault="00460A4E" w:rsidP="00174BF7">
      <w:pPr>
        <w:rPr>
          <w:color w:val="000000" w:themeColor="text1"/>
        </w:rPr>
      </w:pPr>
    </w:p>
    <w:p w:rsidR="00460A4E" w:rsidRPr="002B5179" w:rsidRDefault="00460A4E" w:rsidP="00174BF7">
      <w:pPr>
        <w:rPr>
          <w:color w:val="000000" w:themeColor="text1"/>
        </w:rPr>
      </w:pPr>
    </w:p>
    <w:p w:rsidR="00460A4E" w:rsidRPr="002B5179" w:rsidRDefault="00460A4E" w:rsidP="00174BF7">
      <w:pPr>
        <w:rPr>
          <w:color w:val="000000" w:themeColor="text1"/>
        </w:rPr>
      </w:pPr>
    </w:p>
    <w:p w:rsidR="00460A4E" w:rsidRPr="002B5179" w:rsidRDefault="00460A4E" w:rsidP="00613F35">
      <w:pPr>
        <w:widowControl/>
        <w:wordWrap/>
        <w:autoSpaceDE/>
        <w:autoSpaceDN/>
        <w:spacing w:after="200" w:line="480" w:lineRule="auto"/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</w:rPr>
      </w:pPr>
    </w:p>
    <w:p w:rsidR="00613F35" w:rsidRPr="002B5179" w:rsidRDefault="00613F35" w:rsidP="00613F35">
      <w:pPr>
        <w:widowControl/>
        <w:wordWrap/>
        <w:autoSpaceDE/>
        <w:autoSpaceDN/>
        <w:spacing w:after="200" w:line="480" w:lineRule="auto"/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</w:rPr>
      </w:pPr>
      <w:r w:rsidRPr="002B5179"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 Table2. Multivariate Cox analysis for Primary and Secondary endpoints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*</w:t>
      </w:r>
    </w:p>
    <w:tbl>
      <w:tblPr>
        <w:tblStyle w:val="a3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7"/>
        <w:gridCol w:w="1517"/>
        <w:gridCol w:w="779"/>
        <w:gridCol w:w="1517"/>
        <w:gridCol w:w="779"/>
        <w:gridCol w:w="1517"/>
        <w:gridCol w:w="735"/>
      </w:tblGrid>
      <w:tr w:rsidR="002B5179" w:rsidRPr="002B5179" w:rsidTr="00460A4E">
        <w:tc>
          <w:tcPr>
            <w:tcW w:w="2227" w:type="dxa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Primary endpoint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†</w:t>
            </w:r>
            <w:r w:rsidRPr="002B517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Microvascular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Macrovascular</w:t>
            </w:r>
          </w:p>
        </w:tc>
      </w:tr>
      <w:tr w:rsidR="002B5179" w:rsidRPr="002B5179" w:rsidTr="00541284"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0"/>
              </w:rPr>
            </w:pPr>
            <w:proofErr w:type="gram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0"/>
              </w:rPr>
              <w:t>HR(</w:t>
            </w:r>
            <w:proofErr w:type="gram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0"/>
              </w:rPr>
              <w:t>95% CI)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4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4"/>
                <w:szCs w:val="20"/>
              </w:rPr>
              <w:t>p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0"/>
              </w:rPr>
            </w:pPr>
            <w:proofErr w:type="gram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0"/>
              </w:rPr>
              <w:t>HR(</w:t>
            </w:r>
            <w:proofErr w:type="gram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0"/>
              </w:rPr>
              <w:t>95% CI)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4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4"/>
                <w:szCs w:val="20"/>
              </w:rPr>
              <w:t>p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0"/>
              </w:rPr>
            </w:pPr>
            <w:proofErr w:type="gram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0"/>
              </w:rPr>
              <w:t>HR(</w:t>
            </w:r>
            <w:proofErr w:type="gram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0"/>
              </w:rPr>
              <w:t>95% CI)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4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4"/>
                <w:szCs w:val="20"/>
              </w:rPr>
              <w:t>p</w:t>
            </w:r>
          </w:p>
        </w:tc>
      </w:tr>
      <w:tr w:rsidR="002B5179" w:rsidRPr="002B5179" w:rsidTr="00541284">
        <w:tc>
          <w:tcPr>
            <w:tcW w:w="2227" w:type="dxa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Mean HbA1c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1.62 (1.23-2.13)</w:t>
            </w:r>
          </w:p>
        </w:tc>
        <w:tc>
          <w:tcPr>
            <w:tcW w:w="779" w:type="dxa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0.001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2.04 (1.44-2.91)</w:t>
            </w:r>
          </w:p>
        </w:tc>
        <w:tc>
          <w:tcPr>
            <w:tcW w:w="779" w:type="dxa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&lt;0.001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1.33(0.62-2.85)</w:t>
            </w:r>
          </w:p>
        </w:tc>
        <w:tc>
          <w:tcPr>
            <w:tcW w:w="735" w:type="dxa"/>
            <w:tcBorders>
              <w:top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0.46</w:t>
            </w:r>
          </w:p>
        </w:tc>
      </w:tr>
      <w:tr w:rsidR="002B5179" w:rsidRPr="002B5179" w:rsidTr="00541284">
        <w:tc>
          <w:tcPr>
            <w:tcW w:w="222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HbA1c-CV 1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  <w:vertAlign w:val="superscript"/>
              </w:rPr>
              <w:t>st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proofErr w:type="spell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tertile</w:t>
            </w:r>
            <w:proofErr w:type="spell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 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 xml:space="preserve">Reference 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35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</w:tr>
      <w:tr w:rsidR="002B5179" w:rsidRPr="002B5179" w:rsidTr="00541284">
        <w:tc>
          <w:tcPr>
            <w:tcW w:w="222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ind w:firstLineChars="500" w:firstLine="1100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2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  <w:vertAlign w:val="superscript"/>
              </w:rPr>
              <w:t>nd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proofErr w:type="spell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tertile</w:t>
            </w:r>
            <w:proofErr w:type="spell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1.34 (1.07-1.67)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0.01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1.38(1.08-1.75)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0.01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1.19(0.72-1.98)</w:t>
            </w:r>
          </w:p>
        </w:tc>
        <w:tc>
          <w:tcPr>
            <w:tcW w:w="735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0.49</w:t>
            </w:r>
          </w:p>
        </w:tc>
      </w:tr>
      <w:tr w:rsidR="002B5179" w:rsidRPr="002B5179" w:rsidTr="00541284">
        <w:tc>
          <w:tcPr>
            <w:tcW w:w="222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ind w:firstLineChars="500" w:firstLine="1100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3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  <w:vertAlign w:val="superscript"/>
              </w:rPr>
              <w:t>rd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proofErr w:type="spell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tertile</w:t>
            </w:r>
            <w:proofErr w:type="spell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1.36 (1.08-1.70)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0.01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1.31 (1.02-1.68)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0.04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1.18 (0.70-2.00)</w:t>
            </w:r>
          </w:p>
        </w:tc>
        <w:tc>
          <w:tcPr>
            <w:tcW w:w="735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0.53</w:t>
            </w:r>
          </w:p>
        </w:tc>
      </w:tr>
      <w:tr w:rsidR="002B5179" w:rsidRPr="002B5179" w:rsidTr="00541284"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P for trend 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0.01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0.03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0.76</w:t>
            </w:r>
          </w:p>
        </w:tc>
      </w:tr>
      <w:tr w:rsidR="002B5179" w:rsidRPr="002B5179" w:rsidTr="00541284">
        <w:tc>
          <w:tcPr>
            <w:tcW w:w="222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Mean FBG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0.99 (0.97-1.00)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0.04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0.98 (0.97-0.99)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0.005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1.00(0.97-1.02)</w:t>
            </w:r>
          </w:p>
        </w:tc>
        <w:tc>
          <w:tcPr>
            <w:tcW w:w="735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0.72</w:t>
            </w:r>
          </w:p>
        </w:tc>
      </w:tr>
      <w:tr w:rsidR="002B5179" w:rsidRPr="002B5179" w:rsidTr="00541284">
        <w:tc>
          <w:tcPr>
            <w:tcW w:w="222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FBG-CV 1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  <w:vertAlign w:val="superscript"/>
              </w:rPr>
              <w:t>st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proofErr w:type="spell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tertile</w:t>
            </w:r>
            <w:proofErr w:type="spellEnd"/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35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</w:tr>
      <w:tr w:rsidR="002B5179" w:rsidRPr="002B5179" w:rsidTr="00541284">
        <w:tc>
          <w:tcPr>
            <w:tcW w:w="222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ind w:firstLineChars="400" w:firstLine="880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2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  <w:vertAlign w:val="superscript"/>
              </w:rPr>
              <w:t>nd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proofErr w:type="spell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tertile</w:t>
            </w:r>
            <w:proofErr w:type="spell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1.18 (0.94-1.48)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0.15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1.11 (0.88-1.41)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0.37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1.69 (0.93-3.05)</w:t>
            </w:r>
          </w:p>
        </w:tc>
        <w:tc>
          <w:tcPr>
            <w:tcW w:w="735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0.08</w:t>
            </w:r>
          </w:p>
        </w:tc>
      </w:tr>
      <w:tr w:rsidR="002B5179" w:rsidRPr="002B5179" w:rsidTr="00541284">
        <w:tc>
          <w:tcPr>
            <w:tcW w:w="222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ind w:firstLineChars="400" w:firstLine="880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3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  <w:vertAlign w:val="superscript"/>
              </w:rPr>
              <w:t>rd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proofErr w:type="spell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tertile</w:t>
            </w:r>
            <w:proofErr w:type="spell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1.32 (1.04-1.67)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0.02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1.21 (0.94-1.56)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0.14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2.32 (1.30-4.12)</w:t>
            </w:r>
          </w:p>
        </w:tc>
        <w:tc>
          <w:tcPr>
            <w:tcW w:w="735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0.004</w:t>
            </w:r>
          </w:p>
        </w:tc>
      </w:tr>
      <w:tr w:rsidR="002B5179" w:rsidRPr="002B5179" w:rsidTr="00541284"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P for trend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0.07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0.33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0.01</w:t>
            </w:r>
          </w:p>
        </w:tc>
      </w:tr>
      <w:tr w:rsidR="002B5179" w:rsidRPr="002B5179" w:rsidTr="00541284">
        <w:tc>
          <w:tcPr>
            <w:tcW w:w="222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Mean PBG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1.00 (0.99-1.01)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0.32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1.00 (0.99-1.01)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0.36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1.01(1.00-1.01)</w:t>
            </w:r>
          </w:p>
        </w:tc>
        <w:tc>
          <w:tcPr>
            <w:tcW w:w="735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0.005</w:t>
            </w:r>
          </w:p>
        </w:tc>
      </w:tr>
      <w:tr w:rsidR="002B5179" w:rsidRPr="002B5179" w:rsidTr="00541284">
        <w:tc>
          <w:tcPr>
            <w:tcW w:w="222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PBG-CV 1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  <w:vertAlign w:val="superscript"/>
              </w:rPr>
              <w:t>st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proofErr w:type="spell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tertile</w:t>
            </w:r>
            <w:proofErr w:type="spellEnd"/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35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</w:tr>
      <w:tr w:rsidR="002B5179" w:rsidRPr="002B5179" w:rsidTr="00541284">
        <w:tc>
          <w:tcPr>
            <w:tcW w:w="222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ind w:firstLineChars="400" w:firstLine="880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2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  <w:vertAlign w:val="superscript"/>
              </w:rPr>
              <w:t>nd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proofErr w:type="spell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tertile</w:t>
            </w:r>
            <w:proofErr w:type="spell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1.10 (0.89-1.36)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0.36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1.02 (0.81-1.28)</w:t>
            </w:r>
          </w:p>
        </w:tc>
        <w:tc>
          <w:tcPr>
            <w:tcW w:w="779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0.88</w:t>
            </w:r>
          </w:p>
        </w:tc>
        <w:tc>
          <w:tcPr>
            <w:tcW w:w="1517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2.07 (1.19-3.60)</w:t>
            </w:r>
          </w:p>
        </w:tc>
        <w:tc>
          <w:tcPr>
            <w:tcW w:w="735" w:type="dxa"/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0.01</w:t>
            </w:r>
          </w:p>
        </w:tc>
      </w:tr>
      <w:tr w:rsidR="002B5179" w:rsidRPr="002B5179" w:rsidTr="00541284">
        <w:tc>
          <w:tcPr>
            <w:tcW w:w="222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ind w:firstLineChars="400" w:firstLine="880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3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  <w:vertAlign w:val="superscript"/>
              </w:rPr>
              <w:t>rd</w:t>
            </w: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proofErr w:type="spellStart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tertile</w:t>
            </w:r>
            <w:proofErr w:type="spellEnd"/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1.02 (0.82-1.28)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0.84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0.97 (0.76-1.24)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0.82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1.85 (1.05-3.26)</w:t>
            </w:r>
          </w:p>
        </w:tc>
        <w:tc>
          <w:tcPr>
            <w:tcW w:w="735" w:type="dxa"/>
            <w:tcBorders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0.03</w:t>
            </w:r>
          </w:p>
        </w:tc>
      </w:tr>
      <w:tr w:rsidR="002B5179" w:rsidRPr="002B5179" w:rsidTr="00541284"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 w:val="22"/>
                <w:szCs w:val="24"/>
              </w:rPr>
              <w:t>P for trend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0.63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0.93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:rsidR="00613F35" w:rsidRPr="002B5179" w:rsidRDefault="00613F35" w:rsidP="00613F35">
            <w:pPr>
              <w:widowControl/>
              <w:wordWrap/>
              <w:autoSpaceDE/>
              <w:autoSpaceDN/>
              <w:spacing w:after="200" w:line="480" w:lineRule="auto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B5179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0.03</w:t>
            </w:r>
          </w:p>
        </w:tc>
      </w:tr>
    </w:tbl>
    <w:p w:rsidR="00460A4E" w:rsidRPr="002B5179" w:rsidRDefault="00460A4E" w:rsidP="00460A4E">
      <w:pPr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</w:pP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 xml:space="preserve">HR, hazard ratio; CI, confidence interval; HbA1c, glycated haemoglobin; CV, coefficient of 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lastRenderedPageBreak/>
        <w:t>variation;</w:t>
      </w:r>
      <w:r w:rsidRPr="002B5179">
        <w:rPr>
          <w:rFonts w:ascii="맑은 고딕" w:eastAsia="맑은 고딕" w:hAnsi="맑은 고딕" w:cs="Times New Roman" w:hint="eastAsia"/>
          <w:color w:val="000000" w:themeColor="text1"/>
          <w:lang w:val="en-GB"/>
        </w:rPr>
        <w:t xml:space="preserve"> 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 xml:space="preserve">FBG, fasting blood glucose; PBG, post 2-h blood glucose. </w:t>
      </w:r>
    </w:p>
    <w:p w:rsidR="00460A4E" w:rsidRPr="002B5179" w:rsidRDefault="00460A4E" w:rsidP="00460A4E">
      <w:pPr>
        <w:spacing w:after="0" w:line="480" w:lineRule="auto"/>
        <w:rPr>
          <w:rFonts w:ascii="Times New Roman" w:eastAsia="바탕" w:hAnsi="Times New Roman" w:cs="Times New Roman"/>
          <w:color w:val="000000" w:themeColor="text1"/>
          <w:sz w:val="24"/>
          <w:szCs w:val="24"/>
          <w:lang w:val="en-GB"/>
        </w:rPr>
      </w:pPr>
      <w:bookmarkStart w:id="1" w:name="_Hlk530396672"/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  <w:lang w:val="en-GB"/>
        </w:rPr>
        <w:t>*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>The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  <w:lang w:val="en-GB"/>
        </w:rPr>
        <w:t xml:space="preserve"> 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>Cox regression multivariate analysis included age, sex, previous hypertension, myocardial infarction, coronary artery disease, d</w:t>
      </w:r>
      <w:r w:rsidRPr="002B5179">
        <w:rPr>
          <w:rFonts w:ascii="Times New Roman" w:eastAsia="맑은 고딕" w:hAnsi="Times New Roman" w:cs="Times New Roman"/>
          <w:noProof/>
          <w:color w:val="000000" w:themeColor="text1"/>
          <w:sz w:val="24"/>
          <w:szCs w:val="24"/>
          <w:lang w:val="en-GB"/>
        </w:rPr>
        <w:t>yslipidaemia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>, body mass index (BMI), low-density lipoprotein cholesterol, fat mass/BMI, muscle mass/BMI, mean HbA1c, mean FBG, mean PBG, and the tertile categories of the HbA1c</w:t>
      </w:r>
      <w:r w:rsidRPr="002B5179">
        <w:rPr>
          <w:rFonts w:ascii="Times New Roman" w:eastAsia="맑은 고딕" w:hAnsi="Times New Roman" w:cs="Times New Roman"/>
          <w:noProof/>
          <w:color w:val="000000" w:themeColor="text1"/>
          <w:sz w:val="24"/>
          <w:szCs w:val="24"/>
          <w:lang w:val="en-GB"/>
        </w:rPr>
        <w:t>, FBG,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 xml:space="preserve"> and PBG variability groupings and metabolic syndrome. 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val="en-GB"/>
        </w:rPr>
        <w:t xml:space="preserve">† 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The primary outcome was a composite of macrovascular events (coronary artery disease, myocardial infarction, congestive heart failure, or stroke) and microvascular events (a creatinine clearance rate of &lt;60 mL/min/1.73 m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val="en-GB"/>
        </w:rPr>
        <w:t>2</w:t>
      </w:r>
      <w:r w:rsidRPr="002B5179">
        <w:rPr>
          <w:rFonts w:ascii="Times New Roman" w:eastAsia="맑은 고딕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). </w:t>
      </w:r>
      <w:bookmarkEnd w:id="1"/>
    </w:p>
    <w:p w:rsidR="00DA640F" w:rsidRPr="002B5179" w:rsidRDefault="002B5179">
      <w:pPr>
        <w:rPr>
          <w:color w:val="000000" w:themeColor="text1"/>
          <w:lang w:val="en-GB"/>
        </w:rPr>
      </w:pPr>
      <w:bookmarkStart w:id="2" w:name="_GoBack"/>
      <w:bookmarkEnd w:id="2"/>
    </w:p>
    <w:sectPr w:rsidR="00DA640F" w:rsidRPr="002B517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바탕"/>
    <w:panose1 w:val="020B0604020202020204"/>
    <w:charset w:val="81"/>
    <w:family w:val="roman"/>
    <w:pitch w:val="variable"/>
    <w:sig w:usb0="00000000" w:usb1="F9DFFFFF" w:usb2="0000003E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맑은 고딕"/>
    <w:panose1 w:val="020B0604020202020204"/>
    <w:charset w:val="81"/>
    <w:family w:val="auto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1MjSwNDGzNDQztDRT0lEKTi0uzszPAykwqgUAho0o+iwAAAA="/>
  </w:docVars>
  <w:rsids>
    <w:rsidRoot w:val="00174BF7"/>
    <w:rsid w:val="00025864"/>
    <w:rsid w:val="00174BF7"/>
    <w:rsid w:val="002B5179"/>
    <w:rsid w:val="002B55CA"/>
    <w:rsid w:val="00460A4E"/>
    <w:rsid w:val="00505A70"/>
    <w:rsid w:val="00613F35"/>
    <w:rsid w:val="00627993"/>
    <w:rsid w:val="0099574D"/>
    <w:rsid w:val="009A31D4"/>
    <w:rsid w:val="00A10FCE"/>
    <w:rsid w:val="00B06B71"/>
    <w:rsid w:val="00C16DEB"/>
    <w:rsid w:val="00DC3C67"/>
    <w:rsid w:val="00FF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BB95D"/>
  <w15:chartTrackingRefBased/>
  <w15:docId w15:val="{1ABF2477-5439-4EA4-839F-08EA3BC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BF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4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3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ocm</dc:creator>
  <cp:keywords/>
  <dc:description/>
  <cp:lastModifiedBy>오 창명</cp:lastModifiedBy>
  <cp:revision>2</cp:revision>
  <cp:lastPrinted>2018-11-30T12:21:00Z</cp:lastPrinted>
  <dcterms:created xsi:type="dcterms:W3CDTF">2018-11-30T12:22:00Z</dcterms:created>
  <dcterms:modified xsi:type="dcterms:W3CDTF">2018-11-30T12:22:00Z</dcterms:modified>
</cp:coreProperties>
</file>