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DF6CF" w14:textId="77777777" w:rsidR="00ED28AD" w:rsidRPr="00D96C96" w:rsidRDefault="00ED28AD" w:rsidP="00ED28AD">
      <w:pPr>
        <w:spacing w:line="360" w:lineRule="auto"/>
        <w:jc w:val="both"/>
        <w:rPr>
          <w:rFonts w:ascii="Times New Roman" w:hAnsi="Times New Roman"/>
          <w:b/>
          <w:color w:val="365F91"/>
          <w:sz w:val="24"/>
          <w:lang w:val="en-US"/>
        </w:rPr>
      </w:pPr>
      <w:r w:rsidRPr="00D96C96">
        <w:rPr>
          <w:rFonts w:ascii="Times New Roman" w:hAnsi="Times New Roman"/>
          <w:b/>
          <w:sz w:val="24"/>
          <w:lang w:val="en-GB"/>
        </w:rPr>
        <w:t>Multiple concomitant mechanisms contribute to low platelet count in patients with immu</w:t>
      </w:r>
      <w:bookmarkStart w:id="0" w:name="_GoBack"/>
      <w:bookmarkEnd w:id="0"/>
      <w:r w:rsidRPr="00D96C96">
        <w:rPr>
          <w:rFonts w:ascii="Times New Roman" w:hAnsi="Times New Roman"/>
          <w:b/>
          <w:sz w:val="24"/>
          <w:lang w:val="en-GB"/>
        </w:rPr>
        <w:t xml:space="preserve">ne thrombocytopenia  </w:t>
      </w:r>
    </w:p>
    <w:p w14:paraId="50904F10" w14:textId="2336014E" w:rsidR="00816D9E" w:rsidRPr="00816D9E" w:rsidRDefault="00ED28AD" w:rsidP="00ED28A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s-ES_tradnl"/>
        </w:rPr>
      </w:pPr>
      <w:r w:rsidRPr="00A17A5F">
        <w:rPr>
          <w:rFonts w:ascii="Times New Roman" w:hAnsi="Times New Roman"/>
          <w:sz w:val="24"/>
        </w:rPr>
        <w:t>Matías Grodzielski</w:t>
      </w:r>
      <w:r w:rsidRPr="00A17A5F">
        <w:rPr>
          <w:rFonts w:ascii="Times New Roman" w:hAnsi="Times New Roman"/>
          <w:sz w:val="24"/>
          <w:vertAlign w:val="superscript"/>
        </w:rPr>
        <w:t>1,2</w:t>
      </w:r>
      <w:r w:rsidRPr="00A17A5F">
        <w:rPr>
          <w:rFonts w:ascii="Times New Roman" w:hAnsi="Times New Roman"/>
          <w:sz w:val="24"/>
        </w:rPr>
        <w:t>, Nora P Goette</w:t>
      </w:r>
      <w:r w:rsidRPr="00A17A5F">
        <w:rPr>
          <w:rFonts w:ascii="Times New Roman" w:hAnsi="Times New Roman"/>
          <w:sz w:val="24"/>
          <w:vertAlign w:val="superscript"/>
        </w:rPr>
        <w:t>1</w:t>
      </w:r>
      <w:r w:rsidRPr="00A17A5F">
        <w:rPr>
          <w:rFonts w:ascii="Times New Roman" w:hAnsi="Times New Roman"/>
          <w:sz w:val="24"/>
        </w:rPr>
        <w:t>, Ana C Glembotsky</w:t>
      </w:r>
      <w:r w:rsidRPr="00A17A5F">
        <w:rPr>
          <w:rFonts w:ascii="Times New Roman" w:hAnsi="Times New Roman"/>
          <w:sz w:val="24"/>
          <w:vertAlign w:val="superscript"/>
        </w:rPr>
        <w:t>1,2</w:t>
      </w:r>
      <w:r w:rsidRPr="00A17A5F">
        <w:rPr>
          <w:rFonts w:ascii="Times New Roman" w:hAnsi="Times New Roman"/>
          <w:sz w:val="24"/>
        </w:rPr>
        <w:t xml:space="preserve">, M. Constanza </w:t>
      </w:r>
      <w:proofErr w:type="spellStart"/>
      <w:r w:rsidRPr="00A17A5F">
        <w:rPr>
          <w:rFonts w:ascii="Times New Roman" w:hAnsi="Times New Roman"/>
          <w:sz w:val="24"/>
        </w:rPr>
        <w:t>Baroni</w:t>
      </w:r>
      <w:proofErr w:type="spellEnd"/>
      <w:r w:rsidRPr="00A17A5F">
        <w:rPr>
          <w:rFonts w:ascii="Times New Roman" w:hAnsi="Times New Roman"/>
          <w:sz w:val="24"/>
        </w:rPr>
        <w:t xml:space="preserve"> Pietto</w:t>
      </w:r>
      <w:r w:rsidRPr="00A17A5F">
        <w:rPr>
          <w:rFonts w:ascii="Times New Roman" w:hAnsi="Times New Roman"/>
          <w:sz w:val="24"/>
          <w:vertAlign w:val="superscript"/>
        </w:rPr>
        <w:t>1,2</w:t>
      </w:r>
      <w:r w:rsidRPr="00A17A5F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Santiago P Méndez-Huergo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, </w:t>
      </w:r>
      <w:r w:rsidRPr="00A17A5F">
        <w:rPr>
          <w:rFonts w:ascii="Times New Roman" w:hAnsi="Times New Roman"/>
          <w:sz w:val="24"/>
        </w:rPr>
        <w:t>Marta S Pierdominici</w:t>
      </w:r>
      <w:r>
        <w:rPr>
          <w:rFonts w:ascii="Times New Roman" w:hAnsi="Times New Roman"/>
          <w:sz w:val="24"/>
          <w:vertAlign w:val="superscript"/>
        </w:rPr>
        <w:t>4</w:t>
      </w:r>
      <w:r w:rsidRPr="00A17A5F">
        <w:rPr>
          <w:rFonts w:ascii="Times New Roman" w:hAnsi="Times New Roman"/>
          <w:sz w:val="24"/>
        </w:rPr>
        <w:t>, Verónica S Montero</w:t>
      </w:r>
      <w:r>
        <w:rPr>
          <w:rFonts w:ascii="Times New Roman" w:hAnsi="Times New Roman"/>
          <w:sz w:val="24"/>
          <w:vertAlign w:val="superscript"/>
        </w:rPr>
        <w:t>5</w:t>
      </w:r>
      <w:r w:rsidRPr="00A17A5F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Gabriel A Rabinovich</w:t>
      </w:r>
      <w:r>
        <w:rPr>
          <w:rFonts w:ascii="Times New Roman" w:hAnsi="Times New Roman"/>
          <w:sz w:val="24"/>
          <w:vertAlign w:val="superscript"/>
        </w:rPr>
        <w:t>3,6</w:t>
      </w:r>
      <w:r>
        <w:rPr>
          <w:rFonts w:ascii="Times New Roman" w:hAnsi="Times New Roman"/>
          <w:sz w:val="24"/>
        </w:rPr>
        <w:t xml:space="preserve">, </w:t>
      </w:r>
      <w:r w:rsidRPr="00A17A5F">
        <w:rPr>
          <w:rFonts w:ascii="Times New Roman" w:hAnsi="Times New Roman"/>
          <w:sz w:val="24"/>
        </w:rPr>
        <w:t>Felisa C Molinas</w:t>
      </w:r>
      <w:r w:rsidRPr="00A17A5F">
        <w:rPr>
          <w:rFonts w:ascii="Times New Roman" w:hAnsi="Times New Roman"/>
          <w:sz w:val="24"/>
          <w:vertAlign w:val="superscript"/>
        </w:rPr>
        <w:t>1,2</w:t>
      </w:r>
      <w:r w:rsidRPr="00A17A5F">
        <w:rPr>
          <w:rFonts w:ascii="Times New Roman" w:hAnsi="Times New Roman"/>
          <w:sz w:val="24"/>
        </w:rPr>
        <w:t>, Paula G Heller</w:t>
      </w:r>
      <w:r w:rsidRPr="00A17A5F">
        <w:rPr>
          <w:rFonts w:ascii="Times New Roman" w:hAnsi="Times New Roman"/>
          <w:sz w:val="24"/>
          <w:vertAlign w:val="superscript"/>
        </w:rPr>
        <w:t>1,2</w:t>
      </w:r>
      <w:r>
        <w:rPr>
          <w:rFonts w:ascii="Times New Roman" w:hAnsi="Times New Roman"/>
          <w:sz w:val="24"/>
        </w:rPr>
        <w:t xml:space="preserve">, </w:t>
      </w:r>
      <w:r w:rsidRPr="00A17A5F">
        <w:rPr>
          <w:rFonts w:ascii="Times New Roman" w:hAnsi="Times New Roman"/>
          <w:sz w:val="24"/>
        </w:rPr>
        <w:t>Paola R Lev</w:t>
      </w:r>
      <w:r w:rsidRPr="00A17A5F">
        <w:rPr>
          <w:rFonts w:ascii="Times New Roman" w:hAnsi="Times New Roman"/>
          <w:sz w:val="24"/>
          <w:vertAlign w:val="superscript"/>
        </w:rPr>
        <w:t>1,2 *</w:t>
      </w:r>
      <w:r w:rsidRPr="00A17A5F">
        <w:rPr>
          <w:rFonts w:ascii="Times New Roman" w:hAnsi="Times New Roman"/>
          <w:sz w:val="24"/>
        </w:rPr>
        <w:t>and Rosana F Marta</w:t>
      </w:r>
      <w:r w:rsidRPr="00A17A5F">
        <w:rPr>
          <w:rFonts w:ascii="Times New Roman" w:hAnsi="Times New Roman"/>
          <w:sz w:val="24"/>
          <w:vertAlign w:val="superscript"/>
        </w:rPr>
        <w:t>1,2*</w:t>
      </w:r>
      <w:r w:rsidRPr="00A17A5F">
        <w:rPr>
          <w:rFonts w:ascii="Times New Roman" w:hAnsi="Times New Roman"/>
          <w:sz w:val="24"/>
        </w:rPr>
        <w:t>.</w:t>
      </w:r>
    </w:p>
    <w:p w14:paraId="4B360875" w14:textId="77777777" w:rsidR="00816D9E" w:rsidRPr="00816D9E" w:rsidRDefault="00816D9E" w:rsidP="00CE77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s-ES_tradnl"/>
        </w:rPr>
      </w:pPr>
    </w:p>
    <w:p w14:paraId="72EF3CB4" w14:textId="77777777" w:rsidR="00816D9E" w:rsidRPr="003C3F96" w:rsidRDefault="00816D9E" w:rsidP="00CE77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s-ES_tradnl"/>
        </w:rPr>
      </w:pPr>
    </w:p>
    <w:p w14:paraId="5EF8BB2D" w14:textId="77777777" w:rsidR="00816D9E" w:rsidRDefault="00816D9E" w:rsidP="00CE77B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es-ES_tradnl"/>
        </w:rPr>
      </w:pPr>
      <w:r>
        <w:rPr>
          <w:rFonts w:ascii="Times New Roman" w:hAnsi="Times New Roman" w:cs="Times New Roman"/>
          <w:sz w:val="24"/>
          <w:szCs w:val="24"/>
          <w:lang w:val="en-US" w:eastAsia="es-ES_tradnl"/>
        </w:rPr>
        <w:t>Supplementary Results</w:t>
      </w:r>
    </w:p>
    <w:p w14:paraId="07319BDF" w14:textId="77777777" w:rsidR="00816D9E" w:rsidRDefault="00816D9E" w:rsidP="00CE77B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es-ES_tradnl"/>
        </w:rPr>
      </w:pPr>
    </w:p>
    <w:p w14:paraId="15356A6B" w14:textId="77777777" w:rsidR="00F75C88" w:rsidRPr="00FF0EBB" w:rsidRDefault="00CE77B5" w:rsidP="00CE77B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es-ES_tradnl"/>
        </w:rPr>
      </w:pPr>
      <w:r>
        <w:rPr>
          <w:rFonts w:ascii="Times New Roman" w:hAnsi="Times New Roman" w:cs="Times New Roman"/>
          <w:sz w:val="24"/>
          <w:szCs w:val="24"/>
          <w:lang w:val="en-US" w:eastAsia="es-ES_tradnl"/>
        </w:rPr>
        <w:t>Studies</w:t>
      </w:r>
      <w:r w:rsidR="003C337D" w:rsidRPr="00FF0EBB"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 using CD34+ cells from cord blood were reproduced using CD34+ cells from peripheral blood mononuclear cells from normal subjects who were stimulated with growth factors for </w:t>
      </w:r>
      <w:r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allogeneic </w:t>
      </w:r>
      <w:r w:rsidR="003C337D" w:rsidRPr="00FF0EBB">
        <w:rPr>
          <w:rFonts w:ascii="Times New Roman" w:hAnsi="Times New Roman" w:cs="Times New Roman"/>
          <w:sz w:val="24"/>
          <w:szCs w:val="24"/>
          <w:lang w:val="en-US" w:eastAsia="es-ES_tradnl"/>
        </w:rPr>
        <w:t>bone marrow transplantation.</w:t>
      </w:r>
      <w:r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 </w:t>
      </w:r>
      <w:r w:rsidR="00FF0EBB" w:rsidRPr="00FF0EBB">
        <w:rPr>
          <w:rFonts w:ascii="Times New Roman" w:hAnsi="Times New Roman" w:cs="Times New Roman"/>
          <w:sz w:val="24"/>
          <w:szCs w:val="24"/>
          <w:lang w:val="en-US" w:eastAsia="es-ES_tradnl"/>
        </w:rPr>
        <w:t>(</w:t>
      </w:r>
      <w:r w:rsidR="00816D9E">
        <w:rPr>
          <w:rFonts w:ascii="Times New Roman" w:hAnsi="Times New Roman" w:cs="Times New Roman"/>
          <w:sz w:val="24"/>
          <w:szCs w:val="24"/>
          <w:lang w:val="en-US" w:eastAsia="es-ES_tradnl"/>
        </w:rPr>
        <w:t>Suppl</w:t>
      </w:r>
      <w:r w:rsidR="00607422">
        <w:rPr>
          <w:rFonts w:ascii="Times New Roman" w:hAnsi="Times New Roman" w:cs="Times New Roman"/>
          <w:sz w:val="24"/>
          <w:szCs w:val="24"/>
          <w:lang w:val="en-US" w:eastAsia="es-ES_tradnl"/>
        </w:rPr>
        <w:t>ementary</w:t>
      </w:r>
      <w:r w:rsidR="00816D9E"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 </w:t>
      </w:r>
      <w:r w:rsidR="00FF0EBB" w:rsidRPr="00FF0EBB"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Table </w:t>
      </w:r>
      <w:r w:rsidR="00607422">
        <w:rPr>
          <w:rFonts w:ascii="Times New Roman" w:hAnsi="Times New Roman" w:cs="Times New Roman"/>
          <w:sz w:val="24"/>
          <w:szCs w:val="24"/>
          <w:lang w:val="en-US" w:eastAsia="es-ES_tradnl"/>
        </w:rPr>
        <w:t>S</w:t>
      </w:r>
      <w:r w:rsidR="00FF0EBB" w:rsidRPr="00FF0EBB">
        <w:rPr>
          <w:rFonts w:ascii="Times New Roman" w:hAnsi="Times New Roman" w:cs="Times New Roman"/>
          <w:sz w:val="24"/>
          <w:szCs w:val="24"/>
          <w:lang w:val="en-US" w:eastAsia="es-ES_tradnl"/>
        </w:rPr>
        <w:t>1)</w:t>
      </w:r>
      <w:r>
        <w:rPr>
          <w:rFonts w:ascii="Times New Roman" w:hAnsi="Times New Roman" w:cs="Times New Roman"/>
          <w:sz w:val="24"/>
          <w:szCs w:val="24"/>
          <w:lang w:val="en-US" w:eastAsia="es-ES_tradnl"/>
        </w:rPr>
        <w:t>.</w:t>
      </w:r>
      <w:r w:rsidR="003C337D" w:rsidRPr="00FF0EBB"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 </w:t>
      </w:r>
      <w:r w:rsidR="009B6B36"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Similarly to results obtained using CD34+ cells from umbilical cord blood, ITP plasma did not inhibit </w:t>
      </w:r>
      <w:proofErr w:type="spellStart"/>
      <w:r w:rsidR="009B6B36">
        <w:rPr>
          <w:rFonts w:ascii="Times New Roman" w:hAnsi="Times New Roman" w:cs="Times New Roman"/>
          <w:sz w:val="24"/>
          <w:szCs w:val="24"/>
          <w:lang w:val="en-US" w:eastAsia="es-ES_tradnl"/>
        </w:rPr>
        <w:t>megakaryopoiesis</w:t>
      </w:r>
      <w:proofErr w:type="spellEnd"/>
      <w:r w:rsidR="009B6B36"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 in these conditions.</w:t>
      </w:r>
    </w:p>
    <w:p w14:paraId="3D404B63" w14:textId="77777777" w:rsidR="00816D9E" w:rsidRDefault="00816D9E" w:rsidP="00FF0EBB">
      <w:pPr>
        <w:spacing w:after="0"/>
        <w:rPr>
          <w:rFonts w:ascii="Times New Roman" w:hAnsi="Times New Roman" w:cs="Times New Roman"/>
          <w:sz w:val="24"/>
          <w:szCs w:val="24"/>
          <w:lang w:val="en-US" w:eastAsia="es-ES_tradnl"/>
        </w:rPr>
      </w:pPr>
    </w:p>
    <w:p w14:paraId="6698D780" w14:textId="77777777" w:rsidR="001231F2" w:rsidRDefault="00816D9E" w:rsidP="009B6B3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es-ES_tradnl"/>
        </w:rPr>
      </w:pPr>
      <w:r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Supplementary </w:t>
      </w:r>
      <w:r w:rsidR="003C337D" w:rsidRPr="00FF0EBB"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Table </w:t>
      </w:r>
      <w:r w:rsidR="00607422">
        <w:rPr>
          <w:rFonts w:ascii="Times New Roman" w:hAnsi="Times New Roman" w:cs="Times New Roman"/>
          <w:sz w:val="24"/>
          <w:szCs w:val="24"/>
          <w:lang w:val="en-US" w:eastAsia="es-ES_tradnl"/>
        </w:rPr>
        <w:t>S</w:t>
      </w:r>
      <w:r w:rsidR="003C337D" w:rsidRPr="00FF0EBB"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1  </w:t>
      </w:r>
    </w:p>
    <w:p w14:paraId="10902EBB" w14:textId="77777777" w:rsidR="00816D9E" w:rsidRDefault="00816D9E" w:rsidP="009B6B3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es-ES_tradnl"/>
        </w:rPr>
      </w:pPr>
      <w:r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Megakaryocyte </w:t>
      </w:r>
      <w:r w:rsidR="009B6B36"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differentiation and maturation </w:t>
      </w:r>
      <w:r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from </w:t>
      </w:r>
      <w:r w:rsidR="009B6B36"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CD34+ </w:t>
      </w:r>
      <w:r w:rsidR="009B6B36" w:rsidRPr="00D526F9">
        <w:rPr>
          <w:rFonts w:ascii="Times New Roman" w:hAnsi="Times New Roman"/>
          <w:sz w:val="24"/>
          <w:lang w:val="en-GB"/>
        </w:rPr>
        <w:t xml:space="preserve">hematopoietic progenitors </w:t>
      </w:r>
      <w:r w:rsidR="009B6B36">
        <w:rPr>
          <w:rFonts w:ascii="Times New Roman" w:hAnsi="Times New Roman"/>
          <w:sz w:val="24"/>
          <w:lang w:val="en-GB"/>
        </w:rPr>
        <w:t xml:space="preserve">obtained from </w:t>
      </w:r>
      <w:r w:rsidR="009B6B36" w:rsidRPr="00DC68F2">
        <w:rPr>
          <w:rFonts w:ascii="Times New Roman" w:hAnsi="Times New Roman"/>
          <w:sz w:val="24"/>
          <w:lang w:val="en-GB"/>
        </w:rPr>
        <w:t>peripheral blood of mobilized normal subjects</w:t>
      </w:r>
      <w:r>
        <w:rPr>
          <w:rFonts w:ascii="Times New Roman" w:hAnsi="Times New Roman" w:cs="Times New Roman"/>
          <w:sz w:val="24"/>
          <w:szCs w:val="24"/>
          <w:lang w:val="en-US" w:eastAsia="es-ES_tradnl"/>
        </w:rPr>
        <w:t xml:space="preserve">. </w:t>
      </w:r>
    </w:p>
    <w:p w14:paraId="065D7EA0" w14:textId="77777777" w:rsidR="00FF0EBB" w:rsidRPr="00FF0EBB" w:rsidRDefault="00FF0EBB" w:rsidP="00FF0EBB">
      <w:pPr>
        <w:spacing w:after="0"/>
        <w:rPr>
          <w:rFonts w:ascii="Times New Roman" w:hAnsi="Times New Roman" w:cs="Times New Roman"/>
          <w:sz w:val="24"/>
          <w:szCs w:val="24"/>
          <w:lang w:val="en-US" w:eastAsia="es-ES_tradnl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9B6B36" w:rsidRPr="00FF0EBB" w14:paraId="259A4A67" w14:textId="77777777" w:rsidTr="009B6B36">
        <w:tc>
          <w:tcPr>
            <w:tcW w:w="2123" w:type="dxa"/>
          </w:tcPr>
          <w:p w14:paraId="4BCF6690" w14:textId="77777777" w:rsidR="009B6B36" w:rsidRDefault="009B6B36">
            <w:pPr>
              <w:rPr>
                <w:lang w:val="en-US"/>
              </w:rPr>
            </w:pPr>
          </w:p>
        </w:tc>
        <w:tc>
          <w:tcPr>
            <w:tcW w:w="2123" w:type="dxa"/>
          </w:tcPr>
          <w:p w14:paraId="6E9E831E" w14:textId="77777777" w:rsidR="009B6B36" w:rsidRPr="00FF0EBB" w:rsidRDefault="009B6B36" w:rsidP="00FF0EB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ITP patients</w:t>
            </w:r>
          </w:p>
        </w:tc>
        <w:tc>
          <w:tcPr>
            <w:tcW w:w="2124" w:type="dxa"/>
          </w:tcPr>
          <w:p w14:paraId="521909D0" w14:textId="77777777" w:rsidR="009B6B36" w:rsidRPr="00FF0EBB" w:rsidRDefault="009B6B36" w:rsidP="00FF0EB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Controls</w:t>
            </w:r>
          </w:p>
        </w:tc>
      </w:tr>
      <w:tr w:rsidR="009B6B36" w:rsidRPr="00FF0EBB" w14:paraId="0F9A7DCA" w14:textId="77777777" w:rsidTr="009B6B36">
        <w:trPr>
          <w:trHeight w:val="509"/>
        </w:trPr>
        <w:tc>
          <w:tcPr>
            <w:tcW w:w="2123" w:type="dxa"/>
          </w:tcPr>
          <w:p w14:paraId="2B252317" w14:textId="77777777" w:rsidR="009B6B36" w:rsidRDefault="009B6B36" w:rsidP="00F729B8">
            <w:pPr>
              <w:spacing w:before="24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MK count </w:t>
            </w:r>
          </w:p>
        </w:tc>
        <w:tc>
          <w:tcPr>
            <w:tcW w:w="2123" w:type="dxa"/>
          </w:tcPr>
          <w:p w14:paraId="4AC002BF" w14:textId="77777777" w:rsidR="009B6B36" w:rsidRPr="00BA19F8" w:rsidRDefault="009B6B36" w:rsidP="00F729B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9F8">
              <w:rPr>
                <w:rFonts w:ascii="Times New Roman" w:hAnsi="Times New Roman" w:cs="Times New Roman"/>
                <w:sz w:val="24"/>
                <w:szCs w:val="24"/>
              </w:rPr>
              <w:t>57772 ± 50050</w:t>
            </w:r>
          </w:p>
        </w:tc>
        <w:tc>
          <w:tcPr>
            <w:tcW w:w="2124" w:type="dxa"/>
          </w:tcPr>
          <w:p w14:paraId="4336279D" w14:textId="77777777" w:rsidR="009B6B36" w:rsidRPr="00BA19F8" w:rsidRDefault="009B6B36" w:rsidP="00F729B8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F8">
              <w:rPr>
                <w:rFonts w:ascii="Times New Roman" w:hAnsi="Times New Roman" w:cs="Times New Roman"/>
                <w:sz w:val="24"/>
                <w:szCs w:val="24"/>
              </w:rPr>
              <w:t>18428 ± 15403</w:t>
            </w:r>
          </w:p>
        </w:tc>
      </w:tr>
      <w:tr w:rsidR="009B6B36" w:rsidRPr="00FF0EBB" w14:paraId="19A97734" w14:textId="77777777" w:rsidTr="009B6B36">
        <w:trPr>
          <w:trHeight w:val="403"/>
        </w:trPr>
        <w:tc>
          <w:tcPr>
            <w:tcW w:w="2123" w:type="dxa"/>
          </w:tcPr>
          <w:p w14:paraId="34D87A5C" w14:textId="77777777" w:rsidR="009B6B36" w:rsidRDefault="009B6B36" w:rsidP="00F729B8">
            <w:pPr>
              <w:spacing w:before="24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Mature MK count</w:t>
            </w:r>
          </w:p>
        </w:tc>
        <w:tc>
          <w:tcPr>
            <w:tcW w:w="2123" w:type="dxa"/>
          </w:tcPr>
          <w:p w14:paraId="6FDAFC4D" w14:textId="77777777" w:rsidR="009B6B36" w:rsidRPr="00BA19F8" w:rsidRDefault="009B6B36" w:rsidP="00F729B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9F8">
              <w:rPr>
                <w:rFonts w:ascii="Times New Roman" w:hAnsi="Times New Roman" w:cs="Times New Roman"/>
                <w:sz w:val="24"/>
                <w:szCs w:val="24"/>
              </w:rPr>
              <w:t>43884 ±  39979</w:t>
            </w:r>
          </w:p>
        </w:tc>
        <w:tc>
          <w:tcPr>
            <w:tcW w:w="2124" w:type="dxa"/>
          </w:tcPr>
          <w:p w14:paraId="3F0E10DB" w14:textId="77777777" w:rsidR="009B6B36" w:rsidRPr="00BA19F8" w:rsidRDefault="009B6B36" w:rsidP="00F729B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9F8">
              <w:rPr>
                <w:rFonts w:ascii="Times New Roman" w:hAnsi="Times New Roman" w:cs="Times New Roman"/>
                <w:sz w:val="24"/>
                <w:szCs w:val="24"/>
              </w:rPr>
              <w:t>12202 ±  11131</w:t>
            </w:r>
          </w:p>
        </w:tc>
      </w:tr>
      <w:tr w:rsidR="009B6B36" w:rsidRPr="00FF0EBB" w14:paraId="00E8FA50" w14:textId="77777777" w:rsidTr="009B6B36">
        <w:tc>
          <w:tcPr>
            <w:tcW w:w="2123" w:type="dxa"/>
          </w:tcPr>
          <w:p w14:paraId="154ED0F9" w14:textId="77777777" w:rsidR="009B6B36" w:rsidRDefault="009B6B36" w:rsidP="00F729B8">
            <w:pPr>
              <w:spacing w:before="24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CD61 MFI</w:t>
            </w:r>
          </w:p>
        </w:tc>
        <w:tc>
          <w:tcPr>
            <w:tcW w:w="2123" w:type="dxa"/>
          </w:tcPr>
          <w:p w14:paraId="0BB39416" w14:textId="77777777" w:rsidR="009B6B36" w:rsidRPr="00BA19F8" w:rsidRDefault="009B6B36" w:rsidP="00F729B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9F8">
              <w:rPr>
                <w:rFonts w:ascii="Times New Roman" w:hAnsi="Times New Roman" w:cs="Times New Roman"/>
                <w:sz w:val="24"/>
                <w:szCs w:val="24"/>
              </w:rPr>
              <w:t>158,9 ± 40,82</w:t>
            </w:r>
          </w:p>
        </w:tc>
        <w:tc>
          <w:tcPr>
            <w:tcW w:w="2124" w:type="dxa"/>
          </w:tcPr>
          <w:p w14:paraId="0344C93E" w14:textId="77777777" w:rsidR="009B6B36" w:rsidRPr="00BA19F8" w:rsidRDefault="009B6B36" w:rsidP="00F729B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9F8">
              <w:rPr>
                <w:rFonts w:ascii="Times New Roman" w:hAnsi="Times New Roman" w:cs="Times New Roman"/>
                <w:sz w:val="24"/>
                <w:szCs w:val="24"/>
              </w:rPr>
              <w:t>123,8 ±  20,99</w:t>
            </w:r>
          </w:p>
        </w:tc>
      </w:tr>
      <w:tr w:rsidR="009B6B36" w:rsidRPr="00FF0EBB" w14:paraId="33B6B293" w14:textId="77777777" w:rsidTr="009B6B36">
        <w:tc>
          <w:tcPr>
            <w:tcW w:w="2123" w:type="dxa"/>
          </w:tcPr>
          <w:p w14:paraId="04D777AE" w14:textId="77777777" w:rsidR="009B6B36" w:rsidRDefault="009B6B36" w:rsidP="00F729B8">
            <w:pPr>
              <w:spacing w:before="24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CD42b MFI</w:t>
            </w:r>
          </w:p>
        </w:tc>
        <w:tc>
          <w:tcPr>
            <w:tcW w:w="2123" w:type="dxa"/>
          </w:tcPr>
          <w:p w14:paraId="5917038E" w14:textId="77777777" w:rsidR="009B6B36" w:rsidRPr="00BA19F8" w:rsidRDefault="009B6B36" w:rsidP="00F729B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9F8">
              <w:rPr>
                <w:rFonts w:ascii="Times New Roman" w:hAnsi="Times New Roman" w:cs="Times New Roman"/>
                <w:sz w:val="24"/>
                <w:szCs w:val="24"/>
              </w:rPr>
              <w:t>145,1 ± 31,99</w:t>
            </w:r>
          </w:p>
        </w:tc>
        <w:tc>
          <w:tcPr>
            <w:tcW w:w="2124" w:type="dxa"/>
          </w:tcPr>
          <w:p w14:paraId="62F031E3" w14:textId="77777777" w:rsidR="009B6B36" w:rsidRPr="00BA19F8" w:rsidRDefault="009B6B36" w:rsidP="00F729B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9F8">
              <w:rPr>
                <w:rFonts w:ascii="Times New Roman" w:hAnsi="Times New Roman" w:cs="Times New Roman"/>
                <w:sz w:val="24"/>
                <w:szCs w:val="24"/>
              </w:rPr>
              <w:t>124,8 ± 19,40</w:t>
            </w:r>
          </w:p>
        </w:tc>
      </w:tr>
    </w:tbl>
    <w:p w14:paraId="02ED7478" w14:textId="77777777" w:rsidR="00DA362F" w:rsidRDefault="00DA362F">
      <w:pPr>
        <w:rPr>
          <w:lang w:val="en-US"/>
        </w:rPr>
      </w:pPr>
    </w:p>
    <w:p w14:paraId="27C7E7CC" w14:textId="77777777" w:rsidR="00202082" w:rsidRPr="009F37CA" w:rsidRDefault="00202082">
      <w:pPr>
        <w:rPr>
          <w:lang w:val="en-US"/>
        </w:rPr>
      </w:pPr>
    </w:p>
    <w:p w14:paraId="3B143D2C" w14:textId="124CEF1B" w:rsidR="00284752" w:rsidRPr="009F37CA" w:rsidRDefault="00E64222">
      <w:pPr>
        <w:rPr>
          <w:lang w:val="en-US"/>
        </w:rPr>
      </w:pPr>
      <w:r w:rsidRPr="009F37CA">
        <w:rPr>
          <w:lang w:val="en-US"/>
        </w:rPr>
        <w:t xml:space="preserve"> </w:t>
      </w:r>
    </w:p>
    <w:sectPr w:rsidR="00284752" w:rsidRPr="009F37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52"/>
    <w:rsid w:val="000A21DB"/>
    <w:rsid w:val="000B25C6"/>
    <w:rsid w:val="001231F2"/>
    <w:rsid w:val="00173DFA"/>
    <w:rsid w:val="00202082"/>
    <w:rsid w:val="00284752"/>
    <w:rsid w:val="002D1365"/>
    <w:rsid w:val="00385823"/>
    <w:rsid w:val="003C337D"/>
    <w:rsid w:val="003C3F96"/>
    <w:rsid w:val="00463BBC"/>
    <w:rsid w:val="00522A68"/>
    <w:rsid w:val="00607422"/>
    <w:rsid w:val="006511D3"/>
    <w:rsid w:val="00726FB2"/>
    <w:rsid w:val="007A0EA4"/>
    <w:rsid w:val="007C55C0"/>
    <w:rsid w:val="00804DAA"/>
    <w:rsid w:val="00816D9E"/>
    <w:rsid w:val="00931A89"/>
    <w:rsid w:val="009657E5"/>
    <w:rsid w:val="009B6B36"/>
    <w:rsid w:val="009F37CA"/>
    <w:rsid w:val="00BA19F8"/>
    <w:rsid w:val="00CE77B5"/>
    <w:rsid w:val="00D85B42"/>
    <w:rsid w:val="00DA362F"/>
    <w:rsid w:val="00E64222"/>
    <w:rsid w:val="00E81651"/>
    <w:rsid w:val="00E9750E"/>
    <w:rsid w:val="00EB5219"/>
    <w:rsid w:val="00ED28AD"/>
    <w:rsid w:val="00F729B8"/>
    <w:rsid w:val="00F75C88"/>
    <w:rsid w:val="00F941C9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CB0029"/>
  <w15:chartTrackingRefBased/>
  <w15:docId w15:val="{2B81B7E0-91C5-4D19-B309-A4F15665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752"/>
    <w:pPr>
      <w:spacing w:line="256" w:lineRule="auto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84752"/>
    <w:pPr>
      <w:spacing w:after="0" w:line="240" w:lineRule="auto"/>
    </w:pPr>
    <w:rPr>
      <w:rFonts w:ascii="Calibri" w:eastAsia="Calibri" w:hAnsi="Calibri" w:cs="Times New Roman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979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Usuario de Microsoft Office</cp:lastModifiedBy>
  <cp:revision>2</cp:revision>
  <dcterms:created xsi:type="dcterms:W3CDTF">2018-10-21T18:42:00Z</dcterms:created>
  <dcterms:modified xsi:type="dcterms:W3CDTF">2018-10-21T18:42:00Z</dcterms:modified>
</cp:coreProperties>
</file>