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B79" w:rsidRPr="00637D05" w:rsidRDefault="00E74B79" w:rsidP="00E74B79">
      <w:pPr>
        <w:spacing w:line="36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Inferring</w:t>
      </w:r>
      <w:r w:rsidR="00EB1409">
        <w:rPr>
          <w:rFonts w:cstheme="minorHAnsi"/>
          <w:b/>
          <w:sz w:val="28"/>
          <w:szCs w:val="28"/>
        </w:rPr>
        <w:t xml:space="preserve"> pathogen-host</w:t>
      </w:r>
      <w:r w:rsidRPr="00637D05">
        <w:rPr>
          <w:rFonts w:cstheme="minorHAnsi"/>
          <w:b/>
          <w:sz w:val="28"/>
          <w:szCs w:val="28"/>
        </w:rPr>
        <w:t xml:space="preserve"> interactions between </w:t>
      </w:r>
      <w:r w:rsidRPr="00637D05">
        <w:rPr>
          <w:rFonts w:cstheme="minorHAnsi"/>
          <w:b/>
          <w:i/>
          <w:sz w:val="28"/>
          <w:szCs w:val="28"/>
        </w:rPr>
        <w:t>Leptospira</w:t>
      </w:r>
      <w:r w:rsidR="00F918BA">
        <w:rPr>
          <w:rFonts w:cstheme="minorHAnsi"/>
          <w:b/>
          <w:i/>
          <w:sz w:val="28"/>
          <w:szCs w:val="28"/>
        </w:rPr>
        <w:t xml:space="preserve"> interrogans</w:t>
      </w:r>
      <w:r w:rsidRPr="00637D05">
        <w:rPr>
          <w:rFonts w:cstheme="minorHAnsi"/>
          <w:b/>
          <w:sz w:val="28"/>
          <w:szCs w:val="28"/>
        </w:rPr>
        <w:t xml:space="preserve"> and </w:t>
      </w:r>
      <w:r w:rsidRPr="00637D05">
        <w:rPr>
          <w:rFonts w:cstheme="minorHAnsi"/>
          <w:b/>
          <w:i/>
          <w:sz w:val="28"/>
          <w:szCs w:val="28"/>
        </w:rPr>
        <w:t>Homo sapiens</w:t>
      </w:r>
      <w:r w:rsidRPr="00637D05">
        <w:rPr>
          <w:rFonts w:cstheme="minorHAnsi"/>
          <w:b/>
          <w:sz w:val="28"/>
          <w:szCs w:val="28"/>
        </w:rPr>
        <w:t xml:space="preserve"> using network theory</w:t>
      </w:r>
    </w:p>
    <w:p w:rsidR="00E74B79" w:rsidRDefault="00E74B79" w:rsidP="00E74B79">
      <w:pPr>
        <w:spacing w:line="360" w:lineRule="auto"/>
        <w:jc w:val="both"/>
        <w:rPr>
          <w:rFonts w:cstheme="minorHAnsi"/>
          <w:b/>
        </w:rPr>
      </w:pPr>
    </w:p>
    <w:p w:rsidR="00E74B79" w:rsidRPr="00637D05" w:rsidRDefault="00E74B79" w:rsidP="00E74B79">
      <w:pPr>
        <w:spacing w:line="360" w:lineRule="auto"/>
        <w:jc w:val="both"/>
        <w:rPr>
          <w:rFonts w:cstheme="minorHAnsi"/>
          <w:b/>
        </w:rPr>
      </w:pPr>
      <w:r w:rsidRPr="00637D05">
        <w:rPr>
          <w:rFonts w:cstheme="minorHAnsi"/>
          <w:b/>
        </w:rPr>
        <w:t>Swapnil Kumar, Kumari Snehkant Lata, Priyanka Sharma, Shivarudrappa B. Bhairappanavar, Subhash Soni, Jayashankar Das*</w:t>
      </w:r>
    </w:p>
    <w:p w:rsidR="00E74B79" w:rsidRDefault="00E74B79" w:rsidP="00E74B79">
      <w:pPr>
        <w:spacing w:line="360" w:lineRule="auto"/>
        <w:jc w:val="both"/>
        <w:rPr>
          <w:rFonts w:cstheme="minorHAnsi"/>
        </w:rPr>
      </w:pPr>
    </w:p>
    <w:p w:rsidR="00E74B79" w:rsidRPr="00295B93" w:rsidRDefault="00E74B79" w:rsidP="00E74B79">
      <w:pPr>
        <w:spacing w:line="360" w:lineRule="auto"/>
        <w:jc w:val="both"/>
        <w:rPr>
          <w:rFonts w:cstheme="minorHAnsi"/>
        </w:rPr>
      </w:pPr>
      <w:r w:rsidRPr="00295B93">
        <w:rPr>
          <w:rFonts w:cstheme="minorHAnsi"/>
        </w:rPr>
        <w:t>Gujarat Biotechnology Research Centre, Department of Science &amp; Technology, Government of Gujarat, Gandhinagar – 382011, India.</w:t>
      </w:r>
    </w:p>
    <w:p w:rsidR="00E74B79" w:rsidRPr="00637D05" w:rsidRDefault="00E74B79" w:rsidP="00E74B79">
      <w:pPr>
        <w:spacing w:line="360" w:lineRule="auto"/>
        <w:jc w:val="both"/>
        <w:rPr>
          <w:rFonts w:cstheme="minorHAnsi"/>
        </w:rPr>
      </w:pPr>
    </w:p>
    <w:p w:rsidR="00A66441" w:rsidRDefault="00E74B79" w:rsidP="00E74B79">
      <w:pPr>
        <w:rPr>
          <w:lang w:val="en-IN"/>
        </w:rPr>
      </w:pPr>
      <w:r w:rsidRPr="00637D05">
        <w:rPr>
          <w:rFonts w:cstheme="minorHAnsi"/>
          <w:b/>
          <w:vertAlign w:val="superscript"/>
        </w:rPr>
        <w:t>*</w:t>
      </w:r>
      <w:r w:rsidRPr="00637D05">
        <w:rPr>
          <w:rFonts w:cstheme="minorHAnsi"/>
        </w:rPr>
        <w:t>Corresponding author. Tel: +91 (079)</w:t>
      </w:r>
      <w:r>
        <w:rPr>
          <w:rFonts w:cstheme="minorHAnsi"/>
        </w:rPr>
        <w:t xml:space="preserve"> </w:t>
      </w:r>
      <w:r w:rsidR="009460D1">
        <w:rPr>
          <w:rFonts w:cstheme="minorHAnsi"/>
        </w:rPr>
        <w:t>23252166; E-mail:</w:t>
      </w:r>
      <w:r w:rsidRPr="00637D05">
        <w:rPr>
          <w:rFonts w:cstheme="minorHAnsi"/>
        </w:rPr>
        <w:t xml:space="preserve"> </w:t>
      </w:r>
      <w:hyperlink r:id="rId6" w:history="1">
        <w:r w:rsidRPr="00637D05">
          <w:rPr>
            <w:rStyle w:val="Hyperlink"/>
            <w:rFonts w:cstheme="minorHAnsi"/>
          </w:rPr>
          <w:t>jayshankardas@gmail.com</w:t>
        </w:r>
      </w:hyperlink>
    </w:p>
    <w:p w:rsidR="00E74B79" w:rsidRDefault="00E74B79" w:rsidP="008F4D79">
      <w:pPr>
        <w:jc w:val="both"/>
        <w:rPr>
          <w:rFonts w:cstheme="minorHAnsi"/>
          <w:b/>
        </w:rPr>
      </w:pPr>
    </w:p>
    <w:p w:rsidR="008F4D79" w:rsidRDefault="008F4D79" w:rsidP="008F4D79">
      <w:pPr>
        <w:jc w:val="both"/>
        <w:rPr>
          <w:rFonts w:cstheme="minorHAnsi"/>
        </w:rPr>
      </w:pPr>
      <w:r>
        <w:rPr>
          <w:rFonts w:cstheme="minorHAnsi"/>
          <w:b/>
        </w:rPr>
        <w:t>Figure S1</w:t>
      </w:r>
      <w:r w:rsidRPr="008F4D79">
        <w:rPr>
          <w:rFonts w:cstheme="minorHAnsi"/>
          <w:b/>
        </w:rPr>
        <w:t xml:space="preserve">. Homologous interactions inferred from interactions between homologs. </w:t>
      </w:r>
      <w:r w:rsidRPr="00637D05">
        <w:rPr>
          <w:rFonts w:cstheme="minorHAnsi"/>
        </w:rPr>
        <w:t>Protein A’ and B’ are interologs of protein A and B. Protein A and B have direct interactions, while protein A’ and B’ are their respective homologs. Hence, A’ will interact with B’ and the interaction between them is called homologous interaction.</w:t>
      </w:r>
    </w:p>
    <w:p w:rsidR="008F4D79" w:rsidRDefault="008F4D79" w:rsidP="008F4D79">
      <w:pPr>
        <w:jc w:val="center"/>
        <w:rPr>
          <w:lang w:val="en-IN"/>
        </w:rPr>
      </w:pPr>
      <w:r w:rsidRPr="0005615F">
        <w:rPr>
          <w:rFonts w:cstheme="minorHAnsi"/>
          <w:noProof/>
          <w:lang w:val="en-IN" w:eastAsia="en-IN"/>
        </w:rPr>
        <w:drawing>
          <wp:inline distT="0" distB="0" distL="0" distR="0" wp14:anchorId="041F2AA3" wp14:editId="3AB35415">
            <wp:extent cx="3361124" cy="1971675"/>
            <wp:effectExtent l="0" t="0" r="0" b="0"/>
            <wp:docPr id="8" name="Picture 8" descr="C:\Users\SNEHA\Desktop\PHP-files-for-submission\Figure 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NEHA\Desktop\PHP-files-for-submission\Figure 7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487" cy="201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D79" w:rsidRDefault="008F4D79" w:rsidP="008F4D79">
      <w:pPr>
        <w:jc w:val="both"/>
        <w:rPr>
          <w:lang w:val="en-IN"/>
        </w:rPr>
      </w:pPr>
    </w:p>
    <w:p w:rsidR="00EA5F55" w:rsidRDefault="00EA5F55" w:rsidP="008F4D79">
      <w:pPr>
        <w:jc w:val="both"/>
        <w:rPr>
          <w:lang w:val="en-IN"/>
        </w:rPr>
      </w:pPr>
    </w:p>
    <w:p w:rsidR="00EA5F55" w:rsidRDefault="00EA5F55" w:rsidP="008F4D79">
      <w:pPr>
        <w:jc w:val="both"/>
        <w:rPr>
          <w:lang w:val="en-IN"/>
        </w:rPr>
      </w:pPr>
    </w:p>
    <w:p w:rsidR="00EA5F55" w:rsidRDefault="00EA5F55" w:rsidP="008F4D79">
      <w:pPr>
        <w:jc w:val="both"/>
        <w:rPr>
          <w:lang w:val="en-IN"/>
        </w:rPr>
      </w:pPr>
    </w:p>
    <w:p w:rsidR="00EA5F55" w:rsidRDefault="00EA5F55" w:rsidP="008F4D79">
      <w:pPr>
        <w:jc w:val="both"/>
        <w:rPr>
          <w:lang w:val="en-IN"/>
        </w:rPr>
      </w:pPr>
    </w:p>
    <w:p w:rsidR="00EA5F55" w:rsidRDefault="00EA5F55" w:rsidP="008F4D79">
      <w:pPr>
        <w:jc w:val="both"/>
        <w:rPr>
          <w:lang w:val="en-IN"/>
        </w:rPr>
      </w:pPr>
    </w:p>
    <w:p w:rsidR="00EA5F55" w:rsidRDefault="00EA5F55" w:rsidP="008F4D79">
      <w:pPr>
        <w:jc w:val="both"/>
        <w:rPr>
          <w:lang w:val="en-IN"/>
        </w:rPr>
        <w:sectPr w:rsidR="00EA5F5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A5F55" w:rsidRPr="00923C94" w:rsidRDefault="004E767E" w:rsidP="008F4D79">
      <w:pPr>
        <w:jc w:val="both"/>
        <w:rPr>
          <w:b/>
          <w:lang w:val="en-IN"/>
        </w:rPr>
      </w:pPr>
      <w:r>
        <w:rPr>
          <w:b/>
          <w:lang w:val="en-IN"/>
        </w:rPr>
        <w:lastRenderedPageBreak/>
        <w:t>Table S2</w:t>
      </w:r>
      <w:r w:rsidR="008D765F">
        <w:rPr>
          <w:b/>
          <w:lang w:val="en-IN"/>
        </w:rPr>
        <w:t>.</w:t>
      </w:r>
      <w:r w:rsidR="00EA5F55" w:rsidRPr="00BB1F9F">
        <w:rPr>
          <w:b/>
          <w:lang w:val="en-IN"/>
        </w:rPr>
        <w:t xml:space="preserve"> </w:t>
      </w:r>
      <w:bookmarkStart w:id="0" w:name="_GoBack"/>
      <w:bookmarkEnd w:id="0"/>
      <w:r w:rsidR="00BB1F9F">
        <w:rPr>
          <w:b/>
          <w:lang w:val="en-IN"/>
        </w:rPr>
        <w:t>Conservancy</w:t>
      </w:r>
      <w:r w:rsidR="00BB1F9F" w:rsidRPr="00BB1F9F">
        <w:rPr>
          <w:b/>
          <w:lang w:val="en-IN"/>
        </w:rPr>
        <w:t xml:space="preserve"> of the 13 membrane proteins (MPs) and </w:t>
      </w:r>
      <w:r w:rsidR="003B5112">
        <w:rPr>
          <w:b/>
          <w:lang w:val="en-IN"/>
        </w:rPr>
        <w:t xml:space="preserve">4 periplasmic proteins (PPs) </w:t>
      </w:r>
      <w:r w:rsidR="00BB1F9F">
        <w:rPr>
          <w:b/>
          <w:lang w:val="en-IN"/>
        </w:rPr>
        <w:t>among 21</w:t>
      </w:r>
      <w:r w:rsidR="00BB1F9F" w:rsidRPr="00BB1F9F">
        <w:rPr>
          <w:b/>
          <w:lang w:val="en-IN"/>
        </w:rPr>
        <w:t xml:space="preserve"> </w:t>
      </w:r>
      <w:r w:rsidR="00BB1F9F" w:rsidRPr="00BB1F9F">
        <w:rPr>
          <w:b/>
          <w:i/>
          <w:lang w:val="en-IN"/>
        </w:rPr>
        <w:t>Leptospira spp</w:t>
      </w:r>
      <w:r w:rsidR="00BB1F9F" w:rsidRPr="00BB1F9F">
        <w:rPr>
          <w:b/>
          <w:lang w:val="en-IN"/>
        </w:rPr>
        <w:t>.</w:t>
      </w:r>
    </w:p>
    <w:tbl>
      <w:tblPr>
        <w:tblpPr w:leftFromText="180" w:rightFromText="180" w:vertAnchor="text" w:horzAnchor="margin" w:tblpXSpec="center" w:tblpY="147"/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44"/>
        <w:gridCol w:w="1018"/>
        <w:gridCol w:w="852"/>
        <w:gridCol w:w="4961"/>
        <w:gridCol w:w="3260"/>
        <w:gridCol w:w="3402"/>
      </w:tblGrid>
      <w:tr w:rsidR="00EA5F55" w:rsidRPr="00EA5F55" w:rsidTr="00DC5F8E">
        <w:trPr>
          <w:trHeight w:val="557"/>
        </w:trPr>
        <w:tc>
          <w:tcPr>
            <w:tcW w:w="1244" w:type="dxa"/>
            <w:vMerge w:val="restart"/>
          </w:tcPr>
          <w:p w:rsidR="00EA5F55" w:rsidRPr="00EA5F55" w:rsidRDefault="00EA5F55" w:rsidP="00EA5F55"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1018" w:type="dxa"/>
            <w:vMerge w:val="restart"/>
          </w:tcPr>
          <w:p w:rsidR="00EA5F55" w:rsidRPr="00EA5F55" w:rsidRDefault="00EA5F55" w:rsidP="00EA5F55">
            <w:pPr>
              <w:rPr>
                <w:rFonts w:cstheme="minorHAnsi"/>
                <w:vertAlign w:val="superscript"/>
                <w:lang w:val="en-US"/>
              </w:rPr>
            </w:pPr>
            <w:r w:rsidRPr="00EA5F55">
              <w:rPr>
                <w:rFonts w:cstheme="minorHAnsi"/>
                <w:b/>
                <w:lang w:val="en-US"/>
              </w:rPr>
              <w:t>Protein ID</w:t>
            </w:r>
            <w:r w:rsidRPr="00EA5F55">
              <w:rPr>
                <w:rFonts w:cstheme="minorHAnsi"/>
                <w:b/>
                <w:vertAlign w:val="superscript"/>
                <w:lang w:val="en-US"/>
              </w:rPr>
              <w:t>*</w:t>
            </w:r>
          </w:p>
        </w:tc>
        <w:tc>
          <w:tcPr>
            <w:tcW w:w="852" w:type="dxa"/>
            <w:vMerge w:val="restart"/>
          </w:tcPr>
          <w:p w:rsidR="00EA5F55" w:rsidRPr="00EA5F55" w:rsidRDefault="00EA5F55" w:rsidP="00EA5F55">
            <w:pPr>
              <w:rPr>
                <w:rFonts w:cstheme="minorHAnsi"/>
                <w:b/>
                <w:lang w:val="en-US"/>
              </w:rPr>
            </w:pPr>
            <w:r w:rsidRPr="00EA5F55">
              <w:rPr>
                <w:rFonts w:cstheme="minorHAnsi"/>
                <w:b/>
                <w:lang w:val="en-US"/>
              </w:rPr>
              <w:t xml:space="preserve">Gene </w:t>
            </w:r>
          </w:p>
        </w:tc>
        <w:tc>
          <w:tcPr>
            <w:tcW w:w="4961" w:type="dxa"/>
          </w:tcPr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b/>
                <w:lang w:val="en-US"/>
              </w:rPr>
              <w:t xml:space="preserve">Pathogenic </w:t>
            </w:r>
            <w:r w:rsidRPr="00EA5F55">
              <w:rPr>
                <w:rFonts w:cstheme="minorHAnsi"/>
                <w:b/>
                <w:i/>
                <w:lang w:val="en-US"/>
              </w:rPr>
              <w:t>Leptospira</w:t>
            </w:r>
            <w:r w:rsidRPr="00EA5F55">
              <w:rPr>
                <w:rFonts w:cstheme="minorHAnsi"/>
                <w:b/>
                <w:lang w:val="en-US"/>
              </w:rPr>
              <w:t xml:space="preserve"> spp.</w:t>
            </w:r>
          </w:p>
        </w:tc>
        <w:tc>
          <w:tcPr>
            <w:tcW w:w="3260" w:type="dxa"/>
          </w:tcPr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b/>
                <w:lang w:val="en-US"/>
              </w:rPr>
              <w:t>Intermediate</w:t>
            </w:r>
            <w:r w:rsidRPr="00EA5F55">
              <w:rPr>
                <w:rFonts w:cstheme="minorHAnsi"/>
                <w:b/>
                <w:i/>
                <w:lang w:val="en-US"/>
              </w:rPr>
              <w:t xml:space="preserve"> Leptospira</w:t>
            </w:r>
            <w:r w:rsidRPr="00EA5F55">
              <w:rPr>
                <w:rFonts w:cstheme="minorHAnsi"/>
                <w:b/>
                <w:lang w:val="en-US"/>
              </w:rPr>
              <w:t xml:space="preserve"> spp.</w:t>
            </w:r>
          </w:p>
        </w:tc>
        <w:tc>
          <w:tcPr>
            <w:tcW w:w="3402" w:type="dxa"/>
          </w:tcPr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b/>
                <w:lang w:val="en-US"/>
              </w:rPr>
              <w:t xml:space="preserve">Saprophytic </w:t>
            </w:r>
            <w:r w:rsidRPr="00EA5F55">
              <w:rPr>
                <w:rFonts w:cstheme="minorHAnsi"/>
                <w:b/>
                <w:i/>
                <w:lang w:val="en-US"/>
              </w:rPr>
              <w:t>Leptospira</w:t>
            </w:r>
            <w:r w:rsidRPr="00EA5F55">
              <w:rPr>
                <w:rFonts w:cstheme="minorHAnsi"/>
                <w:b/>
                <w:lang w:val="en-US"/>
              </w:rPr>
              <w:t xml:space="preserve"> spp.</w:t>
            </w:r>
          </w:p>
        </w:tc>
      </w:tr>
      <w:tr w:rsidR="00EA5F55" w:rsidRPr="00EA5F55" w:rsidTr="00DC5F8E">
        <w:trPr>
          <w:trHeight w:val="383"/>
        </w:trPr>
        <w:tc>
          <w:tcPr>
            <w:tcW w:w="1244" w:type="dxa"/>
            <w:vMerge/>
          </w:tcPr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</w:p>
        </w:tc>
        <w:tc>
          <w:tcPr>
            <w:tcW w:w="1018" w:type="dxa"/>
            <w:vMerge/>
          </w:tcPr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</w:p>
        </w:tc>
        <w:tc>
          <w:tcPr>
            <w:tcW w:w="852" w:type="dxa"/>
            <w:vMerge/>
          </w:tcPr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</w:p>
        </w:tc>
        <w:tc>
          <w:tcPr>
            <w:tcW w:w="4961" w:type="dxa"/>
          </w:tcPr>
          <w:p w:rsidR="00EA5F55" w:rsidRPr="00EA5F55" w:rsidRDefault="00EA5F55" w:rsidP="00EA5F55">
            <w:pPr>
              <w:rPr>
                <w:rFonts w:cstheme="minorHAnsi"/>
                <w:i/>
                <w:lang w:val="en-US"/>
              </w:rPr>
            </w:pPr>
            <w:r w:rsidRPr="00EA5F55">
              <w:rPr>
                <w:rFonts w:cstheme="minorHAnsi"/>
                <w:i/>
                <w:lang w:val="en-US"/>
              </w:rPr>
              <w:t xml:space="preserve">ale.   als.   bor.   kir.   kme.   may.   nog.   san.   wei. </w:t>
            </w:r>
          </w:p>
        </w:tc>
        <w:tc>
          <w:tcPr>
            <w:tcW w:w="3260" w:type="dxa"/>
          </w:tcPr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i/>
                <w:lang w:val="en-US"/>
              </w:rPr>
              <w:t>bro.    fai.   ina.    lice.   wolf.  ven.</w:t>
            </w:r>
          </w:p>
        </w:tc>
        <w:tc>
          <w:tcPr>
            <w:tcW w:w="3402" w:type="dxa"/>
          </w:tcPr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i/>
                <w:lang w:val="en-US"/>
              </w:rPr>
              <w:t>bif.   mey.    ter.  van.   wolb.  yan</w:t>
            </w:r>
          </w:p>
        </w:tc>
      </w:tr>
      <w:tr w:rsidR="00EA5F55" w:rsidRPr="00EA5F55" w:rsidTr="000434A5">
        <w:trPr>
          <w:trHeight w:val="558"/>
        </w:trPr>
        <w:tc>
          <w:tcPr>
            <w:tcW w:w="1244" w:type="dxa"/>
          </w:tcPr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Membrane Proteins</w:t>
            </w:r>
          </w:p>
        </w:tc>
        <w:tc>
          <w:tcPr>
            <w:tcW w:w="1018" w:type="dxa"/>
          </w:tcPr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Q72NP0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Q72SI0</w:t>
            </w:r>
          </w:p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Q75FP1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P62465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P61742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Q72RZ7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Q72SP8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Q72MT7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Q72VI6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Q72SC3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Q72R95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P61703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Q72TL3</w:t>
            </w:r>
          </w:p>
        </w:tc>
        <w:tc>
          <w:tcPr>
            <w:tcW w:w="852" w:type="dxa"/>
          </w:tcPr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coaX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feoB</w:t>
            </w:r>
          </w:p>
          <w:p w:rsidR="00EA5F55" w:rsidRPr="00EA5F55" w:rsidRDefault="00EA5F55" w:rsidP="00EA5F55">
            <w:pPr>
              <w:spacing w:line="276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htpX</w:t>
            </w:r>
          </w:p>
          <w:p w:rsidR="00EA5F55" w:rsidRPr="00EA5F55" w:rsidRDefault="00EA5F55" w:rsidP="00EA5F55">
            <w:pPr>
              <w:spacing w:line="276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uppP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gpsA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xseA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flgI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pgi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gcvT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gatA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metXA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alaS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tgt</w:t>
            </w:r>
          </w:p>
        </w:tc>
        <w:tc>
          <w:tcPr>
            <w:tcW w:w="4961" w:type="dxa"/>
            <w:shd w:val="clear" w:color="auto" w:fill="auto"/>
          </w:tcPr>
          <w:p w:rsidR="00EA5F55" w:rsidRPr="00EA5F55" w:rsidRDefault="00EA5F55" w:rsidP="00EA5F55">
            <w:pPr>
              <w:tabs>
                <w:tab w:val="decimal" w:pos="360"/>
              </w:tabs>
              <w:spacing w:after="200" w:line="24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260" w:type="dxa"/>
          </w:tcPr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lastRenderedPageBreak/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 xml:space="preserve"> –        –        –        –        – 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 xml:space="preserve">–        –        –        –        –       –  </w:t>
            </w:r>
          </w:p>
          <w:p w:rsidR="00EA5F55" w:rsidRPr="00EA5F55" w:rsidRDefault="00EA5F55" w:rsidP="00EA5F55">
            <w:pPr>
              <w:spacing w:line="276" w:lineRule="auto"/>
              <w:rPr>
                <w:rFonts w:cstheme="minorHAnsi"/>
                <w:bCs/>
                <w:lang w:val="en-US"/>
              </w:rPr>
            </w:pP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–        – 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  –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bCs/>
                <w:lang w:val="en-US"/>
              </w:rPr>
            </w:pP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–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                                                             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bCs/>
                <w:lang w:val="en-US"/>
              </w:rPr>
            </w:pP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–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                                                                 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 xml:space="preserve">–        –        –        –        –        –  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</w:t>
            </w:r>
          </w:p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lastRenderedPageBreak/>
              <w:t>–        –        –        –        –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</w:p>
        </w:tc>
      </w:tr>
      <w:tr w:rsidR="00EA5F55" w:rsidRPr="00EA5F55" w:rsidTr="00DC5F8E">
        <w:trPr>
          <w:trHeight w:val="2224"/>
        </w:trPr>
        <w:tc>
          <w:tcPr>
            <w:tcW w:w="1244" w:type="dxa"/>
          </w:tcPr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lastRenderedPageBreak/>
              <w:t>Periplasmic Proteins</w:t>
            </w:r>
          </w:p>
        </w:tc>
        <w:tc>
          <w:tcPr>
            <w:tcW w:w="1018" w:type="dxa"/>
          </w:tcPr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Q72VB8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Q72R59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Q72PY2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Q72V31</w:t>
            </w:r>
          </w:p>
        </w:tc>
        <w:tc>
          <w:tcPr>
            <w:tcW w:w="852" w:type="dxa"/>
          </w:tcPr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gpmI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flab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glyA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>purD</w:t>
            </w:r>
          </w:p>
        </w:tc>
        <w:tc>
          <w:tcPr>
            <w:tcW w:w="4961" w:type="dxa"/>
            <w:shd w:val="clear" w:color="auto" w:fill="auto"/>
          </w:tcPr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</w:t>
            </w:r>
          </w:p>
        </w:tc>
        <w:tc>
          <w:tcPr>
            <w:tcW w:w="3260" w:type="dxa"/>
          </w:tcPr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cstheme="minorHAnsi"/>
                <w:lang w:val="en-US"/>
              </w:rPr>
              <w:t xml:space="preserve">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</w:t>
            </w:r>
          </w:p>
          <w:p w:rsidR="00EA5F55" w:rsidRPr="00EA5F55" w:rsidRDefault="00EA5F55" w:rsidP="00EA5F55">
            <w:pPr>
              <w:spacing w:line="360" w:lineRule="auto"/>
              <w:rPr>
                <w:rFonts w:cstheme="minorHAnsi"/>
                <w:lang w:val="en-US"/>
              </w:rPr>
            </w:pP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 </w:t>
            </w:r>
            <w:r w:rsidRPr="00EA5F55">
              <w:rPr>
                <w:rFonts w:ascii="Segoe UI Symbol" w:hAnsi="Segoe UI Symbol" w:cs="Segoe UI Symbol"/>
                <w:lang w:val="en-US"/>
              </w:rPr>
              <w:t>✓</w:t>
            </w:r>
            <w:r w:rsidRPr="00EA5F55">
              <w:rPr>
                <w:rFonts w:cstheme="minorHAnsi"/>
                <w:lang w:val="en-US"/>
              </w:rPr>
              <w:t xml:space="preserve">    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 xml:space="preserve">–        –        –        –         –          –      </w:t>
            </w:r>
          </w:p>
          <w:p w:rsidR="00EA5F55" w:rsidRPr="00EA5F55" w:rsidRDefault="00EA5F55" w:rsidP="00EA5F55">
            <w:pPr>
              <w:rPr>
                <w:rFonts w:cstheme="minorHAnsi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276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  </w:t>
            </w:r>
            <w:r w:rsidRPr="00EA5F55">
              <w:rPr>
                <w:rFonts w:ascii="Segoe UI Symbol" w:eastAsiaTheme="minorEastAsia" w:hAnsi="Segoe UI Symbol" w:cs="Segoe UI Symbol"/>
                <w:lang w:val="en-US"/>
              </w:rPr>
              <w:t>✓</w:t>
            </w:r>
            <w:r w:rsidRPr="00EA5F55">
              <w:rPr>
                <w:rFonts w:eastAsiaTheme="minorEastAsia" w:cstheme="minorHAnsi"/>
                <w:lang w:val="en-US"/>
              </w:rPr>
              <w:t xml:space="preserve">   </w:t>
            </w:r>
          </w:p>
          <w:p w:rsidR="00EA5F55" w:rsidRPr="00EA5F55" w:rsidRDefault="00EA5F55" w:rsidP="00EA5F55">
            <w:pPr>
              <w:tabs>
                <w:tab w:val="decimal" w:pos="360"/>
              </w:tabs>
              <w:spacing w:after="200" w:line="360" w:lineRule="auto"/>
              <w:rPr>
                <w:rFonts w:eastAsiaTheme="minorEastAsia" w:cstheme="minorHAnsi"/>
                <w:lang w:val="en-US"/>
              </w:rPr>
            </w:pPr>
            <w:r w:rsidRPr="00EA5F55">
              <w:rPr>
                <w:rFonts w:eastAsiaTheme="minorEastAsia" w:cstheme="minorHAnsi"/>
                <w:lang w:val="en-US"/>
              </w:rPr>
              <w:t>–        –        –        –        –      –</w:t>
            </w:r>
          </w:p>
        </w:tc>
      </w:tr>
    </w:tbl>
    <w:p w:rsidR="00EA5F55" w:rsidRPr="00637D05" w:rsidRDefault="00EA5F55" w:rsidP="00EA5F55">
      <w:pPr>
        <w:rPr>
          <w:rFonts w:cstheme="minorHAnsi"/>
        </w:rPr>
      </w:pPr>
      <w:r w:rsidRPr="00637D05">
        <w:rPr>
          <w:rFonts w:cstheme="minorHAnsi"/>
        </w:rPr>
        <w:t xml:space="preserve">*, </w:t>
      </w:r>
      <w:r w:rsidRPr="00637D05">
        <w:rPr>
          <w:rFonts w:cstheme="minorHAnsi"/>
          <w:i/>
        </w:rPr>
        <w:t xml:space="preserve">L. interrogans </w:t>
      </w:r>
      <w:r w:rsidRPr="00637D05">
        <w:rPr>
          <w:rFonts w:cstheme="minorHAnsi"/>
        </w:rPr>
        <w:t>serovar serogroup Icterohaemorrhagiae serovar Copenhageni (strain Fiocruz L1-130)</w:t>
      </w:r>
    </w:p>
    <w:p w:rsidR="00EA5F55" w:rsidRPr="00637D05" w:rsidRDefault="00EA5F55" w:rsidP="00EA5F55">
      <w:pPr>
        <w:rPr>
          <w:rFonts w:cstheme="minorHAnsi"/>
        </w:rPr>
      </w:pPr>
      <w:r w:rsidRPr="00637D05">
        <w:rPr>
          <w:rFonts w:ascii="Segoe UI Symbol" w:hAnsi="Segoe UI Symbol" w:cs="Segoe UI Symbol"/>
        </w:rPr>
        <w:t>✓</w:t>
      </w:r>
      <w:r w:rsidRPr="00637D05">
        <w:rPr>
          <w:rFonts w:cstheme="minorHAnsi"/>
        </w:rPr>
        <w:t>, conserved orthologs</w:t>
      </w:r>
    </w:p>
    <w:p w:rsidR="00EA5F55" w:rsidRPr="00637D05" w:rsidRDefault="00453CF0" w:rsidP="00EA5F55">
      <w:pPr>
        <w:rPr>
          <w:rFonts w:cstheme="minorHAnsi"/>
        </w:rPr>
      </w:pPr>
      <w:r>
        <w:rPr>
          <w:rFonts w:cstheme="minorHAnsi"/>
        </w:rPr>
        <w:t>–, not conserved</w:t>
      </w:r>
    </w:p>
    <w:p w:rsidR="00EA5F55" w:rsidRPr="00A80CDB" w:rsidRDefault="00EA5F55" w:rsidP="00EA5F55">
      <w:pPr>
        <w:rPr>
          <w:i/>
        </w:rPr>
      </w:pPr>
      <w:r w:rsidRPr="00637D05">
        <w:rPr>
          <w:rFonts w:cstheme="minorHAnsi"/>
          <w:i/>
        </w:rPr>
        <w:t xml:space="preserve">ale., L. alexanderi; als., L. alstonii; bor., L. borgpetersenii; kir., L. kirschneri; kme., L. kmetyi; may., L. mayottensis; nog., L. noguchii; san., L. santarosai; wei., L. weilii; bro., L. broomii; fai., L. fainei; ina., L. inadai; lice., L. licerasiae; wolf., L. wolffii; </w:t>
      </w:r>
      <w:r>
        <w:rPr>
          <w:rFonts w:cstheme="minorHAnsi"/>
          <w:i/>
        </w:rPr>
        <w:t xml:space="preserve">ven., </w:t>
      </w:r>
      <w:r>
        <w:rPr>
          <w:rFonts w:ascii="Calibri" w:hAnsi="Calibri" w:cs="Calibri"/>
          <w:i/>
          <w:color w:val="000000"/>
          <w:lang w:val="en-IN"/>
        </w:rPr>
        <w:t>L.</w:t>
      </w:r>
      <w:r w:rsidRPr="00D05A04">
        <w:rPr>
          <w:rFonts w:ascii="Calibri" w:hAnsi="Calibri" w:cs="Calibri"/>
          <w:i/>
          <w:color w:val="000000"/>
          <w:lang w:val="en-IN"/>
        </w:rPr>
        <w:t xml:space="preserve"> venezuelensis</w:t>
      </w:r>
      <w:r>
        <w:rPr>
          <w:i/>
        </w:rPr>
        <w:t xml:space="preserve">; </w:t>
      </w:r>
      <w:r w:rsidRPr="00637D05">
        <w:rPr>
          <w:rFonts w:cstheme="minorHAnsi"/>
          <w:i/>
        </w:rPr>
        <w:t>bif., L. biflexa; mey., L. meyeri; ter., L. terpstrae; van., L. vanthielii; wolb., L. wolbachii; yan., L. yanagawae.</w:t>
      </w:r>
    </w:p>
    <w:p w:rsidR="00EA5F55" w:rsidRPr="008F4D79" w:rsidRDefault="00EA5F55" w:rsidP="008F4D79">
      <w:pPr>
        <w:jc w:val="both"/>
        <w:rPr>
          <w:lang w:val="en-IN"/>
        </w:rPr>
      </w:pPr>
    </w:p>
    <w:sectPr w:rsidR="00EA5F55" w:rsidRPr="008F4D79" w:rsidSect="00EA5F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467" w:rsidRDefault="00690467" w:rsidP="00EA5F55">
      <w:pPr>
        <w:spacing w:after="0" w:line="240" w:lineRule="auto"/>
      </w:pPr>
      <w:r>
        <w:separator/>
      </w:r>
    </w:p>
  </w:endnote>
  <w:endnote w:type="continuationSeparator" w:id="0">
    <w:p w:rsidR="00690467" w:rsidRDefault="00690467" w:rsidP="00EA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467" w:rsidRDefault="00690467" w:rsidP="00EA5F55">
      <w:pPr>
        <w:spacing w:after="0" w:line="240" w:lineRule="auto"/>
      </w:pPr>
      <w:r>
        <w:separator/>
      </w:r>
    </w:p>
  </w:footnote>
  <w:footnote w:type="continuationSeparator" w:id="0">
    <w:p w:rsidR="00690467" w:rsidRDefault="00690467" w:rsidP="00EA5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0tLAwMjU1MDQ1NTRW0lEKTi0uzszPAykwqQUAzzR7YSwAAAA="/>
  </w:docVars>
  <w:rsids>
    <w:rsidRoot w:val="008F4D79"/>
    <w:rsid w:val="000434A5"/>
    <w:rsid w:val="000E47B8"/>
    <w:rsid w:val="001C0B5E"/>
    <w:rsid w:val="001D4185"/>
    <w:rsid w:val="003A35D9"/>
    <w:rsid w:val="003B5112"/>
    <w:rsid w:val="00453CF0"/>
    <w:rsid w:val="004E767E"/>
    <w:rsid w:val="00690467"/>
    <w:rsid w:val="008D765F"/>
    <w:rsid w:val="008F4D79"/>
    <w:rsid w:val="00923C94"/>
    <w:rsid w:val="009460D1"/>
    <w:rsid w:val="00A66441"/>
    <w:rsid w:val="00AD5FE0"/>
    <w:rsid w:val="00BB1F9F"/>
    <w:rsid w:val="00D912C2"/>
    <w:rsid w:val="00E74B79"/>
    <w:rsid w:val="00EA5F55"/>
    <w:rsid w:val="00EB1409"/>
    <w:rsid w:val="00F918BA"/>
    <w:rsid w:val="00FD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B55DF"/>
  <w15:chartTrackingRefBased/>
  <w15:docId w15:val="{02EB3D2B-2003-4A1C-B42E-7498826D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4B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yshankarda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swapnil</dc:creator>
  <cp:keywords/>
  <dc:description/>
  <cp:lastModifiedBy>sapnil</cp:lastModifiedBy>
  <cp:revision>16</cp:revision>
  <dcterms:created xsi:type="dcterms:W3CDTF">2018-09-10T08:22:00Z</dcterms:created>
  <dcterms:modified xsi:type="dcterms:W3CDTF">2018-11-30T07:14:00Z</dcterms:modified>
</cp:coreProperties>
</file>