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06A" w:rsidRPr="00A74BA6" w:rsidRDefault="004E706A" w:rsidP="004E70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BA6">
        <w:rPr>
          <w:rFonts w:ascii="Times New Roman" w:hAnsi="Times New Roman" w:cs="Times New Roman"/>
          <w:b/>
          <w:sz w:val="24"/>
          <w:szCs w:val="24"/>
        </w:rPr>
        <w:t xml:space="preserve">CXCR4 </w:t>
      </w:r>
      <w:proofErr w:type="spellStart"/>
      <w:r w:rsidRPr="00A74BA6">
        <w:rPr>
          <w:rFonts w:ascii="Times New Roman" w:hAnsi="Times New Roman" w:cs="Times New Roman"/>
          <w:b/>
          <w:sz w:val="24"/>
          <w:szCs w:val="24"/>
        </w:rPr>
        <w:t>signaling</w:t>
      </w:r>
      <w:proofErr w:type="spellEnd"/>
      <w:r w:rsidRPr="00A74B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regulates metastatic onset by controlling neutrophil motility and </w:t>
      </w:r>
      <w:r w:rsidRPr="00A74BA6">
        <w:rPr>
          <w:rFonts w:ascii="Times New Roman" w:hAnsi="Times New Roman" w:cs="Times New Roman"/>
          <w:b/>
          <w:sz w:val="24"/>
          <w:szCs w:val="24"/>
        </w:rPr>
        <w:t>response to malignant cells</w:t>
      </w:r>
    </w:p>
    <w:p w:rsidR="004E706A" w:rsidRDefault="004E706A" w:rsidP="004E706A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Tulotta C., </w:t>
      </w:r>
      <w:proofErr w:type="spellStart"/>
      <w:r w:rsidRPr="00A74BA6">
        <w:rPr>
          <w:rFonts w:ascii="Times New Roman" w:hAnsi="Times New Roman" w:cs="Times New Roman"/>
          <w:sz w:val="24"/>
          <w:szCs w:val="24"/>
        </w:rPr>
        <w:t>Stefanescu</w:t>
      </w:r>
      <w:proofErr w:type="spellEnd"/>
      <w:r w:rsidRPr="00A74BA6">
        <w:rPr>
          <w:rFonts w:ascii="Times New Roman" w:hAnsi="Times New Roman" w:cs="Times New Roman"/>
          <w:sz w:val="24"/>
          <w:szCs w:val="24"/>
        </w:rPr>
        <w:t xml:space="preserve"> C., </w:t>
      </w:r>
      <w:r>
        <w:rPr>
          <w:rFonts w:ascii="Times New Roman" w:hAnsi="Times New Roman" w:cs="Times New Roman"/>
          <w:sz w:val="24"/>
          <w:szCs w:val="24"/>
        </w:rPr>
        <w:t xml:space="preserve">Chen Q., </w:t>
      </w:r>
      <w:proofErr w:type="spellStart"/>
      <w:r w:rsidRPr="00A74BA6">
        <w:rPr>
          <w:rFonts w:ascii="Times New Roman" w:hAnsi="Times New Roman" w:cs="Times New Roman"/>
          <w:sz w:val="24"/>
          <w:szCs w:val="24"/>
        </w:rPr>
        <w:t>Torraca</w:t>
      </w:r>
      <w:proofErr w:type="spellEnd"/>
      <w:r w:rsidRPr="00A74BA6">
        <w:rPr>
          <w:rFonts w:ascii="Times New Roman" w:hAnsi="Times New Roman" w:cs="Times New Roman"/>
          <w:sz w:val="24"/>
          <w:szCs w:val="24"/>
        </w:rPr>
        <w:t xml:space="preserve"> V., Meijer A.H. and </w:t>
      </w:r>
      <w:proofErr w:type="spellStart"/>
      <w:r w:rsidRPr="00A74BA6">
        <w:rPr>
          <w:rFonts w:ascii="Times New Roman" w:hAnsi="Times New Roman" w:cs="Times New Roman"/>
          <w:sz w:val="24"/>
          <w:szCs w:val="24"/>
        </w:rPr>
        <w:t>Snaar</w:t>
      </w:r>
      <w:proofErr w:type="spellEnd"/>
      <w:r w:rsidRPr="00A74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A6">
        <w:rPr>
          <w:rFonts w:ascii="Times New Roman" w:hAnsi="Times New Roman" w:cs="Times New Roman"/>
          <w:sz w:val="24"/>
          <w:szCs w:val="24"/>
        </w:rPr>
        <w:t>Jagalska</w:t>
      </w:r>
      <w:proofErr w:type="spellEnd"/>
      <w:r w:rsidRPr="00A74BA6">
        <w:rPr>
          <w:rFonts w:ascii="Times New Roman" w:hAnsi="Times New Roman" w:cs="Times New Roman"/>
          <w:sz w:val="24"/>
          <w:szCs w:val="24"/>
        </w:rPr>
        <w:t xml:space="preserve"> B.E.</w:t>
      </w:r>
    </w:p>
    <w:p w:rsidR="004D7B39" w:rsidRDefault="005C3D3E" w:rsidP="003B2AC9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Supplementary Figure</w:t>
      </w:r>
      <w:r w:rsidR="00C411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</w:t>
      </w:r>
    </w:p>
    <w:p w:rsidR="00CD0BEE" w:rsidRDefault="00C4116C" w:rsidP="003B2AC9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C4116C">
        <w:rPr>
          <w:rFonts w:ascii="Times New Roman" w:eastAsia="Calibri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>
            <wp:extent cx="5731510" cy="2895386"/>
            <wp:effectExtent l="0" t="0" r="2540" b="635"/>
            <wp:docPr id="1" name="Picture 1" descr="C:\Users\tulot\Google Drive\CXCR4_host\Manuscript_CR\final for submission\scientific reports\Revision 2\FigS1 removal and table change\Supp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lot\Google Drive\CXCR4_host\Manuscript_CR\final for submission\scientific reports\Revision 2\FigS1 removal and table change\Supp S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9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AC9" w:rsidRPr="003B2AC9" w:rsidRDefault="003B2AC9" w:rsidP="003B2AC9">
      <w:pPr>
        <w:spacing w:line="480" w:lineRule="auto"/>
        <w:jc w:val="both"/>
        <w:rPr>
          <w:rFonts w:ascii="Times New Roman" w:eastAsia="Calibri" w:hAnsi="Times New Roman" w:cs="Times New Roman"/>
          <w:b/>
          <w:color w:val="1F497D"/>
          <w:sz w:val="24"/>
          <w:szCs w:val="24"/>
          <w:lang w:val="en-US"/>
        </w:rPr>
      </w:pPr>
      <w:r w:rsidRPr="003B2AC9">
        <w:rPr>
          <w:rFonts w:ascii="Times New Roman" w:eastAsia="Calibri" w:hAnsi="Times New Roman" w:cs="Times New Roman"/>
          <w:b/>
          <w:sz w:val="24"/>
          <w:szCs w:val="24"/>
          <w:lang w:val="en-US"/>
        </w:rPr>
        <w:t>Figure S1. Cxcr4b and hematopoiesis</w:t>
      </w:r>
    </w:p>
    <w:p w:rsidR="003B2AC9" w:rsidRDefault="00C4116C" w:rsidP="003B2AC9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"/>
        </w:rPr>
        <w:t>(A-C</w:t>
      </w:r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) </w:t>
      </w:r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Neutrophil number was counted in </w:t>
      </w:r>
      <w:proofErr w:type="spellStart"/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>wt</w:t>
      </w:r>
      <w:proofErr w:type="spellEnd"/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3B2AC9" w:rsidRPr="003B2AC9">
        <w:rPr>
          <w:rFonts w:ascii="Times New Roman" w:eastAsia="Calibri" w:hAnsi="Times New Roman" w:cs="Times New Roman"/>
          <w:i/>
          <w:sz w:val="24"/>
          <w:szCs w:val="24"/>
          <w:lang w:val="en-US"/>
        </w:rPr>
        <w:t>ody</w:t>
      </w:r>
      <w:proofErr w:type="spellEnd"/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siblings at 33-34 </w:t>
      </w:r>
      <w:proofErr w:type="spellStart"/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>hpf</w:t>
      </w:r>
      <w:proofErr w:type="spellEnd"/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when neutrophil development is independent from HSPC colonization of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the CHT, indicated by the box (A). (B</w:t>
      </w:r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A significantly higher number of neutrophils was present in the CHT region in </w:t>
      </w:r>
      <w:proofErr w:type="spellStart"/>
      <w:r w:rsidR="003B2AC9" w:rsidRPr="003B2AC9">
        <w:rPr>
          <w:rFonts w:ascii="Times New Roman" w:eastAsia="Calibri" w:hAnsi="Times New Roman" w:cs="Times New Roman"/>
          <w:i/>
          <w:sz w:val="24"/>
          <w:szCs w:val="24"/>
          <w:lang w:val="en-US"/>
        </w:rPr>
        <w:t>ody</w:t>
      </w:r>
      <w:proofErr w:type="spellEnd"/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embryos, compared to </w:t>
      </w:r>
      <w:proofErr w:type="spellStart"/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>wt</w:t>
      </w:r>
      <w:proofErr w:type="spellEnd"/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siblings, while the total neutrophil number was found unchanged in </w:t>
      </w:r>
      <w:r w:rsidR="003B2AC9" w:rsidRPr="003B2AC9">
        <w:rPr>
          <w:rFonts w:ascii="Times New Roman" w:eastAsia="Calibri" w:hAnsi="Times New Roman" w:cs="Times New Roman"/>
          <w:i/>
          <w:sz w:val="24"/>
          <w:szCs w:val="24"/>
          <w:lang w:val="en-US"/>
        </w:rPr>
        <w:t>cxcr4b</w:t>
      </w:r>
      <w:r w:rsidR="003B2AC9" w:rsidRPr="003B2AC9">
        <w:rPr>
          <w:rFonts w:ascii="Times New Roman" w:eastAsia="Calibri" w:hAnsi="Times New Roman" w:cs="Times New Roman"/>
          <w:i/>
          <w:sz w:val="24"/>
          <w:szCs w:val="24"/>
          <w:vertAlign w:val="superscript"/>
          <w:lang w:val="en-US"/>
        </w:rPr>
        <w:t>+/+</w:t>
      </w:r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</w:t>
      </w:r>
      <w:r w:rsidR="003B2AC9" w:rsidRPr="003B2AC9">
        <w:rPr>
          <w:rFonts w:ascii="Times New Roman" w:eastAsia="Calibri" w:hAnsi="Times New Roman" w:cs="Times New Roman"/>
          <w:i/>
          <w:sz w:val="24"/>
          <w:szCs w:val="24"/>
          <w:lang w:val="en-US"/>
        </w:rPr>
        <w:t>cxcr4b</w:t>
      </w:r>
      <w:r w:rsidR="003B2AC9" w:rsidRPr="003B2AC9">
        <w:rPr>
          <w:rFonts w:ascii="Times New Roman" w:eastAsia="Calibri" w:hAnsi="Times New Roman" w:cs="Times New Roman"/>
          <w:i/>
          <w:sz w:val="24"/>
          <w:szCs w:val="24"/>
          <w:vertAlign w:val="superscript"/>
          <w:lang w:val="en-US"/>
        </w:rPr>
        <w:t>-/-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(C</w:t>
      </w:r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). Data are </w:t>
      </w:r>
      <w:proofErr w:type="spellStart"/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>mean±SD</w:t>
      </w:r>
      <w:proofErr w:type="spellEnd"/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>. Mann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-Whitney test ***p&lt;0.0004. In (B) and (C</w:t>
      </w:r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>) n=19 (</w:t>
      </w:r>
      <w:proofErr w:type="spellStart"/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>wt</w:t>
      </w:r>
      <w:proofErr w:type="spellEnd"/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>) and n=20 (</w:t>
      </w:r>
      <w:proofErr w:type="spellStart"/>
      <w:r w:rsidR="003B2AC9" w:rsidRPr="003B2AC9">
        <w:rPr>
          <w:rFonts w:ascii="Times New Roman" w:eastAsia="Calibri" w:hAnsi="Times New Roman" w:cs="Times New Roman"/>
          <w:i/>
          <w:sz w:val="24"/>
          <w:szCs w:val="24"/>
          <w:lang w:val="en-US"/>
        </w:rPr>
        <w:t>ody</w:t>
      </w:r>
      <w:proofErr w:type="spellEnd"/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). </w:t>
      </w:r>
      <w:r>
        <w:rPr>
          <w:rFonts w:ascii="Times New Roman" w:eastAsia="Calibri" w:hAnsi="Times New Roman" w:cs="Times New Roman"/>
          <w:sz w:val="24"/>
          <w:szCs w:val="24"/>
          <w:lang w:val="en"/>
        </w:rPr>
        <w:t>(D, E</w:t>
      </w:r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) Neutrophils were counted in the CHT in </w:t>
      </w:r>
      <w:proofErr w:type="spellStart"/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>wt</w:t>
      </w:r>
      <w:proofErr w:type="spellEnd"/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and </w:t>
      </w:r>
      <w:proofErr w:type="spellStart"/>
      <w:r w:rsidR="003B2AC9" w:rsidRPr="003B2AC9">
        <w:rPr>
          <w:rFonts w:ascii="Times New Roman" w:eastAsia="Calibri" w:hAnsi="Times New Roman" w:cs="Times New Roman"/>
          <w:i/>
          <w:sz w:val="24"/>
          <w:szCs w:val="24"/>
          <w:lang w:val="en-US"/>
        </w:rPr>
        <w:t>ody</w:t>
      </w:r>
      <w:proofErr w:type="spellEnd"/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mutants at 2 </w:t>
      </w:r>
      <w:proofErr w:type="spellStart"/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>dpf</w:t>
      </w:r>
      <w:proofErr w:type="spellEnd"/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and a significant increment was found in </w:t>
      </w:r>
      <w:proofErr w:type="spellStart"/>
      <w:r w:rsidR="003B2AC9" w:rsidRPr="003B2AC9">
        <w:rPr>
          <w:rFonts w:ascii="Times New Roman" w:eastAsia="Calibri" w:hAnsi="Times New Roman" w:cs="Times New Roman"/>
          <w:i/>
          <w:sz w:val="24"/>
          <w:szCs w:val="24"/>
          <w:lang w:val="en-US"/>
        </w:rPr>
        <w:t>ody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"/>
        </w:rPr>
        <w:t xml:space="preserve"> embryos (31% increase) (D</w:t>
      </w:r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>, top panel is a bright field image of bottom panel showing GFP</w:t>
      </w:r>
      <w:r w:rsidR="003B2AC9" w:rsidRPr="003B2AC9">
        <w:rPr>
          <w:rFonts w:ascii="Times New Roman" w:eastAsia="Calibri" w:hAnsi="Times New Roman" w:cs="Times New Roman"/>
          <w:sz w:val="24"/>
          <w:szCs w:val="24"/>
          <w:vertAlign w:val="superscript"/>
          <w:lang w:val="en"/>
        </w:rPr>
        <w:t>+</w:t>
      </w:r>
      <w:r>
        <w:rPr>
          <w:rFonts w:ascii="Times New Roman" w:eastAsia="Calibri" w:hAnsi="Times New Roman" w:cs="Times New Roman"/>
          <w:sz w:val="24"/>
          <w:szCs w:val="24"/>
          <w:lang w:val="en"/>
        </w:rPr>
        <w:t xml:space="preserve"> neutrophils; E</w:t>
      </w:r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, data quantification).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(E</w:t>
      </w:r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>Un-paired t-test, with Welch’s correction Mann-Whitney test ****p&lt;0.0001. Data are mean ± SEM of two independent experiments (</w:t>
      </w:r>
      <w:proofErr w:type="spellStart"/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>wt</w:t>
      </w:r>
      <w:proofErr w:type="spellEnd"/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: n=47, </w:t>
      </w:r>
      <w:proofErr w:type="spellStart"/>
      <w:r w:rsidR="003B2AC9" w:rsidRPr="003B2AC9">
        <w:rPr>
          <w:rFonts w:ascii="Times New Roman" w:eastAsia="Calibri" w:hAnsi="Times New Roman" w:cs="Times New Roman"/>
          <w:i/>
          <w:sz w:val="24"/>
          <w:szCs w:val="24"/>
          <w:lang w:val="en-US"/>
        </w:rPr>
        <w:t>ody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"/>
        </w:rPr>
        <w:t>: n=45). (F</w:t>
      </w:r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) Total neutrophil </w:t>
      </w:r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lastRenderedPageBreak/>
        <w:t xml:space="preserve">number was counted in </w:t>
      </w:r>
      <w:proofErr w:type="spellStart"/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>wt</w:t>
      </w:r>
      <w:proofErr w:type="spellEnd"/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and </w:t>
      </w:r>
      <w:proofErr w:type="spellStart"/>
      <w:r w:rsidR="003B2AC9" w:rsidRPr="003B2AC9">
        <w:rPr>
          <w:rFonts w:ascii="Times New Roman" w:eastAsia="Calibri" w:hAnsi="Times New Roman" w:cs="Times New Roman"/>
          <w:i/>
          <w:sz w:val="24"/>
          <w:szCs w:val="24"/>
          <w:lang w:val="en-US"/>
        </w:rPr>
        <w:t>ody</w:t>
      </w:r>
      <w:proofErr w:type="spellEnd"/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mutants at 2 </w:t>
      </w:r>
      <w:proofErr w:type="spellStart"/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>dpf</w:t>
      </w:r>
      <w:proofErr w:type="spellEnd"/>
      <w:r w:rsidR="003B2AC9"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and no difference was found.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In (F</w:t>
      </w:r>
      <w:bookmarkStart w:id="0" w:name="_GoBack"/>
      <w:bookmarkEnd w:id="0"/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>wt</w:t>
      </w:r>
      <w:proofErr w:type="spellEnd"/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n=45, </w:t>
      </w:r>
      <w:proofErr w:type="spellStart"/>
      <w:r w:rsidR="003B2AC9" w:rsidRPr="003B2AC9">
        <w:rPr>
          <w:rFonts w:ascii="Times New Roman" w:eastAsia="Calibri" w:hAnsi="Times New Roman" w:cs="Times New Roman"/>
          <w:i/>
          <w:sz w:val="24"/>
          <w:szCs w:val="24"/>
          <w:lang w:val="en-US"/>
        </w:rPr>
        <w:t>ody</w:t>
      </w:r>
      <w:proofErr w:type="spellEnd"/>
      <w:r w:rsidR="003B2AC9"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>: n=45.</w:t>
      </w:r>
    </w:p>
    <w:p w:rsidR="004D7B39" w:rsidRPr="003B2AC9" w:rsidRDefault="004E706A" w:rsidP="003B2AC9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E706A">
        <w:rPr>
          <w:rFonts w:ascii="Times New Roman" w:eastAsia="Calibri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5731510" cy="1953727"/>
            <wp:effectExtent l="0" t="0" r="2540" b="8890"/>
            <wp:docPr id="4" name="Picture 4" descr="C:\Users\tulot\Google Drive\CXCR4_host\Manuscript_CR\final for submission\scientific reports\Reviewers comments\TIFF\Supp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lot\Google Drive\CXCR4_host\Manuscript_CR\final for submission\scientific reports\Reviewers comments\TIFF\Supp S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5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AC9" w:rsidRPr="003B2AC9" w:rsidRDefault="003B2AC9" w:rsidP="003B2AC9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B2AC9">
        <w:rPr>
          <w:rFonts w:ascii="Times New Roman" w:eastAsia="Calibri" w:hAnsi="Times New Roman" w:cs="Times New Roman"/>
          <w:b/>
          <w:iCs/>
          <w:sz w:val="24"/>
          <w:szCs w:val="24"/>
          <w:lang w:val="en-US"/>
        </w:rPr>
        <w:t xml:space="preserve">Figure S2. Neutrophil mobilization in response to malignant cells is independent from cxcr4b during emergency hematopoiesis. </w:t>
      </w:r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(A, B) Neutrophil response to cancer cells ~3-6 hours after engraftment in the blood circulation of 2 </w:t>
      </w:r>
      <w:proofErr w:type="spellStart"/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>dpf</w:t>
      </w:r>
      <w:proofErr w:type="spellEnd"/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zebrafish embryos, </w:t>
      </w:r>
      <w:proofErr w:type="spellStart"/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>wt</w:t>
      </w:r>
      <w:proofErr w:type="spellEnd"/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or </w:t>
      </w:r>
      <w:proofErr w:type="spellStart"/>
      <w:r w:rsidRPr="003B2AC9">
        <w:rPr>
          <w:rFonts w:ascii="Times New Roman" w:eastAsia="Calibri" w:hAnsi="Times New Roman" w:cs="Times New Roman"/>
          <w:i/>
          <w:sz w:val="24"/>
          <w:szCs w:val="24"/>
          <w:lang w:val="en"/>
        </w:rPr>
        <w:t>ody</w:t>
      </w:r>
      <w:proofErr w:type="spellEnd"/>
      <w:r w:rsidRPr="003B2AC9">
        <w:rPr>
          <w:rFonts w:ascii="Times New Roman" w:eastAsia="Calibri" w:hAnsi="Times New Roman" w:cs="Times New Roman"/>
          <w:i/>
          <w:sz w:val="24"/>
          <w:szCs w:val="24"/>
          <w:lang w:val="en"/>
        </w:rPr>
        <w:t xml:space="preserve"> </w:t>
      </w:r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mutant, in a </w:t>
      </w:r>
      <w:proofErr w:type="spellStart"/>
      <w:r w:rsidRPr="003B2AC9">
        <w:rPr>
          <w:rFonts w:ascii="Times New Roman" w:eastAsia="Calibri" w:hAnsi="Times New Roman" w:cs="Times New Roman"/>
          <w:i/>
          <w:sz w:val="24"/>
          <w:szCs w:val="24"/>
          <w:lang w:val="en-US"/>
        </w:rPr>
        <w:t>Tg</w:t>
      </w:r>
      <w:proofErr w:type="spellEnd"/>
      <w:r w:rsidRPr="003B2AC9">
        <w:rPr>
          <w:rFonts w:ascii="Times New Roman" w:eastAsia="Calibri" w:hAnsi="Times New Roman" w:cs="Times New Roman"/>
          <w:i/>
          <w:sz w:val="24"/>
          <w:szCs w:val="24"/>
          <w:lang w:val="en-US"/>
        </w:rPr>
        <w:t>(</w:t>
      </w:r>
      <w:proofErr w:type="spellStart"/>
      <w:proofErr w:type="gramStart"/>
      <w:r w:rsidRPr="003B2AC9">
        <w:rPr>
          <w:rFonts w:ascii="Times New Roman" w:eastAsia="Calibri" w:hAnsi="Times New Roman" w:cs="Times New Roman"/>
          <w:i/>
          <w:sz w:val="24"/>
          <w:szCs w:val="24"/>
          <w:lang w:val="en-US"/>
        </w:rPr>
        <w:t>mpx:GFP</w:t>
      </w:r>
      <w:proofErr w:type="spellEnd"/>
      <w:proofErr w:type="gramEnd"/>
      <w:r w:rsidRPr="003B2AC9">
        <w:rPr>
          <w:rFonts w:ascii="Times New Roman" w:eastAsia="Calibri" w:hAnsi="Times New Roman" w:cs="Times New Roman"/>
          <w:i/>
          <w:sz w:val="24"/>
          <w:szCs w:val="24"/>
          <w:lang w:val="en-US"/>
        </w:rPr>
        <w:t>)</w:t>
      </w:r>
      <w:r w:rsidRPr="003B2AC9">
        <w:rPr>
          <w:rFonts w:ascii="Times New Roman" w:eastAsia="Calibri" w:hAnsi="Times New Roman" w:cs="Times New Roman"/>
          <w:i/>
          <w:sz w:val="24"/>
          <w:szCs w:val="24"/>
          <w:vertAlign w:val="superscript"/>
          <w:lang w:val="en-US"/>
        </w:rPr>
        <w:t>i114</w:t>
      </w:r>
      <w:r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background</w:t>
      </w:r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. (A, top panel is an overlay of bright field, </w:t>
      </w:r>
      <w:proofErr w:type="spellStart"/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>DsRed</w:t>
      </w:r>
      <w:proofErr w:type="spellEnd"/>
      <w:r w:rsidRPr="003B2AC9">
        <w:rPr>
          <w:rFonts w:ascii="Times New Roman" w:eastAsia="Calibri" w:hAnsi="Times New Roman" w:cs="Times New Roman"/>
          <w:sz w:val="24"/>
          <w:szCs w:val="24"/>
          <w:vertAlign w:val="superscript"/>
          <w:lang w:val="en"/>
        </w:rPr>
        <w:t>+</w:t>
      </w:r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and GFP</w:t>
      </w:r>
      <w:r w:rsidRPr="003B2AC9">
        <w:rPr>
          <w:rFonts w:ascii="Times New Roman" w:eastAsia="Calibri" w:hAnsi="Times New Roman" w:cs="Times New Roman"/>
          <w:sz w:val="24"/>
          <w:szCs w:val="24"/>
          <w:vertAlign w:val="superscript"/>
          <w:lang w:val="en"/>
        </w:rPr>
        <w:t>+</w:t>
      </w:r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channels and corresponds to the bottom panel where only GFP</w:t>
      </w:r>
      <w:r w:rsidRPr="003B2AC9">
        <w:rPr>
          <w:rFonts w:ascii="Times New Roman" w:eastAsia="Calibri" w:hAnsi="Times New Roman" w:cs="Times New Roman"/>
          <w:sz w:val="24"/>
          <w:szCs w:val="24"/>
          <w:vertAlign w:val="superscript"/>
          <w:lang w:val="en"/>
        </w:rPr>
        <w:t>+</w:t>
      </w:r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neutrophils are shown). (B) Neutrophils exited the CHT in response to tumor cells, both in </w:t>
      </w:r>
      <w:proofErr w:type="spellStart"/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>wt</w:t>
      </w:r>
      <w:proofErr w:type="spellEnd"/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and </w:t>
      </w:r>
      <w:proofErr w:type="spellStart"/>
      <w:r w:rsidRPr="003B2AC9">
        <w:rPr>
          <w:rFonts w:ascii="Times New Roman" w:eastAsia="Calibri" w:hAnsi="Times New Roman" w:cs="Times New Roman"/>
          <w:i/>
          <w:sz w:val="24"/>
          <w:szCs w:val="24"/>
          <w:lang w:val="en"/>
        </w:rPr>
        <w:t>ody</w:t>
      </w:r>
      <w:proofErr w:type="spellEnd"/>
      <w:r w:rsidRPr="003B2AC9">
        <w:rPr>
          <w:rFonts w:ascii="Times New Roman" w:eastAsia="Calibri" w:hAnsi="Times New Roman" w:cs="Times New Roman"/>
          <w:i/>
          <w:sz w:val="24"/>
          <w:szCs w:val="24"/>
          <w:lang w:val="en"/>
        </w:rPr>
        <w:t xml:space="preserve"> </w:t>
      </w:r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embryos. </w:t>
      </w:r>
      <w:proofErr w:type="spellStart"/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>Kruskal</w:t>
      </w:r>
      <w:proofErr w:type="spellEnd"/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-Wallis, with Dunn </w:t>
      </w:r>
      <w:r w:rsidRPr="003B2AC9">
        <w:rPr>
          <w:rFonts w:ascii="Times New Roman" w:eastAsia="Calibri" w:hAnsi="Times New Roman" w:cs="Times New Roman"/>
          <w:i/>
          <w:sz w:val="24"/>
          <w:szCs w:val="24"/>
          <w:lang w:val="en"/>
        </w:rPr>
        <w:t>post hoc</w:t>
      </w:r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test **** p&lt;0.0001, ns p&gt;0.05 (number of </w:t>
      </w:r>
      <w:proofErr w:type="spellStart"/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>uninjected</w:t>
      </w:r>
      <w:proofErr w:type="spellEnd"/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embryos is the same as in graph in Figure S1F; number of engrafted embryos is </w:t>
      </w:r>
      <w:proofErr w:type="spellStart"/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>wt</w:t>
      </w:r>
      <w:proofErr w:type="spellEnd"/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: n=35 and </w:t>
      </w:r>
      <w:proofErr w:type="spellStart"/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>Ody</w:t>
      </w:r>
      <w:proofErr w:type="spellEnd"/>
      <w:r w:rsidRPr="003B2AC9">
        <w:rPr>
          <w:rFonts w:ascii="Times New Roman" w:eastAsia="Calibri" w:hAnsi="Times New Roman" w:cs="Times New Roman"/>
          <w:sz w:val="24"/>
          <w:szCs w:val="24"/>
          <w:lang w:val="en"/>
        </w:rPr>
        <w:t xml:space="preserve">: n=32). </w:t>
      </w:r>
      <w:r w:rsidRPr="003B2AC9">
        <w:rPr>
          <w:rFonts w:ascii="Times New Roman" w:eastAsia="Calibri" w:hAnsi="Times New Roman" w:cs="Times New Roman"/>
          <w:sz w:val="24"/>
          <w:lang w:val="en"/>
        </w:rPr>
        <w:t xml:space="preserve">Images were acquired using </w:t>
      </w:r>
      <w:r w:rsidRPr="003B2AC9">
        <w:rPr>
          <w:rFonts w:ascii="Times New Roman" w:eastAsia="Calibri" w:hAnsi="Times New Roman" w:cs="Times New Roman"/>
          <w:sz w:val="24"/>
          <w:szCs w:val="24"/>
          <w:lang w:val="en-US"/>
        </w:rPr>
        <w:t>Leica MZ16FA fluorescent microscope coupled to a DFC420C camera. Scale bars: 50 µm.</w:t>
      </w:r>
    </w:p>
    <w:p w:rsidR="00DE0490" w:rsidRDefault="00C4116C"/>
    <w:sectPr w:rsidR="00DE049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AC9"/>
    <w:rsid w:val="0031430F"/>
    <w:rsid w:val="003B2AC9"/>
    <w:rsid w:val="004D7B39"/>
    <w:rsid w:val="004E706A"/>
    <w:rsid w:val="005C3D3E"/>
    <w:rsid w:val="0081509F"/>
    <w:rsid w:val="0082439E"/>
    <w:rsid w:val="00C4116C"/>
    <w:rsid w:val="00CD0BEE"/>
    <w:rsid w:val="00D84CED"/>
    <w:rsid w:val="00FA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E2430"/>
  <w15:chartTrackingRefBased/>
  <w15:docId w15:val="{90989C02-297D-4AF8-9F7B-9C744191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Tulotta</dc:creator>
  <cp:keywords/>
  <dc:description/>
  <cp:lastModifiedBy>Claudia Tulotta</cp:lastModifiedBy>
  <cp:revision>7</cp:revision>
  <dcterms:created xsi:type="dcterms:W3CDTF">2017-08-14T17:32:00Z</dcterms:created>
  <dcterms:modified xsi:type="dcterms:W3CDTF">2018-11-21T10:08:00Z</dcterms:modified>
</cp:coreProperties>
</file>